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AB610" w14:textId="77777777" w:rsidR="00906E0A" w:rsidRPr="00061CFB" w:rsidRDefault="00906E0A" w:rsidP="00061CFB">
      <w:pPr>
        <w:spacing w:line="360" w:lineRule="auto"/>
        <w:rPr>
          <w:rFonts w:eastAsia="Calibri" w:cstheme="minorHAnsi"/>
          <w:b/>
          <w:bCs/>
          <w:color w:val="353740"/>
          <w:sz w:val="24"/>
          <w:szCs w:val="24"/>
          <w:u w:val="single"/>
        </w:rPr>
      </w:pPr>
      <w:r w:rsidRPr="00061CFB">
        <w:rPr>
          <w:rFonts w:eastAsia="Calibri" w:cstheme="minorHAnsi"/>
          <w:b/>
          <w:bCs/>
          <w:color w:val="353740"/>
          <w:sz w:val="24"/>
          <w:szCs w:val="24"/>
          <w:u w:val="single"/>
        </w:rPr>
        <w:t>Assignment 1 – CPTED</w:t>
      </w:r>
    </w:p>
    <w:p w14:paraId="2DE76D9D" w14:textId="0BDC435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Ensuring the safety of a community is of utmost importance, which requires implementing a comprehensive strategy to combat crime. </w:t>
      </w:r>
      <w:r w:rsidR="00061CFB" w:rsidRPr="00061CFB">
        <w:rPr>
          <w:rFonts w:asciiTheme="minorHAnsi" w:hAnsiTheme="minorHAnsi" w:cstheme="minorHAnsi"/>
        </w:rPr>
        <w:t xml:space="preserve">A systematic strategy called Crime Prevention Through Environmental Design (CPTED) seeks to lower crime rates by carefully planning the physical environment. This essay's goal is to assess CPTED theories and tactics. </w:t>
      </w:r>
      <w:r w:rsidRPr="00061CFB">
        <w:rPr>
          <w:rFonts w:asciiTheme="minorHAnsi" w:hAnsiTheme="minorHAnsi" w:cstheme="minorHAnsi"/>
        </w:rPr>
        <w:t>The focus will be on examining its effectiveness in reducing crime and the challenges faced when implementing these strategies.</w:t>
      </w:r>
    </w:p>
    <w:p w14:paraId="2264FCE0" w14:textId="59E9F0DF" w:rsidR="00906E0A" w:rsidRPr="00061CFB" w:rsidRDefault="00061CFB"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Fox (2022) posits that the theoretical framework known as 'Crime Prevention Through Environmental Design' (CPTED) centres on the deliberate design of the built environment with the aim of reducing criminal activity and enhancing general safety. CPTED, which stands for Crime Prevention Through Environmental Design, is based on four core ideas. The concepts that are </w:t>
      </w:r>
      <w:proofErr w:type="gramStart"/>
      <w:r w:rsidRPr="00061CFB">
        <w:rPr>
          <w:rFonts w:asciiTheme="minorHAnsi" w:hAnsiTheme="minorHAnsi" w:cstheme="minorHAnsi"/>
        </w:rPr>
        <w:t xml:space="preserve">being </w:t>
      </w:r>
      <w:r>
        <w:rPr>
          <w:rFonts w:asciiTheme="minorHAnsi" w:hAnsiTheme="minorHAnsi" w:cstheme="minorHAnsi"/>
        </w:rPr>
        <w:t>mentioned</w:t>
      </w:r>
      <w:proofErr w:type="gramEnd"/>
      <w:r w:rsidRPr="00061CFB">
        <w:rPr>
          <w:rFonts w:asciiTheme="minorHAnsi" w:hAnsiTheme="minorHAnsi" w:cstheme="minorHAnsi"/>
        </w:rPr>
        <w:t xml:space="preserve"> encompass natural surveillance, natural access control, territoriality, and maintenance. </w:t>
      </w:r>
      <w:r w:rsidR="00906E0A" w:rsidRPr="00061CFB">
        <w:rPr>
          <w:rFonts w:asciiTheme="minorHAnsi" w:hAnsiTheme="minorHAnsi" w:cstheme="minorHAnsi"/>
        </w:rPr>
        <w:t>CPTED, which stands for Crime Prevention Through Environmental Design, is a strategy that focuses on designing spaces in a manner that discourages criminal activity. Natural surveillance involves implementing measures to ensure clear sightlines, sufficient lighting, and the removal of potential hiding spots. Natural access control is a security measure that involves the installation of gates, barriers, and locks to restrict the access of potential offenders. Territoriality is established using signs, symbols, and colours. These elements help to mark and define various areas, clearly indicating who is permitted to access them. Furthermore, maintenance duties encompass the crucial task of upholding a clean and organised physical environment. This includes tasks like promptly removing graffiti and repairing any damages that may occur (Fox, 2022).</w:t>
      </w:r>
    </w:p>
    <w:p w14:paraId="1745D2E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The rational choice theory (RCT) holds considerable influence in the field of crime prevention. According to Margit (2022), this theory suggests that individuals engage in rational decision-making when considering whether to commit a crime. They carefully evaluate the potential costs and benefits associated with their actions. The RCT (Rational Choice Theory) principles state that changing the environment and reducing the incentives for criminal activity can effectively prevent crime by making the costs of doing so outweigh the benefits. This approach aligns with situational crime prevention (SCP), a strategy that </w:t>
      </w:r>
      <w:r w:rsidRPr="00061CFB">
        <w:rPr>
          <w:rFonts w:asciiTheme="minorHAnsi" w:hAnsiTheme="minorHAnsi" w:cstheme="minorHAnsi"/>
        </w:rPr>
        <w:lastRenderedPageBreak/>
        <w:t>emphasises modifying the environment to reduce criminal opportunities rather than solely targeting the individuals involved (College of Policing, 2022).</w:t>
      </w:r>
    </w:p>
    <w:p w14:paraId="6CB7A95F"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effectiveness of environmental design as a crime prevention strategy has been assessed through numerous research studies, leading to varying outcomes. According to a 2008 study by Welsh and Farrington, increased security measures and better lighting conditions are associated with a decrease in criminal activity. A 2015 report by the College of Policing revealed that street lighting improvements in the United Kingdom led to an average reduction of thirty-eight crimes per year. However, critics of Defensible Space (DS) have pointed out that Newman's findings regarding how modifying the physical environment can potentially increase crime were inconsistent in certain cases (Newman, 1972).</w:t>
      </w:r>
    </w:p>
    <w:p w14:paraId="5CE9A51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A significant study conducted in the United States found that enhancing street lighting in high-crime areas led to an average decrease of seven crimes. According to Welsh and Farrington (2008), the study revealed that the improvement was more effective in reducing daytime crimes compared to nighttime crimes. The findings indicate that a theory of street lighting that prioritises fostering community pride and informal social control is more credible than a theory that solely emphasises deterrence.</w:t>
      </w:r>
    </w:p>
    <w:p w14:paraId="0A6F155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While there have been some positive findings, it is crucial to recognise that the introduction of Crime Prevention Through Environmental Design (CPTED) also comes with its fair share of challenges. According to a report by the College of Policing in 2015, several studies have suggested that environmental design might not reduce crime, but instead, it could potentially displace it. Criminals have demonstrated their ability to adapt to changes in their environment and engage in unlawful activities in various locations. Additionally, it is worth noting that the effectiveness of CPTED may vary depending on different populations and circumstances, as emphasised by Newman (1972).</w:t>
      </w:r>
    </w:p>
    <w:p w14:paraId="62923DA3"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Critics argue that the focus of CPTED on the physical environment may overlook the broader social and economic factors that play a role in crime. It is crucial to recognise that environmental design alone cannot effectively address all forms of criminal behaviour. Simply altering the physical environment may not be sufficient to effectively prevent crimes that are influenced by social and economic inequalities. Therefore, it is crucial to adopt a </w:t>
      </w:r>
      <w:r w:rsidRPr="00061CFB">
        <w:rPr>
          <w:rFonts w:asciiTheme="minorHAnsi" w:hAnsiTheme="minorHAnsi" w:cstheme="minorHAnsi"/>
        </w:rPr>
        <w:lastRenderedPageBreak/>
        <w:t>comprehensive approach to crime prevention that involves a range of strategies. The strategies should encompass community involvement, education, and addressing societal inequality.</w:t>
      </w:r>
    </w:p>
    <w:p w14:paraId="1F53754D" w14:textId="026A2323"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Additionally, </w:t>
      </w:r>
      <w:r w:rsidR="00061CFB" w:rsidRPr="00061CFB">
        <w:rPr>
          <w:rFonts w:asciiTheme="minorHAnsi" w:hAnsiTheme="minorHAnsi" w:cstheme="minorHAnsi"/>
        </w:rPr>
        <w:t>it is</w:t>
      </w:r>
      <w:r w:rsidRPr="00061CFB">
        <w:rPr>
          <w:rFonts w:asciiTheme="minorHAnsi" w:hAnsiTheme="minorHAnsi" w:cstheme="minorHAnsi"/>
        </w:rPr>
        <w:t xml:space="preserve"> crucial to keep in mind that the particulars of the crime under investigation may have an impact on CPTED's effectiveness. Environmental measures could potentially be more effective in addressing crimes of opportunity, such as theft and vandalism. However, in cases involving crimes influenced by complex motives or deeply rooted social issues, it may be necessary to develop an overarching strategy. The approach should involve multiple stakeholders, including the police, community groups, and the government.</w:t>
      </w:r>
    </w:p>
    <w:p w14:paraId="5FC7D1B4"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conclusion, Crime Prevention Through Environmental Design (CPTED) has the potential to reduce criminal activity by implementing barriers that increase the difficulty for offenders to participate in unlawful behaviour. Although some studies have shown positive results, there are significant difficulties and differences in how they are conducted. The effectiveness of environmental design is evident in many situations, although it may not always achieve the intended results. To enhance the effectiveness of CPTED, it is crucial to conduct a comprehensive evaluation of its activities and address any potential issues that may arise.</w:t>
      </w:r>
    </w:p>
    <w:p w14:paraId="0FC4D23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To create successful and long-lasting methods for reducing crime, it is essential to combine CPTED with other crime prevention strategies and recognise the complex nature of criminal activities. By combining environmental design with community engagement, social programmes, and policy initiatives, communities have the potential to enhance safety and improve the well-being of their residents.</w:t>
      </w:r>
    </w:p>
    <w:p w14:paraId="0CC14A12" w14:textId="77777777" w:rsidR="00906E0A" w:rsidRPr="00061CFB" w:rsidRDefault="00906E0A" w:rsidP="00061CFB">
      <w:pPr>
        <w:spacing w:line="360" w:lineRule="auto"/>
        <w:rPr>
          <w:rFonts w:eastAsia="Calibri" w:cstheme="minorHAnsi"/>
          <w:b/>
          <w:bCs/>
          <w:color w:val="353740"/>
          <w:sz w:val="24"/>
          <w:szCs w:val="24"/>
          <w:u w:val="single"/>
        </w:rPr>
      </w:pPr>
      <w:r w:rsidRPr="00061CFB">
        <w:rPr>
          <w:rFonts w:eastAsia="Calibri" w:cstheme="minorHAnsi"/>
          <w:b/>
          <w:bCs/>
          <w:color w:val="353740"/>
          <w:sz w:val="24"/>
          <w:szCs w:val="24"/>
          <w:u w:val="single"/>
        </w:rPr>
        <w:t>968 words</w:t>
      </w:r>
    </w:p>
    <w:p w14:paraId="6E434FF4" w14:textId="77777777" w:rsidR="00906E0A" w:rsidRPr="00061CFB" w:rsidRDefault="00906E0A" w:rsidP="00061CFB">
      <w:pPr>
        <w:spacing w:line="360" w:lineRule="auto"/>
        <w:rPr>
          <w:rFonts w:eastAsia="Calibri" w:cstheme="minorHAnsi"/>
          <w:b/>
          <w:bCs/>
          <w:color w:val="353740"/>
          <w:sz w:val="24"/>
          <w:szCs w:val="24"/>
          <w:u w:val="single"/>
        </w:rPr>
      </w:pPr>
    </w:p>
    <w:p w14:paraId="275F456B" w14:textId="77777777" w:rsidR="00906E0A" w:rsidRPr="00061CFB" w:rsidRDefault="00906E0A" w:rsidP="00061CFB">
      <w:pPr>
        <w:spacing w:line="360" w:lineRule="auto"/>
        <w:rPr>
          <w:rFonts w:eastAsia="Calibri" w:cstheme="minorHAnsi"/>
          <w:b/>
          <w:bCs/>
          <w:color w:val="353740"/>
          <w:sz w:val="24"/>
          <w:szCs w:val="24"/>
          <w:u w:val="single"/>
        </w:rPr>
      </w:pPr>
      <w:r w:rsidRPr="00061CFB">
        <w:rPr>
          <w:rFonts w:eastAsia="Calibri" w:cstheme="minorHAnsi"/>
          <w:b/>
          <w:bCs/>
          <w:color w:val="353740"/>
          <w:sz w:val="24"/>
          <w:szCs w:val="24"/>
          <w:u w:val="single"/>
        </w:rPr>
        <w:t>Bibliography</w:t>
      </w:r>
    </w:p>
    <w:p w14:paraId="0CF6E46E" w14:textId="77777777" w:rsidR="00906E0A" w:rsidRPr="00061CFB" w:rsidRDefault="00906E0A" w:rsidP="00061CFB">
      <w:pPr>
        <w:spacing w:line="360" w:lineRule="auto"/>
        <w:rPr>
          <w:rFonts w:cstheme="minorHAnsi"/>
          <w:sz w:val="24"/>
          <w:szCs w:val="24"/>
        </w:rPr>
      </w:pPr>
      <w:r w:rsidRPr="00061CFB">
        <w:rPr>
          <w:rFonts w:eastAsia="Calibri" w:cstheme="minorHAnsi"/>
          <w:sz w:val="24"/>
          <w:szCs w:val="24"/>
        </w:rPr>
        <w:t xml:space="preserve">Margit (2022) </w:t>
      </w:r>
      <w:r w:rsidRPr="00061CFB">
        <w:rPr>
          <w:rFonts w:eastAsia="Calibri" w:cstheme="minorHAnsi"/>
          <w:i/>
          <w:iCs/>
          <w:sz w:val="24"/>
          <w:szCs w:val="24"/>
        </w:rPr>
        <w:t>Rational Choice Theory in Sociology/Criminology - Criminology Web</w:t>
      </w:r>
      <w:r w:rsidRPr="00061CFB">
        <w:rPr>
          <w:rFonts w:eastAsia="Calibri" w:cstheme="minorHAnsi"/>
          <w:sz w:val="24"/>
          <w:szCs w:val="24"/>
        </w:rPr>
        <w:t xml:space="preserve">, </w:t>
      </w:r>
      <w:r w:rsidRPr="00061CFB">
        <w:rPr>
          <w:rFonts w:eastAsia="Calibri" w:cstheme="minorHAnsi"/>
          <w:i/>
          <w:iCs/>
          <w:sz w:val="24"/>
          <w:szCs w:val="24"/>
        </w:rPr>
        <w:t>Criminology Web</w:t>
      </w:r>
      <w:r w:rsidRPr="00061CFB">
        <w:rPr>
          <w:rFonts w:eastAsia="Calibri" w:cstheme="minorHAnsi"/>
          <w:sz w:val="24"/>
          <w:szCs w:val="24"/>
        </w:rPr>
        <w:t xml:space="preserve">. Available at: </w:t>
      </w:r>
      <w:hyperlink r:id="rId4">
        <w:r w:rsidRPr="00061CFB">
          <w:rPr>
            <w:rStyle w:val="Hyperlink"/>
            <w:rFonts w:eastAsia="Calibri" w:cstheme="minorHAnsi"/>
            <w:sz w:val="24"/>
            <w:szCs w:val="24"/>
          </w:rPr>
          <w:t>https://criminologyweb.com/rational-choice-theory-in-sociology-and-criminology-explained/</w:t>
        </w:r>
      </w:hyperlink>
      <w:r w:rsidRPr="00061CFB">
        <w:rPr>
          <w:rFonts w:eastAsia="Calibri" w:cstheme="minorHAnsi"/>
          <w:sz w:val="24"/>
          <w:szCs w:val="24"/>
        </w:rPr>
        <w:t>.</w:t>
      </w:r>
    </w:p>
    <w:p w14:paraId="76A5F92B" w14:textId="77777777" w:rsidR="00906E0A" w:rsidRPr="00061CFB" w:rsidRDefault="00906E0A" w:rsidP="00061CFB">
      <w:pPr>
        <w:spacing w:line="360" w:lineRule="auto"/>
        <w:rPr>
          <w:rFonts w:cstheme="minorHAnsi"/>
          <w:sz w:val="24"/>
          <w:szCs w:val="24"/>
        </w:rPr>
      </w:pPr>
      <w:r w:rsidRPr="00061CFB">
        <w:rPr>
          <w:rFonts w:eastAsia="Calibri" w:cstheme="minorHAnsi"/>
          <w:sz w:val="24"/>
          <w:szCs w:val="24"/>
        </w:rPr>
        <w:lastRenderedPageBreak/>
        <w:t xml:space="preserve">Welsh, B.C. and Farrington, D.P. (2008) “Effects of Improved Street Lighting on Crime,” </w:t>
      </w:r>
      <w:r w:rsidRPr="00061CFB">
        <w:rPr>
          <w:rFonts w:eastAsia="Calibri" w:cstheme="minorHAnsi"/>
          <w:i/>
          <w:iCs/>
          <w:sz w:val="24"/>
          <w:szCs w:val="24"/>
        </w:rPr>
        <w:t>Campbell Systematic Reviews</w:t>
      </w:r>
      <w:r w:rsidRPr="00061CFB">
        <w:rPr>
          <w:rFonts w:eastAsia="Calibri" w:cstheme="minorHAnsi"/>
          <w:sz w:val="24"/>
          <w:szCs w:val="24"/>
        </w:rPr>
        <w:t>, 4(1), pp. 1–51. doi:10.4073/csr.2008.13.</w:t>
      </w:r>
      <w:r w:rsidRPr="00061CFB">
        <w:rPr>
          <w:rFonts w:eastAsia="Calibri" w:cstheme="minorHAnsi"/>
          <w:i/>
          <w:iCs/>
          <w:sz w:val="24"/>
          <w:szCs w:val="24"/>
        </w:rPr>
        <w:t xml:space="preserve"> </w:t>
      </w:r>
    </w:p>
    <w:p w14:paraId="5854E313" w14:textId="77777777" w:rsidR="00906E0A" w:rsidRPr="00061CFB" w:rsidRDefault="00906E0A" w:rsidP="00061CFB">
      <w:pPr>
        <w:spacing w:line="360" w:lineRule="auto"/>
        <w:rPr>
          <w:rFonts w:eastAsia="Calibri" w:cstheme="minorHAnsi"/>
          <w:i/>
          <w:iCs/>
          <w:sz w:val="24"/>
          <w:szCs w:val="24"/>
        </w:rPr>
      </w:pPr>
      <w:r w:rsidRPr="00061CFB">
        <w:rPr>
          <w:rFonts w:eastAsia="Calibri" w:cstheme="minorHAnsi"/>
          <w:i/>
          <w:iCs/>
          <w:sz w:val="24"/>
          <w:szCs w:val="24"/>
        </w:rPr>
        <w:t>What is situational crime prevention? | College of Policing</w:t>
      </w:r>
      <w:r w:rsidRPr="00061CFB">
        <w:rPr>
          <w:rFonts w:eastAsia="Calibri" w:cstheme="minorHAnsi"/>
          <w:sz w:val="24"/>
          <w:szCs w:val="24"/>
        </w:rPr>
        <w:t xml:space="preserve"> (2022) </w:t>
      </w:r>
      <w:r w:rsidRPr="00061CFB">
        <w:rPr>
          <w:rFonts w:eastAsia="Calibri" w:cstheme="minorHAnsi"/>
          <w:i/>
          <w:iCs/>
          <w:sz w:val="24"/>
          <w:szCs w:val="24"/>
        </w:rPr>
        <w:t>College of Policing</w:t>
      </w:r>
      <w:r w:rsidRPr="00061CFB">
        <w:rPr>
          <w:rFonts w:eastAsia="Calibri" w:cstheme="minorHAnsi"/>
          <w:sz w:val="24"/>
          <w:szCs w:val="24"/>
        </w:rPr>
        <w:t xml:space="preserve">. Available at: </w:t>
      </w:r>
      <w:hyperlink r:id="rId5">
        <w:r w:rsidRPr="00061CFB">
          <w:rPr>
            <w:rStyle w:val="Hyperlink"/>
            <w:rFonts w:eastAsia="Calibri" w:cstheme="minorHAnsi"/>
            <w:sz w:val="24"/>
            <w:szCs w:val="24"/>
          </w:rPr>
          <w:t>https://www.college.police.uk/guidance/neighbourhood-crime/what-situational-crime-prevention</w:t>
        </w:r>
      </w:hyperlink>
      <w:r w:rsidRPr="00061CFB">
        <w:rPr>
          <w:rFonts w:eastAsia="Calibri" w:cstheme="minorHAnsi"/>
          <w:sz w:val="24"/>
          <w:szCs w:val="24"/>
        </w:rPr>
        <w:t>.</w:t>
      </w:r>
    </w:p>
    <w:p w14:paraId="4B9844DD" w14:textId="77777777" w:rsidR="00906E0A" w:rsidRPr="00061CFB" w:rsidRDefault="00906E0A" w:rsidP="00061CFB">
      <w:pPr>
        <w:spacing w:line="360" w:lineRule="auto"/>
        <w:rPr>
          <w:rFonts w:cstheme="minorHAnsi"/>
          <w:sz w:val="24"/>
          <w:szCs w:val="24"/>
        </w:rPr>
      </w:pPr>
      <w:r w:rsidRPr="00061CFB">
        <w:rPr>
          <w:rFonts w:eastAsia="Calibri" w:cstheme="minorHAnsi"/>
          <w:i/>
          <w:iCs/>
          <w:sz w:val="24"/>
          <w:szCs w:val="24"/>
        </w:rPr>
        <w:t>Crime Prevention Through Environmental Design – Design For Security</w:t>
      </w:r>
      <w:r w:rsidRPr="00061CFB">
        <w:rPr>
          <w:rFonts w:eastAsia="Calibri" w:cstheme="minorHAnsi"/>
          <w:sz w:val="24"/>
          <w:szCs w:val="24"/>
        </w:rPr>
        <w:t xml:space="preserve"> (no date) </w:t>
      </w:r>
      <w:r w:rsidRPr="00061CFB">
        <w:rPr>
          <w:rFonts w:eastAsia="Calibri" w:cstheme="minorHAnsi"/>
          <w:i/>
          <w:iCs/>
          <w:sz w:val="24"/>
          <w:szCs w:val="24"/>
        </w:rPr>
        <w:t>Crime Prevention Through Environmental Design – Design For Security</w:t>
      </w:r>
      <w:r w:rsidRPr="00061CFB">
        <w:rPr>
          <w:rFonts w:eastAsia="Calibri" w:cstheme="minorHAnsi"/>
          <w:sz w:val="24"/>
          <w:szCs w:val="24"/>
        </w:rPr>
        <w:t xml:space="preserve">. Available at: </w:t>
      </w:r>
      <w:hyperlink r:id="rId6">
        <w:r w:rsidRPr="00061CFB">
          <w:rPr>
            <w:rStyle w:val="Hyperlink"/>
            <w:rFonts w:eastAsia="Calibri" w:cstheme="minorHAnsi"/>
            <w:sz w:val="24"/>
            <w:szCs w:val="24"/>
          </w:rPr>
          <w:t>https://designforsecurity.org/crime-prevention-through-environmental-design/</w:t>
        </w:r>
      </w:hyperlink>
      <w:r w:rsidRPr="00061CFB">
        <w:rPr>
          <w:rFonts w:eastAsia="Calibri" w:cstheme="minorHAnsi"/>
          <w:sz w:val="24"/>
          <w:szCs w:val="24"/>
        </w:rPr>
        <w:t>.</w:t>
      </w:r>
    </w:p>
    <w:p w14:paraId="2B96C0E2" w14:textId="77777777" w:rsidR="00906E0A" w:rsidRPr="00061CFB" w:rsidRDefault="00906E0A" w:rsidP="00061CFB">
      <w:pPr>
        <w:spacing w:line="360" w:lineRule="auto"/>
        <w:rPr>
          <w:rFonts w:cstheme="minorHAnsi"/>
          <w:sz w:val="24"/>
          <w:szCs w:val="24"/>
        </w:rPr>
      </w:pPr>
      <w:r w:rsidRPr="00061CFB">
        <w:rPr>
          <w:rFonts w:eastAsia="Calibri" w:cstheme="minorHAnsi"/>
          <w:sz w:val="24"/>
          <w:szCs w:val="24"/>
        </w:rPr>
        <w:t xml:space="preserve">Fox, J. (2022) </w:t>
      </w:r>
      <w:r w:rsidRPr="00061CFB">
        <w:rPr>
          <w:rFonts w:eastAsia="Calibri" w:cstheme="minorHAnsi"/>
          <w:i/>
          <w:iCs/>
          <w:sz w:val="24"/>
          <w:szCs w:val="24"/>
        </w:rPr>
        <w:t>Crime Prevention Through Environmental Design (Be Safe)</w:t>
      </w:r>
      <w:r w:rsidRPr="00061CFB">
        <w:rPr>
          <w:rFonts w:eastAsia="Calibri" w:cstheme="minorHAnsi"/>
          <w:sz w:val="24"/>
          <w:szCs w:val="24"/>
        </w:rPr>
        <w:t xml:space="preserve">, </w:t>
      </w:r>
      <w:r w:rsidRPr="00061CFB">
        <w:rPr>
          <w:rFonts w:eastAsia="Calibri" w:cstheme="minorHAnsi"/>
          <w:i/>
          <w:iCs/>
          <w:sz w:val="24"/>
          <w:szCs w:val="24"/>
        </w:rPr>
        <w:t>SafeNow</w:t>
      </w:r>
      <w:r w:rsidRPr="00061CFB">
        <w:rPr>
          <w:rFonts w:eastAsia="Calibri" w:cstheme="minorHAnsi"/>
          <w:sz w:val="24"/>
          <w:szCs w:val="24"/>
        </w:rPr>
        <w:t xml:space="preserve">. Available at: </w:t>
      </w:r>
      <w:hyperlink r:id="rId7">
        <w:r w:rsidRPr="00061CFB">
          <w:rPr>
            <w:rStyle w:val="Hyperlink"/>
            <w:rFonts w:eastAsia="Calibri" w:cstheme="minorHAnsi"/>
            <w:sz w:val="24"/>
            <w:szCs w:val="24"/>
          </w:rPr>
          <w:t>https://safenow.org/crime-prevention-through-environmental-design/</w:t>
        </w:r>
      </w:hyperlink>
      <w:r w:rsidRPr="00061CFB">
        <w:rPr>
          <w:rFonts w:eastAsia="Calibri" w:cstheme="minorHAnsi"/>
          <w:sz w:val="24"/>
          <w:szCs w:val="24"/>
        </w:rPr>
        <w:t>.</w:t>
      </w:r>
    </w:p>
    <w:p w14:paraId="51725579" w14:textId="77777777" w:rsidR="00906E0A" w:rsidRPr="00061CFB" w:rsidRDefault="00906E0A" w:rsidP="00061CFB">
      <w:pPr>
        <w:spacing w:line="360" w:lineRule="auto"/>
        <w:rPr>
          <w:rFonts w:eastAsia="Calibri" w:cstheme="minorHAnsi"/>
          <w:sz w:val="24"/>
          <w:szCs w:val="24"/>
        </w:rPr>
      </w:pPr>
      <w:r w:rsidRPr="00061CFB">
        <w:rPr>
          <w:rFonts w:eastAsia="Calibri" w:cstheme="minorHAnsi"/>
          <w:sz w:val="24"/>
          <w:szCs w:val="24"/>
        </w:rPr>
        <w:t xml:space="preserve">May, H.S.T. (2016) </w:t>
      </w:r>
      <w:r w:rsidRPr="00061CFB">
        <w:rPr>
          <w:rFonts w:eastAsia="Calibri" w:cstheme="minorHAnsi"/>
          <w:i/>
          <w:iCs/>
          <w:sz w:val="24"/>
          <w:szCs w:val="24"/>
        </w:rPr>
        <w:t>Modern Crime Prevention Strategy</w:t>
      </w:r>
      <w:r w:rsidRPr="00061CFB">
        <w:rPr>
          <w:rFonts w:eastAsia="Calibri" w:cstheme="minorHAnsi"/>
          <w:sz w:val="24"/>
          <w:szCs w:val="24"/>
        </w:rPr>
        <w:t xml:space="preserve">, </w:t>
      </w:r>
      <w:r w:rsidRPr="00061CFB">
        <w:rPr>
          <w:rFonts w:eastAsia="Calibri" w:cstheme="minorHAnsi"/>
          <w:i/>
          <w:iCs/>
          <w:sz w:val="24"/>
          <w:szCs w:val="24"/>
        </w:rPr>
        <w:t>Home Office</w:t>
      </w:r>
      <w:r w:rsidRPr="00061CFB">
        <w:rPr>
          <w:rFonts w:eastAsia="Calibri" w:cstheme="minorHAnsi"/>
          <w:sz w:val="24"/>
          <w:szCs w:val="24"/>
        </w:rPr>
        <w:t xml:space="preserve">. 978-1-78655-106–1. London: Gov.UK. Available at: </w:t>
      </w:r>
      <w:hyperlink r:id="rId8">
        <w:r w:rsidRPr="00061CFB">
          <w:rPr>
            <w:rStyle w:val="Hyperlink"/>
            <w:rFonts w:eastAsia="Calibri" w:cstheme="minorHAnsi"/>
            <w:color w:val="auto"/>
            <w:sz w:val="24"/>
            <w:szCs w:val="24"/>
          </w:rPr>
          <w:t>https://assets.publishing.service.gov.uk/government/uploads/system/uploads/attachment_data/file/509831/6.1770_Modern_Crime_Prevention_Strategy_final_WEB_version.pdf</w:t>
        </w:r>
      </w:hyperlink>
      <w:r w:rsidRPr="00061CFB">
        <w:rPr>
          <w:rFonts w:eastAsia="Calibri" w:cstheme="minorHAnsi"/>
          <w:sz w:val="24"/>
          <w:szCs w:val="24"/>
        </w:rPr>
        <w:t xml:space="preserve"> (Accessed: March 10, 2023).</w:t>
      </w:r>
    </w:p>
    <w:p w14:paraId="2A45E5B7" w14:textId="77777777" w:rsidR="00906E0A" w:rsidRPr="00061CFB" w:rsidRDefault="00906E0A" w:rsidP="00061CFB">
      <w:pPr>
        <w:spacing w:line="360" w:lineRule="auto"/>
        <w:rPr>
          <w:rFonts w:cstheme="minorHAnsi"/>
          <w:sz w:val="24"/>
          <w:szCs w:val="24"/>
        </w:rPr>
      </w:pPr>
      <w:r w:rsidRPr="00061CFB">
        <w:rPr>
          <w:rFonts w:eastAsia="Calibri" w:cstheme="minorHAnsi"/>
          <w:i/>
          <w:iCs/>
          <w:sz w:val="24"/>
          <w:szCs w:val="24"/>
        </w:rPr>
        <w:t>Street lighting | College of Policing</w:t>
      </w:r>
      <w:r w:rsidRPr="00061CFB">
        <w:rPr>
          <w:rFonts w:eastAsia="Calibri" w:cstheme="minorHAnsi"/>
          <w:sz w:val="24"/>
          <w:szCs w:val="24"/>
        </w:rPr>
        <w:t xml:space="preserve"> (2015) </w:t>
      </w:r>
      <w:r w:rsidRPr="00061CFB">
        <w:rPr>
          <w:rFonts w:eastAsia="Calibri" w:cstheme="minorHAnsi"/>
          <w:i/>
          <w:iCs/>
          <w:sz w:val="24"/>
          <w:szCs w:val="24"/>
        </w:rPr>
        <w:t>College of Policing</w:t>
      </w:r>
      <w:r w:rsidRPr="00061CFB">
        <w:rPr>
          <w:rFonts w:eastAsia="Calibri" w:cstheme="minorHAnsi"/>
          <w:sz w:val="24"/>
          <w:szCs w:val="24"/>
        </w:rPr>
        <w:t xml:space="preserve">. Available at: </w:t>
      </w:r>
      <w:hyperlink r:id="rId9">
        <w:r w:rsidRPr="00061CFB">
          <w:rPr>
            <w:rStyle w:val="Hyperlink"/>
            <w:rFonts w:eastAsia="Calibri" w:cstheme="minorHAnsi"/>
            <w:sz w:val="24"/>
            <w:szCs w:val="24"/>
          </w:rPr>
          <w:t>https://www.college.police.uk/research/crime-reduction-toolkit/street-lighting</w:t>
        </w:r>
      </w:hyperlink>
      <w:r w:rsidRPr="00061CFB">
        <w:rPr>
          <w:rFonts w:eastAsia="Calibri" w:cstheme="minorHAnsi"/>
          <w:sz w:val="24"/>
          <w:szCs w:val="24"/>
        </w:rPr>
        <w:t>.</w:t>
      </w:r>
    </w:p>
    <w:p w14:paraId="568A6064" w14:textId="77777777" w:rsidR="00906E0A" w:rsidRPr="00061CFB" w:rsidRDefault="00906E0A" w:rsidP="00061CFB">
      <w:pPr>
        <w:spacing w:line="360" w:lineRule="auto"/>
        <w:rPr>
          <w:rFonts w:eastAsia="Calibri" w:cstheme="minorHAnsi"/>
          <w:b/>
          <w:bCs/>
          <w:color w:val="353740"/>
          <w:sz w:val="24"/>
          <w:szCs w:val="24"/>
          <w:u w:val="single"/>
        </w:rPr>
      </w:pPr>
    </w:p>
    <w:p w14:paraId="15A0BE0A" w14:textId="77777777" w:rsidR="00906E0A" w:rsidRPr="00061CFB" w:rsidRDefault="00906E0A" w:rsidP="00061CFB">
      <w:pPr>
        <w:spacing w:line="360" w:lineRule="auto"/>
        <w:rPr>
          <w:rFonts w:eastAsia="Calibri" w:cstheme="minorHAnsi"/>
          <w:sz w:val="24"/>
          <w:szCs w:val="24"/>
        </w:rPr>
      </w:pPr>
    </w:p>
    <w:p w14:paraId="7AFCE6C3" w14:textId="44CF73A5"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 xml:space="preserve">Assignment 2 – Trauma and Mental </w:t>
      </w:r>
      <w:r w:rsidR="00061CFB">
        <w:rPr>
          <w:rFonts w:cstheme="minorHAnsi"/>
          <w:b/>
          <w:bCs/>
          <w:sz w:val="24"/>
          <w:szCs w:val="24"/>
          <w:u w:val="single"/>
        </w:rPr>
        <w:t>W</w:t>
      </w:r>
      <w:r w:rsidRPr="00061CFB">
        <w:rPr>
          <w:rFonts w:cstheme="minorHAnsi"/>
          <w:b/>
          <w:bCs/>
          <w:sz w:val="24"/>
          <w:szCs w:val="24"/>
          <w:u w:val="single"/>
        </w:rPr>
        <w:t xml:space="preserve">ellbeing </w:t>
      </w:r>
    </w:p>
    <w:p w14:paraId="532DAF9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Policing is a difficult and demanding profession, and managing trauma and mental health is critical. Police officers are frequently exposed to high-stress situations and traumatic events such as violence, crime, accidents, and human suffering, making them vulnerable to trauma-related mental health issues such as post-traumatic stress disorder (PTSD), depression, anxiety, and burnout (Violanti &amp; Aron, 1995). Recognising the importance of trauma and mental health management in policing is critical for officers' well-being, law enforcement agencies' effectiveness, and the safety of the communities they serve. This assignment will explain why it is critical in policing to manage trauma and mental health.</w:t>
      </w:r>
    </w:p>
    <w:p w14:paraId="1AB60B4D"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Trauma can have a significant impact on police officers. Trauma-related conditions can cause cognitive difficulties, impairing one's ability to respond effectively in an emergency and jeopardising public safety (Wellbeing, 2023). Furthermore, the effects of trauma extend outside of the workplace, affecting officers' personal lives and resulting in relationship problems, loneliness, substance abuse, and domestic violence.</w:t>
      </w:r>
    </w:p>
    <w:p w14:paraId="54DC3B79"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Mental health issues in police departments have historically been stigmatised, discouraging officers from seeking help. To address this, it is critical to create an environment that encourages open discussions about mental health and reduces the stigma associated with it. Implementing trauma management programmes and mental health support networks can encourage help-seeking behaviour and foster a culture that recognises emotional well-being as a key component of effective policing (Wellbeing, 2013).</w:t>
      </w:r>
    </w:p>
    <w:p w14:paraId="1FE27B22"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West Yorkshire Police Inspector John Bradfield's initiative is an example of this approach. The effects of mental health on employees are better understood by advocating for mental health discussions in emergency services and collaborating with 'Leads Mind,' resulting in a positive shift in attitudes towards seeking support (Blue Light, 2021). Peer-to-peer support initiatives and supervisor training in dealing with individuals experiencing mental health crises are effective in promoting mental well-being.</w:t>
      </w:r>
    </w:p>
    <w:p w14:paraId="4E9A899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Trauma Risk Management (TRiM) is a valuable resource for police officers who are dealing with trauma. It provides a safe and confidential environment for officers to discuss their experiences and emotions following traumatic events, assisting in understanding the potential impact and determining the appropriate next steps (Gov.UK, 2023). TRiM requires the ability to recognise symptoms of acute stress and distinguish between normal reactions and trauma-related reactions that require immediate medical attention.</w:t>
      </w:r>
    </w:p>
    <w:p w14:paraId="199D2F37" w14:textId="64E0536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Another significant issue affecting police officers' mental and physical health is </w:t>
      </w:r>
      <w:r w:rsidR="00061CFB" w:rsidRPr="00061CFB">
        <w:rPr>
          <w:rFonts w:asciiTheme="minorHAnsi" w:hAnsiTheme="minorHAnsi" w:cstheme="minorHAnsi"/>
        </w:rPr>
        <w:t>hypervigilance or</w:t>
      </w:r>
      <w:r w:rsidRPr="00061CFB">
        <w:rPr>
          <w:rFonts w:asciiTheme="minorHAnsi" w:hAnsiTheme="minorHAnsi" w:cstheme="minorHAnsi"/>
        </w:rPr>
        <w:t xml:space="preserve"> being constantly on guard. Officers find it difficult to relax, even in safe environments or at home, due to the stress of their jobs (Rainne, 2021). Officers may experience mental fatigue, compassion fatigue, and burnout because of the cumulative effect of hypervigilance and trauma exposure.</w:t>
      </w:r>
    </w:p>
    <w:p w14:paraId="3E28FDCA"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Support animals, such as the Oska Kilo Nine (OK9) dogs, have shown promise in assisting police officers with mental health and stress management (Oscar Kilo, 2023). The presence of these animals at TRiM meetings encourages officers to interact, be open, and communicate more effectively, thereby reducing tension and anxiety.</w:t>
      </w:r>
    </w:p>
    <w:p w14:paraId="459CF9B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implementation of effective trauma management and mental health support systems in policing is critical for police officers' well-being and performance. The nature of police work exposes officers to traumatic incidents regularly, which can have long-term psychological consequences. Police officers frequently experience PTSD, depression, and anxiety, which can have far-reaching consequences in both their professional and personal lives (Violanti &amp; Aron, 1995).</w:t>
      </w:r>
    </w:p>
    <w:p w14:paraId="32239D78"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One of the most common mental health conditions among police officers is post-traumatic stress disorder (PTSD). It can develop because of traumatic events such as violent encounters, accidents, or the loss of colleagues. PTSD symptoms can be incapacitating, impairing an officer's ability to function professionally and personally (Violanti &amp; Aron, 1995). Nightmares, flashbacks, and hypervigilance can all disrupt an officer's sleep, concentration, and overall quality of life.</w:t>
      </w:r>
    </w:p>
    <w:p w14:paraId="1B5CD7D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Depression and anxiety are also common mental health issues in law enforcement. Constant exposure to traumatic events, combined with the pressure to perform under high-stress conditions, can harm an officer's mental health. The stress of the job, combined with the need to project a strong and calm image, may cause officers to suppress their emotions, making it difficult for them to seek help when required (O'Hara &amp; Violanti, 2016).</w:t>
      </w:r>
    </w:p>
    <w:p w14:paraId="53D1256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Furthermore, compassion fatigue is a common occurrence among police officers. Compassion fatigue develops when people are repeatedly exposed to the suffering and trauma of others, resulting in emotional exhaustion and a diminished ability to empathise with or provide care (Figley, 1995). Police officers frequently encounter people in distress or crisis, and the emotional toll of these encounters can add up over time, affecting their mental health.</w:t>
      </w:r>
    </w:p>
    <w:p w14:paraId="1993BEA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Addressing mental health issues in law enforcement necessitates a multifaceted approach that includes comprehensive policies, education, and support systems. Trauma management programmes, such as TRiM, can provide officers with a safe and confidential environment in which to discuss their experiences, emotions, and potential coping strategies following traumatic events (Figley, 2002). These programmes can assist officers in processing their emotions and minimising the long-term effects of trauma on their well-being.</w:t>
      </w:r>
    </w:p>
    <w:p w14:paraId="5405B9EC"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It is critical to provide officers with access to mental health resources such as counselling and peer support networks to promote officer well-being. These resources should be easily accessible and stigma-free, encouraging officers to seek assistance when necessary without fear of judgement or repercussions (Papazoglou &amp; Andersen, 2009).</w:t>
      </w:r>
    </w:p>
    <w:p w14:paraId="7ABA87D8"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Furthermore, incorporating mental health training into police academy curricula and ongoing professional development can raise officers' awareness of the importance of mental well-being and provide them with coping mechanisms to effectively manage stress and trauma (O'Hara &amp; Violanti, 2016).</w:t>
      </w:r>
    </w:p>
    <w:p w14:paraId="60FA65FF"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Support animals, such as the OK9 dogs, have been shown to improve officer well-being. These animals can provide comfort, reduce stress, and improve communication among officers, resulting in a more supportive and open workplace (Oscar Kilo, 2023).</w:t>
      </w:r>
    </w:p>
    <w:p w14:paraId="0127E3A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w:t>
      </w:r>
    </w:p>
    <w:p w14:paraId="7254FC04"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In conclusion, managing trauma and mental health in policing is critical for officers' well-being, law enforcement agencies' effectiveness, and the safety of the communities they serve. Police officers are more likely to develop mental health issues such as PTSD, depression, anxiety, and burnout because of their exposure to high-stress and traumatic events. Addressing mental health issues in the police force requires a multifaceted approach that includes trauma management programmes, mental health support resources, stigma reduction efforts, and mental health education. By putting police officers' mental health first, policing organisations can foster a supportive environment that improves their ability to protect and serve the community. Recognising the importance of trauma and mental </w:t>
      </w:r>
      <w:r w:rsidRPr="00061CFB">
        <w:rPr>
          <w:rFonts w:asciiTheme="minorHAnsi" w:hAnsiTheme="minorHAnsi" w:cstheme="minorHAnsi"/>
        </w:rPr>
        <w:lastRenderedPageBreak/>
        <w:t>health management in policing and implementing appropriate strategies are crucial for officers' overall well-being given their demanding profession. </w:t>
      </w:r>
    </w:p>
    <w:p w14:paraId="415525CF" w14:textId="77777777"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1052 words</w:t>
      </w:r>
    </w:p>
    <w:p w14:paraId="7A983B0E" w14:textId="77777777" w:rsidR="00906E0A" w:rsidRPr="00061CFB" w:rsidRDefault="00906E0A" w:rsidP="00061CFB">
      <w:pPr>
        <w:spacing w:line="360" w:lineRule="auto"/>
        <w:rPr>
          <w:rFonts w:cstheme="minorHAnsi"/>
          <w:b/>
          <w:bCs/>
          <w:sz w:val="24"/>
          <w:szCs w:val="24"/>
          <w:u w:val="single"/>
        </w:rPr>
      </w:pPr>
    </w:p>
    <w:p w14:paraId="3D1E8584" w14:textId="77777777"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Bibliography</w:t>
      </w:r>
    </w:p>
    <w:p w14:paraId="56F4F57D" w14:textId="77777777" w:rsidR="00906E0A" w:rsidRPr="00061CFB" w:rsidRDefault="00906E0A" w:rsidP="00061CFB">
      <w:pPr>
        <w:spacing w:line="360" w:lineRule="auto"/>
        <w:rPr>
          <w:rFonts w:cstheme="minorHAnsi"/>
          <w:b/>
          <w:bCs/>
          <w:sz w:val="24"/>
          <w:szCs w:val="24"/>
          <w:u w:val="single"/>
        </w:rPr>
      </w:pPr>
      <w:r w:rsidRPr="00061CFB">
        <w:rPr>
          <w:rFonts w:eastAsia="Calibri" w:cstheme="minorHAnsi"/>
          <w:sz w:val="24"/>
          <w:szCs w:val="24"/>
        </w:rPr>
        <w:t xml:space="preserve">Blue Light (ed.) (2021) </w:t>
      </w:r>
      <w:r w:rsidRPr="00061CFB">
        <w:rPr>
          <w:rFonts w:eastAsia="Calibri" w:cstheme="minorHAnsi"/>
          <w:i/>
          <w:iCs/>
          <w:sz w:val="24"/>
          <w:szCs w:val="24"/>
        </w:rPr>
        <w:t>Blue Light: Post Coronavirus Research Findings: Police Service Report</w:t>
      </w:r>
      <w:r w:rsidRPr="00061CFB">
        <w:rPr>
          <w:rFonts w:eastAsia="Calibri" w:cstheme="minorHAnsi"/>
          <w:sz w:val="24"/>
          <w:szCs w:val="24"/>
        </w:rPr>
        <w:t xml:space="preserve">, </w:t>
      </w:r>
      <w:r w:rsidRPr="00061CFB">
        <w:rPr>
          <w:rFonts w:eastAsia="Calibri" w:cstheme="minorHAnsi"/>
          <w:i/>
          <w:iCs/>
          <w:sz w:val="24"/>
          <w:szCs w:val="24"/>
        </w:rPr>
        <w:t>mind.org.uk</w:t>
      </w:r>
      <w:r w:rsidRPr="00061CFB">
        <w:rPr>
          <w:rFonts w:eastAsia="Calibri" w:cstheme="minorHAnsi"/>
          <w:sz w:val="24"/>
          <w:szCs w:val="24"/>
        </w:rPr>
        <w:t xml:space="preserve">. Mind. Available at: </w:t>
      </w:r>
      <w:hyperlink r:id="rId10">
        <w:r w:rsidRPr="00061CFB">
          <w:rPr>
            <w:rStyle w:val="Hyperlink"/>
            <w:rFonts w:eastAsia="Calibri" w:cstheme="minorHAnsi"/>
            <w:sz w:val="24"/>
            <w:szCs w:val="24"/>
          </w:rPr>
          <w:t>https://www.mind.org.uk/media/8587/blue-light-programme_c19_police-report-2021_final.pdf</w:t>
        </w:r>
      </w:hyperlink>
      <w:r w:rsidRPr="00061CFB">
        <w:rPr>
          <w:rFonts w:eastAsia="Calibri" w:cstheme="minorHAnsi"/>
          <w:sz w:val="24"/>
          <w:szCs w:val="24"/>
        </w:rPr>
        <w:t xml:space="preserve"> (Accessed: June 19, 2023). </w:t>
      </w:r>
    </w:p>
    <w:p w14:paraId="0E7AA2C4" w14:textId="77777777" w:rsidR="00906E0A" w:rsidRPr="00061CFB" w:rsidRDefault="00906E0A" w:rsidP="00061CFB">
      <w:pPr>
        <w:spacing w:line="360" w:lineRule="auto"/>
        <w:rPr>
          <w:rFonts w:cstheme="minorHAnsi"/>
          <w:sz w:val="24"/>
          <w:szCs w:val="24"/>
        </w:rPr>
      </w:pPr>
      <w:r w:rsidRPr="00061CFB">
        <w:rPr>
          <w:rFonts w:cstheme="minorHAnsi"/>
          <w:sz w:val="24"/>
          <w:szCs w:val="24"/>
        </w:rPr>
        <w:t>Figley, C. R. (1995). Compassion fatigue: Toward a new understanding of the costs of caring. In B. H. Stamm (Ed.), Secondary traumatic stress: Self-care issues for clinicians, researchers, and educators (pp. 3-28). Sidran Press.</w:t>
      </w:r>
    </w:p>
    <w:p w14:paraId="11C2F154" w14:textId="77777777" w:rsidR="00906E0A" w:rsidRPr="00061CFB" w:rsidRDefault="00906E0A" w:rsidP="00061CFB">
      <w:pPr>
        <w:spacing w:line="360" w:lineRule="auto"/>
        <w:rPr>
          <w:rFonts w:eastAsia="Calibri" w:cstheme="minorHAnsi"/>
          <w:sz w:val="24"/>
          <w:szCs w:val="24"/>
        </w:rPr>
      </w:pPr>
      <w:r w:rsidRPr="00061CFB">
        <w:rPr>
          <w:rFonts w:eastAsia="Calibri" w:cstheme="minorHAnsi"/>
          <w:sz w:val="24"/>
          <w:szCs w:val="24"/>
        </w:rPr>
        <w:t xml:space="preserve">Gov. UK (2023) </w:t>
      </w:r>
      <w:r w:rsidRPr="00061CFB">
        <w:rPr>
          <w:rFonts w:eastAsia="Calibri" w:cstheme="minorHAnsi"/>
          <w:i/>
          <w:iCs/>
          <w:sz w:val="24"/>
          <w:szCs w:val="24"/>
        </w:rPr>
        <w:t>Trauma Risk Management - TRiM</w:t>
      </w:r>
      <w:r w:rsidRPr="00061CFB">
        <w:rPr>
          <w:rFonts w:eastAsia="Calibri" w:cstheme="minorHAnsi"/>
          <w:sz w:val="24"/>
          <w:szCs w:val="24"/>
        </w:rPr>
        <w:t xml:space="preserve">, </w:t>
      </w:r>
      <w:r w:rsidRPr="00061CFB">
        <w:rPr>
          <w:rFonts w:eastAsia="Calibri" w:cstheme="minorHAnsi"/>
          <w:i/>
          <w:iCs/>
          <w:sz w:val="24"/>
          <w:szCs w:val="24"/>
        </w:rPr>
        <w:t>assets.publishing.service.gov.uk</w:t>
      </w:r>
      <w:r w:rsidRPr="00061CFB">
        <w:rPr>
          <w:rFonts w:eastAsia="Calibri" w:cstheme="minorHAnsi"/>
          <w:sz w:val="24"/>
          <w:szCs w:val="24"/>
        </w:rPr>
        <w:t xml:space="preserve">. </w:t>
      </w:r>
    </w:p>
    <w:p w14:paraId="7EB0D8DC" w14:textId="77777777" w:rsidR="00906E0A" w:rsidRPr="00061CFB" w:rsidRDefault="00906E0A" w:rsidP="00061CFB">
      <w:pPr>
        <w:spacing w:line="360" w:lineRule="auto"/>
        <w:rPr>
          <w:rFonts w:cstheme="minorHAnsi"/>
          <w:sz w:val="24"/>
          <w:szCs w:val="24"/>
        </w:rPr>
      </w:pPr>
      <w:r w:rsidRPr="00061CFB">
        <w:rPr>
          <w:rFonts w:cstheme="minorHAnsi"/>
          <w:sz w:val="24"/>
          <w:szCs w:val="24"/>
        </w:rPr>
        <w:t>O'Hara, A. F., &amp; Violanti, J. M. (2016). Police suicide: Strategies for prevention. Journal of Criminal Justice, 45, 1-7.</w:t>
      </w:r>
    </w:p>
    <w:p w14:paraId="617C7CB6" w14:textId="77777777" w:rsidR="00906E0A" w:rsidRPr="00061CFB" w:rsidRDefault="00906E0A" w:rsidP="00061CFB">
      <w:pPr>
        <w:spacing w:line="360" w:lineRule="auto"/>
        <w:rPr>
          <w:rFonts w:eastAsia="Calibri" w:cstheme="minorHAnsi"/>
          <w:sz w:val="24"/>
          <w:szCs w:val="24"/>
        </w:rPr>
      </w:pPr>
      <w:r w:rsidRPr="00061CFB">
        <w:rPr>
          <w:rFonts w:eastAsia="Calibri" w:cstheme="minorHAnsi"/>
          <w:sz w:val="24"/>
          <w:szCs w:val="24"/>
        </w:rPr>
        <w:t xml:space="preserve">“Oscar Kilo 9 | Wellbeing and trauma support dogs service | College of Policing” (2023) </w:t>
      </w:r>
      <w:r w:rsidRPr="00061CFB">
        <w:rPr>
          <w:rFonts w:eastAsia="Calibri" w:cstheme="minorHAnsi"/>
          <w:i/>
          <w:iCs/>
          <w:sz w:val="24"/>
          <w:szCs w:val="24"/>
        </w:rPr>
        <w:t>youtube.com</w:t>
      </w:r>
      <w:r w:rsidRPr="00061CFB">
        <w:rPr>
          <w:rFonts w:eastAsia="Calibri" w:cstheme="minorHAnsi"/>
          <w:sz w:val="24"/>
          <w:szCs w:val="24"/>
        </w:rPr>
        <w:t xml:space="preserve">. Available at: </w:t>
      </w:r>
      <w:hyperlink r:id="rId11">
        <w:r w:rsidRPr="00061CFB">
          <w:rPr>
            <w:rStyle w:val="Hyperlink"/>
            <w:rFonts w:eastAsia="Calibri" w:cstheme="minorHAnsi"/>
            <w:sz w:val="24"/>
            <w:szCs w:val="24"/>
          </w:rPr>
          <w:t>https://www.youtube.com/watch?v=1_gNImAqo24&amp;t=170s</w:t>
        </w:r>
      </w:hyperlink>
      <w:r w:rsidRPr="00061CFB">
        <w:rPr>
          <w:rFonts w:eastAsia="Calibri" w:cstheme="minorHAnsi"/>
          <w:sz w:val="24"/>
          <w:szCs w:val="24"/>
        </w:rPr>
        <w:t xml:space="preserve"> (Accessed: June 19, 2023). </w:t>
      </w:r>
    </w:p>
    <w:p w14:paraId="7FC937A4" w14:textId="77777777" w:rsidR="00906E0A" w:rsidRPr="00061CFB" w:rsidRDefault="00906E0A" w:rsidP="00061CFB">
      <w:pPr>
        <w:spacing w:line="360" w:lineRule="auto"/>
        <w:rPr>
          <w:rFonts w:eastAsia="Calibri" w:cstheme="minorHAnsi"/>
          <w:sz w:val="24"/>
          <w:szCs w:val="24"/>
        </w:rPr>
      </w:pPr>
      <w:r w:rsidRPr="00061CFB">
        <w:rPr>
          <w:rFonts w:eastAsia="Calibri" w:cstheme="minorHAnsi"/>
          <w:i/>
          <w:iCs/>
          <w:sz w:val="24"/>
          <w:szCs w:val="24"/>
        </w:rPr>
        <w:t>Oscar Kilo 9: Wellbeing and trauma support dogs | Oscar Kilo</w:t>
      </w:r>
      <w:r w:rsidRPr="00061CFB">
        <w:rPr>
          <w:rFonts w:eastAsia="Calibri" w:cstheme="minorHAnsi"/>
          <w:sz w:val="24"/>
          <w:szCs w:val="24"/>
        </w:rPr>
        <w:t xml:space="preserve"> (2023) </w:t>
      </w:r>
      <w:r w:rsidRPr="00061CFB">
        <w:rPr>
          <w:rFonts w:eastAsia="Calibri" w:cstheme="minorHAnsi"/>
          <w:i/>
          <w:iCs/>
          <w:sz w:val="24"/>
          <w:szCs w:val="24"/>
        </w:rPr>
        <w:t>Oscar Kilo</w:t>
      </w:r>
      <w:r w:rsidRPr="00061CFB">
        <w:rPr>
          <w:rFonts w:eastAsia="Calibri" w:cstheme="minorHAnsi"/>
          <w:sz w:val="24"/>
          <w:szCs w:val="24"/>
        </w:rPr>
        <w:t xml:space="preserve">. Available at: </w:t>
      </w:r>
      <w:hyperlink r:id="rId12">
        <w:r w:rsidRPr="00061CFB">
          <w:rPr>
            <w:rStyle w:val="Hyperlink"/>
            <w:rFonts w:eastAsia="Calibri" w:cstheme="minorHAnsi"/>
            <w:sz w:val="24"/>
            <w:szCs w:val="24"/>
          </w:rPr>
          <w:t>https://www.oscarkilo.org.uk/services/wellbeing-dogs</w:t>
        </w:r>
      </w:hyperlink>
      <w:r w:rsidRPr="00061CFB">
        <w:rPr>
          <w:rFonts w:eastAsia="Calibri" w:cstheme="minorHAnsi"/>
          <w:sz w:val="24"/>
          <w:szCs w:val="24"/>
        </w:rPr>
        <w:t xml:space="preserve"> (Accessed: June 19, 2023). </w:t>
      </w:r>
    </w:p>
    <w:p w14:paraId="65689380" w14:textId="77777777" w:rsidR="00906E0A" w:rsidRPr="00061CFB" w:rsidRDefault="00906E0A" w:rsidP="00061CFB">
      <w:pPr>
        <w:spacing w:line="360" w:lineRule="auto"/>
        <w:rPr>
          <w:rFonts w:cstheme="minorHAnsi"/>
          <w:sz w:val="24"/>
          <w:szCs w:val="24"/>
        </w:rPr>
      </w:pPr>
      <w:r w:rsidRPr="00061CFB">
        <w:rPr>
          <w:rFonts w:cstheme="minorHAnsi"/>
          <w:sz w:val="24"/>
          <w:szCs w:val="24"/>
        </w:rPr>
        <w:t>Papazoglou, K., &amp; Andersen, J. P. (2009). Police officer attitudes and use of force: Examining the moderating effect of education level. Policing: An International Journal, 32(2), 309-322.</w:t>
      </w:r>
    </w:p>
    <w:p w14:paraId="77EF7854" w14:textId="77777777" w:rsidR="00906E0A" w:rsidRPr="00061CFB" w:rsidRDefault="00906E0A" w:rsidP="00061CFB">
      <w:pPr>
        <w:spacing w:line="360" w:lineRule="auto"/>
        <w:rPr>
          <w:rFonts w:eastAsia="Calibri" w:cstheme="minorHAnsi"/>
          <w:i/>
          <w:iCs/>
          <w:sz w:val="24"/>
          <w:szCs w:val="24"/>
        </w:rPr>
      </w:pPr>
      <w:r w:rsidRPr="00061CFB">
        <w:rPr>
          <w:rFonts w:eastAsia="Calibri" w:cstheme="minorHAnsi"/>
          <w:sz w:val="24"/>
          <w:szCs w:val="24"/>
        </w:rPr>
        <w:t xml:space="preserve">Phythian, R. </w:t>
      </w:r>
      <w:r w:rsidRPr="00061CFB">
        <w:rPr>
          <w:rFonts w:eastAsia="Calibri" w:cstheme="minorHAnsi"/>
          <w:i/>
          <w:iCs/>
          <w:sz w:val="24"/>
          <w:szCs w:val="24"/>
        </w:rPr>
        <w:t>et al.</w:t>
      </w:r>
      <w:r w:rsidRPr="00061CFB">
        <w:rPr>
          <w:rFonts w:eastAsia="Calibri" w:cstheme="minorHAnsi"/>
          <w:sz w:val="24"/>
          <w:szCs w:val="24"/>
        </w:rPr>
        <w:t xml:space="preserve"> (2022) “Developments in UK police wellbeing: A review of blue light wellbeing frameworks,” </w:t>
      </w:r>
      <w:r w:rsidRPr="00061CFB">
        <w:rPr>
          <w:rFonts w:eastAsia="Calibri" w:cstheme="minorHAnsi"/>
          <w:i/>
          <w:iCs/>
          <w:sz w:val="24"/>
          <w:szCs w:val="24"/>
        </w:rPr>
        <w:t>The Police Journal: Theory, Practice and Principles</w:t>
      </w:r>
      <w:r w:rsidRPr="00061CFB">
        <w:rPr>
          <w:rFonts w:eastAsia="Calibri" w:cstheme="minorHAnsi"/>
          <w:sz w:val="24"/>
          <w:szCs w:val="24"/>
        </w:rPr>
        <w:t>, 95(1), pp. 24–49. doi:10.1177/0032258x211073003.</w:t>
      </w:r>
      <w:r w:rsidRPr="00061CFB">
        <w:rPr>
          <w:rFonts w:eastAsia="Calibri" w:cstheme="minorHAnsi"/>
          <w:i/>
          <w:iCs/>
          <w:sz w:val="24"/>
          <w:szCs w:val="24"/>
        </w:rPr>
        <w:t xml:space="preserve"> </w:t>
      </w:r>
    </w:p>
    <w:p w14:paraId="38E81EC2" w14:textId="77777777" w:rsidR="00906E0A" w:rsidRPr="00061CFB" w:rsidRDefault="00906E0A" w:rsidP="00061CFB">
      <w:pPr>
        <w:spacing w:line="360" w:lineRule="auto"/>
        <w:rPr>
          <w:rFonts w:eastAsia="Calibri" w:cstheme="minorHAnsi"/>
          <w:i/>
          <w:iCs/>
          <w:sz w:val="24"/>
          <w:szCs w:val="24"/>
        </w:rPr>
      </w:pPr>
      <w:r w:rsidRPr="00061CFB">
        <w:rPr>
          <w:rFonts w:eastAsia="Calibri" w:cstheme="minorHAnsi"/>
          <w:sz w:val="24"/>
          <w:szCs w:val="24"/>
        </w:rPr>
        <w:t xml:space="preserve">Rainne, S. (2021) </w:t>
      </w:r>
      <w:r w:rsidRPr="00061CFB">
        <w:rPr>
          <w:rFonts w:eastAsia="Calibri" w:cstheme="minorHAnsi"/>
          <w:i/>
          <w:iCs/>
          <w:sz w:val="24"/>
          <w:szCs w:val="24"/>
        </w:rPr>
        <w:t>What’s Hypervigilance? Definition, Examples, And Causes</w:t>
      </w:r>
      <w:r w:rsidRPr="00061CFB">
        <w:rPr>
          <w:rFonts w:eastAsia="Calibri" w:cstheme="minorHAnsi"/>
          <w:sz w:val="24"/>
          <w:szCs w:val="24"/>
        </w:rPr>
        <w:t xml:space="preserve">, </w:t>
      </w:r>
      <w:r w:rsidRPr="00061CFB">
        <w:rPr>
          <w:rFonts w:eastAsia="Calibri" w:cstheme="minorHAnsi"/>
          <w:i/>
          <w:iCs/>
          <w:sz w:val="24"/>
          <w:szCs w:val="24"/>
        </w:rPr>
        <w:t>Support</w:t>
      </w:r>
      <w:r w:rsidRPr="00061CFB">
        <w:rPr>
          <w:rFonts w:eastAsia="Calibri" w:cstheme="minorHAnsi"/>
          <w:sz w:val="24"/>
          <w:szCs w:val="24"/>
        </w:rPr>
        <w:t xml:space="preserve">. Available at: </w:t>
      </w:r>
      <w:hyperlink r:id="rId13">
        <w:r w:rsidRPr="00061CFB">
          <w:rPr>
            <w:rStyle w:val="Hyperlink"/>
            <w:rFonts w:eastAsia="Calibri" w:cstheme="minorHAnsi"/>
            <w:sz w:val="24"/>
            <w:szCs w:val="24"/>
          </w:rPr>
          <w:t>https://www.supportiv.com/trauma/what-is-hypervigilance-definition-examples-causes</w:t>
        </w:r>
      </w:hyperlink>
      <w:r w:rsidRPr="00061CFB">
        <w:rPr>
          <w:rFonts w:eastAsia="Calibri" w:cstheme="minorHAnsi"/>
          <w:sz w:val="24"/>
          <w:szCs w:val="24"/>
        </w:rPr>
        <w:t>.</w:t>
      </w:r>
      <w:r w:rsidRPr="00061CFB">
        <w:rPr>
          <w:rFonts w:eastAsia="Calibri" w:cstheme="minorHAnsi"/>
          <w:i/>
          <w:iCs/>
          <w:sz w:val="24"/>
          <w:szCs w:val="24"/>
        </w:rPr>
        <w:t xml:space="preserve"> </w:t>
      </w:r>
    </w:p>
    <w:p w14:paraId="3BF0D636" w14:textId="77777777" w:rsidR="00906E0A" w:rsidRPr="00061CFB" w:rsidRDefault="00906E0A" w:rsidP="00061CFB">
      <w:pPr>
        <w:spacing w:line="360" w:lineRule="auto"/>
        <w:rPr>
          <w:rFonts w:eastAsia="Calibri" w:cstheme="minorHAnsi"/>
          <w:sz w:val="24"/>
          <w:szCs w:val="24"/>
        </w:rPr>
      </w:pPr>
      <w:r w:rsidRPr="00061CFB">
        <w:rPr>
          <w:rFonts w:eastAsia="Calibri" w:cstheme="minorHAnsi"/>
          <w:i/>
          <w:iCs/>
          <w:sz w:val="24"/>
          <w:szCs w:val="24"/>
        </w:rPr>
        <w:lastRenderedPageBreak/>
        <w:t>Sickness absence in the UK labour market - Office for National Statistics</w:t>
      </w:r>
      <w:r w:rsidRPr="00061CFB">
        <w:rPr>
          <w:rFonts w:eastAsia="Calibri" w:cstheme="minorHAnsi"/>
          <w:sz w:val="24"/>
          <w:szCs w:val="24"/>
        </w:rPr>
        <w:t xml:space="preserve"> (2016) </w:t>
      </w:r>
      <w:r w:rsidRPr="00061CFB">
        <w:rPr>
          <w:rFonts w:eastAsia="Calibri" w:cstheme="minorHAnsi"/>
          <w:i/>
          <w:iCs/>
          <w:sz w:val="24"/>
          <w:szCs w:val="24"/>
        </w:rPr>
        <w:t>Sickness absence in the UK labour market - Office for National Statistics</w:t>
      </w:r>
      <w:r w:rsidRPr="00061CFB">
        <w:rPr>
          <w:rFonts w:eastAsia="Calibri" w:cstheme="minorHAnsi"/>
          <w:sz w:val="24"/>
          <w:szCs w:val="24"/>
        </w:rPr>
        <w:t xml:space="preserve">. Available at: </w:t>
      </w:r>
      <w:hyperlink r:id="rId14">
        <w:r w:rsidRPr="00061CFB">
          <w:rPr>
            <w:rStyle w:val="Hyperlink"/>
            <w:rFonts w:eastAsia="Calibri" w:cstheme="minorHAnsi"/>
            <w:sz w:val="24"/>
            <w:szCs w:val="24"/>
          </w:rPr>
          <w:t>https://www.ons.gov.uk/employmentandlabourmarket/peopleinwork/labourproductivity/articles/sicknessabsenceinthelabourmarket/2016</w:t>
        </w:r>
      </w:hyperlink>
      <w:r w:rsidRPr="00061CFB">
        <w:rPr>
          <w:rFonts w:eastAsia="Calibri" w:cstheme="minorHAnsi"/>
          <w:sz w:val="24"/>
          <w:szCs w:val="24"/>
        </w:rPr>
        <w:t>.</w:t>
      </w:r>
    </w:p>
    <w:p w14:paraId="2156B860" w14:textId="77777777" w:rsidR="00906E0A" w:rsidRPr="00061CFB" w:rsidRDefault="00906E0A" w:rsidP="00061CFB">
      <w:pPr>
        <w:spacing w:line="360" w:lineRule="auto"/>
        <w:rPr>
          <w:rFonts w:eastAsia="Calibri" w:cstheme="minorHAnsi"/>
          <w:i/>
          <w:iCs/>
          <w:sz w:val="24"/>
          <w:szCs w:val="24"/>
        </w:rPr>
      </w:pPr>
      <w:r w:rsidRPr="00061CFB">
        <w:rPr>
          <w:rFonts w:eastAsia="Calibri" w:cstheme="minorHAnsi"/>
          <w:i/>
          <w:iCs/>
          <w:sz w:val="24"/>
          <w:szCs w:val="24"/>
        </w:rPr>
        <w:t>Trauma risk management (TRiM) in the police</w:t>
      </w:r>
      <w:r w:rsidRPr="00061CFB">
        <w:rPr>
          <w:rFonts w:eastAsia="Calibri" w:cstheme="minorHAnsi"/>
          <w:sz w:val="24"/>
          <w:szCs w:val="24"/>
        </w:rPr>
        <w:t xml:space="preserve"> (2023) </w:t>
      </w:r>
      <w:r w:rsidRPr="00061CFB">
        <w:rPr>
          <w:rFonts w:eastAsia="Calibri" w:cstheme="minorHAnsi"/>
          <w:i/>
          <w:iCs/>
          <w:sz w:val="24"/>
          <w:szCs w:val="24"/>
        </w:rPr>
        <w:t>Blue Light Together</w:t>
      </w:r>
      <w:r w:rsidRPr="00061CFB">
        <w:rPr>
          <w:rFonts w:eastAsia="Calibri" w:cstheme="minorHAnsi"/>
          <w:sz w:val="24"/>
          <w:szCs w:val="24"/>
        </w:rPr>
        <w:t xml:space="preserve">. Available at: </w:t>
      </w:r>
      <w:hyperlink r:id="rId15">
        <w:r w:rsidRPr="00061CFB">
          <w:rPr>
            <w:rStyle w:val="Hyperlink"/>
            <w:rFonts w:eastAsia="Calibri" w:cstheme="minorHAnsi"/>
            <w:sz w:val="24"/>
            <w:szCs w:val="24"/>
          </w:rPr>
          <w:t>https://bluelighttogether.org.uk/police/trauma-risk-management-trim-in-the-police/</w:t>
        </w:r>
      </w:hyperlink>
      <w:r w:rsidRPr="00061CFB">
        <w:rPr>
          <w:rFonts w:eastAsia="Calibri" w:cstheme="minorHAnsi"/>
          <w:sz w:val="24"/>
          <w:szCs w:val="24"/>
        </w:rPr>
        <w:t xml:space="preserve"> (Accessed: June 19, 2023).</w:t>
      </w:r>
      <w:r w:rsidRPr="00061CFB">
        <w:rPr>
          <w:rFonts w:eastAsia="Calibri" w:cstheme="minorHAnsi"/>
          <w:i/>
          <w:iCs/>
          <w:sz w:val="24"/>
          <w:szCs w:val="24"/>
        </w:rPr>
        <w:t xml:space="preserve"> </w:t>
      </w:r>
    </w:p>
    <w:p w14:paraId="16EBFDCA" w14:textId="77777777" w:rsidR="00906E0A" w:rsidRPr="00061CFB" w:rsidRDefault="00906E0A" w:rsidP="00061CFB">
      <w:pPr>
        <w:spacing w:line="360" w:lineRule="auto"/>
        <w:rPr>
          <w:rFonts w:cstheme="minorHAnsi"/>
          <w:sz w:val="24"/>
          <w:szCs w:val="24"/>
        </w:rPr>
      </w:pPr>
      <w:r w:rsidRPr="00061CFB">
        <w:rPr>
          <w:rFonts w:cstheme="minorHAnsi"/>
          <w:sz w:val="24"/>
          <w:szCs w:val="24"/>
        </w:rPr>
        <w:t>Violanti, J. M., &amp; Aron, F. (1995). Police stressors: Variations in perception among police personnel. Journal of Criminal Justice, 23(3), 287-295.</w:t>
      </w:r>
    </w:p>
    <w:p w14:paraId="7673E9B9" w14:textId="77777777" w:rsidR="00906E0A" w:rsidRPr="00061CFB" w:rsidRDefault="00906E0A" w:rsidP="00061CFB">
      <w:pPr>
        <w:spacing w:line="360" w:lineRule="auto"/>
        <w:rPr>
          <w:rFonts w:eastAsia="Calibri" w:cstheme="minorHAnsi"/>
          <w:sz w:val="24"/>
          <w:szCs w:val="24"/>
        </w:rPr>
      </w:pPr>
      <w:r w:rsidRPr="00061CFB">
        <w:rPr>
          <w:rFonts w:eastAsia="Calibri" w:cstheme="minorHAnsi"/>
          <w:i/>
          <w:iCs/>
          <w:sz w:val="24"/>
          <w:szCs w:val="24"/>
        </w:rPr>
        <w:t>Wellbeing</w:t>
      </w:r>
      <w:r w:rsidRPr="00061CFB">
        <w:rPr>
          <w:rFonts w:eastAsia="Calibri" w:cstheme="minorHAnsi"/>
          <w:sz w:val="24"/>
          <w:szCs w:val="24"/>
        </w:rPr>
        <w:t xml:space="preserve"> (2023) </w:t>
      </w:r>
      <w:r w:rsidRPr="00061CFB">
        <w:rPr>
          <w:rFonts w:eastAsia="Calibri" w:cstheme="minorHAnsi"/>
          <w:i/>
          <w:iCs/>
          <w:sz w:val="24"/>
          <w:szCs w:val="24"/>
        </w:rPr>
        <w:t>College of Policing</w:t>
      </w:r>
      <w:r w:rsidRPr="00061CFB">
        <w:rPr>
          <w:rFonts w:eastAsia="Calibri" w:cstheme="minorHAnsi"/>
          <w:sz w:val="24"/>
          <w:szCs w:val="24"/>
        </w:rPr>
        <w:t xml:space="preserve">. United Kingdom. Available at: </w:t>
      </w:r>
      <w:hyperlink r:id="rId16">
        <w:r w:rsidRPr="00061CFB">
          <w:rPr>
            <w:rStyle w:val="Hyperlink"/>
            <w:rFonts w:eastAsia="Calibri" w:cstheme="minorHAnsi"/>
            <w:sz w:val="24"/>
            <w:szCs w:val="24"/>
          </w:rPr>
          <w:t>https://www.college.police.uk/support-forces/health-safety-welfare/wellbeing</w:t>
        </w:r>
      </w:hyperlink>
      <w:r w:rsidRPr="00061CFB">
        <w:rPr>
          <w:rFonts w:eastAsia="Calibri" w:cstheme="minorHAnsi"/>
          <w:sz w:val="24"/>
          <w:szCs w:val="24"/>
        </w:rPr>
        <w:t xml:space="preserve"> (Accessed: May 22, 2023).</w:t>
      </w:r>
    </w:p>
    <w:p w14:paraId="57DA5903" w14:textId="77777777" w:rsidR="00906E0A" w:rsidRPr="00061CFB" w:rsidRDefault="00906E0A" w:rsidP="00061CFB">
      <w:pPr>
        <w:spacing w:line="360" w:lineRule="auto"/>
        <w:rPr>
          <w:rFonts w:eastAsia="Calibri" w:cstheme="minorHAnsi"/>
          <w:sz w:val="24"/>
          <w:szCs w:val="24"/>
        </w:rPr>
      </w:pPr>
    </w:p>
    <w:p w14:paraId="7319B55F" w14:textId="77777777"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 xml:space="preserve">Assignment 4 - Organisational culture </w:t>
      </w:r>
    </w:p>
    <w:p w14:paraId="3C5002A9"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relationship between the community and the police is crucial for maintaining law and order within society. An increasing gulf and lack of trust between the general public and the police has hampered police efforts in recent years, which has challenged this relationship. Instances of police brutality, racial profiling, and a lack of accountability have fuelled this mistrust, resulting in an adversarial relationship between the two parties. This assignment examines the necessity of challenging negative aspects of organisational culture within the police force to restore trust and strengthen police-community relations. We can create a more equitable and just society by addressing issues such as police misconduct, bias, lack of transparency, racial profiling, the impact of reduced police numbers, and the need for collaborative efforts.</w:t>
      </w:r>
    </w:p>
    <w:p w14:paraId="6482DEB1"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Combating growing mistrust among the public is one of the most important reasons to challenge the negative aspects of the police department's organisational culture. The public's trust has been further undermined by instances of police misconduct, such as covering up wrongdoing and failing to remove predatory officers from duty. The tragic murder of Sarah Everard and other high-profile cases have had a significant impact on public </w:t>
      </w:r>
      <w:r w:rsidRPr="00061CFB">
        <w:rPr>
          <w:rFonts w:asciiTheme="minorHAnsi" w:hAnsiTheme="minorHAnsi" w:cstheme="minorHAnsi"/>
        </w:rPr>
        <w:lastRenderedPageBreak/>
        <w:t>perception and trust in law enforcement. The mishandling of accusations against Sarah Everard's murderer, which included previous instances of indecent exposure and what he was known for at work, raised questions about police accountability and vetting processes (Casciani, 2021).</w:t>
      </w:r>
    </w:p>
    <w:p w14:paraId="0BA60937" w14:textId="7B3291A2"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Negative aspects of organisational culture are addressed by recognising and resolving the historical disparities and systemic issues that have led to mistrust between the police and certain communities. In the past, for instance, harsh stop-and-search tactics and the over-policing of </w:t>
      </w:r>
      <w:r w:rsidR="00061CFB" w:rsidRPr="00061CFB">
        <w:rPr>
          <w:rFonts w:asciiTheme="minorHAnsi" w:hAnsiTheme="minorHAnsi" w:cstheme="minorHAnsi"/>
        </w:rPr>
        <w:t>Black</w:t>
      </w:r>
      <w:r w:rsidRPr="00061CFB">
        <w:rPr>
          <w:rFonts w:asciiTheme="minorHAnsi" w:hAnsiTheme="minorHAnsi" w:cstheme="minorHAnsi"/>
        </w:rPr>
        <w:t xml:space="preserve"> communities contributed to feelings of discrimination and marginalisation (Gov. UK, 2021). By recognising these past injustices and working to rectify them, the police can demonstrate their dedication to constructing a fair and equitable system.</w:t>
      </w:r>
    </w:p>
    <w:p w14:paraId="7BBC3F72"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To rebuild trust and strengthen police-community relations, police agencies must prioritise community-oriented policing techniques. Regular interactions between police officers and members of the community can foster mutual understanding and compassion. Outreach programmes that involve the community in decision-making can aid in ensuring that policing practises are responsive to the public's needs and concerns.</w:t>
      </w:r>
    </w:p>
    <w:p w14:paraId="7FDAE8A7"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Moreover, restoring public trust requires a commitment to accountability and transparency. The use of body-worn cameras by police officers is one effective measure that can reduce the use of excessive force and improve interactions with the public (Body-worn cameras | College of Policing, 2021). Body-worn camera footage is used in investigations and court proceedings, assisting in the resolution of complaints or disputes and supporting the gathering of evidence (Body-worn cameras | College of Policing, 2021).</w:t>
      </w:r>
    </w:p>
    <w:p w14:paraId="0C1C52C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It is important to hold the police accountable for their actions, but it is equally important to recognise that not all police officers are bad. Few individuals' actions should characterise the entire police force. To rebuild trust and foster a better relationship between the police and the community, both sides must work together. The public must recognise the efforts of the many police officers who work consistently to protect and serve the community, often at the risk of their lives.</w:t>
      </w:r>
    </w:p>
    <w:p w14:paraId="35A00C09"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In addition, the impact of reduced police staff has created difficulties for the police force and community protection. Budget cuts and a decrease in the number of police officers have placed enormous strain on the police service (UK Parliament, 2015). This decrease in police presence can raise concerns about the potential loss of neighbourhood policing, thereby reducing the overall effectiveness of police efforts.</w:t>
      </w:r>
    </w:p>
    <w:p w14:paraId="57FA7F26" w14:textId="06D8E2ED"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It is crucial to invest in comprehensive reform programmes to address negative aspects of organisational culture. Essential components of police reform include community-based police programmes, accountability systems, and the elimination of </w:t>
      </w:r>
      <w:r w:rsidR="00061CFB" w:rsidRPr="00061CFB">
        <w:rPr>
          <w:rFonts w:asciiTheme="minorHAnsi" w:hAnsiTheme="minorHAnsi" w:cstheme="minorHAnsi"/>
        </w:rPr>
        <w:t>biased</w:t>
      </w:r>
      <w:r w:rsidRPr="00061CFB">
        <w:rPr>
          <w:rFonts w:asciiTheme="minorHAnsi" w:hAnsiTheme="minorHAnsi" w:cstheme="minorHAnsi"/>
        </w:rPr>
        <w:t xml:space="preserve"> practi</w:t>
      </w:r>
      <w:r w:rsidR="00061CFB">
        <w:rPr>
          <w:rFonts w:asciiTheme="minorHAnsi" w:hAnsiTheme="minorHAnsi" w:cstheme="minorHAnsi"/>
        </w:rPr>
        <w:t>c</w:t>
      </w:r>
      <w:r w:rsidRPr="00061CFB">
        <w:rPr>
          <w:rFonts w:asciiTheme="minorHAnsi" w:hAnsiTheme="minorHAnsi" w:cstheme="minorHAnsi"/>
        </w:rPr>
        <w:t>es. These efforts can aid in restoring public confidence, enhancing transparency, and creating a society that is more equal and fairer.</w:t>
      </w:r>
    </w:p>
    <w:p w14:paraId="3FECB264"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addition, community involvement and open conversation are crucial for removing barriers and restoring trust. Regular interactions between police officers and members of the community can foster mutual understanding and compassion. Outreach programmes that involve the community in decision-making can aid in ensuring that policing practises are responsive to the public's needs and concerns.</w:t>
      </w:r>
    </w:p>
    <w:p w14:paraId="76847B2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The development of safeguarding trust groups is an additional key component of restoring trust between the police and the public. These groups aim to bring together the interests of the police and the community by providing an opportunity for open discussion and cooperation (Johnson, 2021). By engaging in meaningful discussion, both sides can address their concerns and work together to find solutions that will benefit the community.</w:t>
      </w:r>
    </w:p>
    <w:p w14:paraId="53752BF5" w14:textId="69EF8BEE"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Moreover, addressing racial disparities in law enforcement is essential for fostering trust and inclusion. The disproportionate targeting of individuals from the </w:t>
      </w:r>
      <w:r w:rsidR="00061CFB" w:rsidRPr="00061CFB">
        <w:rPr>
          <w:rFonts w:asciiTheme="minorHAnsi" w:hAnsiTheme="minorHAnsi" w:cstheme="minorHAnsi"/>
        </w:rPr>
        <w:t>Black</w:t>
      </w:r>
      <w:r w:rsidRPr="00061CFB">
        <w:rPr>
          <w:rFonts w:asciiTheme="minorHAnsi" w:hAnsiTheme="minorHAnsi" w:cstheme="minorHAnsi"/>
        </w:rPr>
        <w:t xml:space="preserve"> community during stop-and-search operations has further eroded public trust in the police (Gov. UK, 2021). To effectively address this issue, it is essential to examine disparities in stop and search practi</w:t>
      </w:r>
      <w:r w:rsidR="00061CFB">
        <w:rPr>
          <w:rFonts w:asciiTheme="minorHAnsi" w:hAnsiTheme="minorHAnsi" w:cstheme="minorHAnsi"/>
        </w:rPr>
        <w:t>c</w:t>
      </w:r>
      <w:r w:rsidRPr="00061CFB">
        <w:rPr>
          <w:rFonts w:asciiTheme="minorHAnsi" w:hAnsiTheme="minorHAnsi" w:cstheme="minorHAnsi"/>
        </w:rPr>
        <w:t>es within smaller geographic regions. Additionally, promoting transparency and accountability in stop-and-search operations can aid in restoring community trust and ensuring fair policing practi</w:t>
      </w:r>
      <w:r w:rsidR="00061CFB">
        <w:rPr>
          <w:rFonts w:asciiTheme="minorHAnsi" w:hAnsiTheme="minorHAnsi" w:cstheme="minorHAnsi"/>
        </w:rPr>
        <w:t>c</w:t>
      </w:r>
      <w:r w:rsidRPr="00061CFB">
        <w:rPr>
          <w:rFonts w:asciiTheme="minorHAnsi" w:hAnsiTheme="minorHAnsi" w:cstheme="minorHAnsi"/>
        </w:rPr>
        <w:t>es.</w:t>
      </w:r>
    </w:p>
    <w:p w14:paraId="51243709"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w:t>
      </w:r>
    </w:p>
    <w:p w14:paraId="756036B9" w14:textId="6EFFE4BB"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To conclude, rebuilding trust between the police and the public is crucial for the effectiveness of law enforcement and the safety of the community. Improving police-community relations requires addressing negative aspects of organisational culture within the police force, such as misconduct, bias, and a lack of transparency. To create a more equitable and just society in which the police and the public can work together towards a common goal, it is necessary to combat these negative characteristics. Both the police and the public play an essential role in this process, and collaborative efforts from both parties are required to bridge the gap and restore trust. The public must approach the relationship with an open mind and give the police a fair chance, recognising the efforts of many police officers who consistently protect and serve the community. Police departments must maintain their commitment to implementing reforms that improve transparency, fairness, and community engagement. By recognising historical disparities and promoting community-oriented policing strategies, both parties can work together to create a society that is more equitable and fairer. Through mutual understanding and a commitment to discussion, we may foster a positive and constructive relationship that benefits our communities and ensures the safety and well-being of every member. By challenging the negative aspects of policing's organisational culture, we can end harmful practi</w:t>
      </w:r>
      <w:r w:rsidR="00061CFB">
        <w:rPr>
          <w:rFonts w:asciiTheme="minorHAnsi" w:hAnsiTheme="minorHAnsi" w:cstheme="minorHAnsi"/>
        </w:rPr>
        <w:t>c</w:t>
      </w:r>
      <w:r w:rsidRPr="00061CFB">
        <w:rPr>
          <w:rFonts w:asciiTheme="minorHAnsi" w:hAnsiTheme="minorHAnsi" w:cstheme="minorHAnsi"/>
        </w:rPr>
        <w:t>es, restore public trust, and pave the way for a safer, more harmonious society. By embracing shared responsibility and mutual respect, the police and the public can bring in a new era of collaborative efforts that protect and serve the best interests of the community. </w:t>
      </w:r>
    </w:p>
    <w:p w14:paraId="07204AFA"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b/>
          <w:bCs/>
          <w:u w:val="single"/>
        </w:rPr>
        <w:t>1087 words 0 words over</w:t>
      </w:r>
    </w:p>
    <w:p w14:paraId="7CE8FE5B" w14:textId="77777777" w:rsidR="00906E0A" w:rsidRPr="00061CFB" w:rsidRDefault="00906E0A" w:rsidP="00061CFB">
      <w:pPr>
        <w:spacing w:line="360" w:lineRule="auto"/>
        <w:rPr>
          <w:rFonts w:cstheme="minorHAnsi"/>
          <w:b/>
          <w:bCs/>
          <w:sz w:val="24"/>
          <w:szCs w:val="24"/>
          <w:u w:val="single"/>
        </w:rPr>
      </w:pPr>
    </w:p>
    <w:p w14:paraId="1172E957" w14:textId="77777777" w:rsidR="00906E0A" w:rsidRPr="00061CFB" w:rsidRDefault="00906E0A" w:rsidP="00061CFB">
      <w:pPr>
        <w:spacing w:line="360" w:lineRule="auto"/>
        <w:rPr>
          <w:rFonts w:cstheme="minorHAnsi"/>
          <w:sz w:val="24"/>
          <w:szCs w:val="24"/>
        </w:rPr>
      </w:pPr>
      <w:r w:rsidRPr="00061CFB">
        <w:rPr>
          <w:rFonts w:cstheme="minorHAnsi"/>
          <w:b/>
          <w:bCs/>
          <w:sz w:val="24"/>
          <w:szCs w:val="24"/>
          <w:u w:val="single"/>
        </w:rPr>
        <w:t xml:space="preserve">Bibliography </w:t>
      </w:r>
    </w:p>
    <w:p w14:paraId="006E60E3"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i/>
          <w:iCs/>
        </w:rPr>
        <w:t>Body-worn cameras | College of Policing</w:t>
      </w:r>
      <w:r w:rsidRPr="00061CFB">
        <w:rPr>
          <w:rFonts w:asciiTheme="minorHAnsi" w:hAnsiTheme="minorHAnsi" w:cstheme="minorHAnsi"/>
        </w:rPr>
        <w:t xml:space="preserve"> (2021) </w:t>
      </w:r>
      <w:r w:rsidRPr="00061CFB">
        <w:rPr>
          <w:rFonts w:asciiTheme="minorHAnsi" w:hAnsiTheme="minorHAnsi" w:cstheme="minorHAnsi"/>
          <w:i/>
          <w:iCs/>
        </w:rPr>
        <w:t>College of Policing</w:t>
      </w:r>
      <w:r w:rsidRPr="00061CFB">
        <w:rPr>
          <w:rFonts w:asciiTheme="minorHAnsi" w:hAnsiTheme="minorHAnsi" w:cstheme="minorHAnsi"/>
        </w:rPr>
        <w:t>. Available at: https://www.college.police.uk/research/crime-reduction-toolkit/body-worn-cameras.</w:t>
      </w:r>
    </w:p>
    <w:p w14:paraId="2587935F"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Casciani, M.D. (2021) “Sarah Everard’s murder and the questions the Met Police now face,” </w:t>
      </w:r>
      <w:r w:rsidRPr="00061CFB">
        <w:rPr>
          <w:rFonts w:asciiTheme="minorHAnsi" w:hAnsiTheme="minorHAnsi" w:cstheme="minorHAnsi"/>
          <w:i/>
          <w:iCs/>
        </w:rPr>
        <w:t>bbc.co.uk</w:t>
      </w:r>
      <w:r w:rsidRPr="00061CFB">
        <w:rPr>
          <w:rFonts w:asciiTheme="minorHAnsi" w:hAnsiTheme="minorHAnsi" w:cstheme="minorHAnsi"/>
        </w:rPr>
        <w:t>, 2 October. Available at: https://www.bbc.co.uk/news/uk-58772787 (Accessed: July 18, 2023).</w:t>
      </w:r>
    </w:p>
    <w:p w14:paraId="5D2D721C"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 xml:space="preserve">Gov. UK (2021) </w:t>
      </w:r>
      <w:r w:rsidRPr="00061CFB">
        <w:rPr>
          <w:rFonts w:asciiTheme="minorHAnsi" w:hAnsiTheme="minorHAnsi" w:cstheme="minorHAnsi"/>
          <w:i/>
          <w:iCs/>
        </w:rPr>
        <w:t>Commission on Race and Ethnic Disparities</w:t>
      </w:r>
      <w:r w:rsidRPr="00061CFB">
        <w:rPr>
          <w:rFonts w:asciiTheme="minorHAnsi" w:hAnsiTheme="minorHAnsi" w:cstheme="minorHAnsi"/>
        </w:rPr>
        <w:t xml:space="preserve">, </w:t>
      </w:r>
      <w:r w:rsidRPr="00061CFB">
        <w:rPr>
          <w:rFonts w:asciiTheme="minorHAnsi" w:hAnsiTheme="minorHAnsi" w:cstheme="minorHAnsi"/>
          <w:i/>
          <w:iCs/>
        </w:rPr>
        <w:t>Crime and Policing - GOV.UK</w:t>
      </w:r>
      <w:r w:rsidRPr="00061CFB">
        <w:rPr>
          <w:rFonts w:asciiTheme="minorHAnsi" w:hAnsiTheme="minorHAnsi" w:cstheme="minorHAnsi"/>
        </w:rPr>
        <w:t>. https://www.gov.uk/government/publications/the-report-of-the-commission-on-race-and-ethnic-disparities/crime-and-policing.</w:t>
      </w:r>
    </w:p>
    <w:p w14:paraId="337F964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Johnson, M.B. (2021) </w:t>
      </w:r>
      <w:r w:rsidRPr="00061CFB">
        <w:rPr>
          <w:rFonts w:asciiTheme="minorHAnsi" w:hAnsiTheme="minorHAnsi" w:cstheme="minorHAnsi"/>
          <w:i/>
          <w:iCs/>
        </w:rPr>
        <w:t>Government moves to provide reassurance to women and girls</w:t>
      </w:r>
      <w:r w:rsidRPr="00061CFB">
        <w:rPr>
          <w:rFonts w:asciiTheme="minorHAnsi" w:hAnsiTheme="minorHAnsi" w:cstheme="minorHAnsi"/>
        </w:rPr>
        <w:t xml:space="preserve">, </w:t>
      </w:r>
      <w:r w:rsidRPr="00061CFB">
        <w:rPr>
          <w:rFonts w:asciiTheme="minorHAnsi" w:hAnsiTheme="minorHAnsi" w:cstheme="minorHAnsi"/>
          <w:i/>
          <w:iCs/>
        </w:rPr>
        <w:t>Gov. UK</w:t>
      </w:r>
      <w:r w:rsidRPr="00061CFB">
        <w:rPr>
          <w:rFonts w:asciiTheme="minorHAnsi" w:hAnsiTheme="minorHAnsi" w:cstheme="minorHAnsi"/>
        </w:rPr>
        <w:t>. London, United Kingdom. Available at: https://www.gov.uk/government/news/government-moves-to-provide-reassurance-to-women-and-girls-15-march-2021 (Accessed: July 18, 2023).</w:t>
      </w:r>
    </w:p>
    <w:p w14:paraId="40B49B0D"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UK Parliament (2015) </w:t>
      </w:r>
      <w:r w:rsidRPr="00061CFB">
        <w:rPr>
          <w:rFonts w:asciiTheme="minorHAnsi" w:hAnsiTheme="minorHAnsi" w:cstheme="minorHAnsi"/>
          <w:i/>
          <w:iCs/>
        </w:rPr>
        <w:t>Police reform in England and Wales</w:t>
      </w:r>
      <w:r w:rsidRPr="00061CFB">
        <w:rPr>
          <w:rFonts w:asciiTheme="minorHAnsi" w:hAnsiTheme="minorHAnsi" w:cstheme="minorHAnsi"/>
        </w:rPr>
        <w:t xml:space="preserve">, </w:t>
      </w:r>
      <w:r w:rsidRPr="00061CFB">
        <w:rPr>
          <w:rFonts w:asciiTheme="minorHAnsi" w:hAnsiTheme="minorHAnsi" w:cstheme="minorHAnsi"/>
          <w:i/>
          <w:iCs/>
        </w:rPr>
        <w:t>parliament. UK</w:t>
      </w:r>
      <w:r w:rsidRPr="00061CFB">
        <w:rPr>
          <w:rFonts w:asciiTheme="minorHAnsi" w:hAnsiTheme="minorHAnsi" w:cstheme="minorHAnsi"/>
        </w:rPr>
        <w:t>. United Kingdom. Available at: https://www.parliament.uk/business/publications/research/key-issues-parliament-2015/justice/police-reform/ (Accessed: July 21, 2023).</w:t>
      </w:r>
    </w:p>
    <w:p w14:paraId="6BAD0E39" w14:textId="77777777" w:rsidR="00906E0A" w:rsidRPr="00061CFB" w:rsidRDefault="00906E0A" w:rsidP="00061CFB">
      <w:pPr>
        <w:spacing w:line="360" w:lineRule="auto"/>
        <w:rPr>
          <w:rFonts w:cstheme="minorHAnsi"/>
          <w:b/>
          <w:bCs/>
          <w:sz w:val="24"/>
          <w:szCs w:val="24"/>
          <w:u w:val="single"/>
        </w:rPr>
      </w:pPr>
    </w:p>
    <w:p w14:paraId="5322C822" w14:textId="77777777"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Assignment 5 – MAPPA</w:t>
      </w:r>
    </w:p>
    <w:p w14:paraId="7864A37B"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2001, the introduction of Multi-Agency Public Protection Arrangements (MAPPA) sought to enhance communication between various agencies to effectively manage individuals who present a risk to the public and vulnerable individuals (College of Policing, 2017). This assignment aims to evaluate the effectiveness of MAPPA in protecting vulnerable individuals. It will specifically focus on the case study of Thomas Bennie Smith (TBS) to highlight the significance of initiative-taking policing and thorough risk assessment within the framework of MAPPA. To ensure the continued effectiveness of MAPPA in safeguarding communities and managing high-risk offenders, it is crucial to engage in continuous evaluation and refinement (HM Inspectorate of Probation, 2022).</w:t>
      </w:r>
    </w:p>
    <w:p w14:paraId="47E08B70"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MAPPA is an organization that specifically concentrates on the police, probation, and prison systems. They oversaw the MAPPA Responsible Authority area. To function efficiently, MAPPA depends on the collaboration of different organizations, such as the National Health Service and local administrations. The primary goal of MAPPA is to safeguard the public by closely monitoring individuals deemed high-risk offenders and implementing appropriate measures to effectively manage the risks they pose (College of Policing, 2017).</w:t>
      </w:r>
    </w:p>
    <w:p w14:paraId="0C5214F1"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In the UK, the Multi-Agency Public Protection Arrangements (MAPPA) system is responsible for categorising offenders into three distinct levels. Sex offenders in level 1 adhere to notification guidelines and are under the supervision of a single agency, such as probation. Level 2 comprises individuals who have been convicted of violent offences and have received prison sentences of at least one year. It also includes individuals who have been transferred to hospitals under specific sections of the Mental Health Act. Level 2 offenders are effectively managed through the active involvement of various agencies, such as the police and probation. Level 3 comprises individuals who pose a significant risk due to their involvement in serious criminal activities. These individuals have either been cautioned or convicted for their offences. As a result, their management requires the coordination of multiple agencies, overseen by experienced senior personnel. The main goal of MAPPA is to find a balance between ensuring public safety and respecting the human rights of offenders. This is achieved through promoting collaboration to conduct thorough risk assessments and effectively manage the risks involved (College of Policing, 2017).</w:t>
      </w:r>
    </w:p>
    <w:p w14:paraId="43FA1F71"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Numerous research studies and case analyses have consistently demonstrated the effectiveness of MAPPA in effectively managing high-risk offenders and ensuring the safety of vulnerable individuals. The impact of MAPPA was examined in a study, which found that eligible service recipients experienced a decrease in their reoffending rate. Before the establishment of MAPPA in 2000, the recidivism rate for individuals who had committed violent offences and those who had engaged in non-registered sexual offences stood at 26%. In 2004, the rate had decreased to 23%. According to the HM Inspectorate of Probation (2021), there was a notable decrease in the recidivism rate for high-risk service users. Specifically, the rate dropped from 29% to 16% from 2000 to 2010 (HM Inspectorate of Probation, 2021).</w:t>
      </w:r>
    </w:p>
    <w:p w14:paraId="6D950D3C" w14:textId="3D43AC16"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On the other hand, the HM Inspectorate of Probation has released a report indicating that MAPPA has not been fully used for the past twenty years and that additional enhancements are necessary. Charlie Taylor, the Chief Inspector of Prisons, found inconsistencies in the report regarding the management of high-risk prisoners. However, he also emphasised that the significance of effective multi-agency collaboration was not adequately acknowledged, especially in challenging situations like staff shortages (HM Inspectorate of Probation, 2022). </w:t>
      </w:r>
      <w:r w:rsidRPr="00061CFB">
        <w:rPr>
          <w:rFonts w:asciiTheme="minorHAnsi" w:hAnsiTheme="minorHAnsi" w:cstheme="minorHAnsi"/>
        </w:rPr>
        <w:lastRenderedPageBreak/>
        <w:t>Wendy Williams, Her Majesty's Inspector of Constabulary, noted the presence of innovative practi</w:t>
      </w:r>
      <w:r w:rsidR="00061CFB">
        <w:rPr>
          <w:rFonts w:asciiTheme="minorHAnsi" w:hAnsiTheme="minorHAnsi" w:cstheme="minorHAnsi"/>
        </w:rPr>
        <w:t>c</w:t>
      </w:r>
      <w:r w:rsidRPr="00061CFB">
        <w:rPr>
          <w:rFonts w:asciiTheme="minorHAnsi" w:hAnsiTheme="minorHAnsi" w:cstheme="minorHAnsi"/>
        </w:rPr>
        <w:t>es within the sector. However, she also observed a lack of consistency and coherence, specifically within the MAPPA section of the report. To prioritise public safety and efficiently manage individuals who pose a substantial risk, it is crucial to establish a well-defined structure, effective management, and regular evaluations of these arrangements (HM Inspectorate of Probation, 2022).</w:t>
      </w:r>
    </w:p>
    <w:p w14:paraId="0A29B92D"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Critics have expressed concerns about potential stigmatisation and human rights issues related to MAPPA. The concerns are highlighted in the case study of TBS. TBS faced charges for the murders of Holly and Diane Fallon. However, officers were cautious about requesting his consent to search his home or mobile phone. They were mindful of potential violations of his rights under the Human Rights Act of 1988. Due to this hesitation, there were missed chances to uncover TBS's connection with the victims and notify them about his previous convictions (East Ayrshire Chief Officers Group, 2011). Critics contend that placing too much emphasis on safeguarding the rights of offenders could impede their ability to effectively manage risks and potentially result in tragic outcomes. Nevertheless, it is possible to overcome these challenges by prioritising effective communication with offenders and their families, seeking their input through consultation, and holding ourselves accountable for every decision we make. To effectively address these challenges, it is crucial to use MAPPA's framework. This involves actively involving offenders in the decision-making process and ensuring that they fully comprehend the risk management strategies that are in place.</w:t>
      </w:r>
    </w:p>
    <w:p w14:paraId="7DB1A8EB"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Furthermore, it is widely recognised that individuals who have experienced abuse, especially those who are particularly vulnerable, can endure significant and enduring repercussions. These may encompass trauma, anxiety, depression, and challenges in establishing trusting connections with others. The case of Diane Fallon's family concerning TBS highlights the significant impact that violent offenders can have. The police expressed their apologies for the murders, acknowledging their responsibility for the errors made and their insufficient understanding of TBS's background and the level of threat posed. Critics also pointed out missed opportunities to identify TBS's dangerous actions, as well as the lack of sufficient police resources. The tragedy had an impact on the Cronberry community. Accessing support can be a challenge for victims of abuse. However, Diane Fallon's family took the </w:t>
      </w:r>
      <w:r w:rsidRPr="00061CFB">
        <w:rPr>
          <w:rFonts w:asciiTheme="minorHAnsi" w:hAnsiTheme="minorHAnsi" w:cstheme="minorHAnsi"/>
        </w:rPr>
        <w:lastRenderedPageBreak/>
        <w:t>initiative to meet with the relevant agencies to address the failures in managing TBS. The participants in the emotional meeting recognised the various organisational deficiencies and expressed gratitude for the recommendations put forth. They aimed to avoid similar tragedies from occurring in the future (Campsie, 2011).</w:t>
      </w:r>
    </w:p>
    <w:p w14:paraId="23AA3AB5"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In addition, the case study of TBS also emphasises the significance of initiative-taking policing and thorough risk assessment within MAPPA. The investigation found that there was no follow-up conducted until one year after TBS's release from prison, which suggests a lack of supervision from management. Furthermore, it is worth noting that there was a lack of established local or national frameworks in place to adequately support offender management teams in managing the considerable number of high-risk offenders residing in the community (East Ayrshire Chief Officers Group, 2011).</w:t>
      </w:r>
    </w:p>
    <w:p w14:paraId="549AE4A1"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w:t>
      </w:r>
    </w:p>
    <w:p w14:paraId="5541DB24" w14:textId="39E85714"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To conclude, to tackle these challenges, it is crucial to continuously evaluate and refine the procedures of MAPPA. Learning from past experiences and applying the knowledge gained is of utmost importance to enhance risk assessment and management strategies. It is crucial to allocate agency resources appropriately to provide effective supervision and assistance, thereby preventing any additional harm. Despite its effectiveness, challenges and areas for improvement have been identified within MAPPA. Reports suggest inconsistencies in the management of high-risk prisoners and the need for additional enhancements to ensure the full utilisation of MAPPA (HM Inspectorate of Probation, 2022). One crucial area that requires attention is the potential for stigmatisation and human rights violations within the framework. </w:t>
      </w:r>
      <w:r w:rsidR="00061CFB">
        <w:rPr>
          <w:rFonts w:asciiTheme="minorHAnsi" w:hAnsiTheme="minorHAnsi" w:cstheme="minorHAnsi"/>
        </w:rPr>
        <w:t>The s</w:t>
      </w:r>
      <w:r w:rsidRPr="00061CFB">
        <w:rPr>
          <w:rFonts w:asciiTheme="minorHAnsi" w:hAnsiTheme="minorHAnsi" w:cstheme="minorHAnsi"/>
        </w:rPr>
        <w:t>tigmatisation of offenders can lead to social isolation, hindering their successful reintegration into society and increasing the likelihood of recidivism. To address this concern, MAPPA should implement training programmes for all professionals involved to promote a non-stigmatising approach.</w:t>
      </w:r>
    </w:p>
    <w:p w14:paraId="5A80C812"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b/>
          <w:bCs/>
          <w:u w:val="single"/>
        </w:rPr>
        <w:t>1230 words 130 words over</w:t>
      </w:r>
    </w:p>
    <w:p w14:paraId="19884C22" w14:textId="77777777" w:rsidR="00906E0A" w:rsidRPr="00061CFB" w:rsidRDefault="00906E0A" w:rsidP="00061CFB">
      <w:pPr>
        <w:spacing w:line="360" w:lineRule="auto"/>
        <w:rPr>
          <w:rFonts w:cstheme="minorHAnsi"/>
          <w:b/>
          <w:bCs/>
          <w:sz w:val="24"/>
          <w:szCs w:val="24"/>
          <w:u w:val="single"/>
        </w:rPr>
      </w:pPr>
    </w:p>
    <w:p w14:paraId="1CDD75EB" w14:textId="77777777" w:rsidR="00906E0A" w:rsidRPr="00061CFB" w:rsidRDefault="00906E0A" w:rsidP="00061CFB">
      <w:pPr>
        <w:spacing w:line="360" w:lineRule="auto"/>
        <w:rPr>
          <w:rFonts w:cstheme="minorHAnsi"/>
          <w:b/>
          <w:bCs/>
          <w:sz w:val="24"/>
          <w:szCs w:val="24"/>
          <w:u w:val="single"/>
        </w:rPr>
      </w:pPr>
      <w:r w:rsidRPr="00061CFB">
        <w:rPr>
          <w:rFonts w:cstheme="minorHAnsi"/>
          <w:b/>
          <w:bCs/>
          <w:sz w:val="24"/>
          <w:szCs w:val="24"/>
          <w:u w:val="single"/>
        </w:rPr>
        <w:t>Bibliography</w:t>
      </w:r>
    </w:p>
    <w:p w14:paraId="7701695F"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lastRenderedPageBreak/>
        <w:t xml:space="preserve">Campsie, Miss A. (2011) “Police apology over murder of mother and daughter, 10,” </w:t>
      </w:r>
      <w:r w:rsidRPr="00061CFB">
        <w:rPr>
          <w:rFonts w:asciiTheme="minorHAnsi" w:hAnsiTheme="minorHAnsi" w:cstheme="minorHAnsi"/>
          <w:i/>
          <w:iCs/>
        </w:rPr>
        <w:t>heraldscotland.com</w:t>
      </w:r>
      <w:r w:rsidRPr="00061CFB">
        <w:rPr>
          <w:rFonts w:asciiTheme="minorHAnsi" w:hAnsiTheme="minorHAnsi" w:cstheme="minorHAnsi"/>
        </w:rPr>
        <w:t>, 12 November. Available at: https://www.heraldscotland.com/news/13040007.police-apology-murder-mother-daughter-10/ (Accessed: July 23, 2023).</w:t>
      </w:r>
    </w:p>
    <w:p w14:paraId="0C3459C6"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East Ayrshire Chief Officers Group (2011) </w:t>
      </w:r>
      <w:r w:rsidRPr="00061CFB">
        <w:rPr>
          <w:rFonts w:asciiTheme="minorHAnsi" w:hAnsiTheme="minorHAnsi" w:cstheme="minorHAnsi"/>
          <w:i/>
          <w:iCs/>
        </w:rPr>
        <w:t>MAPPA Significant Case Review: Thomas Bennie Smith</w:t>
      </w:r>
      <w:r w:rsidRPr="00061CFB">
        <w:rPr>
          <w:rFonts w:asciiTheme="minorHAnsi" w:hAnsiTheme="minorHAnsi" w:cstheme="minorHAnsi"/>
        </w:rPr>
        <w:t xml:space="preserve">, </w:t>
      </w:r>
      <w:r w:rsidRPr="00061CFB">
        <w:rPr>
          <w:rFonts w:asciiTheme="minorHAnsi" w:hAnsiTheme="minorHAnsi" w:cstheme="minorHAnsi"/>
          <w:i/>
          <w:iCs/>
        </w:rPr>
        <w:t>east-ayrshire.gov.uk</w:t>
      </w:r>
      <w:r w:rsidRPr="00061CFB">
        <w:rPr>
          <w:rFonts w:asciiTheme="minorHAnsi" w:hAnsiTheme="minorHAnsi" w:cstheme="minorHAnsi"/>
        </w:rPr>
        <w:t>. Available at: https://www.east-ayrshire.gov.uk/Resources/PDF/M/MAPPASignificantCaseReviewThomasBennieSmith.pdf (Accessed: July 23, 2023).</w:t>
      </w:r>
    </w:p>
    <w:p w14:paraId="4F64C8EF"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HM Inspectorate of Probation (2021) </w:t>
      </w:r>
      <w:r w:rsidRPr="00061CFB">
        <w:rPr>
          <w:rFonts w:asciiTheme="minorHAnsi" w:hAnsiTheme="minorHAnsi" w:cstheme="minorHAnsi"/>
          <w:i/>
          <w:iCs/>
        </w:rPr>
        <w:t>Multi-agency public protection arrangements</w:t>
      </w:r>
      <w:r w:rsidRPr="00061CFB">
        <w:rPr>
          <w:rFonts w:asciiTheme="minorHAnsi" w:hAnsiTheme="minorHAnsi" w:cstheme="minorHAnsi"/>
        </w:rPr>
        <w:t xml:space="preserve">, </w:t>
      </w:r>
      <w:r w:rsidRPr="00061CFB">
        <w:rPr>
          <w:rFonts w:asciiTheme="minorHAnsi" w:hAnsiTheme="minorHAnsi" w:cstheme="minorHAnsi"/>
          <w:i/>
          <w:iCs/>
        </w:rPr>
        <w:t>justiceinspectorates.gov.uk</w:t>
      </w:r>
      <w:r w:rsidRPr="00061CFB">
        <w:rPr>
          <w:rFonts w:asciiTheme="minorHAnsi" w:hAnsiTheme="minorHAnsi" w:cstheme="minorHAnsi"/>
        </w:rPr>
        <w:t>. Available at: https://www.justiceinspectorates.gov.uk/hmiprobation/research/the-evidence-base-probation/specific-types-of-delivery/mappa/ (Accessed: July 23, 2023).</w:t>
      </w:r>
    </w:p>
    <w:p w14:paraId="687D6804"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rPr>
        <w:t xml:space="preserve">HM Inspectorate of Probation (2022) </w:t>
      </w:r>
      <w:r w:rsidRPr="00061CFB">
        <w:rPr>
          <w:rFonts w:asciiTheme="minorHAnsi" w:hAnsiTheme="minorHAnsi" w:cstheme="minorHAnsi"/>
          <w:i/>
          <w:iCs/>
        </w:rPr>
        <w:t>20 years of Multi-Agency Public Protection Arrangements (MAPPA) – they are ‘underused’, and further improvements are needed</w:t>
      </w:r>
      <w:r w:rsidRPr="00061CFB">
        <w:rPr>
          <w:rFonts w:asciiTheme="minorHAnsi" w:hAnsiTheme="minorHAnsi" w:cstheme="minorHAnsi"/>
        </w:rPr>
        <w:t xml:space="preserve">, </w:t>
      </w:r>
      <w:r w:rsidRPr="00061CFB">
        <w:rPr>
          <w:rFonts w:asciiTheme="minorHAnsi" w:hAnsiTheme="minorHAnsi" w:cstheme="minorHAnsi"/>
          <w:i/>
          <w:iCs/>
        </w:rPr>
        <w:t>justiceinspectorates.gov.uk</w:t>
      </w:r>
      <w:r w:rsidRPr="00061CFB">
        <w:rPr>
          <w:rFonts w:asciiTheme="minorHAnsi" w:hAnsiTheme="minorHAnsi" w:cstheme="minorHAnsi"/>
        </w:rPr>
        <w:t>. Available at: https://www.justiceinspectorates.gov.uk/hmiprobation/media/press-releases/2022/07/mappa/ (Accessed: July 23, 2023).</w:t>
      </w:r>
    </w:p>
    <w:p w14:paraId="2E0C5093" w14:textId="77777777" w:rsidR="00906E0A" w:rsidRPr="00061CFB" w:rsidRDefault="00906E0A" w:rsidP="00061CFB">
      <w:pPr>
        <w:pStyle w:val="NormalWeb"/>
        <w:spacing w:line="360" w:lineRule="auto"/>
        <w:rPr>
          <w:rFonts w:asciiTheme="minorHAnsi" w:hAnsiTheme="minorHAnsi" w:cstheme="minorHAnsi"/>
        </w:rPr>
      </w:pPr>
      <w:r w:rsidRPr="00061CFB">
        <w:rPr>
          <w:rFonts w:asciiTheme="minorHAnsi" w:hAnsiTheme="minorHAnsi" w:cstheme="minorHAnsi"/>
          <w:i/>
          <w:iCs/>
        </w:rPr>
        <w:t>Multi-agency public protection arrangements (MAPPA) | College of Policing</w:t>
      </w:r>
      <w:r w:rsidRPr="00061CFB">
        <w:rPr>
          <w:rFonts w:asciiTheme="minorHAnsi" w:hAnsiTheme="minorHAnsi" w:cstheme="minorHAnsi"/>
        </w:rPr>
        <w:t xml:space="preserve"> (2017) </w:t>
      </w:r>
      <w:r w:rsidRPr="00061CFB">
        <w:rPr>
          <w:rFonts w:asciiTheme="minorHAnsi" w:hAnsiTheme="minorHAnsi" w:cstheme="minorHAnsi"/>
          <w:i/>
          <w:iCs/>
        </w:rPr>
        <w:t>College of Policing</w:t>
      </w:r>
      <w:r w:rsidRPr="00061CFB">
        <w:rPr>
          <w:rFonts w:asciiTheme="minorHAnsi" w:hAnsiTheme="minorHAnsi" w:cstheme="minorHAnsi"/>
        </w:rPr>
        <w:t>. Available at: https://www.college.police.uk/app/major-investigation-and-public-protection/managing-sexual-offenders-and-violent-offenders/multi-agency-public-protection-arrangements-mappa.</w:t>
      </w:r>
    </w:p>
    <w:p w14:paraId="297BD931" w14:textId="77777777" w:rsidR="00906E0A" w:rsidRPr="00061CFB" w:rsidRDefault="00906E0A" w:rsidP="00061CFB">
      <w:pPr>
        <w:spacing w:line="360" w:lineRule="auto"/>
        <w:rPr>
          <w:rFonts w:cstheme="minorHAnsi"/>
          <w:sz w:val="24"/>
          <w:szCs w:val="24"/>
        </w:rPr>
      </w:pPr>
    </w:p>
    <w:p w14:paraId="0F47F2B6" w14:textId="77777777" w:rsidR="00906E0A" w:rsidRPr="00061CFB" w:rsidRDefault="00906E0A" w:rsidP="00061CFB">
      <w:pPr>
        <w:spacing w:line="360" w:lineRule="auto"/>
        <w:rPr>
          <w:rFonts w:cstheme="minorHAnsi"/>
          <w:sz w:val="24"/>
          <w:szCs w:val="24"/>
        </w:rPr>
      </w:pPr>
    </w:p>
    <w:p w14:paraId="5636F5A6" w14:textId="77777777" w:rsidR="00906E0A" w:rsidRPr="00061CFB" w:rsidRDefault="00906E0A" w:rsidP="00061CFB">
      <w:pPr>
        <w:spacing w:line="360" w:lineRule="auto"/>
        <w:rPr>
          <w:rFonts w:cstheme="minorHAnsi"/>
          <w:sz w:val="24"/>
          <w:szCs w:val="24"/>
        </w:rPr>
      </w:pPr>
    </w:p>
    <w:p w14:paraId="50F88F66" w14:textId="77777777" w:rsidR="006B67AE" w:rsidRPr="00061CFB" w:rsidRDefault="006B67AE" w:rsidP="00061CFB">
      <w:pPr>
        <w:spacing w:line="360" w:lineRule="auto"/>
        <w:rPr>
          <w:rFonts w:cstheme="minorHAnsi"/>
          <w:sz w:val="24"/>
          <w:szCs w:val="24"/>
        </w:rPr>
      </w:pPr>
    </w:p>
    <w:sectPr w:rsidR="006B67AE" w:rsidRPr="00061CF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wNzU0NjGwMDIxMDZS0lEKTi0uzszPAykwrAUA2sMRPSwAAAA="/>
  </w:docVars>
  <w:rsids>
    <w:rsidRoot w:val="00906E0A"/>
    <w:rsid w:val="00061CFB"/>
    <w:rsid w:val="000F4FE0"/>
    <w:rsid w:val="00206EE4"/>
    <w:rsid w:val="005E0176"/>
    <w:rsid w:val="006B67AE"/>
    <w:rsid w:val="00906E0A"/>
    <w:rsid w:val="00A466ED"/>
    <w:rsid w:val="00F53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6CC23"/>
  <w15:chartTrackingRefBased/>
  <w15:docId w15:val="{8C0FBE3A-2C18-4F30-BE4B-B29D8E586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E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6E0A"/>
    <w:rPr>
      <w:color w:val="0563C1" w:themeColor="hyperlink"/>
      <w:u w:val="single"/>
    </w:rPr>
  </w:style>
  <w:style w:type="paragraph" w:styleId="NormalWeb">
    <w:name w:val="Normal (Web)"/>
    <w:basedOn w:val="Normal"/>
    <w:uiPriority w:val="99"/>
    <w:unhideWhenUsed/>
    <w:rsid w:val="00906E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09831/6.1770_Modern_Crime_Prevention_Strategy_final_WEB_version.pdf" TargetMode="External"/><Relationship Id="rId13" Type="http://schemas.openxmlformats.org/officeDocument/2006/relationships/hyperlink" Target="https://www.supportiv.com/trauma/what-is-hypervigilance-definition-examples-caus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afenow.org/crime-prevention-through-environmental-design/" TargetMode="External"/><Relationship Id="rId12" Type="http://schemas.openxmlformats.org/officeDocument/2006/relationships/hyperlink" Target="https://www.oscarkilo.org.uk/services/wellbeing-dog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ollege.police.uk/support-forces/health-safety-welfare/wellbeing" TargetMode="External"/><Relationship Id="rId1" Type="http://schemas.openxmlformats.org/officeDocument/2006/relationships/styles" Target="styles.xml"/><Relationship Id="rId6" Type="http://schemas.openxmlformats.org/officeDocument/2006/relationships/hyperlink" Target="https://designforsecurity.org/crime-prevention-through-environmental-design/" TargetMode="External"/><Relationship Id="rId11" Type="http://schemas.openxmlformats.org/officeDocument/2006/relationships/hyperlink" Target="https://www.youtube.com/watch?v=1_gNImAqo24&amp;t=170s" TargetMode="External"/><Relationship Id="rId5" Type="http://schemas.openxmlformats.org/officeDocument/2006/relationships/hyperlink" Target="https://www.college.police.uk/guidance/neighbourhood-crime/what-situational-crime-prevention" TargetMode="External"/><Relationship Id="rId15" Type="http://schemas.openxmlformats.org/officeDocument/2006/relationships/hyperlink" Target="https://bluelighttogether.org.uk/police/trauma-risk-management-trim-in-the-police/" TargetMode="External"/><Relationship Id="rId10" Type="http://schemas.openxmlformats.org/officeDocument/2006/relationships/hyperlink" Target="https://www.mind.org.uk/media/8587/blue-light-programme_c19_police-report-2021_final.pdf" TargetMode="External"/><Relationship Id="rId4" Type="http://schemas.openxmlformats.org/officeDocument/2006/relationships/hyperlink" Target="https://criminologyweb.com/rational-choice-theory-in-sociology-and-criminology-explained/" TargetMode="External"/><Relationship Id="rId9" Type="http://schemas.openxmlformats.org/officeDocument/2006/relationships/hyperlink" Target="https://www.college.police.uk/research/crime-reduction-toolkit/street-lighting" TargetMode="External"/><Relationship Id="rId14" Type="http://schemas.openxmlformats.org/officeDocument/2006/relationships/hyperlink" Target="https://www.ons.gov.uk/employmentandlabourmarket/peopleinwork/labourproductivity/articles/sicknessabsenceinthelabourmarket/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5708</Words>
  <Characters>32538</Characters>
  <Application>Microsoft Office Word</Application>
  <DocSecurity>0</DocSecurity>
  <Lines>271</Lines>
  <Paragraphs>76</Paragraphs>
  <ScaleCrop>false</ScaleCrop>
  <Company/>
  <LinksUpToDate>false</LinksUpToDate>
  <CharactersWithSpaces>38170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2</cp:revision>
  <dcterms:created xsi:type="dcterms:W3CDTF">2023-08-09T17:47:00Z</dcterms:created>
  <dcterms:modified xsi:type="dcterms:W3CDTF">2023-08-09T17:47:00Z</dcterms:modified>
</cp:coreProperties>
</file>