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E1957" w14:textId="77777777" w:rsidR="00FE3A32" w:rsidRDefault="00FE3A32" w:rsidP="00FE3A32">
      <w:pPr>
        <w:jc w:val="center"/>
        <w:rPr>
          <w:rFonts w:cs="Times New Roman"/>
          <w:b/>
          <w:bCs/>
          <w:color w:val="000000"/>
          <w:sz w:val="40"/>
          <w:szCs w:val="40"/>
        </w:rPr>
      </w:pPr>
    </w:p>
    <w:p w14:paraId="5B2F11C5" w14:textId="77777777" w:rsidR="00FE3A32" w:rsidRDefault="00FE3A32" w:rsidP="00FE3A32">
      <w:pPr>
        <w:jc w:val="center"/>
        <w:rPr>
          <w:rFonts w:cs="Times New Roman"/>
          <w:b/>
          <w:bCs/>
          <w:color w:val="000000"/>
          <w:sz w:val="40"/>
          <w:szCs w:val="40"/>
        </w:rPr>
      </w:pPr>
      <w:r>
        <w:rPr>
          <w:rFonts w:cs="Times New Roman"/>
          <w:b/>
          <w:bCs/>
          <w:color w:val="000000"/>
          <w:sz w:val="40"/>
          <w:szCs w:val="40"/>
        </w:rPr>
        <w:t>BA International Hotel Management</w:t>
      </w:r>
    </w:p>
    <w:p w14:paraId="37C99373" w14:textId="77777777" w:rsidR="00FE3A32" w:rsidRDefault="00FE3A32" w:rsidP="00FE3A32">
      <w:pPr>
        <w:jc w:val="center"/>
        <w:rPr>
          <w:rFonts w:cs="Times New Roman"/>
          <w:b/>
          <w:bCs/>
          <w:color w:val="000000"/>
          <w:sz w:val="32"/>
          <w:szCs w:val="32"/>
        </w:rPr>
      </w:pPr>
      <w:r>
        <w:rPr>
          <w:rFonts w:cs="Times New Roman"/>
          <w:b/>
          <w:bCs/>
          <w:color w:val="000000"/>
          <w:sz w:val="32"/>
          <w:szCs w:val="32"/>
        </w:rPr>
        <w:t>Financial Management for the Hotel Industry (BMIH5007)</w:t>
      </w:r>
    </w:p>
    <w:p w14:paraId="4B2A774C" w14:textId="1C2693BA" w:rsidR="00FE3A32" w:rsidRDefault="00FE3A32" w:rsidP="00FE3A32">
      <w:pPr>
        <w:jc w:val="center"/>
        <w:rPr>
          <w:rFonts w:cs="Times New Roman"/>
          <w:b/>
          <w:bCs/>
          <w:color w:val="000000"/>
          <w:sz w:val="40"/>
          <w:szCs w:val="40"/>
        </w:rPr>
      </w:pPr>
      <w:r>
        <w:rPr>
          <w:rFonts w:cs="Times New Roman"/>
          <w:b/>
          <w:bCs/>
          <w:color w:val="000000"/>
          <w:sz w:val="40"/>
          <w:szCs w:val="40"/>
        </w:rPr>
        <w:t>Assignment- 1</w:t>
      </w:r>
      <w:bookmarkStart w:id="0" w:name="_GoBack"/>
      <w:bookmarkEnd w:id="0"/>
    </w:p>
    <w:p w14:paraId="372F7441" w14:textId="77777777" w:rsidR="00FE3A32" w:rsidRDefault="00FE3A32" w:rsidP="00FE3A32">
      <w:pPr>
        <w:spacing w:line="256" w:lineRule="auto"/>
        <w:jc w:val="center"/>
        <w:rPr>
          <w:rFonts w:cs="Vrinda"/>
          <w:sz w:val="32"/>
          <w:szCs w:val="32"/>
          <w:lang w:bidi="bn-BD"/>
        </w:rPr>
      </w:pPr>
      <w:r>
        <w:rPr>
          <w:sz w:val="32"/>
          <w:szCs w:val="32"/>
        </w:rPr>
        <w:t>Lecturer Name: Tristan Hawkins</w:t>
      </w:r>
    </w:p>
    <w:p w14:paraId="328BACB1" w14:textId="77777777" w:rsidR="00FE3A32" w:rsidRDefault="00FE3A32" w:rsidP="00FE3A32">
      <w:pPr>
        <w:spacing w:line="256" w:lineRule="auto"/>
        <w:jc w:val="center"/>
        <w:rPr>
          <w:sz w:val="32"/>
          <w:szCs w:val="32"/>
        </w:rPr>
      </w:pPr>
      <w:r>
        <w:rPr>
          <w:sz w:val="32"/>
          <w:szCs w:val="32"/>
        </w:rPr>
        <w:t xml:space="preserve">Student Name: </w:t>
      </w:r>
      <w:proofErr w:type="spellStart"/>
      <w:r>
        <w:rPr>
          <w:sz w:val="32"/>
          <w:szCs w:val="32"/>
        </w:rPr>
        <w:t>Tuhel</w:t>
      </w:r>
      <w:proofErr w:type="spellEnd"/>
      <w:r>
        <w:rPr>
          <w:sz w:val="32"/>
          <w:szCs w:val="32"/>
        </w:rPr>
        <w:t xml:space="preserve"> Miah</w:t>
      </w:r>
    </w:p>
    <w:p w14:paraId="336CDC4A" w14:textId="77777777" w:rsidR="00FE3A32" w:rsidRDefault="00FE3A32" w:rsidP="00FE3A32">
      <w:pPr>
        <w:jc w:val="center"/>
        <w:rPr>
          <w:sz w:val="32"/>
          <w:szCs w:val="32"/>
        </w:rPr>
      </w:pPr>
      <w:r>
        <w:rPr>
          <w:sz w:val="32"/>
          <w:szCs w:val="32"/>
        </w:rPr>
        <w:t>Student ID: 2126977</w:t>
      </w:r>
    </w:p>
    <w:p w14:paraId="724BE27D" w14:textId="77777777" w:rsidR="00FE3A32" w:rsidRDefault="00FE3A32" w:rsidP="00FE3A32">
      <w:pPr>
        <w:rPr>
          <w:rFonts w:cs="Times New Roman"/>
          <w:szCs w:val="28"/>
        </w:rPr>
      </w:pPr>
    </w:p>
    <w:p w14:paraId="643CCCEB" w14:textId="6C8D8C1E" w:rsidR="00FE3A32" w:rsidRDefault="00FE3A32" w:rsidP="00FE3A32">
      <w:pPr>
        <w:rPr>
          <w:rFonts w:cs="Times New Roman"/>
          <w:szCs w:val="24"/>
        </w:rPr>
      </w:pPr>
      <w:r>
        <w:rPr>
          <w:rFonts w:cs="Times New Roman"/>
        </w:rPr>
        <w:br w:type="page"/>
      </w:r>
    </w:p>
    <w:p w14:paraId="0B8E48CA" w14:textId="77777777" w:rsidR="00FE3A32" w:rsidRDefault="00FE3A32" w:rsidP="00FE3A32">
      <w:pPr>
        <w:pStyle w:val="TOCHead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Table of Contents</w:t>
      </w:r>
    </w:p>
    <w:p w14:paraId="6C8B12B2"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r:id="rId4" w:anchor="_Toc148724031" w:history="1">
        <w:r>
          <w:rPr>
            <w:rStyle w:val="Hyperlink"/>
            <w:rFonts w:cs="Times New Roman"/>
          </w:rPr>
          <w:t>Introduction</w:t>
        </w:r>
        <w:r>
          <w:rPr>
            <w:rStyle w:val="Hyperlink"/>
            <w:webHidden/>
          </w:rPr>
          <w:tab/>
        </w:r>
        <w:r>
          <w:rPr>
            <w:rStyle w:val="Hyperlink"/>
            <w:webHidden/>
          </w:rPr>
          <w:fldChar w:fldCharType="begin"/>
        </w:r>
        <w:r>
          <w:rPr>
            <w:rStyle w:val="Hyperlink"/>
            <w:webHidden/>
          </w:rPr>
          <w:instrText xml:space="preserve"> PAGEREF _Toc148724031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14:paraId="2E59220A"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5" w:anchor="_Toc148724032" w:history="1">
        <w:r>
          <w:rPr>
            <w:rStyle w:val="Hyperlink"/>
            <w:lang w:bidi="bn-IN"/>
          </w:rPr>
          <w:t>Total revenue Analysis of Mandarin Oriental Hotel Group and Premier Inn</w:t>
        </w:r>
        <w:r>
          <w:rPr>
            <w:rStyle w:val="Hyperlink"/>
            <w:webHidden/>
          </w:rPr>
          <w:tab/>
        </w:r>
        <w:r>
          <w:rPr>
            <w:rStyle w:val="Hyperlink"/>
            <w:webHidden/>
          </w:rPr>
          <w:fldChar w:fldCharType="begin"/>
        </w:r>
        <w:r>
          <w:rPr>
            <w:rStyle w:val="Hyperlink"/>
            <w:webHidden/>
          </w:rPr>
          <w:instrText xml:space="preserve"> PAGEREF _Toc148724032 \h </w:instrText>
        </w:r>
        <w:r>
          <w:rPr>
            <w:rStyle w:val="Hyperlink"/>
            <w:webHidden/>
          </w:rPr>
        </w:r>
        <w:r>
          <w:rPr>
            <w:rStyle w:val="Hyperlink"/>
            <w:webHidden/>
          </w:rPr>
          <w:fldChar w:fldCharType="separate"/>
        </w:r>
        <w:r>
          <w:rPr>
            <w:rStyle w:val="Hyperlink"/>
            <w:webHidden/>
          </w:rPr>
          <w:t>4</w:t>
        </w:r>
        <w:r>
          <w:rPr>
            <w:rStyle w:val="Hyperlink"/>
            <w:webHidden/>
          </w:rPr>
          <w:fldChar w:fldCharType="end"/>
        </w:r>
      </w:hyperlink>
    </w:p>
    <w:p w14:paraId="2C7B9859"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6" w:anchor="_Toc148724033" w:history="1">
        <w:r>
          <w:rPr>
            <w:rStyle w:val="Hyperlink"/>
            <w:lang w:bidi="bn-IN"/>
          </w:rPr>
          <w:t>Mandarin Oriental Hotel Group and Premier Inn’s market positions</w:t>
        </w:r>
        <w:r>
          <w:rPr>
            <w:rStyle w:val="Hyperlink"/>
            <w:webHidden/>
          </w:rPr>
          <w:tab/>
        </w:r>
        <w:r>
          <w:rPr>
            <w:rStyle w:val="Hyperlink"/>
            <w:webHidden/>
          </w:rPr>
          <w:fldChar w:fldCharType="begin"/>
        </w:r>
        <w:r>
          <w:rPr>
            <w:rStyle w:val="Hyperlink"/>
            <w:webHidden/>
          </w:rPr>
          <w:instrText xml:space="preserve"> PAGEREF _Toc148724033 \h </w:instrText>
        </w:r>
        <w:r>
          <w:rPr>
            <w:rStyle w:val="Hyperlink"/>
            <w:webHidden/>
          </w:rPr>
        </w:r>
        <w:r>
          <w:rPr>
            <w:rStyle w:val="Hyperlink"/>
            <w:webHidden/>
          </w:rPr>
          <w:fldChar w:fldCharType="separate"/>
        </w:r>
        <w:r>
          <w:rPr>
            <w:rStyle w:val="Hyperlink"/>
            <w:webHidden/>
          </w:rPr>
          <w:t>6</w:t>
        </w:r>
        <w:r>
          <w:rPr>
            <w:rStyle w:val="Hyperlink"/>
            <w:webHidden/>
          </w:rPr>
          <w:fldChar w:fldCharType="end"/>
        </w:r>
      </w:hyperlink>
    </w:p>
    <w:p w14:paraId="1C906973"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7" w:anchor="_Toc148724034" w:history="1">
        <w:r>
          <w:rPr>
            <w:rStyle w:val="Hyperlink"/>
            <w:lang w:bidi="bn-IN"/>
          </w:rPr>
          <w:t>Evaluation of each organization's potential for growth</w:t>
        </w:r>
        <w:r>
          <w:rPr>
            <w:rStyle w:val="Hyperlink"/>
            <w:webHidden/>
          </w:rPr>
          <w:tab/>
        </w:r>
        <w:r>
          <w:rPr>
            <w:rStyle w:val="Hyperlink"/>
            <w:webHidden/>
          </w:rPr>
          <w:fldChar w:fldCharType="begin"/>
        </w:r>
        <w:r>
          <w:rPr>
            <w:rStyle w:val="Hyperlink"/>
            <w:webHidden/>
          </w:rPr>
          <w:instrText xml:space="preserve"> PAGEREF _Toc148724034 \h </w:instrText>
        </w:r>
        <w:r>
          <w:rPr>
            <w:rStyle w:val="Hyperlink"/>
            <w:webHidden/>
          </w:rPr>
        </w:r>
        <w:r>
          <w:rPr>
            <w:rStyle w:val="Hyperlink"/>
            <w:webHidden/>
          </w:rPr>
          <w:fldChar w:fldCharType="separate"/>
        </w:r>
        <w:r>
          <w:rPr>
            <w:rStyle w:val="Hyperlink"/>
            <w:webHidden/>
          </w:rPr>
          <w:t>8</w:t>
        </w:r>
        <w:r>
          <w:rPr>
            <w:rStyle w:val="Hyperlink"/>
            <w:webHidden/>
          </w:rPr>
          <w:fldChar w:fldCharType="end"/>
        </w:r>
      </w:hyperlink>
    </w:p>
    <w:p w14:paraId="6B2A0F75"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8" w:anchor="_Toc148724035" w:history="1">
        <w:r>
          <w:rPr>
            <w:rStyle w:val="Hyperlink"/>
            <w:lang w:bidi="bn-IN"/>
          </w:rPr>
          <w:t>Each organization's financial commitment to CSR initiatives</w:t>
        </w:r>
        <w:r>
          <w:rPr>
            <w:rStyle w:val="Hyperlink"/>
            <w:webHidden/>
          </w:rPr>
          <w:tab/>
        </w:r>
        <w:r>
          <w:rPr>
            <w:rStyle w:val="Hyperlink"/>
            <w:webHidden/>
          </w:rPr>
          <w:fldChar w:fldCharType="begin"/>
        </w:r>
        <w:r>
          <w:rPr>
            <w:rStyle w:val="Hyperlink"/>
            <w:webHidden/>
          </w:rPr>
          <w:instrText xml:space="preserve"> PAGEREF _Toc148724035 \h </w:instrText>
        </w:r>
        <w:r>
          <w:rPr>
            <w:rStyle w:val="Hyperlink"/>
            <w:webHidden/>
          </w:rPr>
        </w:r>
        <w:r>
          <w:rPr>
            <w:rStyle w:val="Hyperlink"/>
            <w:webHidden/>
          </w:rPr>
          <w:fldChar w:fldCharType="separate"/>
        </w:r>
        <w:r>
          <w:rPr>
            <w:rStyle w:val="Hyperlink"/>
            <w:webHidden/>
          </w:rPr>
          <w:t>10</w:t>
        </w:r>
        <w:r>
          <w:rPr>
            <w:rStyle w:val="Hyperlink"/>
            <w:webHidden/>
          </w:rPr>
          <w:fldChar w:fldCharType="end"/>
        </w:r>
      </w:hyperlink>
    </w:p>
    <w:p w14:paraId="479FDB90"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9" w:anchor="_Toc148724036" w:history="1">
        <w:r>
          <w:rPr>
            <w:rStyle w:val="Hyperlink"/>
            <w:rFonts w:cs="Times New Roman"/>
            <w:lang w:bidi="bn-IN"/>
          </w:rPr>
          <w:t>Recommendation</w:t>
        </w:r>
        <w:r>
          <w:rPr>
            <w:rStyle w:val="Hyperlink"/>
            <w:webHidden/>
          </w:rPr>
          <w:tab/>
        </w:r>
        <w:r>
          <w:rPr>
            <w:rStyle w:val="Hyperlink"/>
            <w:webHidden/>
          </w:rPr>
          <w:fldChar w:fldCharType="begin"/>
        </w:r>
        <w:r>
          <w:rPr>
            <w:rStyle w:val="Hyperlink"/>
            <w:webHidden/>
          </w:rPr>
          <w:instrText xml:space="preserve"> PAGEREF _Toc148724036 \h </w:instrText>
        </w:r>
        <w:r>
          <w:rPr>
            <w:rStyle w:val="Hyperlink"/>
            <w:webHidden/>
          </w:rPr>
        </w:r>
        <w:r>
          <w:rPr>
            <w:rStyle w:val="Hyperlink"/>
            <w:webHidden/>
          </w:rPr>
          <w:fldChar w:fldCharType="separate"/>
        </w:r>
        <w:r>
          <w:rPr>
            <w:rStyle w:val="Hyperlink"/>
            <w:webHidden/>
          </w:rPr>
          <w:t>12</w:t>
        </w:r>
        <w:r>
          <w:rPr>
            <w:rStyle w:val="Hyperlink"/>
            <w:webHidden/>
          </w:rPr>
          <w:fldChar w:fldCharType="end"/>
        </w:r>
      </w:hyperlink>
    </w:p>
    <w:p w14:paraId="5AB6F80E"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10" w:anchor="_Toc148724037" w:history="1">
        <w:r>
          <w:rPr>
            <w:rStyle w:val="Hyperlink"/>
            <w:rFonts w:cs="Times New Roman"/>
            <w:lang w:bidi="bn-IN"/>
          </w:rPr>
          <w:t>Conclusion</w:t>
        </w:r>
        <w:r>
          <w:rPr>
            <w:rStyle w:val="Hyperlink"/>
            <w:webHidden/>
          </w:rPr>
          <w:tab/>
        </w:r>
        <w:r>
          <w:rPr>
            <w:rStyle w:val="Hyperlink"/>
            <w:webHidden/>
          </w:rPr>
          <w:fldChar w:fldCharType="begin"/>
        </w:r>
        <w:r>
          <w:rPr>
            <w:rStyle w:val="Hyperlink"/>
            <w:webHidden/>
          </w:rPr>
          <w:instrText xml:space="preserve"> PAGEREF _Toc148724037 \h </w:instrText>
        </w:r>
        <w:r>
          <w:rPr>
            <w:rStyle w:val="Hyperlink"/>
            <w:webHidden/>
          </w:rPr>
        </w:r>
        <w:r>
          <w:rPr>
            <w:rStyle w:val="Hyperlink"/>
            <w:webHidden/>
          </w:rPr>
          <w:fldChar w:fldCharType="separate"/>
        </w:r>
        <w:r>
          <w:rPr>
            <w:rStyle w:val="Hyperlink"/>
            <w:webHidden/>
          </w:rPr>
          <w:t>13</w:t>
        </w:r>
        <w:r>
          <w:rPr>
            <w:rStyle w:val="Hyperlink"/>
            <w:webHidden/>
          </w:rPr>
          <w:fldChar w:fldCharType="end"/>
        </w:r>
      </w:hyperlink>
    </w:p>
    <w:p w14:paraId="38571BA2" w14:textId="77777777" w:rsidR="00FE3A32" w:rsidRDefault="00FE3A32" w:rsidP="00FE3A32">
      <w:pPr>
        <w:pStyle w:val="TOC1"/>
        <w:tabs>
          <w:tab w:val="right" w:leader="dot" w:pos="9010"/>
        </w:tabs>
        <w:rPr>
          <w:rFonts w:asciiTheme="minorHAnsi" w:eastAsiaTheme="minorEastAsia" w:hAnsiTheme="minorHAnsi" w:cstheme="minorBidi"/>
          <w:kern w:val="0"/>
          <w:sz w:val="22"/>
          <w:szCs w:val="22"/>
          <w:lang w:eastAsia="en-GB" w:bidi="ar-SA"/>
        </w:rPr>
      </w:pPr>
      <w:hyperlink r:id="rId11" w:anchor="_Toc148724038" w:history="1">
        <w:r>
          <w:rPr>
            <w:rStyle w:val="Hyperlink"/>
            <w:rFonts w:cs="Times New Roman"/>
            <w:lang w:bidi="bn-IN"/>
          </w:rPr>
          <w:t>References</w:t>
        </w:r>
        <w:r>
          <w:rPr>
            <w:rStyle w:val="Hyperlink"/>
            <w:webHidden/>
          </w:rPr>
          <w:tab/>
        </w:r>
        <w:r>
          <w:rPr>
            <w:rStyle w:val="Hyperlink"/>
            <w:webHidden/>
          </w:rPr>
          <w:fldChar w:fldCharType="begin"/>
        </w:r>
        <w:r>
          <w:rPr>
            <w:rStyle w:val="Hyperlink"/>
            <w:webHidden/>
          </w:rPr>
          <w:instrText xml:space="preserve"> PAGEREF _Toc148724038 \h </w:instrText>
        </w:r>
        <w:r>
          <w:rPr>
            <w:rStyle w:val="Hyperlink"/>
            <w:webHidden/>
          </w:rPr>
        </w:r>
        <w:r>
          <w:rPr>
            <w:rStyle w:val="Hyperlink"/>
            <w:webHidden/>
          </w:rPr>
          <w:fldChar w:fldCharType="separate"/>
        </w:r>
        <w:r>
          <w:rPr>
            <w:rStyle w:val="Hyperlink"/>
            <w:webHidden/>
          </w:rPr>
          <w:t>14</w:t>
        </w:r>
        <w:r>
          <w:rPr>
            <w:rStyle w:val="Hyperlink"/>
            <w:webHidden/>
          </w:rPr>
          <w:fldChar w:fldCharType="end"/>
        </w:r>
      </w:hyperlink>
    </w:p>
    <w:p w14:paraId="00CBFAEF" w14:textId="77777777" w:rsidR="00FE3A32" w:rsidRDefault="00FE3A32" w:rsidP="00FE3A32">
      <w:pPr>
        <w:rPr>
          <w:rFonts w:eastAsia="Calibri" w:cs="Times New Roman"/>
          <w:kern w:val="2"/>
          <w:szCs w:val="28"/>
          <w:lang w:bidi="bn-BD"/>
        </w:rPr>
      </w:pPr>
      <w:r>
        <w:rPr>
          <w:rFonts w:cs="Times New Roman"/>
          <w:b/>
          <w:bCs/>
          <w:szCs w:val="24"/>
        </w:rPr>
        <w:fldChar w:fldCharType="end"/>
      </w:r>
    </w:p>
    <w:p w14:paraId="2C665793" w14:textId="77777777" w:rsidR="00FE3A32" w:rsidRDefault="00FE3A32" w:rsidP="00FE3A32">
      <w:pPr>
        <w:spacing w:line="480" w:lineRule="auto"/>
        <w:rPr>
          <w:rFonts w:cs="Times New Roman"/>
        </w:rPr>
      </w:pPr>
    </w:p>
    <w:p w14:paraId="6D3A7772" w14:textId="77777777" w:rsidR="00FE3A32" w:rsidRDefault="00FE3A32" w:rsidP="00FE3A32">
      <w:pPr>
        <w:rPr>
          <w:rFonts w:eastAsia="SimSun" w:cs="Times New Roman"/>
          <w:sz w:val="32"/>
          <w:szCs w:val="32"/>
        </w:rPr>
      </w:pPr>
      <w:r>
        <w:rPr>
          <w:rFonts w:cs="Times New Roman"/>
        </w:rPr>
        <w:br w:type="page"/>
      </w:r>
    </w:p>
    <w:p w14:paraId="77053BF8" w14:textId="77777777" w:rsidR="00FE3A32" w:rsidRDefault="00FE3A32" w:rsidP="00FE3A32">
      <w:pPr>
        <w:pStyle w:val="Heading1"/>
        <w:rPr>
          <w:rFonts w:cs="Times New Roman"/>
          <w:lang w:bidi="ar-SA"/>
        </w:rPr>
      </w:pPr>
      <w:bookmarkStart w:id="1" w:name="_Toc148724031"/>
      <w:bookmarkStart w:id="2" w:name="_Toc148205848"/>
      <w:r>
        <w:rPr>
          <w:rFonts w:cs="Times New Roman"/>
          <w:lang w:bidi="ar-SA"/>
        </w:rPr>
        <w:lastRenderedPageBreak/>
        <w:t>Introduction</w:t>
      </w:r>
      <w:bookmarkEnd w:id="1"/>
      <w:bookmarkEnd w:id="2"/>
      <w:r>
        <w:rPr>
          <w:rFonts w:cs="Times New Roman"/>
          <w:lang w:bidi="ar-SA"/>
        </w:rPr>
        <w:t xml:space="preserve"> </w:t>
      </w:r>
    </w:p>
    <w:p w14:paraId="1EDAA2BD" w14:textId="77777777" w:rsidR="00FE3A32" w:rsidRDefault="00FE3A32" w:rsidP="00FE3A32">
      <w:pPr>
        <w:rPr>
          <w:rFonts w:cs="Times New Roman"/>
          <w:lang w:bidi="bn-IN"/>
        </w:rPr>
      </w:pPr>
      <w:r>
        <w:rPr>
          <w:rFonts w:cs="Times New Roman"/>
          <w:lang w:bidi="bn-IN"/>
        </w:rPr>
        <w:t>Both the Mandarin Oriental Hotel Group and the Premier Inn stand out in the hotel industry because they have created a niche in their subcategories. This extensive analysis examines these organizations' financial performance, market positioning, development prospects, and CSR pledges. This analysis illuminates the strategic decisions, problems, and recommendations that determine these significant hospitality corporations' trajectories in the ever-changing hospitality industry. Mandarin Oriental, recognized for its opulence, and Premier Inn, known for its affordability and excellence, are among these prominent companies.</w:t>
      </w:r>
    </w:p>
    <w:p w14:paraId="44A1FA10" w14:textId="77777777" w:rsidR="00FE3A32" w:rsidRDefault="00FE3A32" w:rsidP="00FE3A32">
      <w:pPr>
        <w:rPr>
          <w:rFonts w:cs="Times New Roman"/>
          <w:lang w:bidi="bn-IN"/>
        </w:rPr>
      </w:pPr>
    </w:p>
    <w:p w14:paraId="150303A5" w14:textId="77777777" w:rsidR="00FE3A32" w:rsidRDefault="00FE3A32" w:rsidP="00FE3A32">
      <w:pPr>
        <w:rPr>
          <w:rFonts w:cs="Times New Roman"/>
          <w:lang w:bidi="bn-IN"/>
        </w:rPr>
      </w:pPr>
    </w:p>
    <w:p w14:paraId="2FAF7D86" w14:textId="77777777" w:rsidR="00FE3A32" w:rsidRDefault="00FE3A32" w:rsidP="00FE3A32">
      <w:pPr>
        <w:rPr>
          <w:rFonts w:cs="Times New Roman"/>
          <w:lang w:bidi="bn-IN"/>
        </w:rPr>
      </w:pPr>
    </w:p>
    <w:p w14:paraId="7A6F5A70" w14:textId="77777777" w:rsidR="00FE3A32" w:rsidRDefault="00FE3A32" w:rsidP="00FE3A32">
      <w:pPr>
        <w:rPr>
          <w:rFonts w:cs="Times New Roman"/>
          <w:lang w:bidi="bn-IN"/>
        </w:rPr>
      </w:pPr>
    </w:p>
    <w:p w14:paraId="1CED75F2" w14:textId="77777777" w:rsidR="00FE3A32" w:rsidRDefault="00FE3A32" w:rsidP="00FE3A32">
      <w:pPr>
        <w:rPr>
          <w:rFonts w:cs="Times New Roman"/>
          <w:lang w:bidi="bn-IN"/>
        </w:rPr>
      </w:pPr>
    </w:p>
    <w:p w14:paraId="5CD2971C" w14:textId="77777777" w:rsidR="00FE3A32" w:rsidRDefault="00FE3A32" w:rsidP="00FE3A32">
      <w:pPr>
        <w:rPr>
          <w:rFonts w:cs="Times New Roman"/>
          <w:lang w:bidi="bn-IN"/>
        </w:rPr>
      </w:pPr>
    </w:p>
    <w:p w14:paraId="15FBF0FB" w14:textId="77777777" w:rsidR="00FE3A32" w:rsidRDefault="00FE3A32" w:rsidP="00FE3A32">
      <w:pPr>
        <w:rPr>
          <w:rFonts w:cs="Times New Roman"/>
          <w:lang w:bidi="bn-IN"/>
        </w:rPr>
      </w:pPr>
    </w:p>
    <w:p w14:paraId="7D587E8F" w14:textId="77777777" w:rsidR="00FE3A32" w:rsidRDefault="00FE3A32" w:rsidP="00FE3A32">
      <w:pPr>
        <w:rPr>
          <w:rFonts w:cs="Times New Roman"/>
          <w:lang w:bidi="bn-IN"/>
        </w:rPr>
      </w:pPr>
    </w:p>
    <w:p w14:paraId="46FC28B0" w14:textId="77777777" w:rsidR="00FE3A32" w:rsidRDefault="00FE3A32" w:rsidP="00FE3A32">
      <w:pPr>
        <w:rPr>
          <w:rFonts w:cs="Times New Roman"/>
          <w:lang w:bidi="bn-IN"/>
        </w:rPr>
      </w:pPr>
    </w:p>
    <w:p w14:paraId="52B1C1C7" w14:textId="77777777" w:rsidR="00FE3A32" w:rsidRDefault="00FE3A32" w:rsidP="00FE3A32">
      <w:pPr>
        <w:rPr>
          <w:rFonts w:cs="Times New Roman"/>
          <w:lang w:bidi="bn-IN"/>
        </w:rPr>
      </w:pPr>
    </w:p>
    <w:p w14:paraId="0863C0F8" w14:textId="77777777" w:rsidR="00FE3A32" w:rsidRDefault="00FE3A32" w:rsidP="00FE3A32">
      <w:pPr>
        <w:rPr>
          <w:rFonts w:cs="Times New Roman"/>
          <w:lang w:bidi="bn-IN"/>
        </w:rPr>
      </w:pPr>
    </w:p>
    <w:p w14:paraId="75EE9D1E" w14:textId="77777777" w:rsidR="00FE3A32" w:rsidRDefault="00FE3A32" w:rsidP="00FE3A32">
      <w:pPr>
        <w:rPr>
          <w:rFonts w:cs="Times New Roman"/>
          <w:lang w:bidi="bn-IN"/>
        </w:rPr>
      </w:pPr>
    </w:p>
    <w:p w14:paraId="5E0E7C7C" w14:textId="77777777" w:rsidR="00FE3A32" w:rsidRDefault="00FE3A32" w:rsidP="00FE3A32">
      <w:pPr>
        <w:rPr>
          <w:rFonts w:cs="Times New Roman"/>
          <w:lang w:bidi="bn-IN"/>
        </w:rPr>
      </w:pPr>
    </w:p>
    <w:p w14:paraId="6CCA9329" w14:textId="77777777" w:rsidR="00FE3A32" w:rsidRDefault="00FE3A32" w:rsidP="00FE3A32">
      <w:pPr>
        <w:pStyle w:val="Heading1"/>
        <w:rPr>
          <w:rFonts w:cs="Times New Roman"/>
          <w:lang w:bidi="bn-IN"/>
        </w:rPr>
      </w:pPr>
    </w:p>
    <w:p w14:paraId="327C7E3C" w14:textId="77777777" w:rsidR="00FE3A32" w:rsidRDefault="00FE3A32" w:rsidP="00FE3A32">
      <w:pPr>
        <w:pStyle w:val="Heading1"/>
        <w:rPr>
          <w:lang w:bidi="bn-IN"/>
        </w:rPr>
      </w:pPr>
      <w:r>
        <w:rPr>
          <w:b w:val="0"/>
          <w:kern w:val="0"/>
          <w:lang w:bidi="bn-IN"/>
        </w:rPr>
        <w:br w:type="page"/>
      </w:r>
      <w:bookmarkStart w:id="3" w:name="_Toc148724032"/>
      <w:r>
        <w:rPr>
          <w:lang w:bidi="bn-IN"/>
        </w:rPr>
        <w:lastRenderedPageBreak/>
        <w:t>Total revenue Analysis of Mandarin Oriental Hotel Group and Premier Inn</w:t>
      </w:r>
      <w:bookmarkEnd w:id="3"/>
      <w:r>
        <w:rPr>
          <w:lang w:bidi="bn-IN"/>
        </w:rPr>
        <w:t xml:space="preserve"> </w:t>
      </w:r>
    </w:p>
    <w:p w14:paraId="6D03A4D4" w14:textId="77777777" w:rsidR="00FE3A32" w:rsidRDefault="00FE3A32" w:rsidP="00FE3A32">
      <w:pPr>
        <w:rPr>
          <w:rFonts w:cs="Times New Roman"/>
          <w:b/>
          <w:bCs/>
          <w:u w:val="single"/>
          <w:lang w:bidi="bn-IN"/>
        </w:rPr>
      </w:pPr>
      <w:r>
        <w:rPr>
          <w:rFonts w:cs="Times New Roman"/>
          <w:b/>
          <w:bCs/>
          <w:u w:val="single"/>
          <w:lang w:bidi="bn-IN"/>
        </w:rPr>
        <w:t>Mandarin Oriental Hotel Group: A Resilient Recovery</w:t>
      </w:r>
    </w:p>
    <w:p w14:paraId="3FD73B79" w14:textId="77777777" w:rsidR="00FE3A32" w:rsidRDefault="00FE3A32" w:rsidP="00FE3A32">
      <w:pPr>
        <w:rPr>
          <w:rFonts w:cs="Times New Roman"/>
          <w:lang w:bidi="bn-IN"/>
        </w:rPr>
      </w:pPr>
      <w:r>
        <w:rPr>
          <w:rFonts w:cs="Times New Roman"/>
          <w:lang w:bidi="bn-IN"/>
        </w:rPr>
        <w:t>The Mandarin Oriental Hotel Group recovered well in 2022 after the global epidemic. The Group's hotel revenue hit $1.6 billion, up 18% from the year before the pandemic in 2019. Travel restrictions were lifted in most countries in the first three months of 2022, spurring the rebound. Demand and occupancy rates were highest in Europe, the Middle East, and America, where the Group succeeded. East Asia, particularly China and Japan, struggled to recover during the year due to travel restrictions. Despite these challenges, the Group's financial performance improved, with total revenues rising 49% since 2021, ensuring a return to profitability (Mandarin Oriental Hotel Group, 2023).</w:t>
      </w:r>
    </w:p>
    <w:p w14:paraId="3F115E82" w14:textId="77777777" w:rsidR="00FE3A32" w:rsidRDefault="00FE3A32" w:rsidP="00FE3A32">
      <w:pPr>
        <w:rPr>
          <w:rFonts w:cs="Times New Roman"/>
          <w:b/>
          <w:bCs/>
          <w:lang w:bidi="bn-IN"/>
        </w:rPr>
      </w:pPr>
      <w:r>
        <w:rPr>
          <w:rFonts w:cs="Times New Roman"/>
          <w:b/>
          <w:bCs/>
          <w:lang w:bidi="bn-IN"/>
        </w:rPr>
        <w:t>Digital Transformation and Sustainable Practices:</w:t>
      </w:r>
    </w:p>
    <w:p w14:paraId="18637AFE" w14:textId="77777777" w:rsidR="00FE3A32" w:rsidRDefault="00FE3A32" w:rsidP="00FE3A32">
      <w:pPr>
        <w:rPr>
          <w:rFonts w:cs="Times New Roman"/>
          <w:lang w:bidi="bn-IN"/>
        </w:rPr>
      </w:pPr>
      <w:r>
        <w:rPr>
          <w:rFonts w:cs="Times New Roman"/>
          <w:lang w:bidi="bn-IN"/>
        </w:rPr>
        <w:t>In 2022, the Group relaunched mandarinoriental.com to improve visitor digital experiences. This was part of their sustainable business practises. This restructure attempted to boost digital sales revenue. The guest recognition program Fans of M.O. has grown 32% to over 1.4 million members since 2021. Mandarin Oriental Exclusive houses are luxurious private homes that expand the Group's footprint. In an impressive effort, the Group eliminated 99% of single-use plastics from its hotel portfolio, demonstrating its environmental commitment (Mandarin Oriental Hotel Group, 2023).</w:t>
      </w:r>
    </w:p>
    <w:p w14:paraId="3B722CFA" w14:textId="77777777" w:rsidR="00FE3A32" w:rsidRDefault="00FE3A32" w:rsidP="00FE3A32">
      <w:pPr>
        <w:rPr>
          <w:rFonts w:cs="Times New Roman"/>
          <w:b/>
          <w:bCs/>
          <w:lang w:bidi="bn-IN"/>
        </w:rPr>
      </w:pPr>
      <w:r>
        <w:rPr>
          <w:rFonts w:cs="Times New Roman"/>
          <w:b/>
          <w:bCs/>
          <w:lang w:bidi="bn-IN"/>
        </w:rPr>
        <w:t>Geographic Variations in Performance:</w:t>
      </w:r>
    </w:p>
    <w:p w14:paraId="26345055" w14:textId="77777777" w:rsidR="00FE3A32" w:rsidRDefault="00FE3A32" w:rsidP="00FE3A32">
      <w:pPr>
        <w:rPr>
          <w:rFonts w:cs="Times New Roman"/>
          <w:lang w:bidi="bn-IN"/>
        </w:rPr>
      </w:pPr>
      <w:r>
        <w:rPr>
          <w:rFonts w:cs="Times New Roman"/>
          <w:lang w:bidi="bn-IN"/>
        </w:rPr>
        <w:t>Prolonged travel restrictions hurt Asia, whereas EMEA and the Americas rebounded. The progressive relaxation of limitations in Southeast Asia improved financial performance quarter after quarter. Travel restrictions for visitors at the Group's hotels in China and Japan hurt demand and profitability in these key regions (Mandarin Oriental Hotel Group, 2023).</w:t>
      </w:r>
    </w:p>
    <w:p w14:paraId="3FFA9ABB" w14:textId="77777777" w:rsidR="00FE3A32" w:rsidRDefault="00FE3A32" w:rsidP="00FE3A32">
      <w:pPr>
        <w:rPr>
          <w:rFonts w:cs="Times New Roman"/>
          <w:b/>
          <w:bCs/>
          <w:u w:val="single"/>
          <w:lang w:bidi="bn-IN"/>
        </w:rPr>
      </w:pPr>
      <w:r>
        <w:rPr>
          <w:rFonts w:cs="Times New Roman"/>
          <w:b/>
          <w:bCs/>
          <w:u w:val="single"/>
          <w:lang w:bidi="bn-IN"/>
        </w:rPr>
        <w:t>Premier Inn: Navigating a Dynamic Market</w:t>
      </w:r>
    </w:p>
    <w:p w14:paraId="0C0EC736" w14:textId="77777777" w:rsidR="00FE3A32" w:rsidRDefault="00FE3A32" w:rsidP="00FE3A32">
      <w:pPr>
        <w:rPr>
          <w:rFonts w:cs="Times New Roman"/>
          <w:lang w:bidi="bn-IN"/>
        </w:rPr>
      </w:pPr>
      <w:r>
        <w:rPr>
          <w:rFonts w:cs="Times New Roman"/>
          <w:lang w:bidi="bn-IN"/>
        </w:rPr>
        <w:t xml:space="preserve">Premier Inn's financial year 2021/22, which ended on March 31, 2022, saw a return to profitability and resiliency despite ongoing issues. The adjusted loss before tax dropped to £15.8 million from £635.1 million last year, improving the company's finances. The 189% increase in statutory revenues shows that the corporation rebounded when limits were lifted. UK revenue recovered strongly after the pandemic. Despite government restrictions affecting </w:t>
      </w:r>
      <w:r>
        <w:rPr>
          <w:rFonts w:cs="Times New Roman"/>
          <w:lang w:bidi="bn-IN"/>
        </w:rPr>
        <w:lastRenderedPageBreak/>
        <w:t>the first quarter. Premier Inn outperformed the midscale and economy hotel market by 14.8 percentage points overall and 17.3 percentage points in the second half (Premier Inn, 2023).</w:t>
      </w:r>
    </w:p>
    <w:p w14:paraId="2DFD1CD7" w14:textId="77777777" w:rsidR="00FE3A32" w:rsidRDefault="00FE3A32" w:rsidP="00FE3A32">
      <w:pPr>
        <w:rPr>
          <w:rFonts w:cs="Times New Roman"/>
          <w:b/>
          <w:bCs/>
          <w:lang w:bidi="bn-IN"/>
        </w:rPr>
      </w:pPr>
      <w:r>
        <w:rPr>
          <w:rFonts w:cs="Times New Roman"/>
          <w:b/>
          <w:bCs/>
          <w:lang w:bidi="bn-IN"/>
        </w:rPr>
        <w:t>Revenue Performance and Market Dynamics:</w:t>
      </w:r>
    </w:p>
    <w:p w14:paraId="62481CC0" w14:textId="77777777" w:rsidR="00FE3A32" w:rsidRDefault="00FE3A32" w:rsidP="00FE3A32">
      <w:pPr>
        <w:rPr>
          <w:rFonts w:cs="Times New Roman"/>
          <w:lang w:bidi="bn-IN"/>
        </w:rPr>
      </w:pPr>
      <w:r>
        <w:rPr>
          <w:rFonts w:cs="Times New Roman"/>
          <w:lang w:bidi="bn-IN"/>
        </w:rPr>
        <w:t>Premier Inn's UK lodging sales growth exceeded the market, and the Group made a small pre-tax profit. This is up over one billion pounds from last year. Despite industry issues, UK food and beverage sales were 163.4% more than predicted for 2020/21. Premier Inn faced more restrictions in Germany, affecting demand. Despite this, tourism-dependent areas saw strong sales throughout the summer (Premier Inn, 2023).</w:t>
      </w:r>
    </w:p>
    <w:p w14:paraId="0383D7E2" w14:textId="77777777" w:rsidR="00FE3A32" w:rsidRDefault="00FE3A32" w:rsidP="00FE3A32">
      <w:pPr>
        <w:rPr>
          <w:rFonts w:cs="Times New Roman"/>
          <w:b/>
          <w:bCs/>
          <w:lang w:bidi="bn-IN"/>
        </w:rPr>
      </w:pPr>
      <w:r>
        <w:rPr>
          <w:rFonts w:cs="Times New Roman"/>
          <w:b/>
          <w:bCs/>
          <w:lang w:bidi="bn-IN"/>
        </w:rPr>
        <w:t>Outlook and Confidence in Recovery:</w:t>
      </w:r>
    </w:p>
    <w:p w14:paraId="73FD9C51" w14:textId="77777777" w:rsidR="00FE3A32" w:rsidRDefault="00FE3A32" w:rsidP="00FE3A32">
      <w:pPr>
        <w:rPr>
          <w:rFonts w:cs="Times New Roman"/>
          <w:lang w:bidi="bn-IN"/>
        </w:rPr>
      </w:pPr>
      <w:r>
        <w:rPr>
          <w:rFonts w:cs="Times New Roman"/>
          <w:lang w:bidi="bn-IN"/>
        </w:rPr>
        <w:t>Premier Inn's strong sales recovery gives it confidence in returning to pre-pandemic UK profitability and profit margins. Despite increasing cost challenges, the company remains hopeful about overcoming them. As prohibitions were lifted throughout the year, trading in Germany picked up (Premier Inn, 2023).</w:t>
      </w:r>
    </w:p>
    <w:p w14:paraId="6362B780" w14:textId="77777777" w:rsidR="00FE3A32" w:rsidRDefault="00FE3A32" w:rsidP="00FE3A32">
      <w:pPr>
        <w:rPr>
          <w:rFonts w:cs="Times New Roman"/>
          <w:lang w:bidi="bn-IN"/>
        </w:rPr>
      </w:pPr>
      <w:proofErr w:type="gramStart"/>
      <w:r>
        <w:rPr>
          <w:rFonts w:cs="Times New Roman"/>
          <w:b/>
          <w:bCs/>
          <w:u w:val="single"/>
          <w:lang w:bidi="bn-IN"/>
        </w:rPr>
        <w:t>Comparative  Analysis</w:t>
      </w:r>
      <w:proofErr w:type="gramEnd"/>
      <w:r>
        <w:rPr>
          <w:rFonts w:cs="Times New Roman"/>
          <w:b/>
          <w:bCs/>
          <w:u w:val="single"/>
          <w:lang w:bidi="bn-IN"/>
        </w:rPr>
        <w:t>:</w:t>
      </w:r>
    </w:p>
    <w:p w14:paraId="5D268EE0" w14:textId="77777777" w:rsidR="00FE3A32" w:rsidRDefault="00FE3A32" w:rsidP="00FE3A32">
      <w:pPr>
        <w:rPr>
          <w:rFonts w:cs="Times New Roman"/>
          <w:lang w:bidi="bn-IN"/>
        </w:rPr>
      </w:pPr>
      <w:r>
        <w:rPr>
          <w:rFonts w:cs="Times New Roman"/>
          <w:lang w:bidi="bn-IN"/>
        </w:rPr>
        <w:t>Mandarin Oriental performed well due to a global rise in premium hospitality, especially in countries with less travel restrictions. Mandarin Oriental thrived on this demand comeback, as both companies recovered. The Group's targeted digital improvements and environmental efforts meet guests' increased expectations. In contrast, Premier Inn has outperformed the competition and returned to profitability in the economy and mid-market divisions. Comparative research shows that luxury vs. mid-market hotels, regional exposure, and digital techniques influence the hotel comeback.</w:t>
      </w:r>
    </w:p>
    <w:p w14:paraId="2B441E5D" w14:textId="77777777" w:rsidR="00FE3A32" w:rsidRDefault="00FE3A32" w:rsidP="00FE3A32">
      <w:pPr>
        <w:pStyle w:val="Heading1"/>
        <w:rPr>
          <w:lang w:bidi="bn-IN"/>
        </w:rPr>
      </w:pPr>
      <w:r>
        <w:rPr>
          <w:b w:val="0"/>
          <w:kern w:val="0"/>
          <w:lang w:bidi="bn-IN"/>
        </w:rPr>
        <w:br w:type="page"/>
      </w:r>
      <w:bookmarkStart w:id="4" w:name="_Toc148724033"/>
      <w:r>
        <w:rPr>
          <w:lang w:bidi="bn-IN"/>
        </w:rPr>
        <w:lastRenderedPageBreak/>
        <w:t>Mandarin Oriental Hotel Group and Premier Inn’s market positions</w:t>
      </w:r>
      <w:bookmarkEnd w:id="4"/>
    </w:p>
    <w:p w14:paraId="6F4D9A58" w14:textId="77777777" w:rsidR="00FE3A32" w:rsidRDefault="00FE3A32" w:rsidP="00FE3A32">
      <w:pPr>
        <w:rPr>
          <w:rFonts w:cs="Times New Roman"/>
          <w:b/>
          <w:bCs/>
          <w:u w:val="single"/>
          <w:lang w:bidi="bn-IN"/>
        </w:rPr>
      </w:pPr>
      <w:r>
        <w:rPr>
          <w:rFonts w:cs="Times New Roman"/>
          <w:b/>
          <w:bCs/>
          <w:u w:val="single"/>
          <w:lang w:bidi="bn-IN"/>
        </w:rPr>
        <w:t>Mandarin Oriental Hotel Group: Market Positioning Analysis</w:t>
      </w:r>
    </w:p>
    <w:p w14:paraId="0F270387" w14:textId="77777777" w:rsidR="00FE3A32" w:rsidRDefault="00FE3A32" w:rsidP="00FE3A32">
      <w:pPr>
        <w:rPr>
          <w:rFonts w:cs="Times New Roman"/>
          <w:lang w:bidi="bn-IN"/>
        </w:rPr>
      </w:pPr>
      <w:r>
        <w:rPr>
          <w:rFonts w:cs="Times New Roman"/>
          <w:lang w:bidi="bn-IN"/>
        </w:rPr>
        <w:t>Mandarin Oriental Hotel Group is unique in international premium hospitality. After 60 years, the group has become a global brand. It operates 36 premium hotels and nine homes in 24 countries and territories. This gives the company a competitive edge due to its eastern history, local culture, and unique style. Mandarin Oriental is known worldwide for its excellent service and quality management, solidifying its position as a premium hospitality leader (Mandarin Oriental Hotel Group, 2023).</w:t>
      </w:r>
    </w:p>
    <w:p w14:paraId="66BF18B3" w14:textId="77777777" w:rsidR="00FE3A32" w:rsidRDefault="00FE3A32" w:rsidP="00FE3A32">
      <w:pPr>
        <w:rPr>
          <w:rFonts w:cs="Times New Roman"/>
          <w:lang w:bidi="bn-IN"/>
        </w:rPr>
      </w:pPr>
      <w:r>
        <w:rPr>
          <w:rFonts w:cs="Times New Roman"/>
          <w:lang w:bidi="bn-IN"/>
        </w:rPr>
        <w:t>The group's market positioning emphasizes innovation and selective expansion to maximize short-term profitability and long-term shareholder value. The company's focus on equity ownership in properties and its large adjusted net assets, projected at $4.9 billion in December 2022, support its market position. Mandarin Oriental has a prominent presence across Asia, Europe, the Middle East, and Africa due to its strategic commitment to serving a diverse and discriminating customer base. As a Jardine Matheson Group affiliate, Mandarin Oriental has a larger corporate umbrella, which boosts its market power (Mandarin Oriental Hotel Group, 2023).</w:t>
      </w:r>
    </w:p>
    <w:p w14:paraId="4C236FE1" w14:textId="77777777" w:rsidR="00FE3A32" w:rsidRDefault="00FE3A32" w:rsidP="00FE3A32">
      <w:pPr>
        <w:rPr>
          <w:rFonts w:cs="Times New Roman"/>
          <w:b/>
          <w:bCs/>
          <w:lang w:bidi="bn-IN"/>
        </w:rPr>
      </w:pPr>
      <w:r>
        <w:rPr>
          <w:rFonts w:cs="Times New Roman"/>
          <w:b/>
          <w:bCs/>
          <w:lang w:bidi="bn-IN"/>
        </w:rPr>
        <w:t>Premier Inn: Market Positioning Analysis</w:t>
      </w:r>
    </w:p>
    <w:p w14:paraId="0687F750" w14:textId="77777777" w:rsidR="00FE3A32" w:rsidRDefault="00FE3A32" w:rsidP="00FE3A32">
      <w:pPr>
        <w:rPr>
          <w:rFonts w:cs="Times New Roman"/>
          <w:lang w:bidi="bn-IN"/>
        </w:rPr>
      </w:pPr>
      <w:r>
        <w:rPr>
          <w:rFonts w:cs="Times New Roman"/>
          <w:lang w:bidi="bn-IN"/>
        </w:rPr>
        <w:t>Premier Inn, which concentrates on the UK market, has a 10% market share in 2020/21. The company lost a little market share from 11% last year. The brand's market share shows its popularity and awareness, and its strength is its UK market dominance. Premier Inn is noted for its midscale and economy services, which cater to a varied clientele seeking reliable and affordable housing (Premier Inn, 2023).</w:t>
      </w:r>
    </w:p>
    <w:p w14:paraId="2927731C" w14:textId="77777777" w:rsidR="00FE3A32" w:rsidRDefault="00FE3A32" w:rsidP="00FE3A32">
      <w:pPr>
        <w:rPr>
          <w:rFonts w:cs="Times New Roman"/>
          <w:lang w:bidi="bn-IN"/>
        </w:rPr>
      </w:pPr>
      <w:r>
        <w:rPr>
          <w:rFonts w:cs="Times New Roman"/>
          <w:lang w:bidi="bn-IN"/>
        </w:rPr>
        <w:t>Premier Inn's great revenue recovery and outperformance over midscale and economy hotels are due to its market placement. The brand's strategic posture is resilient and adaptable, as shown by the restoration to a tiny statutory profit before tax in 2021/22. Premier Inn's German presence diversifies its global reach and emphasizes speedy expansion despite tougher constraints. Even if Premier Inn must follow extra rules (Premier Inn, 2023).</w:t>
      </w:r>
    </w:p>
    <w:p w14:paraId="66725E44" w14:textId="77777777" w:rsidR="00FE3A32" w:rsidRDefault="00FE3A32" w:rsidP="00FE3A32">
      <w:pPr>
        <w:rPr>
          <w:rFonts w:cs="Times New Roman"/>
          <w:b/>
          <w:bCs/>
          <w:u w:val="single"/>
          <w:lang w:bidi="bn-IN"/>
        </w:rPr>
      </w:pPr>
    </w:p>
    <w:p w14:paraId="64415BB6" w14:textId="77777777" w:rsidR="00FE3A32" w:rsidRDefault="00FE3A32" w:rsidP="00FE3A32">
      <w:pPr>
        <w:rPr>
          <w:rFonts w:cs="Times New Roman"/>
          <w:b/>
          <w:bCs/>
          <w:u w:val="single"/>
          <w:lang w:bidi="bn-IN"/>
        </w:rPr>
      </w:pPr>
    </w:p>
    <w:p w14:paraId="2FEAA52F" w14:textId="3A683F97" w:rsidR="00FE3A32" w:rsidRDefault="00FE3A32" w:rsidP="00FE3A32">
      <w:pPr>
        <w:rPr>
          <w:rFonts w:cs="Times New Roman"/>
          <w:lang w:bidi="bn-IN"/>
        </w:rPr>
      </w:pPr>
      <w:r>
        <w:rPr>
          <w:rFonts w:cs="Times New Roman"/>
          <w:b/>
          <w:bCs/>
          <w:u w:val="single"/>
          <w:lang w:bidi="bn-IN"/>
        </w:rPr>
        <w:lastRenderedPageBreak/>
        <w:t>Comparative Discussion</w:t>
      </w:r>
      <w:r>
        <w:rPr>
          <w:rFonts w:cs="Times New Roman"/>
          <w:lang w:bidi="bn-IN"/>
        </w:rPr>
        <w:t>:</w:t>
      </w:r>
    </w:p>
    <w:p w14:paraId="57CFC9C6" w14:textId="77777777" w:rsidR="00FE3A32" w:rsidRDefault="00FE3A32" w:rsidP="00FE3A32">
      <w:pPr>
        <w:rPr>
          <w:rFonts w:cs="Times New Roman"/>
          <w:lang w:bidi="bn-IN"/>
        </w:rPr>
      </w:pPr>
      <w:r>
        <w:rPr>
          <w:rFonts w:cs="Times New Roman"/>
          <w:lang w:bidi="bn-IN"/>
        </w:rPr>
        <w:t>Mandarin Oriental and Premier Inn serve varied hospitality markets. Mandarin Oriental is known for luxury, yet Premier Inn focuses on affordability. Mandarin Oriental prioritizes innovation and global expansion to provide a premium experience. The hotel's many service accolades demonstrate this dedication. Strong equity and financial positions help the brand maintain its market position.</w:t>
      </w:r>
    </w:p>
    <w:p w14:paraId="597C98A1" w14:textId="77777777" w:rsidR="00FE3A32" w:rsidRDefault="00FE3A32" w:rsidP="00FE3A32">
      <w:pPr>
        <w:rPr>
          <w:rFonts w:cs="Times New Roman"/>
          <w:lang w:bidi="bn-IN"/>
        </w:rPr>
      </w:pPr>
      <w:r>
        <w:rPr>
          <w:rFonts w:cs="Times New Roman"/>
          <w:lang w:bidi="bn-IN"/>
        </w:rPr>
        <w:t>However, Premier Inn's leading position in the UK market attracts a diverse clientele looking for reliable and economical accommodations. The brand's ability to beat the market and return to profitability shows excellent strategic responses to market challenges.</w:t>
      </w:r>
    </w:p>
    <w:p w14:paraId="1BF84151" w14:textId="77777777" w:rsidR="00FE3A32" w:rsidRDefault="00FE3A32" w:rsidP="00FE3A32">
      <w:pPr>
        <w:rPr>
          <w:rFonts w:cs="Times New Roman"/>
          <w:lang w:bidi="bn-IN"/>
        </w:rPr>
      </w:pPr>
    </w:p>
    <w:p w14:paraId="1DEE7853" w14:textId="77777777" w:rsidR="00FE3A32" w:rsidRDefault="00FE3A32" w:rsidP="00FE3A32">
      <w:pPr>
        <w:rPr>
          <w:rFonts w:cs="Times New Roman"/>
          <w:lang w:bidi="bn-IN"/>
        </w:rPr>
      </w:pPr>
    </w:p>
    <w:p w14:paraId="608ACEF5" w14:textId="77777777" w:rsidR="00FE3A32" w:rsidRDefault="00FE3A32" w:rsidP="00FE3A32">
      <w:pPr>
        <w:rPr>
          <w:rFonts w:cs="Times New Roman"/>
          <w:lang w:bidi="bn-IN"/>
        </w:rPr>
      </w:pPr>
    </w:p>
    <w:p w14:paraId="48327FCB" w14:textId="77777777" w:rsidR="00FE3A32" w:rsidRDefault="00FE3A32" w:rsidP="00FE3A32">
      <w:pPr>
        <w:rPr>
          <w:rFonts w:cs="Times New Roman"/>
          <w:lang w:bidi="bn-IN"/>
        </w:rPr>
      </w:pPr>
    </w:p>
    <w:p w14:paraId="545D7313" w14:textId="77777777" w:rsidR="00FE3A32" w:rsidRDefault="00FE3A32" w:rsidP="00FE3A32">
      <w:pPr>
        <w:rPr>
          <w:rFonts w:cs="Times New Roman"/>
          <w:lang w:bidi="bn-IN"/>
        </w:rPr>
      </w:pPr>
    </w:p>
    <w:p w14:paraId="20148210" w14:textId="77777777" w:rsidR="00FE3A32" w:rsidRDefault="00FE3A32" w:rsidP="00FE3A32">
      <w:pPr>
        <w:rPr>
          <w:rFonts w:cs="Times New Roman"/>
          <w:lang w:bidi="bn-IN"/>
        </w:rPr>
      </w:pPr>
      <w:r>
        <w:rPr>
          <w:rFonts w:cs="Times New Roman"/>
          <w:lang w:bidi="bn-IN"/>
        </w:rPr>
        <w:br w:type="page"/>
      </w:r>
    </w:p>
    <w:p w14:paraId="4DCE5157" w14:textId="77777777" w:rsidR="00FE3A32" w:rsidRDefault="00FE3A32" w:rsidP="00FE3A32">
      <w:pPr>
        <w:pStyle w:val="Heading1"/>
        <w:rPr>
          <w:lang w:bidi="bn-IN"/>
        </w:rPr>
      </w:pPr>
      <w:bookmarkStart w:id="5" w:name="_Toc148724034"/>
      <w:r>
        <w:rPr>
          <w:lang w:bidi="bn-IN"/>
        </w:rPr>
        <w:lastRenderedPageBreak/>
        <w:t>Evaluation of each organization's potential for growth</w:t>
      </w:r>
      <w:bookmarkEnd w:id="5"/>
    </w:p>
    <w:p w14:paraId="7F1352EA" w14:textId="77777777" w:rsidR="00FE3A32" w:rsidRDefault="00FE3A32" w:rsidP="00FE3A32">
      <w:pPr>
        <w:rPr>
          <w:rFonts w:cs="Times New Roman"/>
          <w:b/>
          <w:bCs/>
          <w:u w:val="single"/>
          <w:lang w:bidi="bn-IN"/>
        </w:rPr>
      </w:pPr>
      <w:r>
        <w:rPr>
          <w:rFonts w:cs="Times New Roman"/>
          <w:b/>
          <w:bCs/>
          <w:u w:val="single"/>
          <w:lang w:bidi="bn-IN"/>
        </w:rPr>
        <w:t>Mandarin Oriental Hotel Group:</w:t>
      </w:r>
    </w:p>
    <w:p w14:paraId="2360D2D2" w14:textId="77777777" w:rsidR="00FE3A32" w:rsidRDefault="00FE3A32" w:rsidP="00FE3A32">
      <w:pPr>
        <w:rPr>
          <w:rFonts w:cs="Times New Roman"/>
          <w:lang w:bidi="bn-IN"/>
        </w:rPr>
      </w:pPr>
      <w:r>
        <w:rPr>
          <w:rFonts w:cs="Times New Roman"/>
          <w:lang w:bidi="bn-IN"/>
        </w:rPr>
        <w:t>Mandarin Oriental is at the top of the luxury market due to its emphasis on oriental history, distinctive style, and exceptional service, which has laid the groundwork for its growth (</w:t>
      </w:r>
      <w:proofErr w:type="spellStart"/>
      <w:r>
        <w:rPr>
          <w:rFonts w:cs="Times New Roman"/>
          <w:lang w:bidi="bn-IN"/>
        </w:rPr>
        <w:t>Buhalis</w:t>
      </w:r>
      <w:proofErr w:type="spellEnd"/>
      <w:r>
        <w:rPr>
          <w:rFonts w:cs="Times New Roman"/>
          <w:lang w:bidi="bn-IN"/>
        </w:rPr>
        <w:t xml:space="preserve"> and Costa, 2016).</w:t>
      </w:r>
    </w:p>
    <w:p w14:paraId="548486D9" w14:textId="77777777" w:rsidR="00FE3A32" w:rsidRDefault="00FE3A32" w:rsidP="00FE3A32">
      <w:pPr>
        <w:rPr>
          <w:rFonts w:cs="Times New Roman"/>
          <w:lang w:bidi="bn-IN"/>
        </w:rPr>
      </w:pPr>
      <w:r>
        <w:rPr>
          <w:rFonts w:cs="Times New Roman"/>
          <w:lang w:bidi="bn-IN"/>
        </w:rPr>
        <w:t xml:space="preserve"> </w:t>
      </w:r>
      <w:r>
        <w:rPr>
          <w:rFonts w:cs="Times New Roman"/>
          <w:b/>
          <w:bCs/>
          <w:lang w:bidi="bn-IN"/>
        </w:rPr>
        <w:t>Strategic Expansion Initiatives:</w:t>
      </w:r>
    </w:p>
    <w:p w14:paraId="7B361463" w14:textId="77777777" w:rsidR="00FE3A32" w:rsidRDefault="00FE3A32" w:rsidP="00FE3A32">
      <w:pPr>
        <w:rPr>
          <w:rFonts w:cs="Times New Roman"/>
          <w:lang w:bidi="bn-IN"/>
        </w:rPr>
      </w:pPr>
      <w:r>
        <w:rPr>
          <w:rFonts w:cs="Times New Roman"/>
          <w:lang w:bidi="bn-IN"/>
        </w:rPr>
        <w:t>Strategic expansion strategies boost Mandarin Oriental's growth potential. A strong pipeline of hotels and apartments under development shows the Group's commitment to worldwide expansion. The brand seeks opportune opportunities to expand its presence and ensure that each new property meets the Group's luxury and authenticity standards (Cooper et al., 2016).</w:t>
      </w:r>
    </w:p>
    <w:p w14:paraId="64B906D5" w14:textId="77777777" w:rsidR="00FE3A32" w:rsidRDefault="00FE3A32" w:rsidP="00FE3A32">
      <w:pPr>
        <w:rPr>
          <w:rFonts w:cs="Times New Roman"/>
          <w:lang w:bidi="bn-IN"/>
        </w:rPr>
      </w:pPr>
      <w:r>
        <w:rPr>
          <w:rFonts w:cs="Times New Roman"/>
          <w:b/>
          <w:bCs/>
          <w:lang w:bidi="bn-IN"/>
        </w:rPr>
        <w:t>Market Opportunities:</w:t>
      </w:r>
    </w:p>
    <w:p w14:paraId="294816BC" w14:textId="77777777" w:rsidR="00FE3A32" w:rsidRDefault="00FE3A32" w:rsidP="00FE3A32">
      <w:pPr>
        <w:rPr>
          <w:rFonts w:cs="Times New Roman"/>
          <w:lang w:bidi="bn-IN"/>
        </w:rPr>
      </w:pPr>
      <w:r>
        <w:rPr>
          <w:rFonts w:cs="Times New Roman"/>
          <w:lang w:bidi="bn-IN"/>
        </w:rPr>
        <w:t xml:space="preserve">Mandarin Oriental thrives in the luxury hotel industry, which is growing due to high-net-worth clients' demand for exclusive and personalized experiences. New locales and changing tourist </w:t>
      </w:r>
      <w:proofErr w:type="gramStart"/>
      <w:r>
        <w:rPr>
          <w:rFonts w:cs="Times New Roman"/>
          <w:lang w:bidi="bn-IN"/>
        </w:rPr>
        <w:t>tastes</w:t>
      </w:r>
      <w:proofErr w:type="gramEnd"/>
      <w:r>
        <w:rPr>
          <w:rFonts w:cs="Times New Roman"/>
          <w:lang w:bidi="bn-IN"/>
        </w:rPr>
        <w:t xml:space="preserve"> present business opportunities. Mandarin Oriental's ability to blend local culture into its hotels and resorts offers it a competitive edge, allowing it to capture each location's personality and meet luxury travel industry standards (Hall and Page, 2014).</w:t>
      </w:r>
    </w:p>
    <w:p w14:paraId="4D9CFFB7" w14:textId="77777777" w:rsidR="00FE3A32" w:rsidRDefault="00FE3A32" w:rsidP="00FE3A32">
      <w:pPr>
        <w:rPr>
          <w:rFonts w:cs="Times New Roman"/>
          <w:lang w:bidi="bn-IN"/>
        </w:rPr>
      </w:pPr>
      <w:r>
        <w:rPr>
          <w:rFonts w:cs="Times New Roman"/>
          <w:b/>
          <w:bCs/>
          <w:lang w:bidi="bn-IN"/>
        </w:rPr>
        <w:t>Barriers to Growth:</w:t>
      </w:r>
      <w:r>
        <w:rPr>
          <w:rFonts w:cs="Times New Roman"/>
          <w:lang w:bidi="bn-IN"/>
        </w:rPr>
        <w:t xml:space="preserve"> </w:t>
      </w:r>
    </w:p>
    <w:p w14:paraId="1B0AEC05" w14:textId="77777777" w:rsidR="00FE3A32" w:rsidRDefault="00FE3A32" w:rsidP="00FE3A32">
      <w:pPr>
        <w:rPr>
          <w:rFonts w:cs="Times New Roman"/>
          <w:lang w:bidi="bn-IN"/>
        </w:rPr>
      </w:pPr>
      <w:r>
        <w:rPr>
          <w:rFonts w:cs="Times New Roman"/>
          <w:lang w:bidi="bn-IN"/>
        </w:rPr>
        <w:t xml:space="preserve">Mandarin Oriental faces many challenges, particularly in East Asia, where travel restrictions have slowed recovery. Navigating global markets, cultural differences, and regulatory systems can be tough. Economic downturns may reduce discretionary spending, which might hurt luxury travel. The luxury industry may be at risk (Kozak and </w:t>
      </w:r>
      <w:proofErr w:type="spellStart"/>
      <w:r>
        <w:rPr>
          <w:rFonts w:cs="Times New Roman"/>
          <w:lang w:bidi="bn-IN"/>
        </w:rPr>
        <w:t>Baloglu</w:t>
      </w:r>
      <w:proofErr w:type="spellEnd"/>
      <w:r>
        <w:rPr>
          <w:rFonts w:cs="Times New Roman"/>
          <w:lang w:bidi="bn-IN"/>
        </w:rPr>
        <w:t>, 2021).</w:t>
      </w:r>
    </w:p>
    <w:p w14:paraId="0D0D3BCF" w14:textId="77777777" w:rsidR="00FE3A32" w:rsidRDefault="00FE3A32" w:rsidP="00FE3A32">
      <w:pPr>
        <w:rPr>
          <w:rFonts w:cs="Times New Roman"/>
          <w:b/>
          <w:bCs/>
          <w:lang w:bidi="bn-IN"/>
        </w:rPr>
      </w:pPr>
      <w:r>
        <w:rPr>
          <w:rFonts w:cs="Times New Roman"/>
          <w:b/>
          <w:bCs/>
          <w:lang w:bidi="bn-IN"/>
        </w:rPr>
        <w:t>Premier Inn: Crafting a Narrative of Sustainable Growth</w:t>
      </w:r>
    </w:p>
    <w:p w14:paraId="4FBC2C52" w14:textId="77777777" w:rsidR="00FE3A32" w:rsidRDefault="00FE3A32" w:rsidP="00FE3A32">
      <w:pPr>
        <w:rPr>
          <w:rFonts w:cs="Times New Roman"/>
          <w:lang w:bidi="bn-IN"/>
        </w:rPr>
      </w:pPr>
      <w:r>
        <w:rPr>
          <w:rFonts w:cs="Times New Roman"/>
          <w:lang w:bidi="bn-IN"/>
        </w:rPr>
        <w:t>Premier Inn leads the UK market with 10% market share. Growth depends on the company's ability to adapt to market changes.</w:t>
      </w:r>
    </w:p>
    <w:p w14:paraId="00FD2181" w14:textId="77777777" w:rsidR="00FE3A32" w:rsidRDefault="00FE3A32" w:rsidP="00FE3A32">
      <w:pPr>
        <w:rPr>
          <w:rFonts w:cs="Times New Roman"/>
          <w:lang w:bidi="bn-IN"/>
        </w:rPr>
      </w:pPr>
      <w:r>
        <w:rPr>
          <w:rFonts w:cs="Times New Roman"/>
          <w:b/>
          <w:bCs/>
          <w:lang w:bidi="bn-IN"/>
        </w:rPr>
        <w:t>Strategic Expansion Initiatives:</w:t>
      </w:r>
    </w:p>
    <w:p w14:paraId="09FB11EE" w14:textId="77777777" w:rsidR="00FE3A32" w:rsidRDefault="00FE3A32" w:rsidP="00FE3A32">
      <w:pPr>
        <w:rPr>
          <w:rFonts w:cs="Times New Roman"/>
          <w:lang w:bidi="bn-IN"/>
        </w:rPr>
      </w:pPr>
      <w:r>
        <w:rPr>
          <w:rFonts w:cs="Times New Roman"/>
          <w:lang w:bidi="bn-IN"/>
        </w:rPr>
        <w:t xml:space="preserve">Premier Inn's growth is driven by strategic expansion, particularly in Germany and the UK. The brand is well-positioned to succeed because it can adapt its products and services to meet the changing needs of local and foreign tourists. Despite heightened restrictions, development </w:t>
      </w:r>
      <w:r>
        <w:rPr>
          <w:rFonts w:cs="Times New Roman"/>
          <w:lang w:bidi="bn-IN"/>
        </w:rPr>
        <w:lastRenderedPageBreak/>
        <w:t>into Germany shows a commitment to diversification and new market prospects (Morrison, 2013).</w:t>
      </w:r>
    </w:p>
    <w:p w14:paraId="7FEB968C" w14:textId="77777777" w:rsidR="00FE3A32" w:rsidRDefault="00FE3A32" w:rsidP="00FE3A32">
      <w:pPr>
        <w:rPr>
          <w:rFonts w:cs="Times New Roman"/>
          <w:b/>
          <w:bCs/>
          <w:lang w:bidi="bn-IN"/>
        </w:rPr>
      </w:pPr>
      <w:r>
        <w:rPr>
          <w:rFonts w:cs="Times New Roman"/>
          <w:b/>
          <w:bCs/>
          <w:lang w:bidi="bn-IN"/>
        </w:rPr>
        <w:t>Market Opportunities:</w:t>
      </w:r>
    </w:p>
    <w:p w14:paraId="0BFB8252" w14:textId="77777777" w:rsidR="00FE3A32" w:rsidRDefault="00FE3A32" w:rsidP="00FE3A32">
      <w:pPr>
        <w:rPr>
          <w:rFonts w:cs="Times New Roman"/>
          <w:lang w:bidi="bn-IN"/>
        </w:rPr>
      </w:pPr>
      <w:r>
        <w:rPr>
          <w:rFonts w:cs="Times New Roman"/>
          <w:lang w:bidi="bn-IN"/>
        </w:rPr>
        <w:t>Premier Inn's key market, the UK, has several development opportunities as the travel sector rebounds from the pandemic. The brand's focus on cost and midscale and economy market position match visitors' changing financial concerns. In Germany, where the brand has strong leisure sales, expansion is possible (Zhang et al., 2018).</w:t>
      </w:r>
    </w:p>
    <w:p w14:paraId="4AC32CA0" w14:textId="77777777" w:rsidR="00FE3A32" w:rsidRDefault="00FE3A32" w:rsidP="00FE3A32">
      <w:pPr>
        <w:rPr>
          <w:rFonts w:cs="Times New Roman"/>
          <w:lang w:bidi="bn-IN"/>
        </w:rPr>
      </w:pPr>
      <w:r>
        <w:rPr>
          <w:rFonts w:cs="Times New Roman"/>
          <w:b/>
          <w:bCs/>
          <w:lang w:bidi="bn-IN"/>
        </w:rPr>
        <w:t xml:space="preserve">Barriers to Growth: </w:t>
      </w:r>
    </w:p>
    <w:p w14:paraId="3C93CFBD" w14:textId="77777777" w:rsidR="00FE3A32" w:rsidRDefault="00FE3A32" w:rsidP="00FE3A32">
      <w:pPr>
        <w:rPr>
          <w:rFonts w:cs="Times New Roman"/>
          <w:lang w:bidi="bn-IN"/>
        </w:rPr>
      </w:pPr>
      <w:r>
        <w:rPr>
          <w:rFonts w:cs="Times New Roman"/>
          <w:lang w:bidi="bn-IN"/>
        </w:rPr>
        <w:t>Premier Inn faces growing challenges from government bans and inflation. Innovation is needed to maintain market share in midscale and economy segments amid competition. The recovery rate in certain markets, such as the food and beverage industry, may also affect revenue growth (Page and Connell, 2014).</w:t>
      </w:r>
    </w:p>
    <w:p w14:paraId="0D9568CB" w14:textId="77777777" w:rsidR="00FE3A32" w:rsidRDefault="00FE3A32" w:rsidP="00FE3A32">
      <w:pPr>
        <w:rPr>
          <w:rFonts w:cs="Times New Roman"/>
          <w:lang w:bidi="bn-IN"/>
        </w:rPr>
      </w:pPr>
    </w:p>
    <w:p w14:paraId="37E1F323" w14:textId="77777777" w:rsidR="00FE3A32" w:rsidRDefault="00FE3A32" w:rsidP="00FE3A32">
      <w:pPr>
        <w:rPr>
          <w:rFonts w:cs="Times New Roman"/>
          <w:lang w:bidi="bn-IN"/>
        </w:rPr>
      </w:pPr>
    </w:p>
    <w:p w14:paraId="723952D0" w14:textId="77777777" w:rsidR="00FE3A32" w:rsidRDefault="00FE3A32" w:rsidP="00FE3A32">
      <w:pPr>
        <w:rPr>
          <w:rFonts w:cs="Times New Roman"/>
          <w:lang w:bidi="bn-IN"/>
        </w:rPr>
      </w:pPr>
    </w:p>
    <w:p w14:paraId="1C2AF23F" w14:textId="77777777" w:rsidR="00FE3A32" w:rsidRDefault="00FE3A32" w:rsidP="00FE3A32">
      <w:pPr>
        <w:rPr>
          <w:rFonts w:cs="Times New Roman"/>
          <w:lang w:bidi="bn-IN"/>
        </w:rPr>
      </w:pPr>
    </w:p>
    <w:p w14:paraId="369C17F4" w14:textId="77777777" w:rsidR="00FE3A32" w:rsidRDefault="00FE3A32" w:rsidP="00FE3A32">
      <w:pPr>
        <w:rPr>
          <w:rFonts w:cs="Times New Roman"/>
          <w:lang w:bidi="bn-IN"/>
        </w:rPr>
      </w:pPr>
    </w:p>
    <w:p w14:paraId="1D4FC6E8" w14:textId="77777777" w:rsidR="00FE3A32" w:rsidRDefault="00FE3A32" w:rsidP="00FE3A32">
      <w:pPr>
        <w:pStyle w:val="Heading1"/>
        <w:rPr>
          <w:lang w:bidi="bn-IN"/>
        </w:rPr>
      </w:pPr>
      <w:r>
        <w:rPr>
          <w:b w:val="0"/>
          <w:kern w:val="0"/>
          <w:lang w:bidi="bn-IN"/>
        </w:rPr>
        <w:br w:type="page"/>
      </w:r>
      <w:bookmarkStart w:id="6" w:name="_Toc148724035"/>
      <w:r>
        <w:rPr>
          <w:lang w:bidi="bn-IN"/>
        </w:rPr>
        <w:lastRenderedPageBreak/>
        <w:t>Each organization's financial commitment to CSR initiatives</w:t>
      </w:r>
      <w:bookmarkEnd w:id="6"/>
    </w:p>
    <w:p w14:paraId="188E6EE7" w14:textId="77777777" w:rsidR="00FE3A32" w:rsidRDefault="00FE3A32" w:rsidP="00FE3A32">
      <w:pPr>
        <w:rPr>
          <w:rFonts w:cs="Times New Roman"/>
          <w:b/>
          <w:bCs/>
          <w:u w:val="single"/>
          <w:lang w:bidi="bn-IN"/>
        </w:rPr>
      </w:pPr>
      <w:r>
        <w:rPr>
          <w:rFonts w:cs="Times New Roman"/>
          <w:b/>
          <w:bCs/>
          <w:u w:val="single"/>
          <w:lang w:bidi="bn-IN"/>
        </w:rPr>
        <w:t>Mandarin Oriental Hotel Group: Nurturing Luxury with Responsibility</w:t>
      </w:r>
    </w:p>
    <w:p w14:paraId="2B41455F" w14:textId="77777777" w:rsidR="00FE3A32" w:rsidRDefault="00FE3A32" w:rsidP="00FE3A32">
      <w:pPr>
        <w:rPr>
          <w:rFonts w:cs="Times New Roman"/>
          <w:b/>
          <w:bCs/>
          <w:lang w:bidi="bn-IN"/>
        </w:rPr>
      </w:pPr>
      <w:r>
        <w:rPr>
          <w:rFonts w:cs="Times New Roman"/>
          <w:b/>
          <w:bCs/>
          <w:lang w:bidi="bn-IN"/>
        </w:rPr>
        <w:t>Meticulous Sustainability Practices:</w:t>
      </w:r>
    </w:p>
    <w:p w14:paraId="020F22DC" w14:textId="77777777" w:rsidR="00FE3A32" w:rsidRDefault="00FE3A32" w:rsidP="00FE3A32">
      <w:pPr>
        <w:rPr>
          <w:rFonts w:cs="Times New Roman"/>
          <w:lang w:bidi="bn-IN"/>
        </w:rPr>
      </w:pPr>
      <w:r>
        <w:rPr>
          <w:rFonts w:cs="Times New Roman"/>
          <w:lang w:bidi="bn-IN"/>
        </w:rPr>
        <w:t xml:space="preserve">Due to its careful sustainability policies, Mandarin Oriental Hotel Group's financial commitment to CSR programs is a beacon of responsibility in the premium hotel business. The company achieved its ambitious objective of eliminating 99% of single-use plastics from its global products and services, demonstrating its commitment to sustainability (Wong and </w:t>
      </w:r>
      <w:proofErr w:type="spellStart"/>
      <w:r>
        <w:rPr>
          <w:rFonts w:cs="Times New Roman"/>
          <w:lang w:bidi="bn-IN"/>
        </w:rPr>
        <w:t>Becken</w:t>
      </w:r>
      <w:proofErr w:type="spellEnd"/>
      <w:r>
        <w:rPr>
          <w:rFonts w:cs="Times New Roman"/>
          <w:lang w:bidi="bn-IN"/>
        </w:rPr>
        <w:t xml:space="preserve">, 2019). This commitment is not symbolic; it involves major financial investments in ecologically friendly alternatives, waste reduction technology, and operational improvements, which are in line with global environmental efforts (Witt and </w:t>
      </w:r>
      <w:proofErr w:type="spellStart"/>
      <w:r>
        <w:rPr>
          <w:rFonts w:cs="Times New Roman"/>
          <w:lang w:bidi="bn-IN"/>
        </w:rPr>
        <w:t>Moutinho</w:t>
      </w:r>
      <w:proofErr w:type="spellEnd"/>
      <w:r>
        <w:rPr>
          <w:rFonts w:cs="Times New Roman"/>
          <w:lang w:bidi="bn-IN"/>
        </w:rPr>
        <w:t>, 2014).</w:t>
      </w:r>
    </w:p>
    <w:p w14:paraId="19B90121" w14:textId="77777777" w:rsidR="00FE3A32" w:rsidRDefault="00FE3A32" w:rsidP="00FE3A32">
      <w:pPr>
        <w:rPr>
          <w:rFonts w:cs="Times New Roman"/>
          <w:lang w:bidi="bn-IN"/>
        </w:rPr>
      </w:pPr>
      <w:r>
        <w:rPr>
          <w:rFonts w:cs="Times New Roman"/>
          <w:lang w:bidi="bn-IN"/>
        </w:rPr>
        <w:t xml:space="preserve"> </w:t>
      </w:r>
    </w:p>
    <w:p w14:paraId="696D1319" w14:textId="77777777" w:rsidR="00FE3A32" w:rsidRDefault="00FE3A32" w:rsidP="00FE3A32">
      <w:pPr>
        <w:rPr>
          <w:rFonts w:cs="Times New Roman"/>
          <w:lang w:bidi="bn-IN"/>
        </w:rPr>
      </w:pPr>
      <w:r>
        <w:rPr>
          <w:rFonts w:cs="Times New Roman"/>
          <w:lang w:bidi="bn-IN"/>
        </w:rPr>
        <w:t xml:space="preserve"> </w:t>
      </w:r>
    </w:p>
    <w:p w14:paraId="18829B33" w14:textId="77777777" w:rsidR="00FE3A32" w:rsidRDefault="00FE3A32" w:rsidP="00FE3A32">
      <w:pPr>
        <w:rPr>
          <w:rFonts w:cs="Times New Roman"/>
          <w:lang w:bidi="bn-IN"/>
        </w:rPr>
      </w:pPr>
    </w:p>
    <w:p w14:paraId="6588A354" w14:textId="77777777" w:rsidR="00FE3A32" w:rsidRDefault="00FE3A32" w:rsidP="00FE3A32">
      <w:pPr>
        <w:rPr>
          <w:rFonts w:cs="Times New Roman"/>
          <w:b/>
          <w:bCs/>
          <w:lang w:bidi="bn-IN"/>
        </w:rPr>
      </w:pPr>
      <w:r>
        <w:rPr>
          <w:rFonts w:cs="Times New Roman"/>
          <w:b/>
          <w:bCs/>
          <w:lang w:bidi="bn-IN"/>
        </w:rPr>
        <w:t>Community Engagement Beyond Borders:</w:t>
      </w:r>
    </w:p>
    <w:p w14:paraId="45EEC95F" w14:textId="77777777" w:rsidR="00FE3A32" w:rsidRDefault="00FE3A32" w:rsidP="00FE3A32">
      <w:pPr>
        <w:rPr>
          <w:rFonts w:cs="Times New Roman"/>
          <w:lang w:bidi="bn-IN"/>
        </w:rPr>
      </w:pPr>
      <w:r>
        <w:rPr>
          <w:rFonts w:cs="Times New Roman"/>
          <w:lang w:bidi="bn-IN"/>
        </w:rPr>
        <w:t>Mandarin Oriental is committed to its communities beyond its luxurious hotels. The group's CSR efforts include philanthropy, cultural heritage preservation, and community development outside of its properties. Mandarin Oriental's gifts to local groups, sponsorship of community-led cultural events, and relationships with regional enterprises show its commitment. This financial commitment to community well-being aligns with the brand's mission to provide premium experiences and improve the areas it serves. The brand seeks to improve rural residents' lives (</w:t>
      </w:r>
      <w:proofErr w:type="spellStart"/>
      <w:r>
        <w:rPr>
          <w:rFonts w:cs="Times New Roman"/>
          <w:lang w:bidi="bn-IN"/>
        </w:rPr>
        <w:t>Sigala</w:t>
      </w:r>
      <w:proofErr w:type="spellEnd"/>
      <w:r>
        <w:rPr>
          <w:rFonts w:cs="Times New Roman"/>
          <w:lang w:bidi="bn-IN"/>
        </w:rPr>
        <w:t>, 2019).</w:t>
      </w:r>
    </w:p>
    <w:p w14:paraId="74B02503" w14:textId="77777777" w:rsidR="00FE3A32" w:rsidRDefault="00FE3A32" w:rsidP="00FE3A32">
      <w:pPr>
        <w:rPr>
          <w:rFonts w:cs="Times New Roman"/>
          <w:b/>
          <w:bCs/>
          <w:lang w:bidi="bn-IN"/>
        </w:rPr>
      </w:pPr>
      <w:r>
        <w:rPr>
          <w:rFonts w:cs="Times New Roman"/>
          <w:b/>
          <w:bCs/>
          <w:lang w:bidi="bn-IN"/>
        </w:rPr>
        <w:t>Ethical Business Practices:</w:t>
      </w:r>
    </w:p>
    <w:p w14:paraId="2488ECB0" w14:textId="77777777" w:rsidR="00FE3A32" w:rsidRDefault="00FE3A32" w:rsidP="00FE3A32">
      <w:pPr>
        <w:rPr>
          <w:rFonts w:cs="Times New Roman"/>
          <w:lang w:bidi="bn-IN"/>
        </w:rPr>
      </w:pPr>
      <w:r>
        <w:rPr>
          <w:rFonts w:cs="Times New Roman"/>
          <w:lang w:bidi="bn-IN"/>
        </w:rPr>
        <w:t xml:space="preserve">Mandarin Oriental's financial commitment to CSR goes to its main business. The honest company prioritizes fair </w:t>
      </w:r>
      <w:proofErr w:type="spellStart"/>
      <w:r>
        <w:rPr>
          <w:rFonts w:cs="Times New Roman"/>
          <w:lang w:bidi="bn-IN"/>
        </w:rPr>
        <w:t>labor</w:t>
      </w:r>
      <w:proofErr w:type="spellEnd"/>
      <w:r>
        <w:rPr>
          <w:rFonts w:cs="Times New Roman"/>
          <w:lang w:bidi="bn-IN"/>
        </w:rPr>
        <w:t xml:space="preserve">, diversity, and responsible sourcing. Investment in employee training, fair salaries, and a diverse and inclusive workplace demonstrate financial commitment to ethical company activity. Mandarin Oriental builds trust and accountability by valuing its employees and ethical sourcing (Lundberg and </w:t>
      </w:r>
      <w:proofErr w:type="spellStart"/>
      <w:r>
        <w:rPr>
          <w:rFonts w:cs="Times New Roman"/>
          <w:lang w:bidi="bn-IN"/>
        </w:rPr>
        <w:t>Lexhagen</w:t>
      </w:r>
      <w:proofErr w:type="spellEnd"/>
      <w:r>
        <w:rPr>
          <w:rFonts w:cs="Times New Roman"/>
          <w:lang w:bidi="bn-IN"/>
        </w:rPr>
        <w:t>, 2014).</w:t>
      </w:r>
    </w:p>
    <w:p w14:paraId="33ECD482" w14:textId="77777777" w:rsidR="00FE3A32" w:rsidRDefault="00FE3A32" w:rsidP="00FE3A32">
      <w:pPr>
        <w:rPr>
          <w:rFonts w:cs="Times New Roman"/>
          <w:b/>
          <w:bCs/>
          <w:u w:val="single"/>
          <w:lang w:bidi="bn-IN"/>
        </w:rPr>
      </w:pPr>
      <w:r>
        <w:rPr>
          <w:rFonts w:cs="Times New Roman"/>
          <w:b/>
          <w:bCs/>
          <w:u w:val="single"/>
          <w:lang w:bidi="bn-IN"/>
        </w:rPr>
        <w:t>Premier Inn: A Commitment to People, Planet, and Profit</w:t>
      </w:r>
    </w:p>
    <w:p w14:paraId="1FA15E63" w14:textId="77777777" w:rsidR="00FE3A32" w:rsidRDefault="00FE3A32" w:rsidP="00FE3A32">
      <w:pPr>
        <w:rPr>
          <w:rFonts w:cs="Times New Roman"/>
          <w:b/>
          <w:bCs/>
          <w:lang w:bidi="bn-IN"/>
        </w:rPr>
      </w:pPr>
      <w:r>
        <w:rPr>
          <w:rFonts w:cs="Times New Roman"/>
          <w:b/>
          <w:bCs/>
          <w:lang w:bidi="bn-IN"/>
        </w:rPr>
        <w:lastRenderedPageBreak/>
        <w:t>Sustainable Practices on a Budget:</w:t>
      </w:r>
    </w:p>
    <w:p w14:paraId="0CAEC9AB" w14:textId="77777777" w:rsidR="00FE3A32" w:rsidRDefault="00FE3A32" w:rsidP="00FE3A32">
      <w:pPr>
        <w:rPr>
          <w:rFonts w:cs="Times New Roman"/>
          <w:lang w:bidi="bn-IN"/>
        </w:rPr>
      </w:pPr>
      <w:r>
        <w:rPr>
          <w:rFonts w:cs="Times New Roman"/>
          <w:lang w:bidi="bn-IN"/>
        </w:rPr>
        <w:t>Premier Inn, which offers affordable rooms, cleverly blends environmentally responsible business methods into its financial model. Despite its middle-range and budget-friendly market, the company has committed to ecologically responsible methods to reduce its environmental impact. Premier Inn demonstrates its environmental responsibility by investing in energy-efficient technologies, waste minimization, and eco-friendly facilities. Even under cost-cutting situations, this company shows that economic responsibility and environmental friendliness can coexist (</w:t>
      </w:r>
      <w:proofErr w:type="spellStart"/>
      <w:r>
        <w:rPr>
          <w:rFonts w:cs="Times New Roman"/>
          <w:lang w:bidi="bn-IN"/>
        </w:rPr>
        <w:t>Kavaratzis</w:t>
      </w:r>
      <w:proofErr w:type="spellEnd"/>
      <w:r>
        <w:rPr>
          <w:rFonts w:cs="Times New Roman"/>
          <w:lang w:bidi="bn-IN"/>
        </w:rPr>
        <w:t xml:space="preserve"> and Ashworth, 2015).</w:t>
      </w:r>
    </w:p>
    <w:p w14:paraId="287B6676" w14:textId="77777777" w:rsidR="00FE3A32" w:rsidRDefault="00FE3A32" w:rsidP="00FE3A32">
      <w:pPr>
        <w:rPr>
          <w:rFonts w:cs="Times New Roman"/>
          <w:b/>
          <w:bCs/>
          <w:lang w:bidi="bn-IN"/>
        </w:rPr>
      </w:pPr>
      <w:r>
        <w:rPr>
          <w:rFonts w:cs="Times New Roman"/>
          <w:b/>
          <w:bCs/>
          <w:lang w:bidi="bn-IN"/>
        </w:rPr>
        <w:t>Local Roots, Global Impact:</w:t>
      </w:r>
    </w:p>
    <w:p w14:paraId="21167F55" w14:textId="77777777" w:rsidR="00FE3A32" w:rsidRDefault="00FE3A32" w:rsidP="00FE3A32">
      <w:pPr>
        <w:rPr>
          <w:rFonts w:cs="Times New Roman"/>
          <w:lang w:bidi="bn-IN"/>
        </w:rPr>
      </w:pPr>
      <w:r>
        <w:rPr>
          <w:rFonts w:cs="Times New Roman"/>
          <w:lang w:bidi="bn-IN"/>
        </w:rPr>
        <w:t>Premier Inn's community involvement stems from the idea that responsible business is about profit and community service. Herein lies the company's motto, "Local Roots, Global Impact." The company's donations to local charities, community projects, and youth development programs show its commitment to making a difference. Premier Inn strategically distributes monies to create a positive ripple effect in the areas where it operates, fostering goodwill and customer loyalty (</w:t>
      </w:r>
      <w:proofErr w:type="spellStart"/>
      <w:r>
        <w:rPr>
          <w:rFonts w:cs="Times New Roman"/>
          <w:lang w:bidi="bn-IN"/>
        </w:rPr>
        <w:t>Kavaratzis</w:t>
      </w:r>
      <w:proofErr w:type="spellEnd"/>
      <w:r>
        <w:rPr>
          <w:rFonts w:cs="Times New Roman"/>
          <w:lang w:bidi="bn-IN"/>
        </w:rPr>
        <w:t xml:space="preserve"> and Ashworth, 2015).</w:t>
      </w:r>
    </w:p>
    <w:p w14:paraId="771F97C6" w14:textId="77777777" w:rsidR="00FE3A32" w:rsidRDefault="00FE3A32" w:rsidP="00FE3A32">
      <w:pPr>
        <w:rPr>
          <w:rFonts w:cs="Times New Roman"/>
          <w:lang w:bidi="bn-IN"/>
        </w:rPr>
      </w:pPr>
      <w:r>
        <w:rPr>
          <w:rFonts w:cs="Times New Roman"/>
          <w:b/>
          <w:bCs/>
          <w:lang w:bidi="bn-IN"/>
        </w:rPr>
        <w:t>Transparent Ethical Business Framework:</w:t>
      </w:r>
      <w:r>
        <w:rPr>
          <w:rFonts w:cs="Times New Roman"/>
          <w:lang w:bidi="bn-IN"/>
        </w:rPr>
        <w:t xml:space="preserve"> </w:t>
      </w:r>
    </w:p>
    <w:p w14:paraId="120E741A" w14:textId="77777777" w:rsidR="00FE3A32" w:rsidRDefault="00FE3A32" w:rsidP="00FE3A32">
      <w:pPr>
        <w:rPr>
          <w:rFonts w:cs="Times New Roman"/>
          <w:lang w:bidi="bn-IN"/>
        </w:rPr>
      </w:pPr>
      <w:r>
        <w:rPr>
          <w:rFonts w:cs="Times New Roman"/>
          <w:lang w:bidi="bn-IN"/>
        </w:rPr>
        <w:t>Premier Inn's transparent corporate ethics demonstrate its financial commitment to ethical business practices. The corporation invests heavily in employee training to ensure ethical and fair work practices. This commitment includes supply chain transparency and responsible sourcing. Premier Inn's financial investments in ethical business conduct help it comply with regulatory criteria and build a responsible, trustworthy brand (</w:t>
      </w:r>
      <w:proofErr w:type="spellStart"/>
      <w:r>
        <w:rPr>
          <w:rFonts w:cs="Times New Roman"/>
          <w:lang w:bidi="bn-IN"/>
        </w:rPr>
        <w:t>Buhalis</w:t>
      </w:r>
      <w:proofErr w:type="spellEnd"/>
      <w:r>
        <w:rPr>
          <w:rFonts w:cs="Times New Roman"/>
          <w:lang w:bidi="bn-IN"/>
        </w:rPr>
        <w:t xml:space="preserve"> and </w:t>
      </w:r>
      <w:proofErr w:type="spellStart"/>
      <w:r>
        <w:rPr>
          <w:rFonts w:cs="Times New Roman"/>
          <w:lang w:bidi="bn-IN"/>
        </w:rPr>
        <w:t>Foerste</w:t>
      </w:r>
      <w:proofErr w:type="spellEnd"/>
      <w:r>
        <w:rPr>
          <w:rFonts w:cs="Times New Roman"/>
          <w:lang w:bidi="bn-IN"/>
        </w:rPr>
        <w:t>, 2015).</w:t>
      </w:r>
    </w:p>
    <w:p w14:paraId="4F88D5F2" w14:textId="77777777" w:rsidR="00FE3A32" w:rsidRDefault="00FE3A32" w:rsidP="00FE3A32">
      <w:pPr>
        <w:rPr>
          <w:rFonts w:cs="Times New Roman"/>
          <w:lang w:bidi="bn-IN"/>
        </w:rPr>
      </w:pPr>
    </w:p>
    <w:p w14:paraId="4F849036" w14:textId="77777777" w:rsidR="00FE3A32" w:rsidRDefault="00FE3A32" w:rsidP="00FE3A32">
      <w:pPr>
        <w:rPr>
          <w:rFonts w:cs="Times New Roman"/>
          <w:lang w:bidi="bn-IN"/>
        </w:rPr>
      </w:pPr>
    </w:p>
    <w:p w14:paraId="2B9D45A7" w14:textId="77777777" w:rsidR="00FE3A32" w:rsidRDefault="00FE3A32" w:rsidP="00FE3A32">
      <w:pPr>
        <w:rPr>
          <w:rFonts w:cs="Times New Roman"/>
          <w:lang w:bidi="bn-IN"/>
        </w:rPr>
      </w:pPr>
    </w:p>
    <w:p w14:paraId="4B85EFEF" w14:textId="77777777" w:rsidR="00FE3A32" w:rsidRDefault="00FE3A32" w:rsidP="00FE3A32">
      <w:pPr>
        <w:pStyle w:val="Heading1"/>
        <w:rPr>
          <w:rFonts w:cs="Times New Roman"/>
          <w:lang w:bidi="bn-IN"/>
        </w:rPr>
      </w:pPr>
    </w:p>
    <w:p w14:paraId="6C527C9D" w14:textId="77777777" w:rsidR="00FE3A32" w:rsidRDefault="00FE3A32" w:rsidP="00FE3A32">
      <w:pPr>
        <w:pStyle w:val="Heading1"/>
        <w:rPr>
          <w:rFonts w:cs="Times New Roman"/>
          <w:lang w:bidi="bn-IN"/>
        </w:rPr>
      </w:pPr>
      <w:r>
        <w:rPr>
          <w:rFonts w:cs="Times New Roman"/>
          <w:b w:val="0"/>
          <w:kern w:val="0"/>
          <w:lang w:bidi="bn-IN"/>
        </w:rPr>
        <w:br w:type="page"/>
      </w:r>
      <w:bookmarkStart w:id="7" w:name="_Toc148724036"/>
      <w:r>
        <w:rPr>
          <w:rFonts w:cs="Times New Roman"/>
          <w:lang w:bidi="bn-IN"/>
        </w:rPr>
        <w:lastRenderedPageBreak/>
        <w:t>Recommendation</w:t>
      </w:r>
      <w:bookmarkEnd w:id="7"/>
    </w:p>
    <w:p w14:paraId="3383763E" w14:textId="77777777" w:rsidR="00FE3A32" w:rsidRDefault="00FE3A32" w:rsidP="00FE3A32">
      <w:pPr>
        <w:rPr>
          <w:rFonts w:cs="Times New Roman"/>
          <w:b/>
          <w:bCs/>
          <w:lang w:bidi="bn-IN"/>
        </w:rPr>
      </w:pPr>
      <w:r>
        <w:rPr>
          <w:rFonts w:cs="Times New Roman"/>
          <w:b/>
          <w:bCs/>
          <w:lang w:bidi="bn-IN"/>
        </w:rPr>
        <w:t xml:space="preserve">Mandarin Oriental Hotel Group: </w:t>
      </w:r>
    </w:p>
    <w:p w14:paraId="555BEEE1" w14:textId="77777777" w:rsidR="00FE3A32" w:rsidRDefault="00FE3A32" w:rsidP="00FE3A32">
      <w:pPr>
        <w:rPr>
          <w:rFonts w:cs="Times New Roman"/>
          <w:lang w:bidi="bn-IN"/>
        </w:rPr>
      </w:pPr>
      <w:r>
        <w:rPr>
          <w:rFonts w:cs="Times New Roman"/>
          <w:b/>
          <w:bCs/>
          <w:lang w:bidi="bn-IN"/>
        </w:rPr>
        <w:t>Recommendation: Capitalize on Digital Transformation for Global Reach</w:t>
      </w:r>
    </w:p>
    <w:p w14:paraId="42E81D15" w14:textId="77777777" w:rsidR="00FE3A32" w:rsidRDefault="00FE3A32" w:rsidP="00FE3A32">
      <w:pPr>
        <w:rPr>
          <w:rFonts w:cs="Times New Roman"/>
          <w:lang w:bidi="bn-IN"/>
        </w:rPr>
      </w:pPr>
      <w:r>
        <w:rPr>
          <w:rFonts w:cs="Times New Roman"/>
          <w:lang w:bidi="bn-IN"/>
        </w:rPr>
        <w:t>Based on the Mandarin Oriental Hotel Group's growth potential analysis, one evidence-based recommendation is to capitalize on its digital transformation efforts. Mandarin Oriental redesigned mandarinoriental.com in 2022 to improve guests' digital experience and boost online revenue. Mandarin Oriental should invest in innovative technologies, personalized digital services, and strategic targeted marketing to maximize this potential (</w:t>
      </w:r>
      <w:proofErr w:type="spellStart"/>
      <w:r>
        <w:rPr>
          <w:rFonts w:cs="Times New Roman"/>
          <w:lang w:bidi="bn-IN"/>
        </w:rPr>
        <w:t>Sigala</w:t>
      </w:r>
      <w:proofErr w:type="spellEnd"/>
      <w:r>
        <w:rPr>
          <w:rFonts w:cs="Times New Roman"/>
          <w:lang w:bidi="bn-IN"/>
        </w:rPr>
        <w:t>, 2018).</w:t>
      </w:r>
    </w:p>
    <w:p w14:paraId="5DB08552" w14:textId="77777777" w:rsidR="00FE3A32" w:rsidRDefault="00FE3A32" w:rsidP="00FE3A32">
      <w:pPr>
        <w:rPr>
          <w:rFonts w:cs="Times New Roman"/>
          <w:b/>
          <w:bCs/>
          <w:lang w:bidi="bn-IN"/>
        </w:rPr>
      </w:pPr>
      <w:r>
        <w:rPr>
          <w:rFonts w:cs="Times New Roman"/>
          <w:b/>
          <w:bCs/>
          <w:lang w:bidi="bn-IN"/>
        </w:rPr>
        <w:t xml:space="preserve">Premier Inn: </w:t>
      </w:r>
    </w:p>
    <w:p w14:paraId="57F77AB2" w14:textId="77777777" w:rsidR="00FE3A32" w:rsidRDefault="00FE3A32" w:rsidP="00FE3A32">
      <w:pPr>
        <w:rPr>
          <w:rFonts w:cs="Times New Roman"/>
          <w:b/>
          <w:bCs/>
          <w:lang w:bidi="bn-IN"/>
        </w:rPr>
      </w:pPr>
      <w:r>
        <w:rPr>
          <w:rFonts w:cs="Times New Roman"/>
          <w:b/>
          <w:bCs/>
          <w:lang w:bidi="bn-IN"/>
        </w:rPr>
        <w:t>Recommendation: Strengthen Sustainability Communication for Brand Loyalty</w:t>
      </w:r>
    </w:p>
    <w:p w14:paraId="4C2AEBAF" w14:textId="77777777" w:rsidR="00FE3A32" w:rsidRDefault="00FE3A32" w:rsidP="00FE3A32">
      <w:pPr>
        <w:rPr>
          <w:rFonts w:cs="Times New Roman"/>
          <w:lang w:bidi="bn-IN"/>
        </w:rPr>
      </w:pPr>
      <w:r>
        <w:rPr>
          <w:rFonts w:cs="Times New Roman"/>
          <w:lang w:bidi="bn-IN"/>
        </w:rPr>
        <w:t>Given Premier Inn's commitment to sustainability on a budget, improving sustainability communication will be a sound idea. The company cleverly integrates environmentally friendly activities into its operations, such as energy-efficient technologies and waste reduction, but communicating the brand's commitment to these programs can boost customer loyalty and resonate with environmentally conscious consumers (Tribe, 2015).</w:t>
      </w:r>
    </w:p>
    <w:p w14:paraId="25A07D6E" w14:textId="77777777" w:rsidR="00FE3A32" w:rsidRDefault="00FE3A32" w:rsidP="00FE3A32">
      <w:pPr>
        <w:rPr>
          <w:rFonts w:cs="Times New Roman"/>
          <w:lang w:bidi="bn-IN"/>
        </w:rPr>
      </w:pPr>
    </w:p>
    <w:p w14:paraId="18F8AB2C" w14:textId="77777777" w:rsidR="00FE3A32" w:rsidRDefault="00FE3A32" w:rsidP="00FE3A32">
      <w:pPr>
        <w:rPr>
          <w:rFonts w:cs="Times New Roman"/>
          <w:lang w:bidi="bn-IN"/>
        </w:rPr>
      </w:pPr>
    </w:p>
    <w:p w14:paraId="16CB7208" w14:textId="77777777" w:rsidR="00FE3A32" w:rsidRDefault="00FE3A32" w:rsidP="00FE3A32">
      <w:pPr>
        <w:rPr>
          <w:rFonts w:cs="Times New Roman"/>
          <w:lang w:bidi="bn-IN"/>
        </w:rPr>
      </w:pPr>
      <w:r>
        <w:rPr>
          <w:rFonts w:cs="Times New Roman"/>
          <w:lang w:bidi="bn-IN"/>
        </w:rPr>
        <w:br w:type="page"/>
      </w:r>
    </w:p>
    <w:p w14:paraId="15E2557B" w14:textId="77777777" w:rsidR="00FE3A32" w:rsidRDefault="00FE3A32" w:rsidP="00FE3A32">
      <w:pPr>
        <w:pStyle w:val="Heading1"/>
        <w:rPr>
          <w:rFonts w:cs="Times New Roman"/>
          <w:lang w:bidi="bn-IN"/>
        </w:rPr>
      </w:pPr>
      <w:bookmarkStart w:id="8" w:name="_Toc148724037"/>
      <w:r>
        <w:rPr>
          <w:rFonts w:cs="Times New Roman"/>
          <w:lang w:bidi="bn-IN"/>
        </w:rPr>
        <w:lastRenderedPageBreak/>
        <w:t>Conclusion</w:t>
      </w:r>
      <w:bookmarkEnd w:id="8"/>
    </w:p>
    <w:p w14:paraId="26F6087B" w14:textId="77777777" w:rsidR="00FE3A32" w:rsidRDefault="00FE3A32" w:rsidP="00FE3A32">
      <w:pPr>
        <w:rPr>
          <w:rFonts w:cs="Times New Roman"/>
          <w:lang w:bidi="bn-IN"/>
        </w:rPr>
      </w:pPr>
      <w:r>
        <w:rPr>
          <w:rFonts w:cs="Times New Roman"/>
          <w:lang w:bidi="bn-IN"/>
        </w:rPr>
        <w:t>In conclusion, Mandarin Oriental Hotel Group and Premier Inn evaluations illuminated many hospitality industry avenues. Mandarin Oriental thrives on international expansion, technology advancement, and eco-friendly luxury. Since Premier Inn is affordable, its business strategy promotes resiliency, strategic expansion, and environmental sustainability. Despite differences, both organizations are resilient, adaptable, and committed to good business practices. These assessments emphasize the importance of strategic foresight, creative thinking, and social and environmental responsibility in the complex hospitality industry. As the industry changes, these issues become more significant.</w:t>
      </w:r>
    </w:p>
    <w:p w14:paraId="47B02462" w14:textId="77777777" w:rsidR="00FE3A32" w:rsidRDefault="00FE3A32" w:rsidP="00FE3A32">
      <w:pPr>
        <w:rPr>
          <w:rFonts w:cs="Times New Roman"/>
          <w:lang w:bidi="bn-IN"/>
        </w:rPr>
      </w:pPr>
    </w:p>
    <w:p w14:paraId="4B70AB4D" w14:textId="77777777" w:rsidR="00FE3A32" w:rsidRDefault="00FE3A32" w:rsidP="00FE3A32">
      <w:pPr>
        <w:rPr>
          <w:rFonts w:cs="Times New Roman"/>
          <w:lang w:bidi="bn-IN"/>
        </w:rPr>
      </w:pPr>
    </w:p>
    <w:p w14:paraId="3C6891CC" w14:textId="77777777" w:rsidR="00FE3A32" w:rsidRDefault="00FE3A32" w:rsidP="00FE3A32">
      <w:pPr>
        <w:rPr>
          <w:rFonts w:cs="Times New Roman"/>
          <w:lang w:bidi="bn-IN"/>
        </w:rPr>
      </w:pPr>
    </w:p>
    <w:p w14:paraId="12AE1D5F" w14:textId="77777777" w:rsidR="00FE3A32" w:rsidRDefault="00FE3A32" w:rsidP="00FE3A32">
      <w:pPr>
        <w:rPr>
          <w:rFonts w:cs="Times New Roman"/>
          <w:lang w:bidi="bn-IN"/>
        </w:rPr>
      </w:pPr>
    </w:p>
    <w:p w14:paraId="3CA98C52" w14:textId="77777777" w:rsidR="00FE3A32" w:rsidRDefault="00FE3A32" w:rsidP="00FE3A32">
      <w:pPr>
        <w:rPr>
          <w:rFonts w:cs="Times New Roman"/>
          <w:lang w:bidi="bn-IN"/>
        </w:rPr>
      </w:pPr>
    </w:p>
    <w:p w14:paraId="4F78F237" w14:textId="77777777" w:rsidR="00FE3A32" w:rsidRDefault="00FE3A32" w:rsidP="00FE3A32">
      <w:pPr>
        <w:pStyle w:val="Heading1"/>
        <w:rPr>
          <w:rFonts w:cs="Times New Roman"/>
          <w:lang w:bidi="bn-IN"/>
        </w:rPr>
      </w:pPr>
    </w:p>
    <w:p w14:paraId="6DF10C4F" w14:textId="77777777" w:rsidR="00FE3A32" w:rsidRDefault="00FE3A32" w:rsidP="00FE3A32">
      <w:pPr>
        <w:pStyle w:val="Heading1"/>
        <w:rPr>
          <w:rFonts w:cs="Times New Roman"/>
          <w:lang w:bidi="bn-IN"/>
        </w:rPr>
      </w:pPr>
      <w:r>
        <w:rPr>
          <w:rFonts w:cs="Times New Roman"/>
          <w:b w:val="0"/>
          <w:kern w:val="0"/>
          <w:lang w:bidi="bn-IN"/>
        </w:rPr>
        <w:br w:type="page"/>
      </w:r>
      <w:bookmarkStart w:id="9" w:name="_Toc148724038"/>
      <w:r>
        <w:rPr>
          <w:rFonts w:cs="Times New Roman"/>
          <w:lang w:bidi="bn-IN"/>
        </w:rPr>
        <w:lastRenderedPageBreak/>
        <w:t>References</w:t>
      </w:r>
      <w:bookmarkEnd w:id="9"/>
      <w:r>
        <w:rPr>
          <w:rFonts w:cs="Times New Roman"/>
          <w:lang w:bidi="bn-IN"/>
        </w:rPr>
        <w:t xml:space="preserve"> </w:t>
      </w:r>
    </w:p>
    <w:p w14:paraId="537214DB" w14:textId="77777777" w:rsidR="00FE3A32" w:rsidRDefault="00FE3A32" w:rsidP="00FE3A32">
      <w:pPr>
        <w:rPr>
          <w:rFonts w:cs="Times New Roman"/>
          <w:lang w:bidi="bn-IN"/>
        </w:rPr>
      </w:pPr>
      <w:proofErr w:type="spellStart"/>
      <w:r>
        <w:rPr>
          <w:rFonts w:cs="Times New Roman"/>
          <w:lang w:bidi="bn-IN"/>
        </w:rPr>
        <w:t>Buhalis</w:t>
      </w:r>
      <w:proofErr w:type="spellEnd"/>
      <w:r>
        <w:rPr>
          <w:rFonts w:cs="Times New Roman"/>
          <w:lang w:bidi="bn-IN"/>
        </w:rPr>
        <w:t>, D., and Costa, C. (2016). Tourism business frontiers: Consumers, products and industry. Butterworth-Heinemann.</w:t>
      </w:r>
    </w:p>
    <w:p w14:paraId="5A96ED99" w14:textId="77777777" w:rsidR="00FE3A32" w:rsidRDefault="00FE3A32" w:rsidP="00FE3A32">
      <w:pPr>
        <w:rPr>
          <w:rFonts w:cs="Times New Roman"/>
          <w:lang w:bidi="bn-IN"/>
        </w:rPr>
      </w:pPr>
      <w:proofErr w:type="spellStart"/>
      <w:r>
        <w:rPr>
          <w:rFonts w:cs="Times New Roman"/>
          <w:lang w:bidi="bn-IN"/>
        </w:rPr>
        <w:t>Buhalis</w:t>
      </w:r>
      <w:proofErr w:type="spellEnd"/>
      <w:r>
        <w:rPr>
          <w:rFonts w:cs="Times New Roman"/>
          <w:lang w:bidi="bn-IN"/>
        </w:rPr>
        <w:t xml:space="preserve">, D., and </w:t>
      </w:r>
      <w:proofErr w:type="spellStart"/>
      <w:r>
        <w:rPr>
          <w:rFonts w:cs="Times New Roman"/>
          <w:lang w:bidi="bn-IN"/>
        </w:rPr>
        <w:t>Foerste</w:t>
      </w:r>
      <w:proofErr w:type="spellEnd"/>
      <w:r>
        <w:rPr>
          <w:rFonts w:cs="Times New Roman"/>
          <w:lang w:bidi="bn-IN"/>
        </w:rPr>
        <w:t xml:space="preserve">, M. (2015). </w:t>
      </w:r>
      <w:proofErr w:type="spellStart"/>
      <w:r>
        <w:rPr>
          <w:rFonts w:cs="Times New Roman"/>
          <w:lang w:bidi="bn-IN"/>
        </w:rPr>
        <w:t>SoCoMo</w:t>
      </w:r>
      <w:proofErr w:type="spellEnd"/>
      <w:r>
        <w:rPr>
          <w:rFonts w:cs="Times New Roman"/>
          <w:lang w:bidi="bn-IN"/>
        </w:rPr>
        <w:t xml:space="preserve"> marketing for travel and tourism: Empowering co-creation of value. Journal of Destination Marketing and Management, 4(3), 151-161.</w:t>
      </w:r>
    </w:p>
    <w:p w14:paraId="6B25F0D4" w14:textId="77777777" w:rsidR="00FE3A32" w:rsidRDefault="00FE3A32" w:rsidP="00FE3A32">
      <w:pPr>
        <w:rPr>
          <w:rFonts w:cs="Times New Roman"/>
          <w:lang w:bidi="bn-IN"/>
        </w:rPr>
      </w:pPr>
      <w:r>
        <w:rPr>
          <w:rFonts w:cs="Times New Roman"/>
          <w:lang w:bidi="bn-IN"/>
        </w:rPr>
        <w:t xml:space="preserve">Cooper, C., Fletcher, J., Gilbert, D., and </w:t>
      </w:r>
      <w:proofErr w:type="spellStart"/>
      <w:r>
        <w:rPr>
          <w:rFonts w:cs="Times New Roman"/>
          <w:lang w:bidi="bn-IN"/>
        </w:rPr>
        <w:t>Wanhill</w:t>
      </w:r>
      <w:proofErr w:type="spellEnd"/>
      <w:r>
        <w:rPr>
          <w:rFonts w:cs="Times New Roman"/>
          <w:lang w:bidi="bn-IN"/>
        </w:rPr>
        <w:t>, S. (2016). Tourism: Principles and practice. Pearson UK.</w:t>
      </w:r>
    </w:p>
    <w:p w14:paraId="2994E496" w14:textId="77777777" w:rsidR="00FE3A32" w:rsidRDefault="00FE3A32" w:rsidP="00FE3A32">
      <w:pPr>
        <w:rPr>
          <w:rFonts w:cs="Times New Roman"/>
          <w:lang w:bidi="bn-IN"/>
        </w:rPr>
      </w:pPr>
      <w:r>
        <w:rPr>
          <w:rFonts w:cs="Times New Roman"/>
          <w:lang w:bidi="bn-IN"/>
        </w:rPr>
        <w:t>Hall, C. M., and Page, S. J. (2014). The geography of tourism and recreation: Environment, place and space. Routledge.</w:t>
      </w:r>
    </w:p>
    <w:p w14:paraId="501213CD" w14:textId="77777777" w:rsidR="00FE3A32" w:rsidRDefault="00FE3A32" w:rsidP="00FE3A32">
      <w:pPr>
        <w:rPr>
          <w:rFonts w:cs="Times New Roman"/>
          <w:lang w:bidi="bn-IN"/>
        </w:rPr>
      </w:pPr>
      <w:proofErr w:type="spellStart"/>
      <w:r>
        <w:rPr>
          <w:rFonts w:cs="Times New Roman"/>
          <w:lang w:bidi="bn-IN"/>
        </w:rPr>
        <w:t>Kavaratzis</w:t>
      </w:r>
      <w:proofErr w:type="spellEnd"/>
      <w:r>
        <w:rPr>
          <w:rFonts w:cs="Times New Roman"/>
          <w:lang w:bidi="bn-IN"/>
        </w:rPr>
        <w:t xml:space="preserve">, M., and Ashworth, G. (2015). City branding: An effective assertion of identity or a transitory marketing trick? </w:t>
      </w:r>
      <w:proofErr w:type="spellStart"/>
      <w:r>
        <w:rPr>
          <w:rFonts w:cs="Times New Roman"/>
          <w:lang w:bidi="bn-IN"/>
        </w:rPr>
        <w:t>Tijdschrift</w:t>
      </w:r>
      <w:proofErr w:type="spellEnd"/>
      <w:r>
        <w:rPr>
          <w:rFonts w:cs="Times New Roman"/>
          <w:lang w:bidi="bn-IN"/>
        </w:rPr>
        <w:t xml:space="preserve"> </w:t>
      </w:r>
      <w:proofErr w:type="spellStart"/>
      <w:r>
        <w:rPr>
          <w:rFonts w:cs="Times New Roman"/>
          <w:lang w:bidi="bn-IN"/>
        </w:rPr>
        <w:t>voor</w:t>
      </w:r>
      <w:proofErr w:type="spellEnd"/>
      <w:r>
        <w:rPr>
          <w:rFonts w:cs="Times New Roman"/>
          <w:lang w:bidi="bn-IN"/>
        </w:rPr>
        <w:t xml:space="preserve"> </w:t>
      </w:r>
      <w:proofErr w:type="spellStart"/>
      <w:r>
        <w:rPr>
          <w:rFonts w:cs="Times New Roman"/>
          <w:lang w:bidi="bn-IN"/>
        </w:rPr>
        <w:t>Economische</w:t>
      </w:r>
      <w:proofErr w:type="spellEnd"/>
      <w:r>
        <w:rPr>
          <w:rFonts w:cs="Times New Roman"/>
          <w:lang w:bidi="bn-IN"/>
        </w:rPr>
        <w:t xml:space="preserve"> </w:t>
      </w:r>
      <w:proofErr w:type="spellStart"/>
      <w:r>
        <w:rPr>
          <w:rFonts w:cs="Times New Roman"/>
          <w:lang w:bidi="bn-IN"/>
        </w:rPr>
        <w:t>en</w:t>
      </w:r>
      <w:proofErr w:type="spellEnd"/>
      <w:r>
        <w:rPr>
          <w:rFonts w:cs="Times New Roman"/>
          <w:lang w:bidi="bn-IN"/>
        </w:rPr>
        <w:t xml:space="preserve"> </w:t>
      </w:r>
      <w:proofErr w:type="spellStart"/>
      <w:r>
        <w:rPr>
          <w:rFonts w:cs="Times New Roman"/>
          <w:lang w:bidi="bn-IN"/>
        </w:rPr>
        <w:t>Sociale</w:t>
      </w:r>
      <w:proofErr w:type="spellEnd"/>
      <w:r>
        <w:rPr>
          <w:rFonts w:cs="Times New Roman"/>
          <w:lang w:bidi="bn-IN"/>
        </w:rPr>
        <w:t xml:space="preserve"> </w:t>
      </w:r>
      <w:proofErr w:type="spellStart"/>
      <w:r>
        <w:rPr>
          <w:rFonts w:cs="Times New Roman"/>
          <w:lang w:bidi="bn-IN"/>
        </w:rPr>
        <w:t>Geografie</w:t>
      </w:r>
      <w:proofErr w:type="spellEnd"/>
      <w:r>
        <w:rPr>
          <w:rFonts w:cs="Times New Roman"/>
          <w:lang w:bidi="bn-IN"/>
        </w:rPr>
        <w:t>, 96(5), 506-514.</w:t>
      </w:r>
    </w:p>
    <w:p w14:paraId="608E79FC" w14:textId="77777777" w:rsidR="00FE3A32" w:rsidRDefault="00FE3A32" w:rsidP="00FE3A32">
      <w:pPr>
        <w:rPr>
          <w:rFonts w:cs="Times New Roman"/>
          <w:lang w:bidi="bn-IN"/>
        </w:rPr>
      </w:pPr>
      <w:r>
        <w:rPr>
          <w:rFonts w:cs="Times New Roman"/>
          <w:lang w:bidi="bn-IN"/>
        </w:rPr>
        <w:t xml:space="preserve">Kozak, M., and </w:t>
      </w:r>
      <w:proofErr w:type="spellStart"/>
      <w:r>
        <w:rPr>
          <w:rFonts w:cs="Times New Roman"/>
          <w:lang w:bidi="bn-IN"/>
        </w:rPr>
        <w:t>Baloglu</w:t>
      </w:r>
      <w:proofErr w:type="spellEnd"/>
      <w:r>
        <w:rPr>
          <w:rFonts w:cs="Times New Roman"/>
          <w:lang w:bidi="bn-IN"/>
        </w:rPr>
        <w:t>, S. (2021). Managing and marketing tourist destinations: Strategies to gain a competitive edge. Routledge.</w:t>
      </w:r>
    </w:p>
    <w:p w14:paraId="54EAA292" w14:textId="77777777" w:rsidR="00FE3A32" w:rsidRDefault="00FE3A32" w:rsidP="00FE3A32">
      <w:pPr>
        <w:rPr>
          <w:rFonts w:cs="Times New Roman"/>
          <w:lang w:bidi="bn-IN"/>
        </w:rPr>
      </w:pPr>
      <w:r>
        <w:rPr>
          <w:rFonts w:cs="Times New Roman"/>
          <w:lang w:bidi="bn-IN"/>
        </w:rPr>
        <w:t xml:space="preserve">Lundberg, C., and </w:t>
      </w:r>
      <w:proofErr w:type="spellStart"/>
      <w:r>
        <w:rPr>
          <w:rFonts w:cs="Times New Roman"/>
          <w:lang w:bidi="bn-IN"/>
        </w:rPr>
        <w:t>Lexhagen</w:t>
      </w:r>
      <w:proofErr w:type="spellEnd"/>
      <w:r>
        <w:rPr>
          <w:rFonts w:cs="Times New Roman"/>
          <w:lang w:bidi="bn-IN"/>
        </w:rPr>
        <w:t>, M. (2014). Is the tourist in the way of the local? Annals of Tourism Research, 44, 107-120.</w:t>
      </w:r>
    </w:p>
    <w:p w14:paraId="486B95B4" w14:textId="77777777" w:rsidR="00FE3A32" w:rsidRDefault="00FE3A32" w:rsidP="00FE3A32">
      <w:pPr>
        <w:rPr>
          <w:rFonts w:cs="Times New Roman"/>
          <w:lang w:bidi="bn-IN"/>
        </w:rPr>
      </w:pPr>
      <w:r>
        <w:rPr>
          <w:rFonts w:cs="Times New Roman"/>
          <w:lang w:bidi="bn-IN"/>
        </w:rPr>
        <w:t>Mandarin Oriental Hotel Group. (2023). Home. [Online] Available at: https://www.mandarinoriental.com/ [Accessed on 14 October 2023].</w:t>
      </w:r>
    </w:p>
    <w:p w14:paraId="625AEBFC" w14:textId="77777777" w:rsidR="00FE3A32" w:rsidRDefault="00FE3A32" w:rsidP="00FE3A32">
      <w:pPr>
        <w:rPr>
          <w:rFonts w:cs="Times New Roman"/>
          <w:lang w:bidi="bn-IN"/>
        </w:rPr>
      </w:pPr>
      <w:r>
        <w:rPr>
          <w:rFonts w:cs="Times New Roman"/>
          <w:lang w:bidi="bn-IN"/>
        </w:rPr>
        <w:t>Mandarin Oriental Hotel Group. (2023). Press Room. [Online] Available at: https://www.mandarinoriental.com/press-room [Accessed on 14 October 2023].</w:t>
      </w:r>
    </w:p>
    <w:p w14:paraId="551C1B55" w14:textId="77777777" w:rsidR="00FE3A32" w:rsidRDefault="00FE3A32" w:rsidP="00FE3A32">
      <w:pPr>
        <w:rPr>
          <w:rFonts w:cs="Times New Roman"/>
          <w:lang w:bidi="bn-IN"/>
        </w:rPr>
      </w:pPr>
      <w:r>
        <w:rPr>
          <w:rFonts w:cs="Times New Roman"/>
          <w:lang w:bidi="bn-IN"/>
        </w:rPr>
        <w:t>Morrison, A. M. (2013). Marketing and managing tourism destinations and attractions. Routledge.</w:t>
      </w:r>
    </w:p>
    <w:p w14:paraId="32515E3A" w14:textId="77777777" w:rsidR="00FE3A32" w:rsidRDefault="00FE3A32" w:rsidP="00FE3A32">
      <w:pPr>
        <w:rPr>
          <w:rFonts w:cs="Times New Roman"/>
          <w:lang w:bidi="bn-IN"/>
        </w:rPr>
      </w:pPr>
      <w:r>
        <w:rPr>
          <w:rFonts w:cs="Times New Roman"/>
          <w:lang w:bidi="bn-IN"/>
        </w:rPr>
        <w:t>Page, S. J., and Connell, J. (2014). Tourism: A modern synthesis. Cengage Learning.</w:t>
      </w:r>
    </w:p>
    <w:p w14:paraId="7698A272" w14:textId="77777777" w:rsidR="00FE3A32" w:rsidRDefault="00FE3A32" w:rsidP="00FE3A32">
      <w:pPr>
        <w:rPr>
          <w:rFonts w:cs="Times New Roman"/>
          <w:lang w:bidi="bn-IN"/>
        </w:rPr>
      </w:pPr>
      <w:r>
        <w:rPr>
          <w:rFonts w:cs="Times New Roman"/>
          <w:lang w:bidi="bn-IN"/>
        </w:rPr>
        <w:t>Premier Inn. (2023). Investors. [Online] Available at: https://www.premierinn.com/gb/en/investors.html [Accessed on 8 October 2023].</w:t>
      </w:r>
    </w:p>
    <w:p w14:paraId="589CE546" w14:textId="77777777" w:rsidR="00FE3A32" w:rsidRDefault="00FE3A32" w:rsidP="00FE3A32">
      <w:pPr>
        <w:rPr>
          <w:rFonts w:cs="Times New Roman"/>
          <w:lang w:bidi="bn-IN"/>
        </w:rPr>
      </w:pPr>
      <w:r>
        <w:rPr>
          <w:rFonts w:cs="Times New Roman"/>
          <w:lang w:bidi="bn-IN"/>
        </w:rPr>
        <w:t>Premier Inn. (2023). Our story. [Online] Available at: https://www.premierinn.com/gb/en/about/our-story.html [Accessed on 8 October 2023].</w:t>
      </w:r>
    </w:p>
    <w:p w14:paraId="1614A3FF" w14:textId="77777777" w:rsidR="00FE3A32" w:rsidRDefault="00FE3A32" w:rsidP="00FE3A32">
      <w:pPr>
        <w:rPr>
          <w:rFonts w:cs="Times New Roman"/>
          <w:lang w:bidi="bn-IN"/>
        </w:rPr>
      </w:pPr>
      <w:proofErr w:type="spellStart"/>
      <w:r>
        <w:rPr>
          <w:rFonts w:cs="Times New Roman"/>
          <w:lang w:bidi="bn-IN"/>
        </w:rPr>
        <w:lastRenderedPageBreak/>
        <w:t>Sigala</w:t>
      </w:r>
      <w:proofErr w:type="spellEnd"/>
      <w:r>
        <w:rPr>
          <w:rFonts w:cs="Times New Roman"/>
          <w:lang w:bidi="bn-IN"/>
        </w:rPr>
        <w:t>, M. (2018). Social media in travel, tourism and hospitality: Theory, practice and cases. Ashgate Publishing.</w:t>
      </w:r>
    </w:p>
    <w:p w14:paraId="30E420E4" w14:textId="77777777" w:rsidR="00FE3A32" w:rsidRDefault="00FE3A32" w:rsidP="00FE3A32">
      <w:pPr>
        <w:rPr>
          <w:rFonts w:cs="Times New Roman"/>
          <w:lang w:bidi="bn-IN"/>
        </w:rPr>
      </w:pPr>
      <w:proofErr w:type="spellStart"/>
      <w:r>
        <w:rPr>
          <w:rFonts w:cs="Times New Roman"/>
          <w:lang w:bidi="bn-IN"/>
        </w:rPr>
        <w:t>Sigala</w:t>
      </w:r>
      <w:proofErr w:type="spellEnd"/>
      <w:r>
        <w:rPr>
          <w:rFonts w:cs="Times New Roman"/>
          <w:lang w:bidi="bn-IN"/>
        </w:rPr>
        <w:t>, M. (2019). Social network analysis in tourism. Annals of Tourism Research, 66, 1-19.</w:t>
      </w:r>
    </w:p>
    <w:p w14:paraId="3ACE8798" w14:textId="77777777" w:rsidR="00FE3A32" w:rsidRDefault="00FE3A32" w:rsidP="00FE3A32">
      <w:pPr>
        <w:rPr>
          <w:rFonts w:cs="Times New Roman"/>
          <w:lang w:bidi="bn-IN"/>
        </w:rPr>
      </w:pPr>
      <w:r>
        <w:rPr>
          <w:rFonts w:cs="Times New Roman"/>
          <w:lang w:bidi="bn-IN"/>
        </w:rPr>
        <w:t>Tribe, J. (2015). The Economics of Recreation, Leisure and Tourism. Routledge.</w:t>
      </w:r>
    </w:p>
    <w:p w14:paraId="2034B7F9" w14:textId="77777777" w:rsidR="00FE3A32" w:rsidRDefault="00FE3A32" w:rsidP="00FE3A32">
      <w:pPr>
        <w:rPr>
          <w:rFonts w:cs="Times New Roman"/>
          <w:lang w:bidi="bn-IN"/>
        </w:rPr>
      </w:pPr>
      <w:r>
        <w:rPr>
          <w:rFonts w:cs="Times New Roman"/>
          <w:lang w:bidi="bn-IN"/>
        </w:rPr>
        <w:t>Walker J (2021) Introduction to Hospitality, Harlow, Pearson</w:t>
      </w:r>
    </w:p>
    <w:p w14:paraId="2182988F" w14:textId="77777777" w:rsidR="00FE3A32" w:rsidRDefault="00FE3A32" w:rsidP="00FE3A32">
      <w:pPr>
        <w:rPr>
          <w:rFonts w:cs="Times New Roman"/>
          <w:lang w:bidi="bn-IN"/>
        </w:rPr>
      </w:pPr>
      <w:r>
        <w:rPr>
          <w:rFonts w:cs="Times New Roman"/>
          <w:lang w:bidi="bn-IN"/>
        </w:rPr>
        <w:t xml:space="preserve">Witt, S. F., and </w:t>
      </w:r>
      <w:proofErr w:type="spellStart"/>
      <w:r>
        <w:rPr>
          <w:rFonts w:cs="Times New Roman"/>
          <w:lang w:bidi="bn-IN"/>
        </w:rPr>
        <w:t>Moutinho</w:t>
      </w:r>
      <w:proofErr w:type="spellEnd"/>
      <w:r>
        <w:rPr>
          <w:rFonts w:cs="Times New Roman"/>
          <w:lang w:bidi="bn-IN"/>
        </w:rPr>
        <w:t>, L. (2014). Tourism marketing and management handbook. Routledge.</w:t>
      </w:r>
    </w:p>
    <w:p w14:paraId="2A237C45" w14:textId="77777777" w:rsidR="00FE3A32" w:rsidRDefault="00FE3A32" w:rsidP="00FE3A32">
      <w:pPr>
        <w:rPr>
          <w:rFonts w:cs="Times New Roman"/>
          <w:lang w:bidi="bn-IN"/>
        </w:rPr>
      </w:pPr>
      <w:r>
        <w:rPr>
          <w:rFonts w:cs="Times New Roman"/>
          <w:lang w:bidi="bn-IN"/>
        </w:rPr>
        <w:t xml:space="preserve">Wong, K. K. F., and </w:t>
      </w:r>
      <w:proofErr w:type="spellStart"/>
      <w:r>
        <w:rPr>
          <w:rFonts w:cs="Times New Roman"/>
          <w:lang w:bidi="bn-IN"/>
        </w:rPr>
        <w:t>Becken</w:t>
      </w:r>
      <w:proofErr w:type="spellEnd"/>
      <w:r>
        <w:rPr>
          <w:rFonts w:cs="Times New Roman"/>
          <w:lang w:bidi="bn-IN"/>
        </w:rPr>
        <w:t>, S. (2019). Tourism and Water. Channel View Publications.</w:t>
      </w:r>
    </w:p>
    <w:p w14:paraId="2E632022" w14:textId="77777777" w:rsidR="00FE3A32" w:rsidRDefault="00FE3A32" w:rsidP="00FE3A32">
      <w:pPr>
        <w:rPr>
          <w:rFonts w:cs="Times New Roman"/>
          <w:lang w:bidi="bn-IN"/>
        </w:rPr>
      </w:pPr>
      <w:r>
        <w:rPr>
          <w:rFonts w:cs="Times New Roman"/>
          <w:lang w:bidi="bn-IN"/>
        </w:rPr>
        <w:t>Zhang, H. Q., Lu, L., and Xu, H. (2018). Impact of online reviews on hotel booking intention: the moderating role of trust. Journal of Travel and Tourism Marketing, 35(4), 447-461.</w:t>
      </w:r>
    </w:p>
    <w:p w14:paraId="2BD4939E" w14:textId="77777777" w:rsidR="00FE3A32" w:rsidRDefault="00FE3A32" w:rsidP="00FE3A32">
      <w:pPr>
        <w:rPr>
          <w:rFonts w:cs="Times New Roman"/>
          <w:lang w:bidi="bn-IN"/>
        </w:rPr>
      </w:pPr>
      <w:r>
        <w:rPr>
          <w:rFonts w:cs="Times New Roman"/>
          <w:lang w:bidi="bn-IN"/>
        </w:rPr>
        <w:t xml:space="preserve"> </w:t>
      </w:r>
    </w:p>
    <w:p w14:paraId="212186A8" w14:textId="0AB4983D" w:rsidR="007760D4" w:rsidRPr="00FE3A32" w:rsidRDefault="007760D4" w:rsidP="00FE3A32"/>
    <w:sectPr w:rsidR="007760D4" w:rsidRPr="00FE3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80A"/>
    <w:rsid w:val="00014AE1"/>
    <w:rsid w:val="00221623"/>
    <w:rsid w:val="00271B50"/>
    <w:rsid w:val="002C2BB7"/>
    <w:rsid w:val="003866C3"/>
    <w:rsid w:val="00573337"/>
    <w:rsid w:val="005E05A7"/>
    <w:rsid w:val="0065280A"/>
    <w:rsid w:val="007760D4"/>
    <w:rsid w:val="00787CBE"/>
    <w:rsid w:val="009B15E1"/>
    <w:rsid w:val="00D654F1"/>
    <w:rsid w:val="00E7131E"/>
    <w:rsid w:val="00EC28C1"/>
    <w:rsid w:val="00F70CD3"/>
    <w:rsid w:val="00FE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2125"/>
  <w15:chartTrackingRefBased/>
  <w15:docId w15:val="{800EEECD-9E5D-46B5-865F-BA1E8EDC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BB7"/>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3A32"/>
    <w:pPr>
      <w:keepNext/>
      <w:keepLines/>
      <w:spacing w:before="240" w:after="0"/>
      <w:outlineLvl w:val="0"/>
    </w:pPr>
    <w:rPr>
      <w:rFonts w:eastAsia="SimSun" w:cs="Vrinda"/>
      <w:b/>
      <w:color w:val="2F5496"/>
      <w:kern w:val="2"/>
      <w:sz w:val="32"/>
      <w:szCs w:val="4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2BB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2C2BB7"/>
    <w:rPr>
      <w:rFonts w:ascii="Arial" w:eastAsiaTheme="majorEastAsia" w:hAnsi="Arial" w:cstheme="majorBidi"/>
      <w:b/>
      <w:spacing w:val="-10"/>
      <w:kern w:val="28"/>
      <w:sz w:val="48"/>
      <w:szCs w:val="56"/>
    </w:rPr>
  </w:style>
  <w:style w:type="character" w:customStyle="1" w:styleId="Heading1Char">
    <w:name w:val="Heading 1 Char"/>
    <w:basedOn w:val="DefaultParagraphFont"/>
    <w:link w:val="Heading1"/>
    <w:uiPriority w:val="9"/>
    <w:rsid w:val="00FE3A32"/>
    <w:rPr>
      <w:rFonts w:ascii="Times New Roman" w:eastAsia="SimSun" w:hAnsi="Times New Roman" w:cs="Vrinda"/>
      <w:b/>
      <w:color w:val="2F5496"/>
      <w:kern w:val="2"/>
      <w:sz w:val="32"/>
      <w:szCs w:val="40"/>
      <w:lang w:bidi="bn-BD"/>
    </w:rPr>
  </w:style>
  <w:style w:type="character" w:styleId="Hyperlink">
    <w:name w:val="Hyperlink"/>
    <w:basedOn w:val="DefaultParagraphFont"/>
    <w:uiPriority w:val="99"/>
    <w:semiHidden/>
    <w:unhideWhenUsed/>
    <w:rsid w:val="00FE3A32"/>
    <w:rPr>
      <w:color w:val="0563C1"/>
      <w:u w:val="single"/>
    </w:rPr>
  </w:style>
  <w:style w:type="paragraph" w:styleId="TOC1">
    <w:name w:val="toc 1"/>
    <w:basedOn w:val="Normal"/>
    <w:next w:val="Normal"/>
    <w:autoRedefine/>
    <w:uiPriority w:val="39"/>
    <w:semiHidden/>
    <w:unhideWhenUsed/>
    <w:qFormat/>
    <w:rsid w:val="00FE3A32"/>
    <w:pPr>
      <w:spacing w:after="100"/>
    </w:pPr>
    <w:rPr>
      <w:rFonts w:eastAsia="Calibri" w:cs="Vrinda"/>
      <w:kern w:val="2"/>
      <w:szCs w:val="28"/>
      <w:lang w:bidi="bn-BD"/>
    </w:rPr>
  </w:style>
  <w:style w:type="paragraph" w:styleId="TOCHeading">
    <w:name w:val="TOC Heading"/>
    <w:basedOn w:val="Heading1"/>
    <w:next w:val="Normal"/>
    <w:uiPriority w:val="39"/>
    <w:semiHidden/>
    <w:unhideWhenUsed/>
    <w:qFormat/>
    <w:rsid w:val="00FE3A32"/>
    <w:pPr>
      <w:spacing w:line="256" w:lineRule="auto"/>
      <w:jc w:val="left"/>
      <w:outlineLvl w:val="9"/>
    </w:pPr>
    <w:rPr>
      <w:rFonts w:ascii="Calibri Light" w:hAnsi="Calibri Light"/>
      <w:b w:val="0"/>
      <w:kern w:val="0"/>
      <w:szCs w:val="3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699412">
      <w:bodyDiv w:val="1"/>
      <w:marLeft w:val="0"/>
      <w:marRight w:val="0"/>
      <w:marTop w:val="0"/>
      <w:marBottom w:val="0"/>
      <w:divBdr>
        <w:top w:val="none" w:sz="0" w:space="0" w:color="auto"/>
        <w:left w:val="none" w:sz="0" w:space="0" w:color="auto"/>
        <w:bottom w:val="none" w:sz="0" w:space="0" w:color="auto"/>
        <w:right w:val="none" w:sz="0" w:space="0" w:color="auto"/>
      </w:divBdr>
    </w:div>
    <w:div w:id="204736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Tuhel%20Miah-FM-A1.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D:\Tuhel%20Miah-FM-A1.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D:\Tuhel%20Miah-FM-A1.docx" TargetMode="External"/><Relationship Id="rId11" Type="http://schemas.openxmlformats.org/officeDocument/2006/relationships/hyperlink" Target="file:///D:\Tuhel%20Miah-FM-A1.docx" TargetMode="External"/><Relationship Id="rId5" Type="http://schemas.openxmlformats.org/officeDocument/2006/relationships/hyperlink" Target="file:///D:\Tuhel%20Miah-FM-A1.docx" TargetMode="External"/><Relationship Id="rId10" Type="http://schemas.openxmlformats.org/officeDocument/2006/relationships/hyperlink" Target="file:///D:\Tuhel%20Miah-FM-A1.docx" TargetMode="External"/><Relationship Id="rId4" Type="http://schemas.openxmlformats.org/officeDocument/2006/relationships/hyperlink" Target="file:///D:\Tuhel%20Miah-FM-A1.docx" TargetMode="External"/><Relationship Id="rId9" Type="http://schemas.openxmlformats.org/officeDocument/2006/relationships/hyperlink" Target="file:///D:\Tuhel%20Miah-FM-A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15</Pages>
  <Words>2894</Words>
  <Characters>16500</Characters>
  <Application>Microsoft Office Word</Application>
  <DocSecurity>0</DocSecurity>
  <Lines>137</Lines>
  <Paragraphs>38</Paragraphs>
  <ScaleCrop>false</ScaleCrop>
  <Company/>
  <LinksUpToDate>false</LinksUpToDate>
  <CharactersWithSpaces>19356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18</cp:revision>
  <dcterms:created xsi:type="dcterms:W3CDTF">2023-10-20T17:55:00Z</dcterms:created>
  <dcterms:modified xsi:type="dcterms:W3CDTF">2023-10-20T21:13:00Z</dcterms:modified>
</cp:coreProperties>
</file>