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40221" w14:textId="77777777" w:rsidR="0040301A" w:rsidRDefault="0040301A" w:rsidP="00AF0FD1">
      <w:pPr>
        <w:spacing w:line="360" w:lineRule="auto"/>
        <w:jc w:val="center"/>
        <w:rPr>
          <w:rFonts w:ascii="Arial" w:hAnsi="Arial" w:cs="Arial"/>
          <w:u w:val="single"/>
        </w:rPr>
      </w:pPr>
    </w:p>
    <w:p w14:paraId="2B2E8EC4" w14:textId="77777777" w:rsidR="0040301A" w:rsidRDefault="0040301A" w:rsidP="0040301A">
      <w:pPr>
        <w:pStyle w:val="NormalWeb"/>
        <w:shd w:val="clear" w:color="auto" w:fill="FFFFFF"/>
        <w:spacing w:before="0" w:beforeAutospacing="0"/>
        <w:rPr>
          <w:rFonts w:ascii="Segoe UI" w:hAnsi="Segoe UI" w:cs="Segoe UI"/>
          <w:color w:val="1D2125"/>
          <w:sz w:val="23"/>
          <w:szCs w:val="23"/>
        </w:rPr>
      </w:pPr>
      <w:r>
        <w:rPr>
          <w:rStyle w:val="Strong"/>
          <w:rFonts w:ascii="Segoe UI" w:eastAsiaTheme="majorEastAsia" w:hAnsi="Segoe UI" w:cs="Segoe UI"/>
          <w:color w:val="1D2125"/>
          <w:sz w:val="23"/>
          <w:szCs w:val="23"/>
        </w:rPr>
        <w:t>Basic Acknowledgement format of AI tool use:</w:t>
      </w:r>
    </w:p>
    <w:p w14:paraId="3427B39F" w14:textId="74E775C2" w:rsidR="0040301A" w:rsidRPr="005A4D2D" w:rsidRDefault="0040301A" w:rsidP="0040301A">
      <w:pPr>
        <w:rPr>
          <w:rFonts w:ascii="Arial" w:hAnsi="Arial" w:cs="Arial"/>
        </w:rPr>
      </w:pPr>
      <w:r>
        <w:rPr>
          <w:rFonts w:ascii="Segoe UI" w:hAnsi="Segoe UI" w:cs="Segoe UI"/>
          <w:color w:val="1D2125"/>
          <w:sz w:val="23"/>
          <w:szCs w:val="23"/>
        </w:rPr>
        <w:br/>
      </w:r>
      <w:r w:rsidRPr="005A4D2D">
        <w:rPr>
          <w:rFonts w:ascii="Arial" w:hAnsi="Arial" w:cs="Arial"/>
        </w:rPr>
        <w:t xml:space="preserve">I acknowledge the use of Grammarly (https://www.grammarly.com/) </w:t>
      </w:r>
      <w:r w:rsidR="00F4025B">
        <w:rPr>
          <w:rFonts w:ascii="Arial" w:hAnsi="Arial" w:cs="Arial"/>
        </w:rPr>
        <w:t>14 June</w:t>
      </w:r>
      <w:r>
        <w:rPr>
          <w:rFonts w:ascii="Arial" w:hAnsi="Arial" w:cs="Arial"/>
        </w:rPr>
        <w:t xml:space="preserve"> 2025</w:t>
      </w:r>
      <w:r w:rsidRPr="005A4D2D">
        <w:rPr>
          <w:rFonts w:ascii="Arial" w:hAnsi="Arial" w:cs="Arial"/>
        </w:rPr>
        <w:t xml:space="preserve"> to check my work using the prompt(s): </w:t>
      </w:r>
    </w:p>
    <w:p w14:paraId="72229A00" w14:textId="77777777" w:rsidR="0040301A" w:rsidRPr="005A4D2D" w:rsidRDefault="0040301A" w:rsidP="0040301A">
      <w:pPr>
        <w:rPr>
          <w:rFonts w:ascii="Arial" w:hAnsi="Arial" w:cs="Arial"/>
        </w:rPr>
      </w:pPr>
      <w:r w:rsidRPr="005A4D2D">
        <w:rPr>
          <w:rFonts w:ascii="Arial" w:hAnsi="Arial" w:cs="Arial"/>
        </w:rPr>
        <w:t xml:space="preserve">Please check the following text for readability, UK spelling and grammar. </w:t>
      </w:r>
    </w:p>
    <w:p w14:paraId="347AD787" w14:textId="77777777" w:rsidR="0040301A" w:rsidRDefault="0040301A" w:rsidP="0040301A">
      <w:pPr>
        <w:rPr>
          <w:rFonts w:ascii="Arial" w:hAnsi="Arial" w:cs="Arial"/>
        </w:rPr>
      </w:pPr>
      <w:r w:rsidRPr="005A4D2D">
        <w:rPr>
          <w:rFonts w:ascii="Arial" w:hAnsi="Arial" w:cs="Arial"/>
        </w:rPr>
        <w:t>I was encouraged to use this due to my dyslexia.</w:t>
      </w:r>
    </w:p>
    <w:p w14:paraId="3DE4C254" w14:textId="77777777" w:rsidR="0040301A" w:rsidRDefault="0040301A" w:rsidP="00AF0FD1">
      <w:pPr>
        <w:spacing w:line="360" w:lineRule="auto"/>
        <w:jc w:val="center"/>
        <w:rPr>
          <w:rFonts w:ascii="Arial" w:hAnsi="Arial" w:cs="Arial"/>
          <w:u w:val="single"/>
        </w:rPr>
      </w:pPr>
    </w:p>
    <w:p w14:paraId="041CC2B9" w14:textId="77777777" w:rsidR="0040301A" w:rsidRDefault="0040301A" w:rsidP="00AF0FD1">
      <w:pPr>
        <w:spacing w:line="360" w:lineRule="auto"/>
        <w:jc w:val="center"/>
        <w:rPr>
          <w:rFonts w:ascii="Arial" w:hAnsi="Arial" w:cs="Arial"/>
          <w:u w:val="single"/>
        </w:rPr>
      </w:pPr>
    </w:p>
    <w:p w14:paraId="2DEE8AC3" w14:textId="77777777" w:rsidR="0040301A" w:rsidRDefault="0040301A" w:rsidP="00AF0FD1">
      <w:pPr>
        <w:spacing w:line="360" w:lineRule="auto"/>
        <w:jc w:val="center"/>
        <w:rPr>
          <w:rFonts w:ascii="Arial" w:hAnsi="Arial" w:cs="Arial"/>
          <w:u w:val="single"/>
        </w:rPr>
      </w:pPr>
    </w:p>
    <w:p w14:paraId="5A088BBA" w14:textId="77777777" w:rsidR="0040301A" w:rsidRDefault="0040301A" w:rsidP="00AF0FD1">
      <w:pPr>
        <w:spacing w:line="360" w:lineRule="auto"/>
        <w:jc w:val="center"/>
        <w:rPr>
          <w:rFonts w:ascii="Arial" w:hAnsi="Arial" w:cs="Arial"/>
          <w:u w:val="single"/>
        </w:rPr>
      </w:pPr>
    </w:p>
    <w:p w14:paraId="3AB74E8A" w14:textId="77777777" w:rsidR="0040301A" w:rsidRDefault="0040301A" w:rsidP="00AF0FD1">
      <w:pPr>
        <w:spacing w:line="360" w:lineRule="auto"/>
        <w:jc w:val="center"/>
        <w:rPr>
          <w:rFonts w:ascii="Arial" w:hAnsi="Arial" w:cs="Arial"/>
          <w:u w:val="single"/>
        </w:rPr>
      </w:pPr>
    </w:p>
    <w:p w14:paraId="0EECC227" w14:textId="77777777" w:rsidR="0040301A" w:rsidRDefault="0040301A" w:rsidP="00AF0FD1">
      <w:pPr>
        <w:spacing w:line="360" w:lineRule="auto"/>
        <w:jc w:val="center"/>
        <w:rPr>
          <w:rFonts w:ascii="Arial" w:hAnsi="Arial" w:cs="Arial"/>
          <w:u w:val="single"/>
        </w:rPr>
      </w:pPr>
    </w:p>
    <w:p w14:paraId="7343555E" w14:textId="77777777" w:rsidR="0040301A" w:rsidRDefault="0040301A" w:rsidP="00AF0FD1">
      <w:pPr>
        <w:spacing w:line="360" w:lineRule="auto"/>
        <w:jc w:val="center"/>
        <w:rPr>
          <w:rFonts w:ascii="Arial" w:hAnsi="Arial" w:cs="Arial"/>
          <w:u w:val="single"/>
        </w:rPr>
      </w:pPr>
    </w:p>
    <w:p w14:paraId="19ABCB41" w14:textId="77777777" w:rsidR="0040301A" w:rsidRDefault="0040301A" w:rsidP="00AF0FD1">
      <w:pPr>
        <w:spacing w:line="360" w:lineRule="auto"/>
        <w:jc w:val="center"/>
        <w:rPr>
          <w:rFonts w:ascii="Arial" w:hAnsi="Arial" w:cs="Arial"/>
          <w:u w:val="single"/>
        </w:rPr>
      </w:pPr>
    </w:p>
    <w:p w14:paraId="3CA14748" w14:textId="77777777" w:rsidR="0040301A" w:rsidRDefault="0040301A" w:rsidP="00AF0FD1">
      <w:pPr>
        <w:spacing w:line="360" w:lineRule="auto"/>
        <w:jc w:val="center"/>
        <w:rPr>
          <w:rFonts w:ascii="Arial" w:hAnsi="Arial" w:cs="Arial"/>
          <w:u w:val="single"/>
        </w:rPr>
      </w:pPr>
    </w:p>
    <w:p w14:paraId="18FE8A36" w14:textId="77777777" w:rsidR="0040301A" w:rsidRDefault="0040301A" w:rsidP="00AF0FD1">
      <w:pPr>
        <w:spacing w:line="360" w:lineRule="auto"/>
        <w:jc w:val="center"/>
        <w:rPr>
          <w:rFonts w:ascii="Arial" w:hAnsi="Arial" w:cs="Arial"/>
          <w:u w:val="single"/>
        </w:rPr>
      </w:pPr>
    </w:p>
    <w:p w14:paraId="08BECBEE" w14:textId="77777777" w:rsidR="0040301A" w:rsidRDefault="0040301A" w:rsidP="00AF0FD1">
      <w:pPr>
        <w:spacing w:line="360" w:lineRule="auto"/>
        <w:jc w:val="center"/>
        <w:rPr>
          <w:rFonts w:ascii="Arial" w:hAnsi="Arial" w:cs="Arial"/>
          <w:u w:val="single"/>
        </w:rPr>
      </w:pPr>
    </w:p>
    <w:p w14:paraId="58AFEFAF" w14:textId="77777777" w:rsidR="0040301A" w:rsidRDefault="0040301A" w:rsidP="00AF0FD1">
      <w:pPr>
        <w:spacing w:line="360" w:lineRule="auto"/>
        <w:jc w:val="center"/>
        <w:rPr>
          <w:rFonts w:ascii="Arial" w:hAnsi="Arial" w:cs="Arial"/>
          <w:u w:val="single"/>
        </w:rPr>
      </w:pPr>
    </w:p>
    <w:p w14:paraId="1FAFD467" w14:textId="77777777" w:rsidR="0040301A" w:rsidRDefault="0040301A" w:rsidP="00AF0FD1">
      <w:pPr>
        <w:spacing w:line="360" w:lineRule="auto"/>
        <w:jc w:val="center"/>
        <w:rPr>
          <w:rFonts w:ascii="Arial" w:hAnsi="Arial" w:cs="Arial"/>
          <w:u w:val="single"/>
        </w:rPr>
      </w:pPr>
    </w:p>
    <w:p w14:paraId="7DCB7372" w14:textId="77777777" w:rsidR="0040301A" w:rsidRDefault="0040301A" w:rsidP="00AF0FD1">
      <w:pPr>
        <w:spacing w:line="360" w:lineRule="auto"/>
        <w:jc w:val="center"/>
        <w:rPr>
          <w:rFonts w:ascii="Arial" w:hAnsi="Arial" w:cs="Arial"/>
          <w:u w:val="single"/>
        </w:rPr>
      </w:pPr>
    </w:p>
    <w:p w14:paraId="329DA218" w14:textId="77777777" w:rsidR="0040301A" w:rsidRDefault="0040301A" w:rsidP="00AF0FD1">
      <w:pPr>
        <w:spacing w:line="360" w:lineRule="auto"/>
        <w:jc w:val="center"/>
        <w:rPr>
          <w:rFonts w:ascii="Arial" w:hAnsi="Arial" w:cs="Arial"/>
          <w:u w:val="single"/>
        </w:rPr>
      </w:pPr>
    </w:p>
    <w:p w14:paraId="5B635E45" w14:textId="77777777" w:rsidR="0040301A" w:rsidRDefault="0040301A" w:rsidP="00AF0FD1">
      <w:pPr>
        <w:spacing w:line="360" w:lineRule="auto"/>
        <w:jc w:val="center"/>
        <w:rPr>
          <w:rFonts w:ascii="Arial" w:hAnsi="Arial" w:cs="Arial"/>
          <w:u w:val="single"/>
        </w:rPr>
      </w:pPr>
    </w:p>
    <w:p w14:paraId="26994C40" w14:textId="77777777" w:rsidR="0040301A" w:rsidRDefault="0040301A" w:rsidP="00AF0FD1">
      <w:pPr>
        <w:spacing w:line="360" w:lineRule="auto"/>
        <w:jc w:val="center"/>
        <w:rPr>
          <w:rFonts w:ascii="Arial" w:hAnsi="Arial" w:cs="Arial"/>
          <w:u w:val="single"/>
        </w:rPr>
      </w:pPr>
    </w:p>
    <w:p w14:paraId="76845C61" w14:textId="77777777" w:rsidR="0040301A" w:rsidRDefault="0040301A" w:rsidP="00AF0FD1">
      <w:pPr>
        <w:spacing w:line="360" w:lineRule="auto"/>
        <w:jc w:val="center"/>
        <w:rPr>
          <w:rFonts w:ascii="Arial" w:hAnsi="Arial" w:cs="Arial"/>
          <w:u w:val="single"/>
        </w:rPr>
      </w:pPr>
    </w:p>
    <w:p w14:paraId="71250636" w14:textId="77777777" w:rsidR="0040301A" w:rsidRDefault="0040301A" w:rsidP="00AF0FD1">
      <w:pPr>
        <w:spacing w:line="360" w:lineRule="auto"/>
        <w:jc w:val="center"/>
        <w:rPr>
          <w:rFonts w:ascii="Arial" w:hAnsi="Arial" w:cs="Arial"/>
          <w:u w:val="single"/>
        </w:rPr>
      </w:pPr>
    </w:p>
    <w:p w14:paraId="747AEEF8" w14:textId="77777777" w:rsidR="0040301A" w:rsidRDefault="0040301A" w:rsidP="00AF0FD1">
      <w:pPr>
        <w:spacing w:line="360" w:lineRule="auto"/>
        <w:jc w:val="center"/>
        <w:rPr>
          <w:rFonts w:ascii="Arial" w:hAnsi="Arial" w:cs="Arial"/>
          <w:u w:val="single"/>
        </w:rPr>
      </w:pPr>
    </w:p>
    <w:p w14:paraId="7CFB3EFD" w14:textId="0BFFEEDB" w:rsidR="00D322FC" w:rsidRPr="008C22E9" w:rsidRDefault="00D66A9E" w:rsidP="00AF0FD1">
      <w:pPr>
        <w:spacing w:line="360" w:lineRule="auto"/>
        <w:jc w:val="center"/>
        <w:rPr>
          <w:rFonts w:ascii="Arial" w:hAnsi="Arial" w:cs="Arial"/>
          <w:u w:val="single"/>
        </w:rPr>
      </w:pPr>
      <w:r w:rsidRPr="008C22E9">
        <w:rPr>
          <w:rFonts w:ascii="Arial" w:hAnsi="Arial" w:cs="Arial"/>
          <w:u w:val="single"/>
        </w:rPr>
        <w:lastRenderedPageBreak/>
        <w:t>Early Years Curricula</w:t>
      </w:r>
    </w:p>
    <w:p w14:paraId="699E95F6" w14:textId="77777777" w:rsidR="00A66350" w:rsidRPr="008C22E9" w:rsidRDefault="00A66350" w:rsidP="00AF0FD1">
      <w:pPr>
        <w:spacing w:line="360" w:lineRule="auto"/>
        <w:jc w:val="center"/>
        <w:rPr>
          <w:rFonts w:ascii="Arial" w:hAnsi="Arial" w:cs="Arial"/>
          <w:u w:val="single"/>
        </w:rPr>
      </w:pPr>
    </w:p>
    <w:p w14:paraId="0F89591A" w14:textId="46FAA22E" w:rsidR="00A66350" w:rsidRPr="008C22E9" w:rsidRDefault="00BF36E3" w:rsidP="00AF0FD1">
      <w:pPr>
        <w:spacing w:line="360" w:lineRule="auto"/>
        <w:rPr>
          <w:rFonts w:ascii="Arial" w:hAnsi="Arial" w:cs="Arial"/>
          <w:b/>
          <w:bCs/>
          <w:u w:val="single"/>
        </w:rPr>
      </w:pPr>
      <w:r w:rsidRPr="008C22E9">
        <w:rPr>
          <w:rFonts w:ascii="Arial" w:hAnsi="Arial" w:cs="Arial"/>
          <w:b/>
          <w:bCs/>
          <w:u w:val="single"/>
        </w:rPr>
        <w:t>Section 1</w:t>
      </w:r>
      <w:r w:rsidR="006B1786" w:rsidRPr="008C22E9">
        <w:rPr>
          <w:rFonts w:ascii="Arial" w:hAnsi="Arial" w:cs="Arial"/>
          <w:b/>
          <w:bCs/>
          <w:u w:val="single"/>
        </w:rPr>
        <w:t xml:space="preserve">   </w:t>
      </w:r>
    </w:p>
    <w:p w14:paraId="0AD559FA" w14:textId="7B5A05D9" w:rsidR="005A7868" w:rsidRPr="008C22E9" w:rsidRDefault="005A7868" w:rsidP="00AF0FD1">
      <w:pPr>
        <w:spacing w:line="360" w:lineRule="auto"/>
        <w:rPr>
          <w:rFonts w:ascii="Arial" w:hAnsi="Arial" w:cs="Arial"/>
          <w:u w:val="single"/>
        </w:rPr>
      </w:pPr>
      <w:r w:rsidRPr="008C22E9">
        <w:rPr>
          <w:rFonts w:ascii="Arial" w:hAnsi="Arial" w:cs="Arial"/>
          <w:u w:val="single"/>
        </w:rPr>
        <w:t>Introduction</w:t>
      </w:r>
    </w:p>
    <w:p w14:paraId="7C385052" w14:textId="268E6E31" w:rsidR="00056A7E" w:rsidRPr="008C22E9" w:rsidRDefault="00056A7E" w:rsidP="00AF0FD1">
      <w:pPr>
        <w:spacing w:after="100" w:afterAutospacing="1" w:line="360" w:lineRule="auto"/>
        <w:rPr>
          <w:rFonts w:ascii="Arial" w:eastAsia="Times New Roman" w:hAnsi="Arial" w:cs="Arial"/>
          <w:kern w:val="0"/>
          <w:lang w:eastAsia="en-GB"/>
          <w14:ligatures w14:val="none"/>
        </w:rPr>
      </w:pPr>
      <w:r w:rsidRPr="008C22E9">
        <w:rPr>
          <w:rFonts w:ascii="Arial" w:eastAsia="Times New Roman" w:hAnsi="Arial" w:cs="Arial"/>
          <w:kern w:val="0"/>
          <w:lang w:eastAsia="en-GB"/>
          <w14:ligatures w14:val="none"/>
        </w:rPr>
        <w:t>This analysis will critically compare two key early education frameworks in Wales: The Foundation Phase (Welsh Government, 2008) and the Curriculum for Wales (Welsh Government, 2020). The Foundation Phase, introduced in 2008, marked a significant shift in early years education by emphasising experiential, play-based learning for children aged 3 to 7. The Curriculum for Wales, fully implemented from 2022, extends this approach through a holistic, 3–16 framework that places child agency, cross-curricular learning, and developmental progression at its core.</w:t>
      </w:r>
    </w:p>
    <w:p w14:paraId="71F6FF94" w14:textId="36A5EEDF" w:rsidR="005A7868" w:rsidRPr="008C22E9" w:rsidRDefault="005A7868" w:rsidP="00AF0FD1">
      <w:pPr>
        <w:spacing w:after="100" w:afterAutospacing="1" w:line="360" w:lineRule="auto"/>
        <w:rPr>
          <w:rFonts w:ascii="Arial" w:eastAsia="Times New Roman" w:hAnsi="Arial" w:cs="Arial"/>
          <w:kern w:val="0"/>
          <w:u w:val="single"/>
          <w:lang w:eastAsia="en-GB"/>
          <w14:ligatures w14:val="none"/>
        </w:rPr>
      </w:pPr>
      <w:r w:rsidRPr="008C22E9">
        <w:rPr>
          <w:rFonts w:ascii="Arial" w:hAnsi="Arial" w:cs="Arial"/>
          <w:u w:val="single"/>
        </w:rPr>
        <w:t>Play-Based Pedagogy and Child-Centred Learning</w:t>
      </w:r>
    </w:p>
    <w:p w14:paraId="176E5666" w14:textId="38D16CD4" w:rsidR="00056A7E" w:rsidRPr="008C22E9" w:rsidRDefault="00056A7E" w:rsidP="00AF0FD1">
      <w:pPr>
        <w:spacing w:after="100" w:afterAutospacing="1" w:line="360" w:lineRule="auto"/>
        <w:rPr>
          <w:rFonts w:ascii="Arial" w:eastAsia="Times New Roman" w:hAnsi="Arial" w:cs="Arial"/>
          <w:kern w:val="0"/>
          <w:lang w:eastAsia="en-GB"/>
          <w14:ligatures w14:val="none"/>
        </w:rPr>
      </w:pPr>
      <w:r w:rsidRPr="008C22E9">
        <w:rPr>
          <w:rFonts w:ascii="Arial" w:eastAsia="Times New Roman" w:hAnsi="Arial" w:cs="Arial"/>
          <w:kern w:val="0"/>
          <w:lang w:eastAsia="en-GB"/>
          <w14:ligatures w14:val="none"/>
        </w:rPr>
        <w:t>Although both the Foundation Phase and the Curriculum for Wales (2022) promote child-centred, play-based learning, they differ significantly in scope, structure, and pedagogical intention. This comparative analysis explores these differences through a</w:t>
      </w:r>
      <w:r w:rsidR="0098715E" w:rsidRPr="008C22E9">
        <w:rPr>
          <w:rFonts w:ascii="Arial" w:eastAsia="Times New Roman" w:hAnsi="Arial" w:cs="Arial"/>
          <w:kern w:val="0"/>
          <w:lang w:eastAsia="en-GB"/>
          <w14:ligatures w14:val="none"/>
        </w:rPr>
        <w:t xml:space="preserve">n </w:t>
      </w:r>
      <w:r w:rsidR="004D693D" w:rsidRPr="008C22E9">
        <w:rPr>
          <w:rFonts w:ascii="Arial" w:eastAsia="Times New Roman" w:hAnsi="Arial" w:cs="Arial"/>
          <w:kern w:val="0"/>
          <w:lang w:eastAsia="en-GB"/>
          <w14:ligatures w14:val="none"/>
        </w:rPr>
        <w:t>analytical perspective</w:t>
      </w:r>
      <w:r w:rsidRPr="008C22E9">
        <w:rPr>
          <w:rFonts w:ascii="Arial" w:eastAsia="Times New Roman" w:hAnsi="Arial" w:cs="Arial"/>
          <w:kern w:val="0"/>
          <w:lang w:eastAsia="en-GB"/>
          <w14:ligatures w14:val="none"/>
        </w:rPr>
        <w:t>, drawing on policy documents, academic research, and implementation studies, highlighting both the theoretical underpinnings and practical realities.</w:t>
      </w:r>
    </w:p>
    <w:p w14:paraId="760BF8AE" w14:textId="77777777" w:rsidR="00617331" w:rsidRPr="008C22E9" w:rsidRDefault="00617331" w:rsidP="00AF0FD1">
      <w:pPr>
        <w:spacing w:after="100" w:afterAutospacing="1" w:line="360" w:lineRule="auto"/>
        <w:rPr>
          <w:rFonts w:ascii="Arial" w:eastAsia="Times New Roman" w:hAnsi="Arial" w:cs="Arial"/>
          <w:kern w:val="0"/>
          <w:lang w:eastAsia="en-GB"/>
          <w14:ligatures w14:val="none"/>
        </w:rPr>
      </w:pPr>
      <w:r w:rsidRPr="008C22E9">
        <w:rPr>
          <w:rFonts w:ascii="Arial" w:eastAsia="Times New Roman" w:hAnsi="Arial" w:cs="Arial"/>
          <w:kern w:val="0"/>
          <w:lang w:eastAsia="en-GB"/>
          <w14:ligatures w14:val="none"/>
        </w:rPr>
        <w:t>Both the Foundation Phase and the Curriculum for Wales emphasize play-based learning, rooted in developmental psychology theories by Piaget and Vygotsky, which highlight the importance of active, experiential learning in early childhood (Welsh Government, 2008). The Foundation Phase implemented structured play across seven Areas of Learning for children aged 3–7, promoting holistic development.</w:t>
      </w:r>
    </w:p>
    <w:p w14:paraId="4450348E" w14:textId="77777777" w:rsidR="00617331" w:rsidRPr="008C22E9" w:rsidRDefault="00617331" w:rsidP="00AF0FD1">
      <w:pPr>
        <w:spacing w:after="100" w:afterAutospacing="1" w:line="360" w:lineRule="auto"/>
        <w:rPr>
          <w:rFonts w:ascii="Arial" w:eastAsia="Times New Roman" w:hAnsi="Arial" w:cs="Arial"/>
          <w:kern w:val="0"/>
          <w:lang w:eastAsia="en-GB"/>
          <w14:ligatures w14:val="none"/>
        </w:rPr>
      </w:pPr>
      <w:r w:rsidRPr="008C22E9">
        <w:rPr>
          <w:rFonts w:ascii="Arial" w:eastAsia="Times New Roman" w:hAnsi="Arial" w:cs="Arial"/>
          <w:kern w:val="0"/>
          <w:lang w:eastAsia="en-GB"/>
          <w14:ligatures w14:val="none"/>
        </w:rPr>
        <w:t>The Curriculum for Wales builds upon this foundation, extending play-based and child-centred approaches throughout the entire 3–16 age range. It introduces six Areas of Learning and Experience (AoLEs), encouraging authentic contexts and cross-disciplinary learning (Welsh Government, 2020). This reflects a constructivist approach, aligning with Ken Robinson’s advocacy for creativity and divergent thinking, which challenges linear models of instruction (Robinson, 2006).</w:t>
      </w:r>
    </w:p>
    <w:p w14:paraId="46E266F2" w14:textId="31569B69" w:rsidR="005A7868" w:rsidRPr="008C22E9" w:rsidRDefault="00AD5EFD" w:rsidP="00AF0FD1">
      <w:pPr>
        <w:spacing w:after="100" w:afterAutospacing="1" w:line="360" w:lineRule="auto"/>
        <w:rPr>
          <w:rFonts w:ascii="Arial" w:hAnsi="Arial" w:cs="Arial"/>
          <w:u w:val="single"/>
        </w:rPr>
      </w:pPr>
      <w:r w:rsidRPr="008C22E9">
        <w:rPr>
          <w:rFonts w:ascii="Arial" w:hAnsi="Arial" w:cs="Arial"/>
          <w:u w:val="single"/>
        </w:rPr>
        <w:t>Purpose and Vision: The Donaldson Report and Curricular Reform</w:t>
      </w:r>
    </w:p>
    <w:p w14:paraId="6B55D4B5" w14:textId="5FDA33C3" w:rsidR="00813C2B" w:rsidRPr="008C22E9" w:rsidRDefault="00D65EA3"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 xml:space="preserve">International comparisons, such as Wales' performance in PISA assessments, also highlighted the need for systemic reform, drawing public and political attention to curriculum </w:t>
      </w:r>
      <w:r w:rsidRPr="008C22E9">
        <w:rPr>
          <w:rFonts w:ascii="Arial" w:hAnsi="Arial" w:cs="Arial"/>
          <w:sz w:val="22"/>
          <w:szCs w:val="22"/>
        </w:rPr>
        <w:lastRenderedPageBreak/>
        <w:t xml:space="preserve">effectiveness and learner outcomes (Wales Online, 2019). The Curriculum for Wales (CfW) was significantly shaped by Professor Graham Donaldson’s report, </w:t>
      </w:r>
      <w:r w:rsidRPr="008C22E9">
        <w:rPr>
          <w:rStyle w:val="Emphasis"/>
          <w:rFonts w:ascii="Arial" w:eastAsiaTheme="majorEastAsia" w:hAnsi="Arial" w:cs="Arial"/>
          <w:sz w:val="22"/>
          <w:szCs w:val="22"/>
        </w:rPr>
        <w:t>Successful Futures</w:t>
      </w:r>
      <w:r w:rsidRPr="008C22E9">
        <w:rPr>
          <w:rFonts w:ascii="Arial" w:hAnsi="Arial" w:cs="Arial"/>
          <w:sz w:val="22"/>
          <w:szCs w:val="22"/>
        </w:rPr>
        <w:t xml:space="preserve"> (Donaldson, 2015), which criticised the existing curriculum for being outdated and overly prescriptive. Donaldson proposed a purpose-led model centred on four core aims:</w:t>
      </w:r>
      <w:r w:rsidR="00813C2B" w:rsidRPr="008C22E9">
        <w:rPr>
          <w:rFonts w:ascii="Arial" w:hAnsi="Arial" w:cs="Arial"/>
          <w:sz w:val="22"/>
          <w:szCs w:val="22"/>
        </w:rPr>
        <w:t xml:space="preserve"> developing ambitious, capable learners; enterprising, creative contributors; ethical, informed citizens; and healthy, confident individuals.</w:t>
      </w:r>
    </w:p>
    <w:p w14:paraId="56CE1964" w14:textId="77777777" w:rsidR="00813C2B" w:rsidRPr="008C22E9" w:rsidRDefault="00813C2B"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While the Foundation Phase was innovative in promoting experiential, play-based learning for ages 3–7, it lacked continuity beyond that stage. The CfW addresses this limitation by providing a coherent, purpose-driven framework across the 3–16 age range, supporting progression and learner development throughout schooling (Welsh Government, 2020).</w:t>
      </w:r>
    </w:p>
    <w:p w14:paraId="10BC899A" w14:textId="45F97E39" w:rsidR="003C3F99" w:rsidRPr="008C22E9" w:rsidRDefault="00813C2B"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 xml:space="preserve">A key evolution lies in the CfW’s stronger emphasis on learner agency, creativity, and voice.  </w:t>
      </w:r>
      <w:r w:rsidR="003C3F99" w:rsidRPr="008C22E9">
        <w:rPr>
          <w:rFonts w:ascii="Arial" w:hAnsi="Arial" w:cs="Arial"/>
          <w:sz w:val="22"/>
          <w:szCs w:val="22"/>
        </w:rPr>
        <w:t>Although the Foundation Phase encouraged active engagement, its delivery was often constrained by accountability demands and standardised assessments, which at times undermined child-led learning (Maynard et al., 2013). Waters (2013; 2016) challenged whether child agency was ever fully realised, arguing that institutional pressures, a lack of practitioner confidence, and inconsistent pedagogical interpretations diluted the curriculum’s intentions. Her 2016 analysis particularly highlighted the need for clearer adult roles in scaffolding play and a more mature approach to pedagogy that supports professional judgement over prescriptive methods.</w:t>
      </w:r>
    </w:p>
    <w:p w14:paraId="3BB0F210" w14:textId="0F6C27ED" w:rsidR="00813C2B" w:rsidRPr="008C22E9" w:rsidRDefault="004330A8"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I</w:t>
      </w:r>
      <w:r w:rsidR="00813C2B" w:rsidRPr="008C22E9">
        <w:rPr>
          <w:rFonts w:ascii="Arial" w:hAnsi="Arial" w:cs="Arial"/>
          <w:sz w:val="22"/>
          <w:szCs w:val="22"/>
        </w:rPr>
        <w:t>n contrast, the CfW moves towards co-constructed learning, where children actively shape their learning through inquiry, exploration, and creative expression (Welsh Government, 2020). This aligns with Robinson’s (2006) call for nurturing divergent thinking—encouraging learners to generate multiple solutions and ideas, which he argued traditional education systems often suppress.</w:t>
      </w:r>
    </w:p>
    <w:p w14:paraId="0E431666" w14:textId="6D409D24" w:rsidR="00813C2B" w:rsidRPr="008C22E9" w:rsidRDefault="00813C2B"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 xml:space="preserve">The CfW’s </w:t>
      </w:r>
      <w:r w:rsidRPr="008C22E9">
        <w:rPr>
          <w:rStyle w:val="Emphasis"/>
          <w:rFonts w:ascii="Arial" w:eastAsiaTheme="majorEastAsia" w:hAnsi="Arial" w:cs="Arial"/>
          <w:sz w:val="22"/>
          <w:szCs w:val="22"/>
        </w:rPr>
        <w:t>Statements of What Matters</w:t>
      </w:r>
      <w:r w:rsidRPr="008C22E9">
        <w:rPr>
          <w:rFonts w:ascii="Arial" w:hAnsi="Arial" w:cs="Arial"/>
          <w:sz w:val="22"/>
          <w:szCs w:val="22"/>
        </w:rPr>
        <w:t xml:space="preserve"> embed creativity and learner voice as central organising principles, directly supporting the aim of developing “enterprising, creative contributors” (Donaldson, 2015). Craft (2011) also highlights the value of ‘possibility thinking’ in early childhood—encouraging children to </w:t>
      </w:r>
      <w:r w:rsidR="00461A37" w:rsidRPr="008C22E9">
        <w:rPr>
          <w:rFonts w:ascii="Arial" w:hAnsi="Arial" w:cs="Arial"/>
          <w:sz w:val="22"/>
          <w:szCs w:val="22"/>
        </w:rPr>
        <w:t>ask,</w:t>
      </w:r>
      <w:r w:rsidRPr="008C22E9">
        <w:rPr>
          <w:rFonts w:ascii="Arial" w:hAnsi="Arial" w:cs="Arial"/>
          <w:sz w:val="22"/>
          <w:szCs w:val="22"/>
        </w:rPr>
        <w:t xml:space="preserve"> “what if?” questions and imagine alternatives, </w:t>
      </w:r>
      <w:r w:rsidR="00461A37" w:rsidRPr="008C22E9">
        <w:rPr>
          <w:rFonts w:ascii="Arial" w:hAnsi="Arial" w:cs="Arial"/>
          <w:sz w:val="22"/>
          <w:szCs w:val="22"/>
        </w:rPr>
        <w:t>therefore</w:t>
      </w:r>
      <w:r w:rsidRPr="008C22E9">
        <w:rPr>
          <w:rFonts w:ascii="Arial" w:hAnsi="Arial" w:cs="Arial"/>
          <w:sz w:val="22"/>
          <w:szCs w:val="22"/>
        </w:rPr>
        <w:t xml:space="preserve"> fostering agency and imagination from an early age.</w:t>
      </w:r>
    </w:p>
    <w:p w14:paraId="3EBEFE94" w14:textId="77777777" w:rsidR="00813C2B" w:rsidRPr="008C22E9" w:rsidRDefault="00813C2B"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 xml:space="preserve">However, while these aims are pedagogically progressive, implementation remains complex—particularly in meeting the needs of learners with Additional Learning Needs (ALN). The CfW aligns with the Additional Learning Needs and Education Tribunal (Wales) Act 2018, which promotes inclusive, person-centred education. Yet, as Arad Research </w:t>
      </w:r>
      <w:r w:rsidRPr="008C22E9">
        <w:rPr>
          <w:rFonts w:ascii="Arial" w:hAnsi="Arial" w:cs="Arial"/>
          <w:sz w:val="22"/>
          <w:szCs w:val="22"/>
        </w:rPr>
        <w:lastRenderedPageBreak/>
        <w:t>(2023) warns, successful realisation depends on practitioner training, school leadership, and access to specialist support. Without these, teachers may default to more structured or risk-averse methods, limiting creativity and agency for ALN learners.</w:t>
      </w:r>
    </w:p>
    <w:p w14:paraId="5222F671" w14:textId="2D126AC5" w:rsidR="00A971F6" w:rsidRPr="008C22E9" w:rsidRDefault="00813C2B"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 xml:space="preserve">The Independent Stocktake and WISERD report both identified similar systemic issues in the Foundation Phase, such as the lack of shared pedagogical language, inconsistent inspection practices, and insufficient professional development. These critiques were addressed in </w:t>
      </w:r>
      <w:r w:rsidRPr="008C22E9">
        <w:rPr>
          <w:rStyle w:val="Emphasis"/>
          <w:rFonts w:ascii="Arial" w:eastAsiaTheme="majorEastAsia" w:hAnsi="Arial" w:cs="Arial"/>
          <w:sz w:val="22"/>
          <w:szCs w:val="22"/>
        </w:rPr>
        <w:t>Successful Futures</w:t>
      </w:r>
      <w:r w:rsidRPr="008C22E9">
        <w:rPr>
          <w:rFonts w:ascii="Arial" w:hAnsi="Arial" w:cs="Arial"/>
          <w:sz w:val="22"/>
          <w:szCs w:val="22"/>
        </w:rPr>
        <w:t xml:space="preserve"> (Donaldson, 2015), making the CfW both a theoretical advancement and a response to past implementation shortcomings.</w:t>
      </w:r>
    </w:p>
    <w:p w14:paraId="296E52EE" w14:textId="68FB715D" w:rsidR="001E70E7" w:rsidRPr="008C22E9" w:rsidRDefault="00DC7F39" w:rsidP="00AF0FD1">
      <w:pPr>
        <w:spacing w:after="100" w:afterAutospacing="1" w:line="360" w:lineRule="auto"/>
        <w:rPr>
          <w:rFonts w:ascii="Arial" w:eastAsia="Times New Roman" w:hAnsi="Arial" w:cs="Arial"/>
          <w:kern w:val="0"/>
          <w:u w:val="single"/>
          <w:lang w:eastAsia="en-GB"/>
          <w14:ligatures w14:val="none"/>
        </w:rPr>
      </w:pPr>
      <w:r w:rsidRPr="008C22E9">
        <w:rPr>
          <w:rFonts w:ascii="Arial" w:hAnsi="Arial" w:cs="Arial"/>
          <w:u w:val="single"/>
        </w:rPr>
        <w:t>Similarities and Differences in Practice</w:t>
      </w:r>
    </w:p>
    <w:p w14:paraId="087047EF" w14:textId="77777777" w:rsidR="001E70E7" w:rsidRPr="008C22E9" w:rsidRDefault="001E70E7" w:rsidP="00AF0FD1">
      <w:pPr>
        <w:spacing w:after="100" w:afterAutospacing="1" w:line="360" w:lineRule="auto"/>
        <w:rPr>
          <w:rFonts w:ascii="Arial" w:eastAsia="Times New Roman" w:hAnsi="Arial" w:cs="Arial"/>
          <w:kern w:val="0"/>
          <w:lang w:eastAsia="en-GB"/>
          <w14:ligatures w14:val="none"/>
        </w:rPr>
      </w:pPr>
      <w:r w:rsidRPr="008C22E9">
        <w:rPr>
          <w:rFonts w:ascii="Arial" w:eastAsia="Times New Roman" w:hAnsi="Arial" w:cs="Arial"/>
          <w:kern w:val="0"/>
          <w:lang w:eastAsia="en-GB"/>
          <w14:ligatures w14:val="none"/>
        </w:rPr>
        <w:t>Both curricula recognise the importance of learner engagement, emotional well-being, and inclusive practices. However, the Curriculum for Wales (CfW) is more explicit in embedding these principles across all stages of education, building them into the "four purposes" that underpin the entire framework (Welsh Government, 2020). While the Foundation Phase valued holistic development and aimed to create nurturing environments for children aged 3 to 7, its focus on these values was confined to early years, and it lacked continuity beyond that stage (Maynard et al., 2013). In contrast, the CfW aims to maintain a consistent, learner-centred approach from ages 3 to 16, ensuring that well-being and inclusion are not just aspirational goals but structural features of curriculum design and pedagogy (Estyn, 2023).</w:t>
      </w:r>
    </w:p>
    <w:p w14:paraId="56845CA3" w14:textId="77777777" w:rsidR="001E70E7" w:rsidRPr="008C22E9" w:rsidRDefault="001E70E7" w:rsidP="00AF0FD1">
      <w:pPr>
        <w:spacing w:after="100" w:afterAutospacing="1" w:line="360" w:lineRule="auto"/>
        <w:rPr>
          <w:rFonts w:ascii="Arial" w:eastAsia="Times New Roman" w:hAnsi="Arial" w:cs="Arial"/>
          <w:kern w:val="0"/>
          <w:lang w:eastAsia="en-GB"/>
          <w14:ligatures w14:val="none"/>
        </w:rPr>
      </w:pPr>
      <w:r w:rsidRPr="008C22E9">
        <w:rPr>
          <w:rFonts w:ascii="Arial" w:eastAsia="Times New Roman" w:hAnsi="Arial" w:cs="Arial"/>
          <w:kern w:val="0"/>
          <w:lang w:eastAsia="en-GB"/>
          <w14:ligatures w14:val="none"/>
        </w:rPr>
        <w:t>A key area of divergence between the two curricula lies in their assessment methodologies. The Foundation Phase primarily relied on observational and development-focused assessments, reflecting its emphasis on child development theories and formative feedback (Welsh Government, 2008). Meanwhile, the CfW introduces a progression-based model of assessment that emphasises ongoing development over time rather than relying on high-stakes, summative evaluations. This shift aligns with international best practice and supports personalised learning trajectories (OECD, 2020). It also reflects a deliberate move away from what Donaldson (2015) described as a "one-size-fits-all" approach in the previous curriculum.</w:t>
      </w:r>
    </w:p>
    <w:p w14:paraId="2EE2B7A0" w14:textId="77777777" w:rsidR="001E70E7" w:rsidRPr="008C22E9" w:rsidRDefault="001E70E7" w:rsidP="00AF0FD1">
      <w:pPr>
        <w:spacing w:after="100" w:afterAutospacing="1" w:line="360" w:lineRule="auto"/>
        <w:rPr>
          <w:rFonts w:ascii="Arial" w:eastAsia="Times New Roman" w:hAnsi="Arial" w:cs="Arial"/>
          <w:kern w:val="0"/>
          <w:lang w:eastAsia="en-GB"/>
          <w14:ligatures w14:val="none"/>
        </w:rPr>
      </w:pPr>
      <w:r w:rsidRPr="008C22E9">
        <w:rPr>
          <w:rFonts w:ascii="Arial" w:eastAsia="Times New Roman" w:hAnsi="Arial" w:cs="Arial"/>
          <w:kern w:val="0"/>
          <w:lang w:eastAsia="en-GB"/>
          <w14:ligatures w14:val="none"/>
        </w:rPr>
        <w:t xml:space="preserve">Another notable distinction is the level of pedagogical autonomy afforded to teachers. The CfW explicitly promotes teacher agency by encouraging schools and practitioners to co-construct the curriculum based on local context, learner needs, and professional expertise (Welsh Government, 2020). This represents a significant shift from the more structured and prescriptive framework of the Foundation Phase, where Areas of Learning and associated outcomes were more clearly defined and centrally directed. Donaldson (2015) argued for this </w:t>
      </w:r>
      <w:r w:rsidRPr="008C22E9">
        <w:rPr>
          <w:rFonts w:ascii="Arial" w:eastAsia="Times New Roman" w:hAnsi="Arial" w:cs="Arial"/>
          <w:kern w:val="0"/>
          <w:lang w:eastAsia="en-GB"/>
          <w14:ligatures w14:val="none"/>
        </w:rPr>
        <w:lastRenderedPageBreak/>
        <w:t>change, asserting that professional autonomy was essential to creating responsive and innovative educational environments. The Organisation for Economic Co-operation and Development (OECD, 2020) has since affirmed this approach, noting that such autonomy empowers teachers to tailor learning experiences while also increasing their professional accountability.</w:t>
      </w:r>
    </w:p>
    <w:p w14:paraId="4AAB49DE" w14:textId="02B1D085" w:rsidR="001E70E7" w:rsidRPr="008C22E9" w:rsidRDefault="001E70E7" w:rsidP="00AF0FD1">
      <w:pPr>
        <w:spacing w:after="100" w:afterAutospacing="1" w:line="360" w:lineRule="auto"/>
        <w:rPr>
          <w:rFonts w:ascii="Arial" w:hAnsi="Arial" w:cs="Arial"/>
        </w:rPr>
      </w:pPr>
      <w:r w:rsidRPr="008C22E9">
        <w:rPr>
          <w:rFonts w:ascii="Arial" w:eastAsia="Times New Roman" w:hAnsi="Arial" w:cs="Arial"/>
          <w:kern w:val="0"/>
          <w:lang w:eastAsia="en-GB"/>
          <w14:ligatures w14:val="none"/>
        </w:rPr>
        <w:t xml:space="preserve">However, this flexibility comes with challenges. Estyn (2022) reported variability in how schools understand and implement their new responsibilities and highlighted that many </w:t>
      </w:r>
      <w:r w:rsidR="00586522" w:rsidRPr="008C22E9">
        <w:rPr>
          <w:rFonts w:ascii="Arial" w:eastAsia="Times New Roman" w:hAnsi="Arial" w:cs="Arial"/>
          <w:kern w:val="0"/>
          <w:lang w:eastAsia="en-GB"/>
          <w14:ligatures w14:val="none"/>
        </w:rPr>
        <w:t>practitioners</w:t>
      </w:r>
      <w:r w:rsidRPr="008C22E9">
        <w:rPr>
          <w:rFonts w:ascii="Arial" w:eastAsia="Times New Roman" w:hAnsi="Arial" w:cs="Arial"/>
          <w:kern w:val="0"/>
          <w:lang w:eastAsia="en-GB"/>
          <w14:ligatures w14:val="none"/>
        </w:rPr>
        <w:t xml:space="preserve">—especially in the secondary sector—feel underprepared for the demands of curriculum co-construction. Arad Research (2023) echoed these concerns, noting that inclusion and engagement often remain aspirational where professional learning and leadership support are inconsistent. Despite these implementation issues, the pedagogical shift toward greater autonomy and purpose-led education is widely supported in the </w:t>
      </w:r>
      <w:r w:rsidR="003E6797" w:rsidRPr="008C22E9">
        <w:rPr>
          <w:rFonts w:ascii="Arial" w:eastAsia="Times New Roman" w:hAnsi="Arial" w:cs="Arial"/>
          <w:kern w:val="0"/>
          <w:lang w:eastAsia="en-GB"/>
          <w14:ligatures w14:val="none"/>
        </w:rPr>
        <w:t>research</w:t>
      </w:r>
      <w:r w:rsidRPr="008C22E9">
        <w:rPr>
          <w:rFonts w:ascii="Arial" w:eastAsia="Times New Roman" w:hAnsi="Arial" w:cs="Arial"/>
          <w:kern w:val="0"/>
          <w:lang w:eastAsia="en-GB"/>
          <w14:ligatures w14:val="none"/>
        </w:rPr>
        <w:t xml:space="preserve"> as a necessary </w:t>
      </w:r>
      <w:r w:rsidR="00B83B2A" w:rsidRPr="008C22E9">
        <w:rPr>
          <w:rFonts w:ascii="Arial" w:eastAsia="Times New Roman" w:hAnsi="Arial" w:cs="Arial"/>
          <w:kern w:val="0"/>
          <w:lang w:eastAsia="en-GB"/>
          <w14:ligatures w14:val="none"/>
        </w:rPr>
        <w:t>development</w:t>
      </w:r>
      <w:r w:rsidRPr="008C22E9">
        <w:rPr>
          <w:rFonts w:ascii="Arial" w:eastAsia="Times New Roman" w:hAnsi="Arial" w:cs="Arial"/>
          <w:kern w:val="0"/>
          <w:lang w:eastAsia="en-GB"/>
          <w14:ligatures w14:val="none"/>
        </w:rPr>
        <w:t xml:space="preserve"> in the Welsh education system</w:t>
      </w:r>
      <w:r w:rsidR="00E1621C" w:rsidRPr="008C22E9">
        <w:rPr>
          <w:rFonts w:ascii="Arial" w:hAnsi="Arial" w:cs="Arial"/>
        </w:rPr>
        <w:t xml:space="preserve"> (Sinnott and Evans, 2021).</w:t>
      </w:r>
    </w:p>
    <w:p w14:paraId="55C9360F" w14:textId="7DEAE154" w:rsidR="008B1698" w:rsidRPr="008C22E9" w:rsidRDefault="002772FB" w:rsidP="00AF0FD1">
      <w:pPr>
        <w:spacing w:after="100" w:afterAutospacing="1" w:line="360" w:lineRule="auto"/>
        <w:rPr>
          <w:rFonts w:ascii="Arial" w:hAnsi="Arial" w:cs="Arial"/>
          <w:u w:val="single"/>
        </w:rPr>
      </w:pPr>
      <w:r w:rsidRPr="008C22E9">
        <w:rPr>
          <w:rFonts w:ascii="Arial" w:hAnsi="Arial" w:cs="Arial"/>
          <w:u w:val="single"/>
        </w:rPr>
        <w:t>Practicality, Implementation, and Barriers</w:t>
      </w:r>
    </w:p>
    <w:p w14:paraId="67CFF5B4" w14:textId="77777777" w:rsidR="00FF418A" w:rsidRPr="008C22E9" w:rsidRDefault="00FF418A"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The practical implementation of both the Foundation Phase and the Curriculum for Wales reveals ongoing tensions between pedagogical ideals and educational realities. For the Foundation Phase, Maynard et al. (2013) found that pressures to meet literacy and numeracy benchmarks often led to more formal instruction by Year 2, which undermined the intended child-led approach and created inconsistencies across settings.</w:t>
      </w:r>
    </w:p>
    <w:p w14:paraId="3011F3B3" w14:textId="77777777" w:rsidR="00FF418A" w:rsidRPr="008C22E9" w:rsidRDefault="00FF418A"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The 2013 Independent Stocktake and 2015 WISERD evaluations highlighted persistent challenges, particularly inconsistent pedagogical interpretations and inspection practices. Estyn inspectors frequently lacked training in play-based approaches, resulting in a disconnect between curriculum aims and evaluation criteria (Welsh Government, 2014; WISERD, 2015). The reports also noted unclear understanding of key concepts like “child-led learning” and “play-based pedagogy,” contributing to variable delivery quality.</w:t>
      </w:r>
    </w:p>
    <w:p w14:paraId="3BBEF6CA" w14:textId="77777777" w:rsidR="00FF418A" w:rsidRPr="008C22E9" w:rsidRDefault="00FF418A"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The Curriculum for Wales seeks to address these issues by embedding learner-centred principles across ages 3 to 16 and promoting greater professional autonomy. However, implementation challenges remain. Early years practitioners welcome the flexibility for inquiry-based, locally relevant learning but often struggle to realise it fully. Estyn (2022) reports significant variability in schools’ interpretations of curriculum flexibility, especially in embedding cross-disciplinary learning through authentic contexts.</w:t>
      </w:r>
    </w:p>
    <w:p w14:paraId="280E7847" w14:textId="77777777" w:rsidR="00FF418A" w:rsidRPr="008C22E9" w:rsidRDefault="00FF418A"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lastRenderedPageBreak/>
        <w:t>A major barrier is the lack of sustained, high-quality professional development. Practitioners frequently cite time constraints, workload pressures, and insufficient training as obstacles to fully embracing the curriculum’s ambitions (NAHT Cymru, 2021). This can lead to reliance on traditional, teacher-led methods, especially when balancing flexibility with statutory literacy and numeracy requirements (Taylor et al., 2022).</w:t>
      </w:r>
    </w:p>
    <w:p w14:paraId="4E290DEA" w14:textId="77777777" w:rsidR="00FF418A" w:rsidRPr="008C22E9" w:rsidRDefault="00FF418A"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Moreover, while the Curriculum for Wales promotes inclusive, play-informed practices, implementing these daily remains complex. Supporting learners with Additional Learning Needs (ALN) demands high practitioner confidence and expertise. Arad Research (2023) warns that without specialist support and strong leadership, inclusive and creative education risks remaining aspirational rather than realised.</w:t>
      </w:r>
    </w:p>
    <w:p w14:paraId="6737FF66" w14:textId="5DF132C0" w:rsidR="00FF418A" w:rsidRPr="008C22E9" w:rsidRDefault="00FF418A"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Addressing these barriers requires systemic solutions. Lynch and Little (2020) argue that meaningful curriculum reform depends on committed leadership, ongoing professional development, and manageable teacher workloads. Without these supports, the Curriculum for Wales’s goals—particularly learner agency, creativity, and holistic development—may be compromised by institutional constraints and gaps between policy and practice.</w:t>
      </w:r>
    </w:p>
    <w:p w14:paraId="39C115C8" w14:textId="66C5D842" w:rsidR="0040647D" w:rsidRPr="008C22E9" w:rsidRDefault="0040647D" w:rsidP="00AF0FD1">
      <w:pPr>
        <w:spacing w:after="100" w:afterAutospacing="1" w:line="360" w:lineRule="auto"/>
        <w:rPr>
          <w:rFonts w:ascii="Arial" w:eastAsia="Times New Roman" w:hAnsi="Arial" w:cs="Arial"/>
          <w:kern w:val="0"/>
          <w:u w:val="single"/>
          <w:lang w:eastAsia="en-GB"/>
          <w14:ligatures w14:val="none"/>
        </w:rPr>
      </w:pPr>
      <w:r w:rsidRPr="008C22E9">
        <w:rPr>
          <w:rFonts w:ascii="Arial" w:eastAsia="Times New Roman" w:hAnsi="Arial" w:cs="Arial"/>
          <w:kern w:val="0"/>
          <w:u w:val="single"/>
          <w:lang w:eastAsia="en-GB"/>
          <w14:ligatures w14:val="none"/>
        </w:rPr>
        <w:t>Conclusion</w:t>
      </w:r>
    </w:p>
    <w:p w14:paraId="6D67BC0D" w14:textId="77777777" w:rsidR="00403208" w:rsidRPr="008C22E9" w:rsidRDefault="00403208"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Both the Foundation Phase and the Curriculum for Wales share a commitment to child-centred, play-based learning. However, the Curriculum for Wales adopts a more ambitious, integrated approach, extending these principles across ages 3 to 16 with a clear pedagogical vision. It incorporates key recommendations from earlier evaluations, such as clearer pedagogical definitions, consistent inspection, and greater professional learning investment.</w:t>
      </w:r>
    </w:p>
    <w:p w14:paraId="66DD2672" w14:textId="6D2D2302" w:rsidR="00403208" w:rsidRDefault="00403208" w:rsidP="00AF0FD1">
      <w:pPr>
        <w:pStyle w:val="NormalWeb"/>
        <w:spacing w:before="0" w:beforeAutospacing="0" w:line="360" w:lineRule="auto"/>
        <w:rPr>
          <w:rFonts w:ascii="Arial" w:hAnsi="Arial" w:cs="Arial"/>
          <w:sz w:val="22"/>
          <w:szCs w:val="22"/>
        </w:rPr>
      </w:pPr>
      <w:r w:rsidRPr="008C22E9">
        <w:rPr>
          <w:rFonts w:ascii="Arial" w:hAnsi="Arial" w:cs="Arial"/>
          <w:sz w:val="22"/>
          <w:szCs w:val="22"/>
        </w:rPr>
        <w:t>Despite strong policy commitments to creativity, inclusion, and learner agency, consistent and effective implementation remains challenging—especially in early years settings. Overcoming barriers like practitioner training, leadership support, and accountability pressures is essential to unlocking the full potential of this transformative curriculum. As OECD (2020) highlights, successful reform requires not only policy innovation but also deep structural change—a view echoed by Mark Drakeford’s (2019) call for holistic, integrated early years policy.</w:t>
      </w:r>
    </w:p>
    <w:p w14:paraId="0077920F" w14:textId="08F112AA" w:rsidR="008C22E9" w:rsidRDefault="008C22E9" w:rsidP="00AF0FD1">
      <w:pPr>
        <w:pStyle w:val="NormalWeb"/>
        <w:spacing w:before="0" w:beforeAutospacing="0" w:line="360" w:lineRule="auto"/>
        <w:rPr>
          <w:rFonts w:ascii="Arial" w:hAnsi="Arial" w:cs="Arial"/>
          <w:b/>
          <w:bCs/>
          <w:sz w:val="22"/>
          <w:szCs w:val="22"/>
          <w:u w:val="single"/>
        </w:rPr>
      </w:pPr>
      <w:r w:rsidRPr="008C22E9">
        <w:rPr>
          <w:rFonts w:ascii="Arial" w:hAnsi="Arial" w:cs="Arial"/>
          <w:b/>
          <w:bCs/>
          <w:sz w:val="22"/>
          <w:szCs w:val="22"/>
          <w:u w:val="single"/>
        </w:rPr>
        <w:t>Section 2</w:t>
      </w:r>
      <w:r w:rsidR="00C164B8">
        <w:rPr>
          <w:rFonts w:ascii="Arial" w:hAnsi="Arial" w:cs="Arial"/>
          <w:b/>
          <w:bCs/>
          <w:sz w:val="22"/>
          <w:szCs w:val="22"/>
          <w:u w:val="single"/>
        </w:rPr>
        <w:t xml:space="preserve"> (1531)</w:t>
      </w:r>
    </w:p>
    <w:p w14:paraId="7AAF473C" w14:textId="77777777" w:rsidR="005A2B9D" w:rsidRDefault="00C10933" w:rsidP="00AF0FD1">
      <w:pPr>
        <w:pStyle w:val="NormalWeb"/>
        <w:spacing w:before="0" w:beforeAutospacing="0" w:line="360" w:lineRule="auto"/>
        <w:rPr>
          <w:rFonts w:ascii="Arial" w:hAnsi="Arial" w:cs="Arial"/>
          <w:sz w:val="22"/>
          <w:szCs w:val="22"/>
          <w:u w:val="single"/>
        </w:rPr>
      </w:pPr>
      <w:r w:rsidRPr="00C10933">
        <w:rPr>
          <w:rFonts w:ascii="Arial" w:hAnsi="Arial" w:cs="Arial"/>
          <w:sz w:val="22"/>
          <w:szCs w:val="22"/>
          <w:u w:val="single"/>
        </w:rPr>
        <w:t>The Unique Child – A Critical Evaluation of Assessment Methods in Early Years</w:t>
      </w:r>
    </w:p>
    <w:p w14:paraId="20AE19D4" w14:textId="52D619F9" w:rsidR="005A2B9D" w:rsidRPr="005A2B9D" w:rsidRDefault="005A2B9D" w:rsidP="00AF0FD1">
      <w:pPr>
        <w:pStyle w:val="NormalWeb"/>
        <w:spacing w:before="0" w:beforeAutospacing="0" w:line="360" w:lineRule="auto"/>
        <w:rPr>
          <w:rFonts w:ascii="Arial" w:hAnsi="Arial" w:cs="Arial"/>
          <w:sz w:val="22"/>
          <w:szCs w:val="22"/>
          <w:u w:val="single"/>
        </w:rPr>
      </w:pPr>
      <w:r w:rsidRPr="005A2B9D">
        <w:rPr>
          <w:rFonts w:ascii="Arial" w:hAnsi="Arial" w:cs="Arial"/>
          <w:sz w:val="22"/>
          <w:szCs w:val="22"/>
          <w:u w:val="single"/>
        </w:rPr>
        <w:t>Introduction</w:t>
      </w:r>
    </w:p>
    <w:p w14:paraId="52219A61" w14:textId="77777777" w:rsidR="005A2B9D" w:rsidRPr="005A2B9D" w:rsidRDefault="005A2B9D" w:rsidP="00AF0FD1">
      <w:pPr>
        <w:spacing w:after="100" w:afterAutospacing="1" w:line="360" w:lineRule="auto"/>
        <w:rPr>
          <w:rFonts w:ascii="Arial" w:eastAsia="Times New Roman" w:hAnsi="Arial" w:cs="Arial"/>
          <w:kern w:val="0"/>
          <w:lang w:eastAsia="en-GB"/>
          <w14:ligatures w14:val="none"/>
        </w:rPr>
      </w:pPr>
      <w:r w:rsidRPr="005A2B9D">
        <w:rPr>
          <w:rFonts w:ascii="Arial" w:eastAsia="Times New Roman" w:hAnsi="Arial" w:cs="Arial"/>
          <w:kern w:val="0"/>
          <w:lang w:eastAsia="en-GB"/>
          <w14:ligatures w14:val="none"/>
        </w:rPr>
        <w:lastRenderedPageBreak/>
        <w:t>Understanding the concept of the unique child lies at the heart of effective early years practice. The Curriculum for Wales (2020) embraces this concept by empowering schools to create bespoke curricula tailored to the specific needs, interests, and contexts of their learners: “A new framework for learning in Wales which gives each school express permission to design a bespoke curriculum for the needs of each child.” Every child is different, possessing distinct developmental trajectories, cultural backgrounds, and lived experiences. Consequently, assessments in early childhood education must be sufficiently flexible, inclusive, and reflective to capture the authentic learning journeys of individual children.</w:t>
      </w:r>
    </w:p>
    <w:p w14:paraId="6E2C5633" w14:textId="77777777" w:rsidR="005A2B9D" w:rsidRDefault="005A2B9D" w:rsidP="00AF0FD1">
      <w:pPr>
        <w:spacing w:after="100" w:afterAutospacing="1" w:line="360" w:lineRule="auto"/>
        <w:rPr>
          <w:rFonts w:ascii="Arial" w:eastAsia="Times New Roman" w:hAnsi="Arial" w:cs="Arial"/>
          <w:kern w:val="0"/>
          <w:lang w:eastAsia="en-GB"/>
          <w14:ligatures w14:val="none"/>
        </w:rPr>
      </w:pPr>
      <w:r w:rsidRPr="005A2B9D">
        <w:rPr>
          <w:rFonts w:ascii="Arial" w:eastAsia="Times New Roman" w:hAnsi="Arial" w:cs="Arial"/>
          <w:kern w:val="0"/>
          <w:lang w:eastAsia="en-GB"/>
          <w14:ligatures w14:val="none"/>
        </w:rPr>
        <w:t>This essay critically evaluates two distinct methods of assessment in the early years—age-related assessments (such as standardised developmental milestones) and Learning Stories—comparing and contrasting their capacity to support the holistic development of the unique child. These approaches will be analysed in light of the Curriculum for Wales and supported by academic research and policy, exploring issues of fairness, accuracy, and practicality.</w:t>
      </w:r>
    </w:p>
    <w:p w14:paraId="70D5D320" w14:textId="2CC63B22" w:rsidR="00C10933" w:rsidRPr="00571763" w:rsidRDefault="001C5E39" w:rsidP="00571763">
      <w:pPr>
        <w:spacing w:after="100" w:afterAutospacing="1" w:line="360" w:lineRule="auto"/>
        <w:rPr>
          <w:rFonts w:ascii="Arial" w:eastAsia="Times New Roman" w:hAnsi="Arial" w:cs="Arial"/>
          <w:kern w:val="0"/>
          <w:u w:val="single"/>
          <w:lang w:eastAsia="en-GB"/>
          <w14:ligatures w14:val="none"/>
        </w:rPr>
      </w:pPr>
      <w:r w:rsidRPr="001C5E39">
        <w:rPr>
          <w:rFonts w:ascii="Arial" w:eastAsia="Times New Roman" w:hAnsi="Arial" w:cs="Arial"/>
          <w:kern w:val="0"/>
          <w:u w:val="single"/>
          <w:lang w:eastAsia="en-GB"/>
          <w14:ligatures w14:val="none"/>
        </w:rPr>
        <w:t>What is a unique child and why is it important?</w:t>
      </w:r>
    </w:p>
    <w:p w14:paraId="66CF93D2" w14:textId="17235406" w:rsidR="00491C83" w:rsidRPr="00A300D4" w:rsidRDefault="00491C83" w:rsidP="00AF0FD1">
      <w:pPr>
        <w:pStyle w:val="NormalWeb"/>
        <w:spacing w:before="0" w:beforeAutospacing="0" w:line="360" w:lineRule="auto"/>
        <w:rPr>
          <w:rFonts w:ascii="Arial" w:hAnsi="Arial" w:cs="Arial"/>
          <w:sz w:val="22"/>
          <w:szCs w:val="22"/>
        </w:rPr>
      </w:pPr>
      <w:r w:rsidRPr="00A300D4">
        <w:rPr>
          <w:rFonts w:ascii="Arial" w:hAnsi="Arial" w:cs="Arial"/>
          <w:sz w:val="22"/>
          <w:szCs w:val="22"/>
        </w:rPr>
        <w:t xml:space="preserve">The </w:t>
      </w:r>
      <w:r w:rsidR="001573EA" w:rsidRPr="00A300D4">
        <w:rPr>
          <w:rFonts w:ascii="Arial" w:hAnsi="Arial" w:cs="Arial"/>
          <w:sz w:val="22"/>
          <w:szCs w:val="22"/>
        </w:rPr>
        <w:t>belief</w:t>
      </w:r>
      <w:r w:rsidRPr="00A300D4">
        <w:rPr>
          <w:rFonts w:ascii="Arial" w:hAnsi="Arial" w:cs="Arial"/>
          <w:sz w:val="22"/>
          <w:szCs w:val="22"/>
        </w:rPr>
        <w:t xml:space="preserve"> of a ‘unique child’ is foundational in contemporary early years pedagogy. According to Dweck (2017), children are not passive recipients of knowledge but active, curious, and capable learners, each on their own learning path. Recognising each child as unique requires a shift away from uniform benchmarks toward personalised assessment models that celebrate diversity, potential, and individual progress.</w:t>
      </w:r>
    </w:p>
    <w:p w14:paraId="4466C8F0" w14:textId="77777777" w:rsidR="00491C83" w:rsidRPr="00A300D4" w:rsidRDefault="00491C83" w:rsidP="00AF0FD1">
      <w:pPr>
        <w:pStyle w:val="NormalWeb"/>
        <w:spacing w:before="0" w:beforeAutospacing="0" w:line="360" w:lineRule="auto"/>
        <w:rPr>
          <w:rFonts w:ascii="Arial" w:hAnsi="Arial" w:cs="Arial"/>
          <w:sz w:val="22"/>
          <w:szCs w:val="22"/>
        </w:rPr>
      </w:pPr>
      <w:r w:rsidRPr="00A300D4">
        <w:rPr>
          <w:rFonts w:ascii="Arial" w:hAnsi="Arial" w:cs="Arial"/>
          <w:sz w:val="22"/>
          <w:szCs w:val="22"/>
        </w:rPr>
        <w:t>The Curriculum for Wales recognises this, stating that “no two schools are the same and every child has their own unique needs and aspirations…no two schools have the same curriculum” (Primary School in Wales, 2020). This educational flexibility acknowledges the variation in learners’ developmental timelines and cultural identities—an essential consideration when creating assessments that are fair and truly representative of learning.</w:t>
      </w:r>
    </w:p>
    <w:p w14:paraId="0804AEA0" w14:textId="0E41BF46" w:rsidR="004713C0" w:rsidRPr="00C83E39" w:rsidRDefault="004713C0" w:rsidP="00AF0FD1">
      <w:pPr>
        <w:pStyle w:val="NormalWeb"/>
        <w:spacing w:before="0" w:beforeAutospacing="0" w:line="360" w:lineRule="auto"/>
        <w:rPr>
          <w:rFonts w:ascii="Arial" w:hAnsi="Arial" w:cs="Arial"/>
          <w:sz w:val="22"/>
          <w:szCs w:val="22"/>
          <w:u w:val="single"/>
        </w:rPr>
      </w:pPr>
      <w:r w:rsidRPr="00C83E39">
        <w:rPr>
          <w:rFonts w:ascii="Arial" w:hAnsi="Arial" w:cs="Arial"/>
          <w:sz w:val="22"/>
          <w:szCs w:val="22"/>
          <w:u w:val="single"/>
        </w:rPr>
        <w:t xml:space="preserve">Age </w:t>
      </w:r>
      <w:r w:rsidR="000F761C" w:rsidRPr="00C83E39">
        <w:rPr>
          <w:rFonts w:ascii="Arial" w:hAnsi="Arial" w:cs="Arial"/>
          <w:sz w:val="22"/>
          <w:szCs w:val="22"/>
          <w:u w:val="single"/>
        </w:rPr>
        <w:t>Related Assessments</w:t>
      </w:r>
    </w:p>
    <w:p w14:paraId="2A78E719" w14:textId="77777777" w:rsidR="00F74AED" w:rsidRPr="00C83E39" w:rsidRDefault="00F74AED" w:rsidP="00AF0FD1">
      <w:pPr>
        <w:pStyle w:val="NormalWeb"/>
        <w:spacing w:before="0" w:beforeAutospacing="0" w:line="360" w:lineRule="auto"/>
        <w:rPr>
          <w:rFonts w:ascii="Arial" w:hAnsi="Arial" w:cs="Arial"/>
          <w:sz w:val="22"/>
          <w:szCs w:val="22"/>
        </w:rPr>
      </w:pPr>
      <w:r w:rsidRPr="00C83E39">
        <w:rPr>
          <w:rFonts w:ascii="Arial" w:hAnsi="Arial" w:cs="Arial"/>
          <w:sz w:val="22"/>
          <w:szCs w:val="22"/>
        </w:rPr>
        <w:t xml:space="preserve">In Wales, age-related assessments have historically been linked to developmental benchmarks such as the </w:t>
      </w:r>
      <w:r w:rsidRPr="00C83E39">
        <w:rPr>
          <w:rStyle w:val="Emphasis"/>
          <w:rFonts w:ascii="Arial" w:eastAsiaTheme="majorEastAsia" w:hAnsi="Arial" w:cs="Arial"/>
          <w:sz w:val="22"/>
          <w:szCs w:val="22"/>
        </w:rPr>
        <w:t>Foundation Phase Profile</w:t>
      </w:r>
      <w:r w:rsidRPr="00C83E39">
        <w:rPr>
          <w:rFonts w:ascii="Arial" w:hAnsi="Arial" w:cs="Arial"/>
          <w:sz w:val="22"/>
          <w:szCs w:val="22"/>
        </w:rPr>
        <w:t xml:space="preserve"> (FPP), designed to assess children's progress from ages 3 to 7. Although influenced by broader UK practices like England’s </w:t>
      </w:r>
      <w:r w:rsidRPr="00C83E39">
        <w:rPr>
          <w:rStyle w:val="Emphasis"/>
          <w:rFonts w:ascii="Arial" w:eastAsiaTheme="majorEastAsia" w:hAnsi="Arial" w:cs="Arial"/>
          <w:sz w:val="22"/>
          <w:szCs w:val="22"/>
        </w:rPr>
        <w:t>Development Matters</w:t>
      </w:r>
      <w:r w:rsidRPr="00C83E39">
        <w:rPr>
          <w:rFonts w:ascii="Arial" w:hAnsi="Arial" w:cs="Arial"/>
          <w:sz w:val="22"/>
          <w:szCs w:val="22"/>
        </w:rPr>
        <w:t xml:space="preserve">, Welsh tools are more observation-led and align more closely with the principles of play-based and child-centred learning, as laid out in the </w:t>
      </w:r>
      <w:r w:rsidRPr="00C83E39">
        <w:rPr>
          <w:rStyle w:val="Emphasis"/>
          <w:rFonts w:ascii="Arial" w:eastAsiaTheme="majorEastAsia" w:hAnsi="Arial" w:cs="Arial"/>
          <w:sz w:val="22"/>
          <w:szCs w:val="22"/>
        </w:rPr>
        <w:t>Curriculum for Wales</w:t>
      </w:r>
      <w:r w:rsidRPr="00C83E39">
        <w:rPr>
          <w:rFonts w:ascii="Arial" w:hAnsi="Arial" w:cs="Arial"/>
          <w:sz w:val="22"/>
          <w:szCs w:val="22"/>
        </w:rPr>
        <w:t xml:space="preserve"> </w:t>
      </w:r>
      <w:r w:rsidRPr="00C83E39">
        <w:rPr>
          <w:rFonts w:ascii="Arial" w:hAnsi="Arial" w:cs="Arial"/>
          <w:sz w:val="22"/>
          <w:szCs w:val="22"/>
        </w:rPr>
        <w:lastRenderedPageBreak/>
        <w:t>(Welsh Government, 2022). These assessments aim to provide consistent data on a child's development relative to age-based expectations across domains like physical development, language, and personal and social skills.</w:t>
      </w:r>
    </w:p>
    <w:p w14:paraId="7B4679F4" w14:textId="77777777" w:rsidR="00F74AED" w:rsidRPr="00C83E39" w:rsidRDefault="00F74AED" w:rsidP="00AF0FD1">
      <w:pPr>
        <w:pStyle w:val="NormalWeb"/>
        <w:spacing w:before="0" w:beforeAutospacing="0" w:line="360" w:lineRule="auto"/>
        <w:rPr>
          <w:rFonts w:ascii="Arial" w:hAnsi="Arial" w:cs="Arial"/>
          <w:sz w:val="22"/>
          <w:szCs w:val="22"/>
        </w:rPr>
      </w:pPr>
      <w:r w:rsidRPr="00C83E39">
        <w:rPr>
          <w:rFonts w:ascii="Arial" w:hAnsi="Arial" w:cs="Arial"/>
          <w:sz w:val="22"/>
          <w:szCs w:val="22"/>
        </w:rPr>
        <w:t xml:space="preserve">One of the foundational aspects of the Curriculum for Wales is that it moves away from prescriptive age-banded levels and instead introduces </w:t>
      </w:r>
      <w:r w:rsidRPr="00C83E39">
        <w:rPr>
          <w:rStyle w:val="Emphasis"/>
          <w:rFonts w:ascii="Arial" w:eastAsiaTheme="majorEastAsia" w:hAnsi="Arial" w:cs="Arial"/>
          <w:sz w:val="22"/>
          <w:szCs w:val="22"/>
        </w:rPr>
        <w:t>progression steps</w:t>
      </w:r>
      <w:r w:rsidRPr="00C83E39">
        <w:rPr>
          <w:rFonts w:ascii="Arial" w:hAnsi="Arial" w:cs="Arial"/>
          <w:sz w:val="22"/>
          <w:szCs w:val="22"/>
        </w:rPr>
        <w:t xml:space="preserve"> as part of a continuum of learning. However, research from Welsh schools reveals that many practitioners continue to align these progression steps with age norms in practice, leading to the unintended consequence of reintroducing age-related comparisons into a supposedly flexible framework (GOV.WALES, 2022).</w:t>
      </w:r>
    </w:p>
    <w:p w14:paraId="2A1D8115" w14:textId="77777777" w:rsidR="00F74AED" w:rsidRPr="00C83E39" w:rsidRDefault="00F74AED" w:rsidP="00AF0FD1">
      <w:pPr>
        <w:pStyle w:val="NormalWeb"/>
        <w:spacing w:before="0" w:beforeAutospacing="0" w:line="360" w:lineRule="auto"/>
        <w:rPr>
          <w:rFonts w:ascii="Arial" w:hAnsi="Arial" w:cs="Arial"/>
          <w:sz w:val="22"/>
          <w:szCs w:val="22"/>
        </w:rPr>
      </w:pPr>
      <w:r w:rsidRPr="00C83E39">
        <w:rPr>
          <w:rFonts w:ascii="Arial" w:hAnsi="Arial" w:cs="Arial"/>
          <w:sz w:val="22"/>
          <w:szCs w:val="22"/>
        </w:rPr>
        <w:t>One benefit of age-related assessment, even within the Welsh system, is its practical utility in identifying early developmental concerns. Standardised milestones, such as those within the Foundation Phase Profile, can be useful for flagging areas of concern in speech, social development, or motor coordination. This supports early intervention, particularly when resources for support are available (Roberts-Holmes, 2012).</w:t>
      </w:r>
    </w:p>
    <w:p w14:paraId="48EDD1C1" w14:textId="77777777" w:rsidR="00F74AED" w:rsidRPr="00C83E39" w:rsidRDefault="00F74AED" w:rsidP="00AF0FD1">
      <w:pPr>
        <w:pStyle w:val="NormalWeb"/>
        <w:spacing w:before="0" w:beforeAutospacing="0" w:line="360" w:lineRule="auto"/>
        <w:rPr>
          <w:rFonts w:ascii="Arial" w:hAnsi="Arial" w:cs="Arial"/>
          <w:sz w:val="22"/>
          <w:szCs w:val="22"/>
        </w:rPr>
      </w:pPr>
      <w:r w:rsidRPr="00C83E39">
        <w:rPr>
          <w:rFonts w:ascii="Arial" w:hAnsi="Arial" w:cs="Arial"/>
          <w:sz w:val="22"/>
          <w:szCs w:val="22"/>
        </w:rPr>
        <w:t>Furthermore, baseline and end-of-phase assessments in Wales are largely carried out through observation in a child’s natural learning environment, which respects the pedagogical values of the Foundation Phase and now the Curriculum for Wales. These assessments allow for a degree of flexibility and can support holistic understanding when used alongside practitioner judgement (GOV.WALES, 2022). When applied thoughtfully, they contribute to a child's support plan by providing evidence of need without rigid academic testing.</w:t>
      </w:r>
    </w:p>
    <w:p w14:paraId="1F7CB7DF" w14:textId="5AD699AC" w:rsidR="00BD257A" w:rsidRPr="00C83E39" w:rsidRDefault="00BD257A" w:rsidP="00AF0FD1">
      <w:pPr>
        <w:pStyle w:val="NormalWeb"/>
        <w:spacing w:before="0" w:beforeAutospacing="0" w:line="360" w:lineRule="auto"/>
        <w:rPr>
          <w:rFonts w:ascii="Arial" w:hAnsi="Arial" w:cs="Arial"/>
          <w:sz w:val="22"/>
          <w:szCs w:val="22"/>
        </w:rPr>
      </w:pPr>
      <w:r w:rsidRPr="00C83E39">
        <w:rPr>
          <w:rFonts w:ascii="Arial" w:hAnsi="Arial" w:cs="Arial"/>
          <w:sz w:val="22"/>
          <w:szCs w:val="22"/>
        </w:rPr>
        <w:t>Despite these strengths, the limitations of age-related assessments in the W</w:t>
      </w:r>
      <w:r w:rsidR="006813CA" w:rsidRPr="00C83E39">
        <w:rPr>
          <w:rFonts w:ascii="Arial" w:hAnsi="Arial" w:cs="Arial"/>
          <w:sz w:val="22"/>
          <w:szCs w:val="22"/>
        </w:rPr>
        <w:t>ales</w:t>
      </w:r>
      <w:r w:rsidRPr="00C83E39">
        <w:rPr>
          <w:rFonts w:ascii="Arial" w:hAnsi="Arial" w:cs="Arial"/>
          <w:sz w:val="22"/>
          <w:szCs w:val="22"/>
        </w:rPr>
        <w:t xml:space="preserve"> are significant. Firstly, the developmental variability among young children means that many do not conform neatly to chronological expectations. This is especially true for neurodivergent or gifted learners. Margrain (2017) critiques standardised frameworks for their failure to recognise giftedness when children do not progress in a linear or synchronous fashion, which may result in their needs being overlooked in assessments based on average development norms.</w:t>
      </w:r>
    </w:p>
    <w:p w14:paraId="1884853E" w14:textId="77777777" w:rsidR="0068179A" w:rsidRPr="0068179A" w:rsidRDefault="0068179A" w:rsidP="00AF0FD1">
      <w:pPr>
        <w:spacing w:after="100" w:afterAutospacing="1" w:line="360" w:lineRule="auto"/>
        <w:rPr>
          <w:rFonts w:ascii="Arial" w:eastAsia="Times New Roman" w:hAnsi="Arial" w:cs="Arial"/>
          <w:kern w:val="0"/>
          <w:lang w:eastAsia="en-GB"/>
          <w14:ligatures w14:val="none"/>
        </w:rPr>
      </w:pPr>
      <w:r w:rsidRPr="0068179A">
        <w:rPr>
          <w:rFonts w:ascii="Arial" w:eastAsia="Times New Roman" w:hAnsi="Arial" w:cs="Arial"/>
          <w:kern w:val="0"/>
          <w:lang w:eastAsia="en-GB"/>
          <w14:ligatures w14:val="none"/>
        </w:rPr>
        <w:t xml:space="preserve">Curriculum for Wales emphasises the importance of recognising “the unique needs and aspirations” of each child (Primary School in Wales, 2020), and this sentiment is echoed in national guidance, which stresses that “no two schools have the same curriculum” and “each school [has] express permission to design a bespoke curriculum” (Welsh Government, 2022). This framework is intended to support assessment practices that reflect individual, </w:t>
      </w:r>
      <w:r w:rsidRPr="0068179A">
        <w:rPr>
          <w:rFonts w:ascii="Arial" w:eastAsia="Times New Roman" w:hAnsi="Arial" w:cs="Arial"/>
          <w:kern w:val="0"/>
          <w:lang w:eastAsia="en-GB"/>
          <w14:ligatures w14:val="none"/>
        </w:rPr>
        <w:lastRenderedPageBreak/>
        <w:t>rather than standardised, progress. However, when age-related expectations are applied rigidly, this intention is undermined.</w:t>
      </w:r>
    </w:p>
    <w:p w14:paraId="7A771438" w14:textId="77777777" w:rsidR="00CB07D6" w:rsidRPr="00C83E39" w:rsidRDefault="0068179A" w:rsidP="00AF0FD1">
      <w:pPr>
        <w:spacing w:after="100" w:afterAutospacing="1" w:line="360" w:lineRule="auto"/>
        <w:rPr>
          <w:rFonts w:ascii="Arial" w:eastAsia="Times New Roman" w:hAnsi="Arial" w:cs="Arial"/>
          <w:kern w:val="0"/>
          <w:lang w:eastAsia="en-GB"/>
          <w14:ligatures w14:val="none"/>
        </w:rPr>
      </w:pPr>
      <w:r w:rsidRPr="0068179A">
        <w:rPr>
          <w:rFonts w:ascii="Arial" w:eastAsia="Times New Roman" w:hAnsi="Arial" w:cs="Arial"/>
          <w:kern w:val="0"/>
          <w:lang w:eastAsia="en-GB"/>
          <w14:ligatures w14:val="none"/>
        </w:rPr>
        <w:t>A key barrier to improving age-related assessments in line with the Curriculum for Wales is the availability of professional learning. Research from the Welsh Government (2022) identified that while practitioners valued the new curriculum’s child-led approach, many felt underprepared to fully adopt non-linear, non-age-based assessment methods. A further challenge is the lack of a clear, shared assessment framework, resulting in schools reverting to familiar, age-based tools even when they contradict policy intent.</w:t>
      </w:r>
    </w:p>
    <w:p w14:paraId="0CD29D04" w14:textId="34534B28" w:rsidR="0092701C" w:rsidRPr="0092701C" w:rsidRDefault="0092701C" w:rsidP="00AF0FD1">
      <w:pPr>
        <w:spacing w:after="100" w:afterAutospacing="1" w:line="360" w:lineRule="auto"/>
        <w:rPr>
          <w:rFonts w:ascii="Arial" w:eastAsia="Times New Roman" w:hAnsi="Arial" w:cs="Arial"/>
          <w:kern w:val="0"/>
          <w:u w:val="single"/>
          <w:lang w:eastAsia="en-GB"/>
          <w14:ligatures w14:val="none"/>
        </w:rPr>
      </w:pPr>
      <w:r w:rsidRPr="0092701C">
        <w:rPr>
          <w:rFonts w:ascii="Arial" w:eastAsia="Times New Roman" w:hAnsi="Arial" w:cs="Arial"/>
          <w:kern w:val="0"/>
          <w:u w:val="single"/>
          <w:lang w:eastAsia="en-GB"/>
          <w14:ligatures w14:val="none"/>
        </w:rPr>
        <w:t>Learning Stories</w:t>
      </w:r>
    </w:p>
    <w:p w14:paraId="1C379A20" w14:textId="15D0832E" w:rsidR="0092701C" w:rsidRPr="0092701C" w:rsidRDefault="0092701C" w:rsidP="00AF0FD1">
      <w:pPr>
        <w:spacing w:after="100" w:afterAutospacing="1" w:line="360" w:lineRule="auto"/>
        <w:rPr>
          <w:rFonts w:ascii="Arial" w:eastAsia="Times New Roman" w:hAnsi="Arial" w:cs="Arial"/>
          <w:kern w:val="0"/>
          <w:lang w:eastAsia="en-GB"/>
          <w14:ligatures w14:val="none"/>
        </w:rPr>
      </w:pPr>
      <w:r w:rsidRPr="0092701C">
        <w:rPr>
          <w:rFonts w:ascii="Arial" w:eastAsia="Times New Roman" w:hAnsi="Arial" w:cs="Arial"/>
          <w:kern w:val="0"/>
          <w:lang w:eastAsia="en-GB"/>
          <w14:ligatures w14:val="none"/>
        </w:rPr>
        <w:t xml:space="preserve">Learning Stories are a qualitative, narrative-based form of assessment originating from New Zealand's </w:t>
      </w:r>
      <w:r w:rsidRPr="0092701C">
        <w:rPr>
          <w:rFonts w:ascii="Arial" w:eastAsia="Times New Roman" w:hAnsi="Arial" w:cs="Arial"/>
          <w:i/>
          <w:iCs/>
          <w:kern w:val="0"/>
          <w:lang w:eastAsia="en-GB"/>
          <w14:ligatures w14:val="none"/>
        </w:rPr>
        <w:t>Te Whāriki</w:t>
      </w:r>
      <w:r w:rsidRPr="0092701C">
        <w:rPr>
          <w:rFonts w:ascii="Arial" w:eastAsia="Times New Roman" w:hAnsi="Arial" w:cs="Arial"/>
          <w:kern w:val="0"/>
          <w:lang w:eastAsia="en-GB"/>
          <w14:ligatures w14:val="none"/>
        </w:rPr>
        <w:t xml:space="preserve"> curriculum. They involve the practitioner documenting a child’s learning episode in a story format, often with photos and quotes, and interpreting the meaning and significance of the learning observed (Carr &amp; Lee, 2012).</w:t>
      </w:r>
    </w:p>
    <w:p w14:paraId="1C207812" w14:textId="77777777" w:rsidR="0092701C" w:rsidRPr="0092701C" w:rsidRDefault="0092701C" w:rsidP="00AF0FD1">
      <w:pPr>
        <w:spacing w:after="100" w:afterAutospacing="1" w:line="360" w:lineRule="auto"/>
        <w:rPr>
          <w:rFonts w:ascii="Arial" w:eastAsia="Times New Roman" w:hAnsi="Arial" w:cs="Arial"/>
          <w:kern w:val="0"/>
          <w:lang w:eastAsia="en-GB"/>
          <w14:ligatures w14:val="none"/>
        </w:rPr>
      </w:pPr>
      <w:r w:rsidRPr="0092701C">
        <w:rPr>
          <w:rFonts w:ascii="Arial" w:eastAsia="Times New Roman" w:hAnsi="Arial" w:cs="Arial"/>
          <w:kern w:val="0"/>
          <w:lang w:eastAsia="en-GB"/>
          <w14:ligatures w14:val="none"/>
        </w:rPr>
        <w:t>Learning Stories are well-regarded for being child-centred and highly individualised. They provide a rich context for understanding not just what a child did, but how and why. Georgeson et al. (2015) argue that such approaches allow for a more holistic, strengths-based view of the child, emphasising dispositions, relationships, and identity.</w:t>
      </w:r>
    </w:p>
    <w:p w14:paraId="52C8041E" w14:textId="417813CA" w:rsidR="0092701C" w:rsidRPr="0092701C" w:rsidRDefault="0092701C" w:rsidP="00AF0FD1">
      <w:pPr>
        <w:spacing w:after="100" w:afterAutospacing="1" w:line="360" w:lineRule="auto"/>
        <w:rPr>
          <w:rFonts w:ascii="Arial" w:eastAsia="Times New Roman" w:hAnsi="Arial" w:cs="Arial"/>
          <w:kern w:val="0"/>
          <w:lang w:eastAsia="en-GB"/>
          <w14:ligatures w14:val="none"/>
        </w:rPr>
      </w:pPr>
      <w:r w:rsidRPr="0092701C">
        <w:rPr>
          <w:rFonts w:ascii="Arial" w:eastAsia="Times New Roman" w:hAnsi="Arial" w:cs="Arial"/>
          <w:kern w:val="0"/>
          <w:lang w:eastAsia="en-GB"/>
          <w14:ligatures w14:val="none"/>
        </w:rPr>
        <w:t xml:space="preserve">Critically, they </w:t>
      </w:r>
      <w:r w:rsidR="00353C42" w:rsidRPr="00C83E39">
        <w:rPr>
          <w:rFonts w:ascii="Arial" w:eastAsia="Times New Roman" w:hAnsi="Arial" w:cs="Arial"/>
          <w:kern w:val="0"/>
          <w:lang w:eastAsia="en-GB"/>
          <w14:ligatures w14:val="none"/>
        </w:rPr>
        <w:t>centre</w:t>
      </w:r>
      <w:r w:rsidRPr="0092701C">
        <w:rPr>
          <w:rFonts w:ascii="Arial" w:eastAsia="Times New Roman" w:hAnsi="Arial" w:cs="Arial"/>
          <w:kern w:val="0"/>
          <w:lang w:eastAsia="en-GB"/>
          <w14:ligatures w14:val="none"/>
        </w:rPr>
        <w:t xml:space="preserve"> the voice of the child, involve families, and embrace the complexity of learning. This aligns with the Curriculum for Wales’ emphasis on pupil voice and agency. As McMahon and Dyer (2018) highlight, narrative assessments promote engagement with the child as a competent co-constructor of their learning story, which supports positive self-perception and motivation.</w:t>
      </w:r>
    </w:p>
    <w:p w14:paraId="5E52E3F7" w14:textId="77777777" w:rsidR="0092701C" w:rsidRPr="0092701C" w:rsidRDefault="0092701C" w:rsidP="00AF0FD1">
      <w:pPr>
        <w:spacing w:after="100" w:afterAutospacing="1" w:line="360" w:lineRule="auto"/>
        <w:rPr>
          <w:rFonts w:ascii="Arial" w:eastAsia="Times New Roman" w:hAnsi="Arial" w:cs="Arial"/>
          <w:kern w:val="0"/>
          <w:lang w:eastAsia="en-GB"/>
          <w14:ligatures w14:val="none"/>
        </w:rPr>
      </w:pPr>
      <w:r w:rsidRPr="0092701C">
        <w:rPr>
          <w:rFonts w:ascii="Arial" w:eastAsia="Times New Roman" w:hAnsi="Arial" w:cs="Arial"/>
          <w:kern w:val="0"/>
          <w:lang w:eastAsia="en-GB"/>
          <w14:ligatures w14:val="none"/>
        </w:rPr>
        <w:t>Despite their value, Learning Stories are time-intensive and require skilled practitioners who can interpret learning sensitively and without bias. This raises equity issues across settings with varying access to professional development, high staff-to-child ratios, or limited funding—factors which are critical in Wales, especially in under-resourced areas (Waldron &amp; McLeskey, 2010).</w:t>
      </w:r>
    </w:p>
    <w:p w14:paraId="2D00583E" w14:textId="77777777" w:rsidR="0092701C" w:rsidRPr="00C83E39" w:rsidRDefault="0092701C" w:rsidP="00AF0FD1">
      <w:pPr>
        <w:spacing w:after="100" w:afterAutospacing="1" w:line="360" w:lineRule="auto"/>
        <w:rPr>
          <w:rFonts w:ascii="Arial" w:eastAsia="Times New Roman" w:hAnsi="Arial" w:cs="Arial"/>
          <w:kern w:val="0"/>
          <w:lang w:eastAsia="en-GB"/>
          <w14:ligatures w14:val="none"/>
        </w:rPr>
      </w:pPr>
      <w:r w:rsidRPr="0092701C">
        <w:rPr>
          <w:rFonts w:ascii="Arial" w:eastAsia="Times New Roman" w:hAnsi="Arial" w:cs="Arial"/>
          <w:kern w:val="0"/>
          <w:lang w:eastAsia="en-GB"/>
          <w14:ligatures w14:val="none"/>
        </w:rPr>
        <w:t xml:space="preserve">Moreover, while Learning Stories excel in highlighting socio-emotional development and complex learning processes, they may underrepresent specific skills or knowledge required by the curriculum if not triangulated with other assessment methods (Carr &amp; Lee, 2012). The </w:t>
      </w:r>
      <w:r w:rsidRPr="0092701C">
        <w:rPr>
          <w:rFonts w:ascii="Arial" w:eastAsia="Times New Roman" w:hAnsi="Arial" w:cs="Arial"/>
          <w:kern w:val="0"/>
          <w:lang w:eastAsia="en-GB"/>
          <w14:ligatures w14:val="none"/>
        </w:rPr>
        <w:lastRenderedPageBreak/>
        <w:t>lack of a structured framework can make moderation and inter-school comparison difficult, which several Welsh practitioners have cited as a concern (GOV.WALES, 2022).</w:t>
      </w:r>
    </w:p>
    <w:p w14:paraId="1B82008D" w14:textId="6120C5C2" w:rsidR="00353C42" w:rsidRPr="00C83E39" w:rsidRDefault="00353C42" w:rsidP="00AF0FD1">
      <w:pPr>
        <w:spacing w:after="100" w:afterAutospacing="1" w:line="360" w:lineRule="auto"/>
        <w:rPr>
          <w:rFonts w:ascii="Arial" w:eastAsia="Times New Roman" w:hAnsi="Arial" w:cs="Arial"/>
          <w:kern w:val="0"/>
          <w:u w:val="single"/>
          <w:lang w:eastAsia="en-GB"/>
          <w14:ligatures w14:val="none"/>
        </w:rPr>
      </w:pPr>
      <w:r w:rsidRPr="00C83E39">
        <w:rPr>
          <w:rFonts w:ascii="Arial" w:eastAsia="Times New Roman" w:hAnsi="Arial" w:cs="Arial"/>
          <w:kern w:val="0"/>
          <w:u w:val="single"/>
          <w:lang w:eastAsia="en-GB"/>
          <w14:ligatures w14:val="none"/>
        </w:rPr>
        <w:t>Compar</w:t>
      </w:r>
      <w:r w:rsidR="00A300D4" w:rsidRPr="00C83E39">
        <w:rPr>
          <w:rFonts w:ascii="Arial" w:eastAsia="Times New Roman" w:hAnsi="Arial" w:cs="Arial"/>
          <w:kern w:val="0"/>
          <w:u w:val="single"/>
          <w:lang w:eastAsia="en-GB"/>
          <w14:ligatures w14:val="none"/>
        </w:rPr>
        <w:t>ison and contrast</w:t>
      </w:r>
    </w:p>
    <w:p w14:paraId="0A51366F" w14:textId="77777777" w:rsidR="00844C38" w:rsidRPr="00923EA9" w:rsidRDefault="00844C38" w:rsidP="00AF0FD1">
      <w:pPr>
        <w:pStyle w:val="NormalWeb"/>
        <w:spacing w:before="0" w:beforeAutospacing="0" w:line="360" w:lineRule="auto"/>
        <w:rPr>
          <w:rFonts w:ascii="Arial" w:hAnsi="Arial" w:cs="Arial"/>
          <w:sz w:val="22"/>
          <w:szCs w:val="22"/>
        </w:rPr>
      </w:pPr>
      <w:r w:rsidRPr="00C83E39">
        <w:rPr>
          <w:rFonts w:ascii="Arial" w:hAnsi="Arial" w:cs="Arial"/>
          <w:sz w:val="22"/>
          <w:szCs w:val="22"/>
        </w:rPr>
        <w:t xml:space="preserve">Both assessment types serve different but potentially complementary purposes. Age-related assessments provide structure and comparability but risk reducing children to data points. Learning Stories celebrate individuality but may lack consistency and are resource-intensive. </w:t>
      </w:r>
      <w:r w:rsidRPr="009054BE">
        <w:rPr>
          <w:rFonts w:ascii="Arial" w:hAnsi="Arial" w:cs="Arial"/>
          <w:sz w:val="22"/>
          <w:szCs w:val="22"/>
        </w:rPr>
        <w:t xml:space="preserve">The key difference lies in orientation: standard assessments are outcome-focused, while </w:t>
      </w:r>
      <w:r w:rsidRPr="00923EA9">
        <w:rPr>
          <w:rFonts w:ascii="Arial" w:hAnsi="Arial" w:cs="Arial"/>
          <w:sz w:val="22"/>
          <w:szCs w:val="22"/>
        </w:rPr>
        <w:t>Learning Stories are process-focused.</w:t>
      </w:r>
    </w:p>
    <w:p w14:paraId="68A1E99C" w14:textId="77777777" w:rsidR="00844C38" w:rsidRPr="00923EA9" w:rsidRDefault="00844C38" w:rsidP="00AF0FD1">
      <w:pPr>
        <w:pStyle w:val="NormalWeb"/>
        <w:spacing w:before="0" w:beforeAutospacing="0" w:line="360" w:lineRule="auto"/>
        <w:rPr>
          <w:rFonts w:ascii="Arial" w:hAnsi="Arial" w:cs="Arial"/>
          <w:sz w:val="22"/>
          <w:szCs w:val="22"/>
        </w:rPr>
      </w:pPr>
      <w:r w:rsidRPr="00923EA9">
        <w:rPr>
          <w:rFonts w:ascii="Arial" w:hAnsi="Arial" w:cs="Arial"/>
          <w:sz w:val="22"/>
          <w:szCs w:val="22"/>
        </w:rPr>
        <w:t>In terms of supporting the unique child, Learning Stories arguably provide a truer representation of individual development. They accommodate cultural context, developmental variation, and learner voice in a way that standardised tools often fail to do. However, their implementation depends on a culture of reflective practice and trust in practitioner judgment—something not yet embedded consistently across all settings in Wales (GOV.WALES, 2022)</w:t>
      </w:r>
    </w:p>
    <w:p w14:paraId="06143C2E" w14:textId="5DCF2932" w:rsidR="009054BE" w:rsidRPr="00923EA9" w:rsidRDefault="009054BE" w:rsidP="00AF0FD1">
      <w:pPr>
        <w:pStyle w:val="NormalWeb"/>
        <w:spacing w:before="0" w:beforeAutospacing="0" w:line="360" w:lineRule="auto"/>
        <w:rPr>
          <w:rFonts w:ascii="Arial" w:hAnsi="Arial" w:cs="Arial"/>
          <w:sz w:val="22"/>
          <w:szCs w:val="22"/>
        </w:rPr>
      </w:pPr>
      <w:r w:rsidRPr="00923EA9">
        <w:rPr>
          <w:rFonts w:ascii="Arial" w:hAnsi="Arial" w:cs="Arial"/>
          <w:sz w:val="22"/>
          <w:szCs w:val="22"/>
        </w:rPr>
        <w:t xml:space="preserve">To create a fairer assessment culture in Wales, there needs to be a fundamental shift from “proving” progress—often through checklist or score-based models—towards </w:t>
      </w:r>
      <w:r w:rsidRPr="00923EA9">
        <w:rPr>
          <w:rStyle w:val="Emphasis"/>
          <w:rFonts w:ascii="Arial" w:eastAsiaTheme="majorEastAsia" w:hAnsi="Arial" w:cs="Arial"/>
          <w:sz w:val="22"/>
          <w:szCs w:val="22"/>
        </w:rPr>
        <w:t>understanding and supporting</w:t>
      </w:r>
      <w:r w:rsidRPr="00923EA9">
        <w:rPr>
          <w:rFonts w:ascii="Arial" w:hAnsi="Arial" w:cs="Arial"/>
          <w:sz w:val="22"/>
          <w:szCs w:val="22"/>
        </w:rPr>
        <w:t xml:space="preserve"> learning in more holistic and child-led ways. One promising approach is the integration of </w:t>
      </w:r>
      <w:r w:rsidRPr="00923EA9">
        <w:rPr>
          <w:rStyle w:val="Strong"/>
          <w:rFonts w:ascii="Arial" w:eastAsiaTheme="majorEastAsia" w:hAnsi="Arial" w:cs="Arial"/>
          <w:b w:val="0"/>
          <w:bCs w:val="0"/>
          <w:sz w:val="22"/>
          <w:szCs w:val="22"/>
        </w:rPr>
        <w:t>Learning Stories</w:t>
      </w:r>
      <w:r w:rsidRPr="00923EA9">
        <w:rPr>
          <w:rFonts w:ascii="Arial" w:hAnsi="Arial" w:cs="Arial"/>
          <w:sz w:val="22"/>
          <w:szCs w:val="22"/>
        </w:rPr>
        <w:t xml:space="preserve"> as a tool to complement and enrich assessment within the Progression Steps framework.</w:t>
      </w:r>
    </w:p>
    <w:p w14:paraId="5155538D" w14:textId="77777777" w:rsidR="009054BE" w:rsidRPr="00923EA9" w:rsidRDefault="009054BE" w:rsidP="00AF0FD1">
      <w:pPr>
        <w:pStyle w:val="NormalWeb"/>
        <w:spacing w:before="0" w:beforeAutospacing="0" w:line="360" w:lineRule="auto"/>
        <w:rPr>
          <w:rFonts w:ascii="Arial" w:hAnsi="Arial" w:cs="Arial"/>
          <w:sz w:val="22"/>
          <w:szCs w:val="22"/>
        </w:rPr>
      </w:pPr>
      <w:r w:rsidRPr="00923EA9">
        <w:rPr>
          <w:rFonts w:ascii="Arial" w:hAnsi="Arial" w:cs="Arial"/>
          <w:sz w:val="22"/>
          <w:szCs w:val="22"/>
        </w:rPr>
        <w:t xml:space="preserve">Learning Stories, originally developed in New Zealand, are narrative assessments that capture meaningful episodes of children’s learning in context. They prioritise the child’s voice, identity, and cultural background, and offer a more qualitative, formative way to understand learning journeys. In Wales, their use can support practitioners in aligning with the Curriculum for Wales’ commitment to </w:t>
      </w:r>
      <w:r w:rsidRPr="00923EA9">
        <w:rPr>
          <w:rStyle w:val="Emphasis"/>
          <w:rFonts w:ascii="Arial" w:eastAsiaTheme="majorEastAsia" w:hAnsi="Arial" w:cs="Arial"/>
          <w:sz w:val="22"/>
          <w:szCs w:val="22"/>
        </w:rPr>
        <w:t>personalised learning</w:t>
      </w:r>
      <w:r w:rsidRPr="00923EA9">
        <w:rPr>
          <w:rFonts w:ascii="Arial" w:hAnsi="Arial" w:cs="Arial"/>
          <w:sz w:val="22"/>
          <w:szCs w:val="22"/>
        </w:rPr>
        <w:t xml:space="preserve"> and the </w:t>
      </w:r>
      <w:r w:rsidRPr="00923EA9">
        <w:rPr>
          <w:rStyle w:val="Emphasis"/>
          <w:rFonts w:ascii="Arial" w:eastAsiaTheme="majorEastAsia" w:hAnsi="Arial" w:cs="Arial"/>
          <w:sz w:val="22"/>
          <w:szCs w:val="22"/>
        </w:rPr>
        <w:t>four purposes</w:t>
      </w:r>
      <w:r w:rsidRPr="00923EA9">
        <w:rPr>
          <w:rFonts w:ascii="Arial" w:hAnsi="Arial" w:cs="Arial"/>
          <w:sz w:val="22"/>
          <w:szCs w:val="22"/>
        </w:rPr>
        <w:t xml:space="preserve"> by focusing on what matters to each individual child.</w:t>
      </w:r>
    </w:p>
    <w:p w14:paraId="517333D2" w14:textId="4BFDAA13" w:rsidR="009054BE" w:rsidRPr="00923EA9" w:rsidRDefault="009054BE" w:rsidP="00AF0FD1">
      <w:pPr>
        <w:pStyle w:val="NormalWeb"/>
        <w:spacing w:before="0" w:beforeAutospacing="0" w:line="360" w:lineRule="auto"/>
        <w:rPr>
          <w:rFonts w:ascii="Arial" w:hAnsi="Arial" w:cs="Arial"/>
          <w:sz w:val="22"/>
          <w:szCs w:val="22"/>
        </w:rPr>
      </w:pPr>
      <w:r w:rsidRPr="00923EA9">
        <w:rPr>
          <w:rStyle w:val="Strong"/>
          <w:rFonts w:ascii="Arial" w:eastAsiaTheme="majorEastAsia" w:hAnsi="Arial" w:cs="Arial"/>
          <w:b w:val="0"/>
          <w:bCs w:val="0"/>
          <w:sz w:val="22"/>
          <w:szCs w:val="22"/>
        </w:rPr>
        <w:t>Using Learning Stories to contextualise progress within Progression Steps</w:t>
      </w:r>
      <w:r w:rsidRPr="00923EA9">
        <w:rPr>
          <w:rFonts w:ascii="Arial" w:hAnsi="Arial" w:cs="Arial"/>
          <w:sz w:val="22"/>
          <w:szCs w:val="22"/>
        </w:rPr>
        <w:t xml:space="preserve"> offers a mixed model that combines narrative richness with curricular accountability. This can help practitioners illustrate how a child is progressing in ways that are not immediately evident in age-related data, especially for bilingual, neurodivergent, or culturally diverse learners. Such stories can document a child’s strengths, agency, and interests, aligning well with the emphasis on pupil voice and well-being in Welsh education.</w:t>
      </w:r>
    </w:p>
    <w:p w14:paraId="6EECA32F" w14:textId="6B94E675" w:rsidR="00C164B8" w:rsidRPr="00923EA9" w:rsidRDefault="009054BE" w:rsidP="00AF0FD1">
      <w:pPr>
        <w:pStyle w:val="NormalWeb"/>
        <w:spacing w:before="0" w:beforeAutospacing="0" w:line="360" w:lineRule="auto"/>
        <w:rPr>
          <w:rFonts w:ascii="Arial" w:hAnsi="Arial" w:cs="Arial"/>
          <w:sz w:val="22"/>
          <w:szCs w:val="22"/>
        </w:rPr>
      </w:pPr>
      <w:r w:rsidRPr="00923EA9">
        <w:rPr>
          <w:rFonts w:ascii="Arial" w:hAnsi="Arial" w:cs="Arial"/>
          <w:sz w:val="22"/>
          <w:szCs w:val="22"/>
        </w:rPr>
        <w:lastRenderedPageBreak/>
        <w:t>Moreover, this approach could help bridge the current gap between policy and practice. While the Curriculum for Wales offers flexibility, practitioners often seek clearer guidance and examples of “what good looks like.” Learning Stories can provide a shared yet flexible language for assessment, supporting collaborative planning with families, support staff, and other professionals.</w:t>
      </w:r>
    </w:p>
    <w:p w14:paraId="7D4E2DB0" w14:textId="66190644" w:rsidR="00C164B8" w:rsidRPr="00C164B8" w:rsidRDefault="00C164B8" w:rsidP="00AF0FD1">
      <w:pPr>
        <w:pStyle w:val="NormalWeb"/>
        <w:spacing w:before="0" w:beforeAutospacing="0" w:line="360" w:lineRule="auto"/>
        <w:rPr>
          <w:rFonts w:ascii="Arial" w:hAnsi="Arial" w:cs="Arial"/>
          <w:sz w:val="22"/>
          <w:szCs w:val="22"/>
          <w:u w:val="single"/>
        </w:rPr>
      </w:pPr>
      <w:r w:rsidRPr="00923EA9">
        <w:rPr>
          <w:rFonts w:ascii="Arial" w:hAnsi="Arial" w:cs="Arial"/>
          <w:sz w:val="22"/>
          <w:szCs w:val="22"/>
          <w:u w:val="single"/>
        </w:rPr>
        <w:t>Conclusion</w:t>
      </w:r>
    </w:p>
    <w:p w14:paraId="073D4248" w14:textId="77777777" w:rsidR="00C164B8" w:rsidRPr="00923EA9" w:rsidRDefault="00C164B8" w:rsidP="00AF0FD1">
      <w:pPr>
        <w:spacing w:after="100" w:afterAutospacing="1" w:line="360" w:lineRule="auto"/>
        <w:rPr>
          <w:rFonts w:ascii="Arial" w:eastAsia="Times New Roman" w:hAnsi="Arial" w:cs="Arial"/>
          <w:kern w:val="0"/>
          <w:u w:val="single"/>
          <w:lang w:eastAsia="en-GB"/>
          <w14:ligatures w14:val="none"/>
        </w:rPr>
      </w:pPr>
      <w:r w:rsidRPr="00C164B8">
        <w:rPr>
          <w:rFonts w:ascii="Arial" w:eastAsia="Times New Roman" w:hAnsi="Arial" w:cs="Arial"/>
          <w:kern w:val="0"/>
          <w:lang w:eastAsia="en-GB"/>
          <w14:ligatures w14:val="none"/>
        </w:rPr>
        <w:t>To support the concept of the unique child, assessment in Wales must move beyond rigid, age-based models. While standardised tools offer consistency, they often fail to capture the individuality and complexity of children’s development. Learning Stories offer a more inclusive, child-centred alternative that aligns with the Curriculum for Wales. Though not without challenges, adopting Learning Stories as a complementary tool could enrich assessment practices, promote cultural sensitivity, and better reflect each child’s learning journey.</w:t>
      </w:r>
    </w:p>
    <w:p w14:paraId="7907720B" w14:textId="752DBB27" w:rsidR="000F22B1" w:rsidRDefault="005A0EF8" w:rsidP="00AF0FD1">
      <w:pPr>
        <w:pStyle w:val="NormalWeb"/>
        <w:spacing w:before="0" w:beforeAutospacing="0" w:line="360" w:lineRule="auto"/>
        <w:rPr>
          <w:rFonts w:ascii="Arial" w:hAnsi="Arial" w:cs="Arial"/>
          <w:b/>
          <w:bCs/>
          <w:sz w:val="22"/>
          <w:szCs w:val="22"/>
          <w:u w:val="single"/>
        </w:rPr>
      </w:pPr>
      <w:r>
        <w:rPr>
          <w:rFonts w:ascii="Arial" w:hAnsi="Arial" w:cs="Arial"/>
          <w:b/>
          <w:bCs/>
          <w:sz w:val="22"/>
          <w:szCs w:val="22"/>
          <w:u w:val="single"/>
        </w:rPr>
        <w:t>Section 3</w:t>
      </w:r>
      <w:r w:rsidR="00653C78">
        <w:rPr>
          <w:rFonts w:ascii="Arial" w:hAnsi="Arial" w:cs="Arial"/>
          <w:b/>
          <w:bCs/>
          <w:sz w:val="22"/>
          <w:szCs w:val="22"/>
          <w:u w:val="single"/>
        </w:rPr>
        <w:t xml:space="preserve"> </w:t>
      </w:r>
    </w:p>
    <w:p w14:paraId="6ACCE545" w14:textId="0690B89F" w:rsidR="00B2407E" w:rsidRPr="00B2407E" w:rsidRDefault="00B2407E" w:rsidP="00AF0FD1">
      <w:pPr>
        <w:pStyle w:val="NormalWeb"/>
        <w:spacing w:before="0" w:beforeAutospacing="0" w:line="360" w:lineRule="auto"/>
        <w:rPr>
          <w:rFonts w:ascii="Arial" w:hAnsi="Arial" w:cs="Arial"/>
          <w:sz w:val="22"/>
          <w:szCs w:val="22"/>
          <w:u w:val="single"/>
        </w:rPr>
      </w:pPr>
      <w:r w:rsidRPr="00B2407E">
        <w:rPr>
          <w:rFonts w:ascii="Arial" w:hAnsi="Arial" w:cs="Arial"/>
          <w:kern w:val="36"/>
          <w:sz w:val="22"/>
          <w:szCs w:val="22"/>
          <w:u w:val="single"/>
        </w:rPr>
        <w:t>The Hidden Struggles of Inclusion: Are We Really Supporting Children with Additional Learning Needs (ALN) in Wales?</w:t>
      </w:r>
    </w:p>
    <w:p w14:paraId="1AC730A6" w14:textId="72DE6DF5" w:rsid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 xml:space="preserve">Inclusive education is a cornerstone of the new Welsh Curriculum, promising that all children, regardless of their abilities or needs, will learn together in mainstream classrooms. The Additional Learning Needs and Education Tribunal (Wales) Act 2018 heralded a new era of person-centred, inclusive education aiming to support learners with ALN in the least restrictive environment possible. Yet, despite these lofty goals, many practitioners, families, and children themselves report a </w:t>
      </w:r>
      <w:r w:rsidR="003B6255" w:rsidRPr="00B2407E">
        <w:rPr>
          <w:rFonts w:ascii="Arial" w:eastAsia="Times New Roman" w:hAnsi="Arial" w:cs="Arial"/>
          <w:kern w:val="0"/>
          <w:lang w:eastAsia="en-GB"/>
          <w14:ligatures w14:val="none"/>
        </w:rPr>
        <w:t>entirely</w:t>
      </w:r>
      <w:r w:rsidRPr="00B2407E">
        <w:rPr>
          <w:rFonts w:ascii="Arial" w:eastAsia="Times New Roman" w:hAnsi="Arial" w:cs="Arial"/>
          <w:kern w:val="0"/>
          <w:lang w:eastAsia="en-GB"/>
          <w14:ligatures w14:val="none"/>
        </w:rPr>
        <w:t xml:space="preserve"> different reality. Are children with ALN genuinely receiving the tailored support they require? Or is the promise of inclusion masking significant systemic gaps and challenges?</w:t>
      </w:r>
    </w:p>
    <w:p w14:paraId="6005C382" w14:textId="7C3F12F5" w:rsidR="00B2407E" w:rsidRPr="00B2407E" w:rsidRDefault="00B2407E" w:rsidP="00AF0FD1">
      <w:pPr>
        <w:spacing w:after="100" w:afterAutospacing="1" w:line="360" w:lineRule="auto"/>
        <w:rPr>
          <w:rFonts w:ascii="Arial" w:eastAsia="Times New Roman" w:hAnsi="Arial" w:cs="Arial"/>
          <w:kern w:val="0"/>
          <w:u w:val="single"/>
          <w:lang w:eastAsia="en-GB"/>
          <w14:ligatures w14:val="none"/>
        </w:rPr>
      </w:pPr>
      <w:r w:rsidRPr="00B2407E">
        <w:rPr>
          <w:rFonts w:ascii="Arial" w:eastAsia="Times New Roman" w:hAnsi="Arial" w:cs="Arial"/>
          <w:kern w:val="0"/>
          <w:u w:val="single"/>
          <w:lang w:eastAsia="en-GB"/>
          <w14:ligatures w14:val="none"/>
        </w:rPr>
        <w:t>Inclusion in Theory vs. Practice</w:t>
      </w:r>
    </w:p>
    <w:p w14:paraId="582A36C7" w14:textId="77777777" w:rsidR="00B2407E" w:rsidRP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The Curriculum for Wales (Welsh Government, 2020) explicitly commits to inclusive education, integrating support for ALN learners within a holistic framework aimed at fostering learner agency, well-being, and personalized learning. However, research and field reports reveal substantial inconsistencies in how inclusion is delivered.</w:t>
      </w:r>
    </w:p>
    <w:p w14:paraId="4FB90B5B" w14:textId="77777777" w:rsid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 xml:space="preserve">Arad Research (2023) highlights that schools often lack the specialist resources and training needed to effectively meet diverse ALN requirements. Many teachers feel ill-equipped to </w:t>
      </w:r>
      <w:r w:rsidRPr="00B2407E">
        <w:rPr>
          <w:rFonts w:ascii="Arial" w:eastAsia="Times New Roman" w:hAnsi="Arial" w:cs="Arial"/>
          <w:kern w:val="0"/>
          <w:lang w:eastAsia="en-GB"/>
          <w14:ligatures w14:val="none"/>
        </w:rPr>
        <w:lastRenderedPageBreak/>
        <w:t>differentiate learning or adapt pedagogies to meet individual needs, while inspection reports from Estyn (2022) indicate variability in inclusion practices, with some schools struggling to implement meaningful adjustments. The result is that, while children with ALN may be physically present in mainstream classrooms, they frequently do not receive the targeted support that enables them to thrive.</w:t>
      </w:r>
    </w:p>
    <w:p w14:paraId="007DD997" w14:textId="2F1B91E7" w:rsidR="00B2407E" w:rsidRPr="00B2407E" w:rsidRDefault="00B2407E" w:rsidP="00AF0FD1">
      <w:pPr>
        <w:spacing w:after="100" w:afterAutospacing="1" w:line="360" w:lineRule="auto"/>
        <w:rPr>
          <w:rFonts w:ascii="Arial" w:eastAsia="Times New Roman" w:hAnsi="Arial" w:cs="Arial"/>
          <w:kern w:val="0"/>
          <w:u w:val="single"/>
          <w:lang w:eastAsia="en-GB"/>
          <w14:ligatures w14:val="none"/>
        </w:rPr>
      </w:pPr>
      <w:r w:rsidRPr="00B2407E">
        <w:rPr>
          <w:rFonts w:ascii="Arial" w:eastAsia="Times New Roman" w:hAnsi="Arial" w:cs="Arial"/>
          <w:kern w:val="0"/>
          <w:u w:val="single"/>
          <w:lang w:eastAsia="en-GB"/>
          <w14:ligatures w14:val="none"/>
        </w:rPr>
        <w:t>The Double-Edged Sword of Mainstreaming</w:t>
      </w:r>
    </w:p>
    <w:p w14:paraId="77112CED" w14:textId="77777777" w:rsidR="00B2407E" w:rsidRP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Mainstream education offers important social benefits, providing children with ALN opportunities to engage with peers and participate in shared learning experiences. Yet, the reality often sees children with additional needs navigating classrooms where their support can unintentionally sideline other learners, creating tension and competition for attention and resources.</w:t>
      </w:r>
    </w:p>
    <w:p w14:paraId="0132DB54" w14:textId="61D2F341" w:rsid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 xml:space="preserve">Teachers must balance diverse demands, sometimes prioritising urgent ALN interventions at the expense of whole-class engagement. As Lynch and Little (2020) note, this tension highlights the challenge of truly inclusive classrooms: supporting individual needs while maintaining equitable learning environments for all students. Without adequate resources and manageable workloads, inclusion risks becoming </w:t>
      </w:r>
      <w:r w:rsidR="00F33277">
        <w:rPr>
          <w:rFonts w:ascii="Arial" w:eastAsia="Times New Roman" w:hAnsi="Arial" w:cs="Arial"/>
          <w:kern w:val="0"/>
          <w:lang w:eastAsia="en-GB"/>
          <w14:ligatures w14:val="none"/>
        </w:rPr>
        <w:t>superficial. C</w:t>
      </w:r>
      <w:r w:rsidR="00F33277" w:rsidRPr="00B2407E">
        <w:rPr>
          <w:rFonts w:ascii="Arial" w:eastAsia="Times New Roman" w:hAnsi="Arial" w:cs="Arial"/>
          <w:kern w:val="0"/>
          <w:lang w:eastAsia="en-GB"/>
          <w14:ligatures w14:val="none"/>
        </w:rPr>
        <w:t>hildren</w:t>
      </w:r>
      <w:r w:rsidRPr="00B2407E">
        <w:rPr>
          <w:rFonts w:ascii="Arial" w:eastAsia="Times New Roman" w:hAnsi="Arial" w:cs="Arial"/>
          <w:kern w:val="0"/>
          <w:lang w:eastAsia="en-GB"/>
          <w14:ligatures w14:val="none"/>
        </w:rPr>
        <w:t xml:space="preserve"> with ALN may be present but effectively marginalised in terms of curriculum access and social participation.</w:t>
      </w:r>
    </w:p>
    <w:p w14:paraId="2A70A7E8" w14:textId="16882CFE" w:rsidR="00B2407E" w:rsidRPr="00B2407E" w:rsidRDefault="00B2407E" w:rsidP="00AF0FD1">
      <w:pPr>
        <w:spacing w:after="100" w:afterAutospacing="1" w:line="360" w:lineRule="auto"/>
        <w:rPr>
          <w:rFonts w:ascii="Arial" w:eastAsia="Times New Roman" w:hAnsi="Arial" w:cs="Arial"/>
          <w:kern w:val="0"/>
          <w:u w:val="single"/>
          <w:lang w:eastAsia="en-GB"/>
          <w14:ligatures w14:val="none"/>
        </w:rPr>
      </w:pPr>
      <w:r w:rsidRPr="00B2407E">
        <w:rPr>
          <w:rFonts w:ascii="Arial" w:eastAsia="Times New Roman" w:hAnsi="Arial" w:cs="Arial"/>
          <w:kern w:val="0"/>
          <w:u w:val="single"/>
          <w:lang w:eastAsia="en-GB"/>
          <w14:ligatures w14:val="none"/>
        </w:rPr>
        <w:t>Curriculum Demands vs. Teacher Capacity: The Training Gap</w:t>
      </w:r>
    </w:p>
    <w:p w14:paraId="3EE62814" w14:textId="77777777" w:rsidR="00B2407E" w:rsidRP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The Curriculum for Wales is ambitious, emphasising learner-centred, flexible approaches to meet the needs of every child, including those with ALN (Welsh Government, 2020). However, the reality for many teachers is a chronic lack of time and capacity to engage in the necessary professional learning to deliver this vision effectively.</w:t>
      </w:r>
    </w:p>
    <w:p w14:paraId="1E9C54F8" w14:textId="77777777" w:rsidR="00B2407E" w:rsidRP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INSET days, intended for staff training, are limited in number and often overloaded with multiple competing priorities. According to NAHT Cymru (2021), many teachers report that professional development sessions are squeezed to accommodate the rapid succession of new curriculum demands, policy updates, and administrative tasks, leaving insufficient time to focus on inclusive practices or ALN-specific strategies.</w:t>
      </w:r>
    </w:p>
    <w:p w14:paraId="04E12595" w14:textId="77777777" w:rsid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 xml:space="preserve">This lack of dedicated, high-quality training undermines teachers' confidence and competence in differentiating learning and adapting pedagogy to support ALN learners (Sinnott and Evans, 2021). Estyn (2022) similarly identified that insufficient ALN training correlates strongly with inconsistent curriculum implementation and variable outcomes for </w:t>
      </w:r>
      <w:r w:rsidRPr="00B2407E">
        <w:rPr>
          <w:rFonts w:ascii="Arial" w:eastAsia="Times New Roman" w:hAnsi="Arial" w:cs="Arial"/>
          <w:kern w:val="0"/>
          <w:lang w:eastAsia="en-GB"/>
          <w14:ligatures w14:val="none"/>
        </w:rPr>
        <w:lastRenderedPageBreak/>
        <w:t>these learners. In effect, the curriculum promises inclusivity but does not come with the resourcing or professional learning infrastructure needed to realise this promise in classrooms.</w:t>
      </w:r>
    </w:p>
    <w:p w14:paraId="03E3B7CA" w14:textId="74CAE92A" w:rsidR="00B2407E" w:rsidRPr="00B2407E" w:rsidRDefault="00B2407E" w:rsidP="00AF0FD1">
      <w:pPr>
        <w:spacing w:after="100" w:afterAutospacing="1" w:line="360" w:lineRule="auto"/>
        <w:rPr>
          <w:rFonts w:ascii="Arial" w:eastAsia="Times New Roman" w:hAnsi="Arial" w:cs="Arial"/>
          <w:kern w:val="0"/>
          <w:u w:val="single"/>
          <w:lang w:eastAsia="en-GB"/>
          <w14:ligatures w14:val="none"/>
        </w:rPr>
      </w:pPr>
      <w:r w:rsidRPr="00B2407E">
        <w:rPr>
          <w:rFonts w:ascii="Arial" w:eastAsia="Times New Roman" w:hAnsi="Arial" w:cs="Arial"/>
          <w:kern w:val="0"/>
          <w:u w:val="single"/>
          <w:lang w:eastAsia="en-GB"/>
          <w14:ligatures w14:val="none"/>
        </w:rPr>
        <w:t>The Reality of 1:1 Support</w:t>
      </w:r>
    </w:p>
    <w:p w14:paraId="520E785A" w14:textId="77777777" w:rsidR="00B2407E" w:rsidRP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One of the most visible forms of ALN support is 1:1 assistance. Ideally, such support should provide tailored interventions, scaffolding learning and enabling full participation. However, the reality often diverges sharply from this ideal. Increasingly, schools are turning to agencies to supply 1:1 support staff, often without requiring them to have any specialist training or educational background in ALN.</w:t>
      </w:r>
    </w:p>
    <w:p w14:paraId="102C08D6" w14:textId="3D8316CD" w:rsidR="00B2407E" w:rsidRPr="00B2407E" w:rsidRDefault="00DF106E" w:rsidP="00AF0FD1">
      <w:pPr>
        <w:spacing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Practitioners working within </w:t>
      </w:r>
      <w:r w:rsidR="00422CAE">
        <w:rPr>
          <w:rFonts w:ascii="Arial" w:eastAsia="Times New Roman" w:hAnsi="Arial" w:cs="Arial"/>
          <w:kern w:val="0"/>
          <w:lang w:eastAsia="en-GB"/>
          <w14:ligatures w14:val="none"/>
        </w:rPr>
        <w:t>schools’</w:t>
      </w:r>
      <w:r w:rsidR="00BE6FAB">
        <w:rPr>
          <w:rFonts w:ascii="Arial" w:eastAsia="Times New Roman" w:hAnsi="Arial" w:cs="Arial"/>
          <w:kern w:val="0"/>
          <w:lang w:eastAsia="en-GB"/>
          <w14:ligatures w14:val="none"/>
        </w:rPr>
        <w:t xml:space="preserve"> state that</w:t>
      </w:r>
      <w:r w:rsidR="00B2407E" w:rsidRPr="00B2407E">
        <w:rPr>
          <w:rFonts w:ascii="Arial" w:eastAsia="Times New Roman" w:hAnsi="Arial" w:cs="Arial"/>
          <w:kern w:val="0"/>
          <w:lang w:eastAsia="en-GB"/>
          <w14:ligatures w14:val="none"/>
        </w:rPr>
        <w:t xml:space="preserve"> many 1:1 staff who have simply signed up to agencies and started work with minimal or no formal training related to supporting ALN children. This practice effectively turns these assistants into supervisory figures, relieving classroom teachers from the immediate pressures of managing challenging behaviours or complex needs, but without providing meaningful educational support (Arad Research, 2023; NAHT Cymru, 2021).</w:t>
      </w:r>
    </w:p>
    <w:p w14:paraId="606073FF" w14:textId="77777777" w:rsid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Without adequate training or ongoing professional development, these staff may lack the skills to implement effective interventions or foster the child’s independence and learning. This risks creating a fragmented experience for the child, undermining relationship-building and continuity of support, which are crucial for progress (Sinnott and Evans, 2021).</w:t>
      </w:r>
    </w:p>
    <w:p w14:paraId="4F302B10" w14:textId="0F3787C6" w:rsidR="00B2407E" w:rsidRPr="00B2407E" w:rsidRDefault="00B2407E" w:rsidP="00AF0FD1">
      <w:pPr>
        <w:spacing w:after="100" w:afterAutospacing="1" w:line="360" w:lineRule="auto"/>
        <w:rPr>
          <w:rFonts w:ascii="Arial" w:eastAsia="Times New Roman" w:hAnsi="Arial" w:cs="Arial"/>
          <w:kern w:val="0"/>
          <w:u w:val="single"/>
          <w:lang w:eastAsia="en-GB"/>
          <w14:ligatures w14:val="none"/>
        </w:rPr>
      </w:pPr>
      <w:r w:rsidRPr="00B2407E">
        <w:rPr>
          <w:rFonts w:ascii="Arial" w:eastAsia="Times New Roman" w:hAnsi="Arial" w:cs="Arial"/>
          <w:kern w:val="0"/>
          <w:u w:val="single"/>
          <w:lang w:eastAsia="en-GB"/>
          <w14:ligatures w14:val="none"/>
        </w:rPr>
        <w:t>Systemic Barriers: Training, Resources, and Leadership</w:t>
      </w:r>
    </w:p>
    <w:p w14:paraId="05F0E373" w14:textId="77777777" w:rsidR="00B2407E" w:rsidRP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At a systemic level, inadequate training and insufficient specialist support remain persistent barriers to inclusive education in Wales. While the ALN reforms envision a supportive, person-centred system, frontline educators often report feeling unsupported and overwhelmed (Estyn, 2022). Professional learning opportunities around ALN are unevenly distributed, and leadership capacity varies widely between schools (Arad Research, 2023).</w:t>
      </w:r>
    </w:p>
    <w:p w14:paraId="40DAB534" w14:textId="77777777" w:rsid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These gaps place unsustainable pressure on teachers and support staff, contributing to reliance on generic interventions rather than tailored approaches. The mismatch between curriculum aspirations and available resources can lead to unmet needs, increased frustration for families, and diminished educational outcomes for children with ALN (NAHT Cymru, 2021).</w:t>
      </w:r>
    </w:p>
    <w:p w14:paraId="478821FF" w14:textId="2B4994B5" w:rsidR="00B2407E" w:rsidRPr="00B2407E" w:rsidRDefault="00B2407E" w:rsidP="00AF0FD1">
      <w:pPr>
        <w:spacing w:after="100" w:afterAutospacing="1" w:line="360" w:lineRule="auto"/>
        <w:rPr>
          <w:rFonts w:ascii="Arial" w:eastAsia="Times New Roman" w:hAnsi="Arial" w:cs="Arial"/>
          <w:kern w:val="0"/>
          <w:u w:val="single"/>
          <w:lang w:eastAsia="en-GB"/>
          <w14:ligatures w14:val="none"/>
        </w:rPr>
      </w:pPr>
      <w:r w:rsidRPr="00B2407E">
        <w:rPr>
          <w:rFonts w:ascii="Arial" w:eastAsia="Times New Roman" w:hAnsi="Arial" w:cs="Arial"/>
          <w:kern w:val="0"/>
          <w:u w:val="single"/>
          <w:lang w:eastAsia="en-GB"/>
          <w14:ligatures w14:val="none"/>
        </w:rPr>
        <w:t>Moving Forward: What Needs to Change?</w:t>
      </w:r>
    </w:p>
    <w:p w14:paraId="4C8D19D7" w14:textId="5C483C5E" w:rsidR="00B2407E" w:rsidRPr="00B2407E"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lastRenderedPageBreak/>
        <w:t xml:space="preserve">Achieving true inclusion requires more than policy statements—it demands investment in comprehensive training for all </w:t>
      </w:r>
      <w:r w:rsidR="00B26923" w:rsidRPr="001E3D96">
        <w:rPr>
          <w:rFonts w:ascii="Arial" w:eastAsia="Times New Roman" w:hAnsi="Arial" w:cs="Arial"/>
          <w:kern w:val="0"/>
          <w:lang w:eastAsia="en-GB"/>
          <w14:ligatures w14:val="none"/>
        </w:rPr>
        <w:t>practitioners</w:t>
      </w:r>
      <w:r w:rsidRPr="00B2407E">
        <w:rPr>
          <w:rFonts w:ascii="Arial" w:eastAsia="Times New Roman" w:hAnsi="Arial" w:cs="Arial"/>
          <w:kern w:val="0"/>
          <w:lang w:eastAsia="en-GB"/>
          <w14:ligatures w14:val="none"/>
        </w:rPr>
        <w:t>, recruitment of qualified specialist staff, and stronger leadership committed to inclusive values. High-quality, ongoing professional development is essential to equip both teachers and 1:1 assistants with evidence-based strategies tailored to diverse needs (Sinnott and Evans, 2021).</w:t>
      </w:r>
    </w:p>
    <w:p w14:paraId="5C251DA7" w14:textId="77777777" w:rsidR="00B2407E" w:rsidRPr="001E3D96" w:rsidRDefault="00B2407E" w:rsidP="00AF0FD1">
      <w:pPr>
        <w:spacing w:after="100" w:afterAutospacing="1" w:line="360" w:lineRule="auto"/>
        <w:rPr>
          <w:rFonts w:ascii="Arial" w:eastAsia="Times New Roman" w:hAnsi="Arial" w:cs="Arial"/>
          <w:kern w:val="0"/>
          <w:lang w:eastAsia="en-GB"/>
          <w14:ligatures w14:val="none"/>
        </w:rPr>
      </w:pPr>
      <w:r w:rsidRPr="00B2407E">
        <w:rPr>
          <w:rFonts w:ascii="Arial" w:eastAsia="Times New Roman" w:hAnsi="Arial" w:cs="Arial"/>
          <w:kern w:val="0"/>
          <w:lang w:eastAsia="en-GB"/>
          <w14:ligatures w14:val="none"/>
        </w:rPr>
        <w:t>Moreover, schools need systemic support to manage workloads and balance competing demands without compromising the quality of inclusion. This includes revisiting inspection frameworks to better recognise inclusive practices that might not fit traditional assessment criteria but are critical for ALN learners’ success (Independent Stocktake, 2013/14).</w:t>
      </w:r>
    </w:p>
    <w:p w14:paraId="1965B3DB" w14:textId="146333DD" w:rsidR="00EE1525" w:rsidRDefault="00EE1525" w:rsidP="00AF0FD1">
      <w:pPr>
        <w:spacing w:after="100" w:afterAutospacing="1" w:line="360" w:lineRule="auto"/>
        <w:rPr>
          <w:rFonts w:ascii="Arial" w:hAnsi="Arial" w:cs="Arial"/>
        </w:rPr>
      </w:pPr>
      <w:r w:rsidRPr="001E3D96">
        <w:rPr>
          <w:rFonts w:ascii="Arial" w:hAnsi="Arial" w:cs="Arial"/>
        </w:rPr>
        <w:t>Families and children themselves must be at the heart of the inclusion process, as mandated by the Additional Learning Needs and Education Tribunal (Wales) Act 2018. This legislation explicitly commits to a person-centred approach, ensuring that the voices of learners and their families are central to planning and decision-making. Inclusion cannot be reduced to a mere box-ticking exercise or a policy buzzword—it demands genuine, tailored support that respects each child’s unique needs and aspirations. However, without sustained investment in specialist training, resources, and strong leadership, the vision set out by the ALN Act risks falling short in practice. Only by honouring the law’s intent and prioritising meaningful engagement can Wales build an education system that truly empowers every learner to thrive.</w:t>
      </w:r>
    </w:p>
    <w:p w14:paraId="51EED3D3" w14:textId="77777777" w:rsidR="00717B52" w:rsidRDefault="00717B52" w:rsidP="00AF0FD1">
      <w:pPr>
        <w:spacing w:after="100" w:afterAutospacing="1" w:line="360" w:lineRule="auto"/>
        <w:rPr>
          <w:rFonts w:ascii="Arial" w:hAnsi="Arial" w:cs="Arial"/>
        </w:rPr>
      </w:pPr>
    </w:p>
    <w:p w14:paraId="28D1E5E5" w14:textId="77777777" w:rsidR="00717B52" w:rsidRDefault="00717B52" w:rsidP="00AF0FD1">
      <w:pPr>
        <w:spacing w:after="100" w:afterAutospacing="1" w:line="360" w:lineRule="auto"/>
        <w:rPr>
          <w:rFonts w:ascii="Arial" w:hAnsi="Arial" w:cs="Arial"/>
        </w:rPr>
      </w:pPr>
    </w:p>
    <w:p w14:paraId="550F6304" w14:textId="77777777" w:rsidR="00717B52" w:rsidRDefault="00717B52" w:rsidP="00AF0FD1">
      <w:pPr>
        <w:spacing w:after="100" w:afterAutospacing="1" w:line="360" w:lineRule="auto"/>
        <w:rPr>
          <w:rFonts w:ascii="Arial" w:hAnsi="Arial" w:cs="Arial"/>
        </w:rPr>
      </w:pPr>
    </w:p>
    <w:p w14:paraId="6F8C18AD" w14:textId="77777777" w:rsidR="00717B52" w:rsidRDefault="00717B52" w:rsidP="00AF0FD1">
      <w:pPr>
        <w:spacing w:after="100" w:afterAutospacing="1" w:line="360" w:lineRule="auto"/>
        <w:rPr>
          <w:rFonts w:ascii="Arial" w:hAnsi="Arial" w:cs="Arial"/>
        </w:rPr>
      </w:pPr>
    </w:p>
    <w:p w14:paraId="26D61AFA" w14:textId="77777777" w:rsidR="00717B52" w:rsidRDefault="00717B52" w:rsidP="00AF0FD1">
      <w:pPr>
        <w:spacing w:after="100" w:afterAutospacing="1" w:line="360" w:lineRule="auto"/>
        <w:rPr>
          <w:rFonts w:ascii="Arial" w:hAnsi="Arial" w:cs="Arial"/>
        </w:rPr>
      </w:pPr>
    </w:p>
    <w:p w14:paraId="65B70BD0" w14:textId="77777777" w:rsidR="00717B52" w:rsidRDefault="00717B52" w:rsidP="00AF0FD1">
      <w:pPr>
        <w:spacing w:after="100" w:afterAutospacing="1" w:line="360" w:lineRule="auto"/>
        <w:rPr>
          <w:rFonts w:ascii="Arial" w:hAnsi="Arial" w:cs="Arial"/>
        </w:rPr>
      </w:pPr>
    </w:p>
    <w:p w14:paraId="3894AABF" w14:textId="77777777" w:rsidR="00717B52" w:rsidRDefault="00717B52" w:rsidP="00AF0FD1">
      <w:pPr>
        <w:spacing w:after="100" w:afterAutospacing="1" w:line="360" w:lineRule="auto"/>
        <w:rPr>
          <w:rFonts w:ascii="Arial" w:hAnsi="Arial" w:cs="Arial"/>
        </w:rPr>
      </w:pPr>
    </w:p>
    <w:p w14:paraId="21DCD9D6" w14:textId="77777777" w:rsidR="00717B52" w:rsidRDefault="00717B52" w:rsidP="00AF0FD1">
      <w:pPr>
        <w:spacing w:after="100" w:afterAutospacing="1" w:line="360" w:lineRule="auto"/>
        <w:rPr>
          <w:rFonts w:ascii="Arial" w:hAnsi="Arial" w:cs="Arial"/>
        </w:rPr>
      </w:pPr>
    </w:p>
    <w:p w14:paraId="647A19AC" w14:textId="77777777" w:rsidR="00717B52" w:rsidRPr="00B2407E" w:rsidRDefault="00717B52" w:rsidP="00AF0FD1">
      <w:pPr>
        <w:spacing w:after="100" w:afterAutospacing="1" w:line="360" w:lineRule="auto"/>
        <w:rPr>
          <w:rFonts w:ascii="Arial" w:eastAsia="Times New Roman" w:hAnsi="Arial" w:cs="Arial"/>
          <w:kern w:val="0"/>
          <w:lang w:eastAsia="en-GB"/>
          <w14:ligatures w14:val="none"/>
        </w:rPr>
      </w:pPr>
    </w:p>
    <w:p w14:paraId="397CD52F" w14:textId="62B95E35" w:rsidR="00717B52" w:rsidRDefault="00EE1525" w:rsidP="00AF0FD1">
      <w:pPr>
        <w:spacing w:after="0" w:line="360" w:lineRule="auto"/>
        <w:rPr>
          <w:rFonts w:ascii="Arial" w:eastAsia="Times New Roman" w:hAnsi="Arial" w:cs="Arial"/>
          <w:kern w:val="0"/>
          <w:u w:val="single"/>
          <w:lang w:eastAsia="en-GB"/>
          <w14:ligatures w14:val="none"/>
        </w:rPr>
      </w:pPr>
      <w:r w:rsidRPr="00717B52">
        <w:rPr>
          <w:rFonts w:ascii="Arial" w:eastAsia="Times New Roman" w:hAnsi="Arial" w:cs="Arial"/>
          <w:kern w:val="0"/>
          <w:u w:val="single"/>
          <w:lang w:eastAsia="en-GB"/>
          <w14:ligatures w14:val="none"/>
        </w:rPr>
        <w:lastRenderedPageBreak/>
        <w:t>References</w:t>
      </w:r>
    </w:p>
    <w:p w14:paraId="260AA3CB" w14:textId="77777777" w:rsidR="00AF0FD1" w:rsidRPr="00717B52" w:rsidRDefault="00AF0FD1" w:rsidP="00AF0FD1">
      <w:pPr>
        <w:spacing w:after="0" w:line="360" w:lineRule="auto"/>
        <w:rPr>
          <w:rFonts w:ascii="Arial" w:eastAsia="Times New Roman" w:hAnsi="Arial" w:cs="Arial"/>
          <w:kern w:val="0"/>
          <w:u w:val="single"/>
          <w:lang w:eastAsia="en-GB"/>
          <w14:ligatures w14:val="none"/>
        </w:rPr>
      </w:pPr>
    </w:p>
    <w:p w14:paraId="050B4252"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Additional Learning Needs and Education Tribunal (Wales) Act (2018) </w:t>
      </w:r>
      <w:r w:rsidRPr="00717B52">
        <w:rPr>
          <w:rStyle w:val="Emphasis"/>
          <w:rFonts w:ascii="Arial" w:eastAsiaTheme="majorEastAsia" w:hAnsi="Arial" w:cs="Arial"/>
          <w:sz w:val="22"/>
          <w:szCs w:val="22"/>
        </w:rPr>
        <w:t>Available at</w:t>
      </w:r>
      <w:r w:rsidRPr="00717B52">
        <w:rPr>
          <w:rFonts w:ascii="Arial" w:hAnsi="Arial" w:cs="Arial"/>
          <w:sz w:val="22"/>
          <w:szCs w:val="22"/>
        </w:rPr>
        <w:t xml:space="preserve">: </w:t>
      </w:r>
      <w:hyperlink r:id="rId8" w:tgtFrame="_new" w:history="1">
        <w:r w:rsidRPr="00717B52">
          <w:rPr>
            <w:rStyle w:val="Hyperlink"/>
            <w:rFonts w:ascii="Arial" w:eastAsiaTheme="majorEastAsia" w:hAnsi="Arial" w:cs="Arial"/>
            <w:color w:val="auto"/>
            <w:sz w:val="22"/>
            <w:szCs w:val="22"/>
          </w:rPr>
          <w:t>https://www.legislation.gov.uk/anaw/2018/1/contents/enacted</w:t>
        </w:r>
      </w:hyperlink>
      <w:r w:rsidRPr="00717B52">
        <w:rPr>
          <w:rFonts w:ascii="Arial" w:hAnsi="Arial" w:cs="Arial"/>
          <w:sz w:val="22"/>
          <w:szCs w:val="22"/>
        </w:rPr>
        <w:t xml:space="preserve"> [Accessed: 24 May 2025].</w:t>
      </w:r>
    </w:p>
    <w:p w14:paraId="1BFBF9E4"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Arad Research (2023) </w:t>
      </w:r>
      <w:r w:rsidRPr="00717B52">
        <w:rPr>
          <w:rStyle w:val="Emphasis"/>
          <w:rFonts w:ascii="Arial" w:eastAsiaTheme="majorEastAsia" w:hAnsi="Arial" w:cs="Arial"/>
          <w:sz w:val="22"/>
          <w:szCs w:val="22"/>
        </w:rPr>
        <w:t>Curriculum for Wales: Annual evaluation report 2023</w:t>
      </w:r>
      <w:r w:rsidRPr="00717B52">
        <w:rPr>
          <w:rFonts w:ascii="Arial" w:hAnsi="Arial" w:cs="Arial"/>
          <w:sz w:val="22"/>
          <w:szCs w:val="22"/>
        </w:rPr>
        <w:t xml:space="preserve">. Cardiff: Welsh Government. Available at: </w:t>
      </w:r>
      <w:hyperlink r:id="rId9" w:tgtFrame="_new" w:history="1">
        <w:r w:rsidRPr="00717B52">
          <w:rPr>
            <w:rStyle w:val="Hyperlink"/>
            <w:rFonts w:ascii="Arial" w:eastAsiaTheme="majorEastAsia" w:hAnsi="Arial" w:cs="Arial"/>
            <w:color w:val="auto"/>
            <w:sz w:val="22"/>
            <w:szCs w:val="22"/>
          </w:rPr>
          <w:t>https://www.gov.wales</w:t>
        </w:r>
      </w:hyperlink>
      <w:r w:rsidRPr="00717B52">
        <w:rPr>
          <w:rFonts w:ascii="Arial" w:hAnsi="Arial" w:cs="Arial"/>
          <w:sz w:val="22"/>
          <w:szCs w:val="22"/>
        </w:rPr>
        <w:t xml:space="preserve"> [Accessed: 20 May 2025].</w:t>
      </w:r>
    </w:p>
    <w:p w14:paraId="2CAE58DA"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Carr, M. and Lee, W. (2012) </w:t>
      </w:r>
      <w:r w:rsidRPr="00717B52">
        <w:rPr>
          <w:rStyle w:val="Emphasis"/>
          <w:rFonts w:ascii="Arial" w:eastAsiaTheme="majorEastAsia" w:hAnsi="Arial" w:cs="Arial"/>
          <w:sz w:val="22"/>
          <w:szCs w:val="22"/>
        </w:rPr>
        <w:t>Learning stories: Constructing learner identities in early education</w:t>
      </w:r>
      <w:r w:rsidRPr="00717B52">
        <w:rPr>
          <w:rFonts w:ascii="Arial" w:hAnsi="Arial" w:cs="Arial"/>
          <w:sz w:val="22"/>
          <w:szCs w:val="22"/>
        </w:rPr>
        <w:t>. London: SAGE Publications.</w:t>
      </w:r>
    </w:p>
    <w:p w14:paraId="37935F70"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Craft, A. (2011) </w:t>
      </w:r>
      <w:r w:rsidRPr="00717B52">
        <w:rPr>
          <w:rStyle w:val="Emphasis"/>
          <w:rFonts w:ascii="Arial" w:eastAsiaTheme="majorEastAsia" w:hAnsi="Arial" w:cs="Arial"/>
          <w:sz w:val="22"/>
          <w:szCs w:val="22"/>
        </w:rPr>
        <w:t>Creativity and Education Futures: Learning in a Digital Age</w:t>
      </w:r>
      <w:r w:rsidRPr="00717B52">
        <w:rPr>
          <w:rFonts w:ascii="Arial" w:hAnsi="Arial" w:cs="Arial"/>
          <w:sz w:val="22"/>
          <w:szCs w:val="22"/>
        </w:rPr>
        <w:t>. Stoke-on-Trent: Trentham Books.</w:t>
      </w:r>
    </w:p>
    <w:p w14:paraId="2BC12707"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Donaldson, G. (2015) </w:t>
      </w:r>
      <w:r w:rsidRPr="00717B52">
        <w:rPr>
          <w:rStyle w:val="Emphasis"/>
          <w:rFonts w:ascii="Arial" w:eastAsiaTheme="majorEastAsia" w:hAnsi="Arial" w:cs="Arial"/>
          <w:sz w:val="22"/>
          <w:szCs w:val="22"/>
        </w:rPr>
        <w:t>Successful Futures: Independent Review of Curriculum and Assessment Arrangements in Wales</w:t>
      </w:r>
      <w:r w:rsidRPr="00717B52">
        <w:rPr>
          <w:rFonts w:ascii="Arial" w:hAnsi="Arial" w:cs="Arial"/>
          <w:sz w:val="22"/>
          <w:szCs w:val="22"/>
        </w:rPr>
        <w:t xml:space="preserve">. Cardiff: Welsh Government. Available at: </w:t>
      </w:r>
      <w:hyperlink r:id="rId10" w:tgtFrame="_new" w:history="1">
        <w:r w:rsidRPr="00717B52">
          <w:rPr>
            <w:rStyle w:val="Hyperlink"/>
            <w:rFonts w:ascii="Arial" w:eastAsiaTheme="majorEastAsia" w:hAnsi="Arial" w:cs="Arial"/>
            <w:color w:val="auto"/>
            <w:sz w:val="22"/>
            <w:szCs w:val="22"/>
          </w:rPr>
          <w:t>https://gov.wales/docs/dcells/publications/150225-successful-futures-en.pdf</w:t>
        </w:r>
      </w:hyperlink>
      <w:r w:rsidRPr="00717B52">
        <w:rPr>
          <w:rFonts w:ascii="Arial" w:hAnsi="Arial" w:cs="Arial"/>
          <w:sz w:val="22"/>
          <w:szCs w:val="22"/>
        </w:rPr>
        <w:t xml:space="preserve"> [Accessed: 20 May 2025].</w:t>
      </w:r>
    </w:p>
    <w:p w14:paraId="2C02FB21"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Dweck, C.S. (2017) </w:t>
      </w:r>
      <w:r w:rsidRPr="00717B52">
        <w:rPr>
          <w:rStyle w:val="Emphasis"/>
          <w:rFonts w:ascii="Arial" w:eastAsiaTheme="majorEastAsia" w:hAnsi="Arial" w:cs="Arial"/>
          <w:sz w:val="22"/>
          <w:szCs w:val="22"/>
        </w:rPr>
        <w:t>Mindset: The new psychology of success</w:t>
      </w:r>
      <w:r w:rsidRPr="00717B52">
        <w:rPr>
          <w:rFonts w:ascii="Arial" w:hAnsi="Arial" w:cs="Arial"/>
          <w:sz w:val="22"/>
          <w:szCs w:val="22"/>
        </w:rPr>
        <w:t>. New York: Ballantine Books.</w:t>
      </w:r>
    </w:p>
    <w:p w14:paraId="0968F4B0"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Estyn (2022) </w:t>
      </w:r>
      <w:r w:rsidRPr="00717B52">
        <w:rPr>
          <w:rStyle w:val="Emphasis"/>
          <w:rFonts w:ascii="Arial" w:eastAsiaTheme="majorEastAsia" w:hAnsi="Arial" w:cs="Arial"/>
          <w:sz w:val="22"/>
          <w:szCs w:val="22"/>
        </w:rPr>
        <w:t>Curriculum for Wales: Planning for learning</w:t>
      </w:r>
      <w:r w:rsidRPr="00717B52">
        <w:rPr>
          <w:rFonts w:ascii="Arial" w:hAnsi="Arial" w:cs="Arial"/>
          <w:sz w:val="22"/>
          <w:szCs w:val="22"/>
        </w:rPr>
        <w:t xml:space="preserve">. Cardiff: Estyn. Available at: </w:t>
      </w:r>
      <w:hyperlink r:id="rId11" w:tgtFrame="_new" w:history="1">
        <w:r w:rsidRPr="00717B52">
          <w:rPr>
            <w:rStyle w:val="Hyperlink"/>
            <w:rFonts w:ascii="Arial" w:eastAsiaTheme="majorEastAsia" w:hAnsi="Arial" w:cs="Arial"/>
            <w:color w:val="auto"/>
            <w:sz w:val="22"/>
            <w:szCs w:val="22"/>
          </w:rPr>
          <w:t>https://www.estyn.gov.wales</w:t>
        </w:r>
      </w:hyperlink>
      <w:r w:rsidRPr="00717B52">
        <w:rPr>
          <w:rFonts w:ascii="Arial" w:hAnsi="Arial" w:cs="Arial"/>
          <w:sz w:val="22"/>
          <w:szCs w:val="22"/>
        </w:rPr>
        <w:t xml:space="preserve"> [Accessed: 21 May 2025].</w:t>
      </w:r>
    </w:p>
    <w:p w14:paraId="1A7FB34B"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Estyn (2022) </w:t>
      </w:r>
      <w:r w:rsidRPr="00717B52">
        <w:rPr>
          <w:rStyle w:val="Emphasis"/>
          <w:rFonts w:ascii="Arial" w:eastAsiaTheme="majorEastAsia" w:hAnsi="Arial" w:cs="Arial"/>
          <w:sz w:val="22"/>
          <w:szCs w:val="22"/>
        </w:rPr>
        <w:t>Inclusion and Additional Learning Needs: Inspection Report</w:t>
      </w:r>
      <w:r w:rsidRPr="00717B52">
        <w:rPr>
          <w:rFonts w:ascii="Arial" w:hAnsi="Arial" w:cs="Arial"/>
          <w:sz w:val="22"/>
          <w:szCs w:val="22"/>
        </w:rPr>
        <w:t>. Cardiff: Estyn.</w:t>
      </w:r>
    </w:p>
    <w:p w14:paraId="300E164B"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Estyn (2023) </w:t>
      </w:r>
      <w:r w:rsidRPr="00717B52">
        <w:rPr>
          <w:rStyle w:val="Emphasis"/>
          <w:rFonts w:ascii="Arial" w:eastAsiaTheme="majorEastAsia" w:hAnsi="Arial" w:cs="Arial"/>
          <w:sz w:val="22"/>
          <w:szCs w:val="22"/>
        </w:rPr>
        <w:t>The implementation of Curriculum for Wales in primary schools</w:t>
      </w:r>
      <w:r w:rsidRPr="00717B52">
        <w:rPr>
          <w:rFonts w:ascii="Arial" w:hAnsi="Arial" w:cs="Arial"/>
          <w:sz w:val="22"/>
          <w:szCs w:val="22"/>
        </w:rPr>
        <w:t>. Cardiff: Estyn.</w:t>
      </w:r>
    </w:p>
    <w:p w14:paraId="277A111E"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Georgeson, J., Payler, J. and Grierson, E. (2015) </w:t>
      </w:r>
      <w:r w:rsidRPr="00717B52">
        <w:rPr>
          <w:rStyle w:val="Emphasis"/>
          <w:rFonts w:ascii="Arial" w:eastAsiaTheme="majorEastAsia" w:hAnsi="Arial" w:cs="Arial"/>
          <w:sz w:val="22"/>
          <w:szCs w:val="22"/>
        </w:rPr>
        <w:t>Pedagogies for inclusion in early years education</w:t>
      </w:r>
      <w:r w:rsidRPr="00717B52">
        <w:rPr>
          <w:rFonts w:ascii="Arial" w:hAnsi="Arial" w:cs="Arial"/>
          <w:sz w:val="22"/>
          <w:szCs w:val="22"/>
        </w:rPr>
        <w:t>. Abingdon: Routledge.</w:t>
      </w:r>
    </w:p>
    <w:p w14:paraId="10EF6586"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GOV.WALES (2022) </w:t>
      </w:r>
      <w:r w:rsidRPr="00717B52">
        <w:rPr>
          <w:rStyle w:val="Emphasis"/>
          <w:rFonts w:ascii="Arial" w:eastAsiaTheme="majorEastAsia" w:hAnsi="Arial" w:cs="Arial"/>
          <w:sz w:val="22"/>
          <w:szCs w:val="22"/>
        </w:rPr>
        <w:t>Curriculum for Wales guidance and updates</w:t>
      </w:r>
      <w:r w:rsidRPr="00717B52">
        <w:rPr>
          <w:rFonts w:ascii="Arial" w:hAnsi="Arial" w:cs="Arial"/>
          <w:sz w:val="22"/>
          <w:szCs w:val="22"/>
        </w:rPr>
        <w:t xml:space="preserve">. [Online] Welsh Government. Available at: </w:t>
      </w:r>
      <w:hyperlink r:id="rId12" w:tgtFrame="_new" w:history="1">
        <w:r w:rsidRPr="00717B52">
          <w:rPr>
            <w:rStyle w:val="Hyperlink"/>
            <w:rFonts w:ascii="Arial" w:eastAsiaTheme="majorEastAsia" w:hAnsi="Arial" w:cs="Arial"/>
            <w:color w:val="auto"/>
            <w:sz w:val="22"/>
            <w:szCs w:val="22"/>
          </w:rPr>
          <w:t>https://gov.wales/curriculum-for-wales</w:t>
        </w:r>
      </w:hyperlink>
      <w:r w:rsidRPr="00717B52">
        <w:rPr>
          <w:rFonts w:ascii="Arial" w:hAnsi="Arial" w:cs="Arial"/>
          <w:sz w:val="22"/>
          <w:szCs w:val="22"/>
        </w:rPr>
        <w:t xml:space="preserve"> [Accessed: 24 May 2025].</w:t>
      </w:r>
    </w:p>
    <w:p w14:paraId="4B166CF1"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Independent Stocktake (2013/14) </w:t>
      </w:r>
      <w:r w:rsidRPr="00717B52">
        <w:rPr>
          <w:rStyle w:val="Emphasis"/>
          <w:rFonts w:ascii="Arial" w:eastAsiaTheme="majorEastAsia" w:hAnsi="Arial" w:cs="Arial"/>
          <w:sz w:val="22"/>
          <w:szCs w:val="22"/>
        </w:rPr>
        <w:t>Review of the Foundation Phase Implementation in Wales</w:t>
      </w:r>
      <w:r w:rsidRPr="00717B52">
        <w:rPr>
          <w:rFonts w:ascii="Arial" w:hAnsi="Arial" w:cs="Arial"/>
          <w:sz w:val="22"/>
          <w:szCs w:val="22"/>
        </w:rPr>
        <w:t>. Cardiff: Welsh Government.</w:t>
      </w:r>
    </w:p>
    <w:p w14:paraId="365E3A49"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Ken Robinson (2006) </w:t>
      </w:r>
      <w:r w:rsidRPr="00717B52">
        <w:rPr>
          <w:rStyle w:val="Emphasis"/>
          <w:rFonts w:ascii="Arial" w:eastAsiaTheme="majorEastAsia" w:hAnsi="Arial" w:cs="Arial"/>
          <w:sz w:val="22"/>
          <w:szCs w:val="22"/>
        </w:rPr>
        <w:t>Do schools kill creativity?</w:t>
      </w:r>
      <w:r w:rsidRPr="00717B52">
        <w:rPr>
          <w:rFonts w:ascii="Arial" w:hAnsi="Arial" w:cs="Arial"/>
          <w:sz w:val="22"/>
          <w:szCs w:val="22"/>
        </w:rPr>
        <w:t xml:space="preserve"> [TED Talk]. Available at: </w:t>
      </w:r>
      <w:hyperlink r:id="rId13" w:tgtFrame="_new" w:history="1">
        <w:r w:rsidRPr="00717B52">
          <w:rPr>
            <w:rStyle w:val="Hyperlink"/>
            <w:rFonts w:ascii="Arial" w:eastAsiaTheme="majorEastAsia" w:hAnsi="Arial" w:cs="Arial"/>
            <w:color w:val="auto"/>
            <w:sz w:val="22"/>
            <w:szCs w:val="22"/>
          </w:rPr>
          <w:t>https://www.ted.com/talks/sir_ken_robinson_do_schools_kill_creativity</w:t>
        </w:r>
      </w:hyperlink>
      <w:r w:rsidRPr="00717B52">
        <w:rPr>
          <w:rFonts w:ascii="Arial" w:hAnsi="Arial" w:cs="Arial"/>
          <w:sz w:val="22"/>
          <w:szCs w:val="22"/>
        </w:rPr>
        <w:t xml:space="preserve"> [Accessed: 20 May 2025].</w:t>
      </w:r>
    </w:p>
    <w:p w14:paraId="57EEC91A"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lastRenderedPageBreak/>
        <w:t xml:space="preserve">Lynch, M. and Little, G. (2020) ‘The challenges of inclusive education in Wales’, </w:t>
      </w:r>
      <w:r w:rsidRPr="00717B52">
        <w:rPr>
          <w:rStyle w:val="Emphasis"/>
          <w:rFonts w:ascii="Arial" w:eastAsiaTheme="majorEastAsia" w:hAnsi="Arial" w:cs="Arial"/>
          <w:sz w:val="22"/>
          <w:szCs w:val="22"/>
        </w:rPr>
        <w:t>Journal of Educational Policy</w:t>
      </w:r>
      <w:r w:rsidRPr="00717B52">
        <w:rPr>
          <w:rFonts w:ascii="Arial" w:hAnsi="Arial" w:cs="Arial"/>
          <w:sz w:val="22"/>
          <w:szCs w:val="22"/>
        </w:rPr>
        <w:t>, 35(4), pp. 456–470.</w:t>
      </w:r>
    </w:p>
    <w:p w14:paraId="7EA5C854"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Lynch, S. and Little, S. (2020) ‘Understanding curriculum reform in Wales: Reflections on leadership and professional learning’, </w:t>
      </w:r>
      <w:r w:rsidRPr="00717B52">
        <w:rPr>
          <w:rStyle w:val="Emphasis"/>
          <w:rFonts w:ascii="Arial" w:eastAsiaTheme="majorEastAsia" w:hAnsi="Arial" w:cs="Arial"/>
          <w:sz w:val="22"/>
          <w:szCs w:val="22"/>
        </w:rPr>
        <w:t>British Journal of Educational Studies</w:t>
      </w:r>
      <w:r w:rsidRPr="00717B52">
        <w:rPr>
          <w:rFonts w:ascii="Arial" w:hAnsi="Arial" w:cs="Arial"/>
          <w:sz w:val="22"/>
          <w:szCs w:val="22"/>
        </w:rPr>
        <w:t xml:space="preserve">, 68(3), pp. 321–337. </w:t>
      </w:r>
      <w:hyperlink r:id="rId14" w:tgtFrame="_new" w:history="1">
        <w:r w:rsidRPr="00717B52">
          <w:rPr>
            <w:rStyle w:val="Hyperlink"/>
            <w:rFonts w:ascii="Arial" w:eastAsiaTheme="majorEastAsia" w:hAnsi="Arial" w:cs="Arial"/>
            <w:color w:val="auto"/>
            <w:sz w:val="22"/>
            <w:szCs w:val="22"/>
          </w:rPr>
          <w:t>https://doi.org/10.1080/00071005.2019.1709272</w:t>
        </w:r>
      </w:hyperlink>
      <w:r w:rsidRPr="00717B52">
        <w:rPr>
          <w:rFonts w:ascii="Arial" w:hAnsi="Arial" w:cs="Arial"/>
          <w:sz w:val="22"/>
          <w:szCs w:val="22"/>
        </w:rPr>
        <w:t>.</w:t>
      </w:r>
    </w:p>
    <w:p w14:paraId="39032F35"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Margrain, V. (2017) ‘Giftedness and assessment: Addressing diversity in early years’, </w:t>
      </w:r>
      <w:r w:rsidRPr="00717B52">
        <w:rPr>
          <w:rStyle w:val="Emphasis"/>
          <w:rFonts w:ascii="Arial" w:eastAsiaTheme="majorEastAsia" w:hAnsi="Arial" w:cs="Arial"/>
          <w:sz w:val="22"/>
          <w:szCs w:val="22"/>
        </w:rPr>
        <w:t>Early Childhood Development and Care</w:t>
      </w:r>
      <w:r w:rsidRPr="00717B52">
        <w:rPr>
          <w:rFonts w:ascii="Arial" w:hAnsi="Arial" w:cs="Arial"/>
          <w:sz w:val="22"/>
          <w:szCs w:val="22"/>
        </w:rPr>
        <w:t>, 187(9), pp. 1453–1467. https://doi.org/10.1080/03004430.2016.1253815.</w:t>
      </w:r>
    </w:p>
    <w:p w14:paraId="4A36E549"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Maynard, T., Waters, J. and Clement, J. (2013) ‘Child-initiated learning, the outdoor environment and the “underachieving” child’, </w:t>
      </w:r>
      <w:r w:rsidRPr="00717B52">
        <w:rPr>
          <w:rStyle w:val="Emphasis"/>
          <w:rFonts w:ascii="Arial" w:eastAsiaTheme="majorEastAsia" w:hAnsi="Arial" w:cs="Arial"/>
          <w:sz w:val="22"/>
          <w:szCs w:val="22"/>
        </w:rPr>
        <w:t>Early Years</w:t>
      </w:r>
      <w:r w:rsidRPr="00717B52">
        <w:rPr>
          <w:rFonts w:ascii="Arial" w:hAnsi="Arial" w:cs="Arial"/>
          <w:sz w:val="22"/>
          <w:szCs w:val="22"/>
        </w:rPr>
        <w:t xml:space="preserve">, 33(3), pp. 212–225. </w:t>
      </w:r>
      <w:hyperlink r:id="rId15" w:tgtFrame="_new" w:history="1">
        <w:r w:rsidRPr="00717B52">
          <w:rPr>
            <w:rStyle w:val="Hyperlink"/>
            <w:rFonts w:ascii="Arial" w:eastAsiaTheme="majorEastAsia" w:hAnsi="Arial" w:cs="Arial"/>
            <w:color w:val="auto"/>
            <w:sz w:val="22"/>
            <w:szCs w:val="22"/>
          </w:rPr>
          <w:t>https://doi.org/10.1080/09575146.2013.771152</w:t>
        </w:r>
      </w:hyperlink>
      <w:r w:rsidRPr="00717B52">
        <w:rPr>
          <w:rFonts w:ascii="Arial" w:hAnsi="Arial" w:cs="Arial"/>
          <w:sz w:val="22"/>
          <w:szCs w:val="22"/>
        </w:rPr>
        <w:t>.</w:t>
      </w:r>
    </w:p>
    <w:p w14:paraId="370703FA"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McMahon, S. and Dyer, S. (2018) ‘Narrative assessment in early childhood: Supporting pupil voice and agency’, </w:t>
      </w:r>
      <w:r w:rsidRPr="00717B52">
        <w:rPr>
          <w:rStyle w:val="Emphasis"/>
          <w:rFonts w:ascii="Arial" w:eastAsiaTheme="majorEastAsia" w:hAnsi="Arial" w:cs="Arial"/>
          <w:sz w:val="22"/>
          <w:szCs w:val="22"/>
        </w:rPr>
        <w:t>International Journal of Early Years Education</w:t>
      </w:r>
      <w:r w:rsidRPr="00717B52">
        <w:rPr>
          <w:rFonts w:ascii="Arial" w:hAnsi="Arial" w:cs="Arial"/>
          <w:sz w:val="22"/>
          <w:szCs w:val="22"/>
        </w:rPr>
        <w:t>, 26(2), pp. 133–147.</w:t>
      </w:r>
    </w:p>
    <w:p w14:paraId="23305B39"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NAHT Cymru (2021) </w:t>
      </w:r>
      <w:r w:rsidRPr="00717B52">
        <w:rPr>
          <w:rStyle w:val="Emphasis"/>
          <w:rFonts w:ascii="Arial" w:eastAsiaTheme="majorEastAsia" w:hAnsi="Arial" w:cs="Arial"/>
          <w:sz w:val="22"/>
          <w:szCs w:val="22"/>
        </w:rPr>
        <w:t>Implementation of Curriculum for Wales: Survey Report</w:t>
      </w:r>
      <w:r w:rsidRPr="00717B52">
        <w:rPr>
          <w:rFonts w:ascii="Arial" w:hAnsi="Arial" w:cs="Arial"/>
          <w:sz w:val="22"/>
          <w:szCs w:val="22"/>
        </w:rPr>
        <w:t xml:space="preserve">. Cardiff: NAHT Cymru. Available at: </w:t>
      </w:r>
      <w:hyperlink r:id="rId16" w:tgtFrame="_new" w:history="1">
        <w:r w:rsidRPr="00717B52">
          <w:rPr>
            <w:rStyle w:val="Hyperlink"/>
            <w:rFonts w:ascii="Arial" w:eastAsiaTheme="majorEastAsia" w:hAnsi="Arial" w:cs="Arial"/>
            <w:color w:val="auto"/>
            <w:sz w:val="22"/>
            <w:szCs w:val="22"/>
          </w:rPr>
          <w:t>https://www.naht.org.uk</w:t>
        </w:r>
      </w:hyperlink>
      <w:r w:rsidRPr="00717B52">
        <w:rPr>
          <w:rFonts w:ascii="Arial" w:hAnsi="Arial" w:cs="Arial"/>
          <w:sz w:val="22"/>
          <w:szCs w:val="22"/>
        </w:rPr>
        <w:t xml:space="preserve"> [Accessed: 21 May 2025].</w:t>
      </w:r>
    </w:p>
    <w:p w14:paraId="1128658A"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NAHT Cymru (2021) </w:t>
      </w:r>
      <w:r w:rsidRPr="00717B52">
        <w:rPr>
          <w:rStyle w:val="Emphasis"/>
          <w:rFonts w:ascii="Arial" w:eastAsiaTheme="majorEastAsia" w:hAnsi="Arial" w:cs="Arial"/>
          <w:sz w:val="22"/>
          <w:szCs w:val="22"/>
        </w:rPr>
        <w:t>Teacher Workload and Additional Learning Needs Support</w:t>
      </w:r>
      <w:r w:rsidRPr="00717B52">
        <w:rPr>
          <w:rFonts w:ascii="Arial" w:hAnsi="Arial" w:cs="Arial"/>
          <w:sz w:val="22"/>
          <w:szCs w:val="22"/>
        </w:rPr>
        <w:t>. Cardiff: NAHT Cymru.</w:t>
      </w:r>
    </w:p>
    <w:p w14:paraId="55CC0BB7"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OECD (2020) </w:t>
      </w:r>
      <w:r w:rsidRPr="00717B52">
        <w:rPr>
          <w:rStyle w:val="Emphasis"/>
          <w:rFonts w:ascii="Arial" w:eastAsiaTheme="majorEastAsia" w:hAnsi="Arial" w:cs="Arial"/>
          <w:sz w:val="22"/>
          <w:szCs w:val="22"/>
        </w:rPr>
        <w:t>Achieving the New Curriculum for Wales</w:t>
      </w:r>
      <w:r w:rsidRPr="00717B52">
        <w:rPr>
          <w:rFonts w:ascii="Arial" w:hAnsi="Arial" w:cs="Arial"/>
          <w:sz w:val="22"/>
          <w:szCs w:val="22"/>
        </w:rPr>
        <w:t xml:space="preserve">. Paris: Organisation for Economic Co-operation and Development. Available at: </w:t>
      </w:r>
      <w:hyperlink r:id="rId17" w:tgtFrame="_new" w:history="1">
        <w:r w:rsidRPr="00717B52">
          <w:rPr>
            <w:rStyle w:val="Hyperlink"/>
            <w:rFonts w:ascii="Arial" w:eastAsiaTheme="majorEastAsia" w:hAnsi="Arial" w:cs="Arial"/>
            <w:color w:val="auto"/>
            <w:sz w:val="22"/>
            <w:szCs w:val="22"/>
          </w:rPr>
          <w:t>https://www.oecd.org/education</w:t>
        </w:r>
      </w:hyperlink>
      <w:r w:rsidRPr="00717B52">
        <w:rPr>
          <w:rFonts w:ascii="Arial" w:hAnsi="Arial" w:cs="Arial"/>
          <w:sz w:val="22"/>
          <w:szCs w:val="22"/>
        </w:rPr>
        <w:t xml:space="preserve"> [Accessed: 20 May 2025].</w:t>
      </w:r>
    </w:p>
    <w:p w14:paraId="0FEA483F"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Primary School in Wales (2020) </w:t>
      </w:r>
      <w:r w:rsidRPr="00717B52">
        <w:rPr>
          <w:rStyle w:val="Emphasis"/>
          <w:rFonts w:ascii="Arial" w:eastAsiaTheme="majorEastAsia" w:hAnsi="Arial" w:cs="Arial"/>
          <w:sz w:val="22"/>
          <w:szCs w:val="22"/>
        </w:rPr>
        <w:t>Curriculum for Wales: A new framework for learning</w:t>
      </w:r>
      <w:r w:rsidRPr="00717B52">
        <w:rPr>
          <w:rFonts w:ascii="Arial" w:hAnsi="Arial" w:cs="Arial"/>
          <w:sz w:val="22"/>
          <w:szCs w:val="22"/>
        </w:rPr>
        <w:t>. Cardiff: Welsh Government.</w:t>
      </w:r>
    </w:p>
    <w:p w14:paraId="29E2476B"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Research (2023) </w:t>
      </w:r>
      <w:r w:rsidRPr="00717B52">
        <w:rPr>
          <w:rStyle w:val="Emphasis"/>
          <w:rFonts w:ascii="Arial" w:eastAsiaTheme="majorEastAsia" w:hAnsi="Arial" w:cs="Arial"/>
          <w:sz w:val="22"/>
          <w:szCs w:val="22"/>
        </w:rPr>
        <w:t>Evaluating the Implementation of the Additional Learning Needs Act in Wales</w:t>
      </w:r>
      <w:r w:rsidRPr="00717B52">
        <w:rPr>
          <w:rFonts w:ascii="Arial" w:hAnsi="Arial" w:cs="Arial"/>
          <w:sz w:val="22"/>
          <w:szCs w:val="22"/>
        </w:rPr>
        <w:t>. Cardiff: Welsh Government.</w:t>
      </w:r>
    </w:p>
    <w:p w14:paraId="68DAA5FE"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Roberts-Holmes, G. (2012) </w:t>
      </w:r>
      <w:r w:rsidRPr="00717B52">
        <w:rPr>
          <w:rStyle w:val="Emphasis"/>
          <w:rFonts w:ascii="Arial" w:eastAsiaTheme="majorEastAsia" w:hAnsi="Arial" w:cs="Arial"/>
          <w:sz w:val="22"/>
          <w:szCs w:val="22"/>
        </w:rPr>
        <w:t>Early childhood assessment: The role of standardised tools and observations</w:t>
      </w:r>
      <w:r w:rsidRPr="00717B52">
        <w:rPr>
          <w:rFonts w:ascii="Arial" w:hAnsi="Arial" w:cs="Arial"/>
          <w:sz w:val="22"/>
          <w:szCs w:val="22"/>
        </w:rPr>
        <w:t>. London: SAGE Publications.</w:t>
      </w:r>
    </w:p>
    <w:p w14:paraId="271EDE1D"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lastRenderedPageBreak/>
        <w:t xml:space="preserve">Robinson, K. (2006) </w:t>
      </w:r>
      <w:r w:rsidRPr="00717B52">
        <w:rPr>
          <w:rStyle w:val="Emphasis"/>
          <w:rFonts w:ascii="Arial" w:eastAsiaTheme="majorEastAsia" w:hAnsi="Arial" w:cs="Arial"/>
          <w:sz w:val="22"/>
          <w:szCs w:val="22"/>
        </w:rPr>
        <w:t>Do schools kill creativity?</w:t>
      </w:r>
      <w:r w:rsidRPr="00717B52">
        <w:rPr>
          <w:rFonts w:ascii="Arial" w:hAnsi="Arial" w:cs="Arial"/>
          <w:sz w:val="22"/>
          <w:szCs w:val="22"/>
        </w:rPr>
        <w:t xml:space="preserve"> [Video]. TED. Available at: </w:t>
      </w:r>
      <w:hyperlink r:id="rId18" w:tgtFrame="_new" w:history="1">
        <w:r w:rsidRPr="00717B52">
          <w:rPr>
            <w:rStyle w:val="Hyperlink"/>
            <w:rFonts w:ascii="Arial" w:eastAsiaTheme="majorEastAsia" w:hAnsi="Arial" w:cs="Arial"/>
            <w:color w:val="auto"/>
            <w:sz w:val="22"/>
            <w:szCs w:val="22"/>
          </w:rPr>
          <w:t>https://www.ted.com/talks/sir_ken_robinson_do_schools_kill_creativity</w:t>
        </w:r>
      </w:hyperlink>
      <w:r w:rsidRPr="00717B52">
        <w:rPr>
          <w:rFonts w:ascii="Arial" w:hAnsi="Arial" w:cs="Arial"/>
          <w:sz w:val="22"/>
          <w:szCs w:val="22"/>
        </w:rPr>
        <w:t xml:space="preserve"> [Accessed: 20 May 2025].</w:t>
      </w:r>
    </w:p>
    <w:p w14:paraId="663BB408"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Sinnott, E. and Evans, N. (2021) ‘Professional learning for inclusive education’, </w:t>
      </w:r>
      <w:r w:rsidRPr="00717B52">
        <w:rPr>
          <w:rStyle w:val="Emphasis"/>
          <w:rFonts w:ascii="Arial" w:eastAsiaTheme="majorEastAsia" w:hAnsi="Arial" w:cs="Arial"/>
          <w:sz w:val="22"/>
          <w:szCs w:val="22"/>
        </w:rPr>
        <w:t>International Journal of Inclusive Education</w:t>
      </w:r>
      <w:r w:rsidRPr="00717B52">
        <w:rPr>
          <w:rFonts w:ascii="Arial" w:hAnsi="Arial" w:cs="Arial"/>
          <w:sz w:val="22"/>
          <w:szCs w:val="22"/>
        </w:rPr>
        <w:t>, 25(7), pp. 773–789.</w:t>
      </w:r>
    </w:p>
    <w:p w14:paraId="1B768B46"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Sinnott, G. and Evans, G. (2021) ‘Teacher agency and the Curriculum for Wales: Challenges and opportunities’, </w:t>
      </w:r>
      <w:r w:rsidRPr="00717B52">
        <w:rPr>
          <w:rStyle w:val="Emphasis"/>
          <w:rFonts w:ascii="Arial" w:eastAsiaTheme="majorEastAsia" w:hAnsi="Arial" w:cs="Arial"/>
          <w:sz w:val="22"/>
          <w:szCs w:val="22"/>
        </w:rPr>
        <w:t>Wales Journal of Education</w:t>
      </w:r>
      <w:r w:rsidRPr="00717B52">
        <w:rPr>
          <w:rFonts w:ascii="Arial" w:hAnsi="Arial" w:cs="Arial"/>
          <w:sz w:val="22"/>
          <w:szCs w:val="22"/>
        </w:rPr>
        <w:t>, 23(1), pp. 55–74.</w:t>
      </w:r>
    </w:p>
    <w:p w14:paraId="2DC9B347"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Taylor, C., Power, S. and Rees, G. (2022) </w:t>
      </w:r>
      <w:r w:rsidRPr="00717B52">
        <w:rPr>
          <w:rStyle w:val="Emphasis"/>
          <w:rFonts w:ascii="Arial" w:eastAsiaTheme="majorEastAsia" w:hAnsi="Arial" w:cs="Arial"/>
          <w:sz w:val="22"/>
          <w:szCs w:val="22"/>
        </w:rPr>
        <w:t>Curriculum Reform in Wales: Balancing autonomy and accountability</w:t>
      </w:r>
      <w:r w:rsidRPr="00717B52">
        <w:rPr>
          <w:rFonts w:ascii="Arial" w:hAnsi="Arial" w:cs="Arial"/>
          <w:sz w:val="22"/>
          <w:szCs w:val="22"/>
        </w:rPr>
        <w:t xml:space="preserve">. Cardiff: WISERD. Available at: </w:t>
      </w:r>
      <w:hyperlink r:id="rId19" w:tgtFrame="_new" w:history="1">
        <w:r w:rsidRPr="00717B52">
          <w:rPr>
            <w:rStyle w:val="Hyperlink"/>
            <w:rFonts w:ascii="Arial" w:eastAsiaTheme="majorEastAsia" w:hAnsi="Arial" w:cs="Arial"/>
            <w:color w:val="auto"/>
            <w:sz w:val="22"/>
            <w:szCs w:val="22"/>
          </w:rPr>
          <w:t>https://wiserd.ac.uk</w:t>
        </w:r>
      </w:hyperlink>
      <w:r w:rsidRPr="00717B52">
        <w:rPr>
          <w:rFonts w:ascii="Arial" w:hAnsi="Arial" w:cs="Arial"/>
          <w:sz w:val="22"/>
          <w:szCs w:val="22"/>
        </w:rPr>
        <w:t xml:space="preserve"> [Accessed: 22 May 2025].</w:t>
      </w:r>
    </w:p>
    <w:p w14:paraId="2DEF8323"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Waldron, F. and McLeskey, J. (2010) ‘Equity and inclusion in early childhood education: Challenges in diverse settings’, </w:t>
      </w:r>
      <w:r w:rsidRPr="00717B52">
        <w:rPr>
          <w:rStyle w:val="Emphasis"/>
          <w:rFonts w:ascii="Arial" w:eastAsiaTheme="majorEastAsia" w:hAnsi="Arial" w:cs="Arial"/>
          <w:sz w:val="22"/>
          <w:szCs w:val="22"/>
        </w:rPr>
        <w:t>Journal of Early Childhood Research</w:t>
      </w:r>
      <w:r w:rsidRPr="00717B52">
        <w:rPr>
          <w:rFonts w:ascii="Arial" w:hAnsi="Arial" w:cs="Arial"/>
          <w:sz w:val="22"/>
          <w:szCs w:val="22"/>
        </w:rPr>
        <w:t>, 8(2), pp. 111–123.</w:t>
      </w:r>
    </w:p>
    <w:p w14:paraId="58868F1C"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Wales Online (2019) </w:t>
      </w:r>
      <w:r w:rsidRPr="00717B52">
        <w:rPr>
          <w:rStyle w:val="Emphasis"/>
          <w:rFonts w:ascii="Arial" w:eastAsiaTheme="majorEastAsia" w:hAnsi="Arial" w:cs="Arial"/>
          <w:sz w:val="22"/>
          <w:szCs w:val="22"/>
        </w:rPr>
        <w:t>Wales falls behind in latest PISA education rankings</w:t>
      </w:r>
      <w:r w:rsidRPr="00717B52">
        <w:rPr>
          <w:rFonts w:ascii="Arial" w:hAnsi="Arial" w:cs="Arial"/>
          <w:sz w:val="22"/>
          <w:szCs w:val="22"/>
        </w:rPr>
        <w:t xml:space="preserve">. Available at: </w:t>
      </w:r>
      <w:hyperlink r:id="rId20" w:tgtFrame="_new" w:history="1">
        <w:r w:rsidRPr="00717B52">
          <w:rPr>
            <w:rStyle w:val="Hyperlink"/>
            <w:rFonts w:ascii="Arial" w:eastAsiaTheme="majorEastAsia" w:hAnsi="Arial" w:cs="Arial"/>
            <w:color w:val="auto"/>
            <w:sz w:val="22"/>
            <w:szCs w:val="22"/>
          </w:rPr>
          <w:t>https://www.walesonline.co.uk/news/education</w:t>
        </w:r>
      </w:hyperlink>
      <w:r w:rsidRPr="00717B52">
        <w:rPr>
          <w:rFonts w:ascii="Arial" w:hAnsi="Arial" w:cs="Arial"/>
          <w:sz w:val="22"/>
          <w:szCs w:val="22"/>
        </w:rPr>
        <w:t xml:space="preserve"> [Accessed: 20 May 2025].</w:t>
      </w:r>
    </w:p>
    <w:p w14:paraId="3D2D0442"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Waters, J. (2013) ‘Moving forward in learning and teaching: The role of the adult’, </w:t>
      </w:r>
      <w:r w:rsidRPr="00717B52">
        <w:rPr>
          <w:rStyle w:val="Emphasis"/>
          <w:rFonts w:ascii="Arial" w:eastAsiaTheme="majorEastAsia" w:hAnsi="Arial" w:cs="Arial"/>
          <w:sz w:val="22"/>
          <w:szCs w:val="22"/>
        </w:rPr>
        <w:t>Education 3–13</w:t>
      </w:r>
      <w:r w:rsidRPr="00717B52">
        <w:rPr>
          <w:rFonts w:ascii="Arial" w:hAnsi="Arial" w:cs="Arial"/>
          <w:sz w:val="22"/>
          <w:szCs w:val="22"/>
        </w:rPr>
        <w:t xml:space="preserve">, 41(2), pp. 116–130. </w:t>
      </w:r>
      <w:hyperlink r:id="rId21" w:tgtFrame="_new" w:history="1">
        <w:r w:rsidRPr="00717B52">
          <w:rPr>
            <w:rStyle w:val="Hyperlink"/>
            <w:rFonts w:ascii="Arial" w:eastAsiaTheme="majorEastAsia" w:hAnsi="Arial" w:cs="Arial"/>
            <w:color w:val="auto"/>
            <w:sz w:val="22"/>
            <w:szCs w:val="22"/>
          </w:rPr>
          <w:t>https://doi.org/10.1080/03004279.2011.615797</w:t>
        </w:r>
      </w:hyperlink>
      <w:r w:rsidRPr="00717B52">
        <w:rPr>
          <w:rFonts w:ascii="Arial" w:hAnsi="Arial" w:cs="Arial"/>
          <w:sz w:val="22"/>
          <w:szCs w:val="22"/>
        </w:rPr>
        <w:t>.</w:t>
      </w:r>
    </w:p>
    <w:p w14:paraId="03091EB7"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Waters, J. (2016) ‘The Foundation Phase in Wales – a challenge to policy makers’, </w:t>
      </w:r>
      <w:r w:rsidRPr="00717B52">
        <w:rPr>
          <w:rStyle w:val="Emphasis"/>
          <w:rFonts w:ascii="Arial" w:eastAsiaTheme="majorEastAsia" w:hAnsi="Arial" w:cs="Arial"/>
          <w:sz w:val="22"/>
          <w:szCs w:val="22"/>
        </w:rPr>
        <w:t>Early Years</w:t>
      </w:r>
      <w:r w:rsidRPr="00717B52">
        <w:rPr>
          <w:rFonts w:ascii="Arial" w:hAnsi="Arial" w:cs="Arial"/>
          <w:sz w:val="22"/>
          <w:szCs w:val="22"/>
        </w:rPr>
        <w:t xml:space="preserve">, 36(2), pp. 121–134. </w:t>
      </w:r>
      <w:hyperlink r:id="rId22" w:tgtFrame="_new" w:history="1">
        <w:r w:rsidRPr="00717B52">
          <w:rPr>
            <w:rStyle w:val="Hyperlink"/>
            <w:rFonts w:ascii="Arial" w:eastAsiaTheme="majorEastAsia" w:hAnsi="Arial" w:cs="Arial"/>
            <w:color w:val="auto"/>
            <w:sz w:val="22"/>
            <w:szCs w:val="22"/>
          </w:rPr>
          <w:t>https://doi.org/10.1080/09575146.2016.1139547</w:t>
        </w:r>
      </w:hyperlink>
      <w:r w:rsidRPr="00717B52">
        <w:rPr>
          <w:rFonts w:ascii="Arial" w:hAnsi="Arial" w:cs="Arial"/>
          <w:sz w:val="22"/>
          <w:szCs w:val="22"/>
        </w:rPr>
        <w:t>.</w:t>
      </w:r>
    </w:p>
    <w:p w14:paraId="0FEBF194"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Welsh Government (2008) </w:t>
      </w:r>
      <w:r w:rsidRPr="00717B52">
        <w:rPr>
          <w:rStyle w:val="Emphasis"/>
          <w:rFonts w:ascii="Arial" w:eastAsiaTheme="majorEastAsia" w:hAnsi="Arial" w:cs="Arial"/>
          <w:sz w:val="22"/>
          <w:szCs w:val="22"/>
        </w:rPr>
        <w:t>Framework for Children’s Learning for 3 to 7-year-olds in Wales: Foundation Phase</w:t>
      </w:r>
      <w:r w:rsidRPr="00717B52">
        <w:rPr>
          <w:rFonts w:ascii="Arial" w:hAnsi="Arial" w:cs="Arial"/>
          <w:sz w:val="22"/>
          <w:szCs w:val="22"/>
        </w:rPr>
        <w:t>. Cardiff: Welsh Government.</w:t>
      </w:r>
    </w:p>
    <w:p w14:paraId="699F7CDA"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Welsh Government (2014) </w:t>
      </w:r>
      <w:r w:rsidRPr="00717B52">
        <w:rPr>
          <w:rStyle w:val="Emphasis"/>
          <w:rFonts w:ascii="Arial" w:eastAsiaTheme="majorEastAsia" w:hAnsi="Arial" w:cs="Arial"/>
          <w:sz w:val="22"/>
          <w:szCs w:val="22"/>
        </w:rPr>
        <w:t>Independent Stocktake of the Foundation Phase</w:t>
      </w:r>
      <w:r w:rsidRPr="00717B52">
        <w:rPr>
          <w:rFonts w:ascii="Arial" w:hAnsi="Arial" w:cs="Arial"/>
          <w:sz w:val="22"/>
          <w:szCs w:val="22"/>
        </w:rPr>
        <w:t>. Cardiff: Welsh Government.</w:t>
      </w:r>
    </w:p>
    <w:p w14:paraId="2685AFFB"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Welsh Government (2020) </w:t>
      </w:r>
      <w:r w:rsidRPr="00717B52">
        <w:rPr>
          <w:rStyle w:val="Emphasis"/>
          <w:rFonts w:ascii="Arial" w:eastAsiaTheme="majorEastAsia" w:hAnsi="Arial" w:cs="Arial"/>
          <w:sz w:val="22"/>
          <w:szCs w:val="22"/>
        </w:rPr>
        <w:t>Curriculum for Wales: A Curriculum for Life</w:t>
      </w:r>
      <w:r w:rsidRPr="00717B52">
        <w:rPr>
          <w:rFonts w:ascii="Arial" w:hAnsi="Arial" w:cs="Arial"/>
          <w:sz w:val="22"/>
          <w:szCs w:val="22"/>
        </w:rPr>
        <w:t xml:space="preserve">. Available at: </w:t>
      </w:r>
      <w:hyperlink r:id="rId23" w:tgtFrame="_new" w:history="1">
        <w:r w:rsidRPr="00717B52">
          <w:rPr>
            <w:rStyle w:val="Hyperlink"/>
            <w:rFonts w:ascii="Arial" w:eastAsiaTheme="majorEastAsia" w:hAnsi="Arial" w:cs="Arial"/>
            <w:color w:val="auto"/>
            <w:sz w:val="22"/>
            <w:szCs w:val="22"/>
          </w:rPr>
          <w:t>https://gov.wales/curriculum-for-wales</w:t>
        </w:r>
      </w:hyperlink>
      <w:r w:rsidRPr="00717B52">
        <w:rPr>
          <w:rFonts w:ascii="Arial" w:hAnsi="Arial" w:cs="Arial"/>
          <w:sz w:val="22"/>
          <w:szCs w:val="22"/>
        </w:rPr>
        <w:t xml:space="preserve"> [Accessed: 24 May 2025].</w:t>
      </w:r>
    </w:p>
    <w:p w14:paraId="71BD0287"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Welsh Government (2020) </w:t>
      </w:r>
      <w:r w:rsidRPr="00717B52">
        <w:rPr>
          <w:rStyle w:val="Emphasis"/>
          <w:rFonts w:ascii="Arial" w:eastAsiaTheme="majorEastAsia" w:hAnsi="Arial" w:cs="Arial"/>
          <w:sz w:val="22"/>
          <w:szCs w:val="22"/>
        </w:rPr>
        <w:t>Curriculum for Wales: Guidance</w:t>
      </w:r>
      <w:r w:rsidRPr="00717B52">
        <w:rPr>
          <w:rFonts w:ascii="Arial" w:hAnsi="Arial" w:cs="Arial"/>
          <w:sz w:val="22"/>
          <w:szCs w:val="22"/>
        </w:rPr>
        <w:t xml:space="preserve">. Cardiff: Welsh Government. Available at: </w:t>
      </w:r>
      <w:hyperlink r:id="rId24" w:tgtFrame="_new" w:history="1">
        <w:r w:rsidRPr="00717B52">
          <w:rPr>
            <w:rStyle w:val="Hyperlink"/>
            <w:rFonts w:ascii="Arial" w:eastAsiaTheme="majorEastAsia" w:hAnsi="Arial" w:cs="Arial"/>
            <w:color w:val="auto"/>
            <w:sz w:val="22"/>
            <w:szCs w:val="22"/>
          </w:rPr>
          <w:t>https://hwb.gov.wales/curriculum-for-wales</w:t>
        </w:r>
      </w:hyperlink>
      <w:r w:rsidRPr="00717B52">
        <w:rPr>
          <w:rFonts w:ascii="Arial" w:hAnsi="Arial" w:cs="Arial"/>
          <w:sz w:val="22"/>
          <w:szCs w:val="22"/>
        </w:rPr>
        <w:t xml:space="preserve"> [Accessed: 20 May 2025].</w:t>
      </w:r>
    </w:p>
    <w:p w14:paraId="7B16E6C8"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lastRenderedPageBreak/>
        <w:t xml:space="preserve">Welsh Government (2022) </w:t>
      </w:r>
      <w:r w:rsidRPr="00717B52">
        <w:rPr>
          <w:rStyle w:val="Emphasis"/>
          <w:rFonts w:ascii="Arial" w:eastAsiaTheme="majorEastAsia" w:hAnsi="Arial" w:cs="Arial"/>
          <w:sz w:val="22"/>
          <w:szCs w:val="22"/>
        </w:rPr>
        <w:t>Foundation Phase Profile and Progression Steps</w:t>
      </w:r>
      <w:r w:rsidRPr="00717B52">
        <w:rPr>
          <w:rFonts w:ascii="Arial" w:hAnsi="Arial" w:cs="Arial"/>
          <w:sz w:val="22"/>
          <w:szCs w:val="22"/>
        </w:rPr>
        <w:t xml:space="preserve">. [Online] Welsh Government. Available at: </w:t>
      </w:r>
      <w:hyperlink r:id="rId25" w:tgtFrame="_new" w:history="1">
        <w:r w:rsidRPr="00717B52">
          <w:rPr>
            <w:rStyle w:val="Hyperlink"/>
            <w:rFonts w:ascii="Arial" w:eastAsiaTheme="majorEastAsia" w:hAnsi="Arial" w:cs="Arial"/>
            <w:color w:val="auto"/>
            <w:sz w:val="22"/>
            <w:szCs w:val="22"/>
          </w:rPr>
          <w:t>https://gov.wales/foundation-phase-profile</w:t>
        </w:r>
      </w:hyperlink>
      <w:r w:rsidRPr="00717B52">
        <w:rPr>
          <w:rFonts w:ascii="Arial" w:hAnsi="Arial" w:cs="Arial"/>
          <w:sz w:val="22"/>
          <w:szCs w:val="22"/>
        </w:rPr>
        <w:t xml:space="preserve"> [Accessed: 24 May 2025].</w:t>
      </w:r>
    </w:p>
    <w:p w14:paraId="38A07CAB" w14:textId="77777777" w:rsidR="00717B52" w:rsidRPr="00717B52" w:rsidRDefault="00717B52" w:rsidP="00AF0FD1">
      <w:pPr>
        <w:pStyle w:val="NormalWeb"/>
        <w:spacing w:before="0" w:beforeAutospacing="0" w:line="360" w:lineRule="auto"/>
        <w:rPr>
          <w:rFonts w:ascii="Arial" w:hAnsi="Arial" w:cs="Arial"/>
          <w:sz w:val="22"/>
          <w:szCs w:val="22"/>
        </w:rPr>
      </w:pPr>
      <w:r w:rsidRPr="00717B52">
        <w:rPr>
          <w:rFonts w:ascii="Arial" w:hAnsi="Arial" w:cs="Arial"/>
          <w:sz w:val="22"/>
          <w:szCs w:val="22"/>
        </w:rPr>
        <w:t xml:space="preserve">WISERD (2015) </w:t>
      </w:r>
      <w:r w:rsidRPr="00717B52">
        <w:rPr>
          <w:rStyle w:val="Emphasis"/>
          <w:rFonts w:ascii="Arial" w:eastAsiaTheme="majorEastAsia" w:hAnsi="Arial" w:cs="Arial"/>
          <w:sz w:val="22"/>
          <w:szCs w:val="22"/>
        </w:rPr>
        <w:t>Evaluation of the Foundation Phase: Final Report</w:t>
      </w:r>
      <w:r w:rsidRPr="00717B52">
        <w:rPr>
          <w:rFonts w:ascii="Arial" w:hAnsi="Arial" w:cs="Arial"/>
          <w:sz w:val="22"/>
          <w:szCs w:val="22"/>
        </w:rPr>
        <w:t xml:space="preserve">. Cardiff: Wales Institute of Social and Economic Research, Data and Methods. Available at: </w:t>
      </w:r>
      <w:hyperlink r:id="rId26" w:tgtFrame="_new" w:history="1">
        <w:r w:rsidRPr="00717B52">
          <w:rPr>
            <w:rStyle w:val="Hyperlink"/>
            <w:rFonts w:ascii="Arial" w:eastAsiaTheme="majorEastAsia" w:hAnsi="Arial" w:cs="Arial"/>
            <w:color w:val="auto"/>
            <w:sz w:val="22"/>
            <w:szCs w:val="22"/>
          </w:rPr>
          <w:t>https://wiserd.ac.uk</w:t>
        </w:r>
      </w:hyperlink>
      <w:r w:rsidRPr="00717B52">
        <w:rPr>
          <w:rFonts w:ascii="Arial" w:hAnsi="Arial" w:cs="Arial"/>
          <w:sz w:val="22"/>
          <w:szCs w:val="22"/>
        </w:rPr>
        <w:t xml:space="preserve"> [Accessed: 20 May 2025].</w:t>
      </w:r>
    </w:p>
    <w:p w14:paraId="5186A236" w14:textId="77777777" w:rsidR="00366016" w:rsidRPr="00717B52" w:rsidRDefault="00366016" w:rsidP="00564065">
      <w:pPr>
        <w:rPr>
          <w:rFonts w:ascii="Arial" w:hAnsi="Arial" w:cs="Arial"/>
        </w:rPr>
      </w:pPr>
    </w:p>
    <w:sectPr w:rsidR="00366016" w:rsidRPr="00717B52">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E49D5" w14:textId="77777777" w:rsidR="00CC0A53" w:rsidRDefault="00CC0A53" w:rsidP="00382EB5">
      <w:pPr>
        <w:spacing w:after="0" w:line="240" w:lineRule="auto"/>
      </w:pPr>
      <w:r>
        <w:separator/>
      </w:r>
    </w:p>
  </w:endnote>
  <w:endnote w:type="continuationSeparator" w:id="0">
    <w:p w14:paraId="3A075C78" w14:textId="77777777" w:rsidR="00CC0A53" w:rsidRDefault="00CC0A53" w:rsidP="00382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E679F" w14:textId="77777777" w:rsidR="00CC0A53" w:rsidRDefault="00CC0A53" w:rsidP="00382EB5">
      <w:pPr>
        <w:spacing w:after="0" w:line="240" w:lineRule="auto"/>
      </w:pPr>
      <w:r>
        <w:separator/>
      </w:r>
    </w:p>
  </w:footnote>
  <w:footnote w:type="continuationSeparator" w:id="0">
    <w:p w14:paraId="396985C4" w14:textId="77777777" w:rsidR="00CC0A53" w:rsidRDefault="00CC0A53" w:rsidP="00382E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B666F" w14:textId="38E5BBB7" w:rsidR="00382EB5" w:rsidRDefault="00382EB5">
    <w:pPr>
      <w:pStyle w:val="Header"/>
    </w:pPr>
    <w:r>
      <w:t>ECEY6010/C                                                   09</w:t>
    </w:r>
    <w:r w:rsidR="003F41F2">
      <w:t xml:space="preserve">52338                                                             Word Count </w:t>
    </w:r>
    <w:r w:rsidR="00097318">
      <w:t>4185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D7C51"/>
    <w:multiLevelType w:val="multilevel"/>
    <w:tmpl w:val="09E84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3508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406"/>
    <w:rsid w:val="0005690A"/>
    <w:rsid w:val="00056A7E"/>
    <w:rsid w:val="00097318"/>
    <w:rsid w:val="000D3681"/>
    <w:rsid w:val="000E78C3"/>
    <w:rsid w:val="000F22B1"/>
    <w:rsid w:val="000F761C"/>
    <w:rsid w:val="00110BA7"/>
    <w:rsid w:val="0011686C"/>
    <w:rsid w:val="00134D87"/>
    <w:rsid w:val="001573EA"/>
    <w:rsid w:val="0018253B"/>
    <w:rsid w:val="001C0845"/>
    <w:rsid w:val="001C1F67"/>
    <w:rsid w:val="001C5E39"/>
    <w:rsid w:val="001C70AE"/>
    <w:rsid w:val="001D357B"/>
    <w:rsid w:val="001D47D5"/>
    <w:rsid w:val="001E3D96"/>
    <w:rsid w:val="001E6435"/>
    <w:rsid w:val="001E70E7"/>
    <w:rsid w:val="002334DD"/>
    <w:rsid w:val="00237BA3"/>
    <w:rsid w:val="00246F0B"/>
    <w:rsid w:val="00251396"/>
    <w:rsid w:val="002772FB"/>
    <w:rsid w:val="002C2D6C"/>
    <w:rsid w:val="002F60E8"/>
    <w:rsid w:val="00353C42"/>
    <w:rsid w:val="0035576B"/>
    <w:rsid w:val="00366016"/>
    <w:rsid w:val="00382EB5"/>
    <w:rsid w:val="003B6255"/>
    <w:rsid w:val="003C3F99"/>
    <w:rsid w:val="003C4736"/>
    <w:rsid w:val="003E6797"/>
    <w:rsid w:val="003F41F2"/>
    <w:rsid w:val="0040301A"/>
    <w:rsid w:val="00403208"/>
    <w:rsid w:val="0040647D"/>
    <w:rsid w:val="00422CAE"/>
    <w:rsid w:val="004237E1"/>
    <w:rsid w:val="004330A8"/>
    <w:rsid w:val="00461A37"/>
    <w:rsid w:val="004713C0"/>
    <w:rsid w:val="00491C83"/>
    <w:rsid w:val="004D693D"/>
    <w:rsid w:val="004F7CA7"/>
    <w:rsid w:val="00514597"/>
    <w:rsid w:val="00514DB1"/>
    <w:rsid w:val="00554C17"/>
    <w:rsid w:val="00564065"/>
    <w:rsid w:val="00571763"/>
    <w:rsid w:val="00575A2F"/>
    <w:rsid w:val="00583501"/>
    <w:rsid w:val="00586522"/>
    <w:rsid w:val="005932DE"/>
    <w:rsid w:val="005A0EF8"/>
    <w:rsid w:val="005A2B9D"/>
    <w:rsid w:val="005A7868"/>
    <w:rsid w:val="00617331"/>
    <w:rsid w:val="00653C78"/>
    <w:rsid w:val="006624C7"/>
    <w:rsid w:val="006759A7"/>
    <w:rsid w:val="006813CA"/>
    <w:rsid w:val="0068179A"/>
    <w:rsid w:val="00694474"/>
    <w:rsid w:val="006A585A"/>
    <w:rsid w:val="006B1786"/>
    <w:rsid w:val="006C6F31"/>
    <w:rsid w:val="006E34EB"/>
    <w:rsid w:val="00710801"/>
    <w:rsid w:val="00714ED9"/>
    <w:rsid w:val="00717B52"/>
    <w:rsid w:val="007510A7"/>
    <w:rsid w:val="00771C03"/>
    <w:rsid w:val="00784B56"/>
    <w:rsid w:val="007A1A73"/>
    <w:rsid w:val="007A598C"/>
    <w:rsid w:val="007C67BC"/>
    <w:rsid w:val="00813C2B"/>
    <w:rsid w:val="00820BA8"/>
    <w:rsid w:val="008262FC"/>
    <w:rsid w:val="00844C38"/>
    <w:rsid w:val="0086477C"/>
    <w:rsid w:val="00876FF2"/>
    <w:rsid w:val="008778A9"/>
    <w:rsid w:val="008B1698"/>
    <w:rsid w:val="008C1296"/>
    <w:rsid w:val="008C22E9"/>
    <w:rsid w:val="009054BE"/>
    <w:rsid w:val="00923EA9"/>
    <w:rsid w:val="0092701C"/>
    <w:rsid w:val="00946901"/>
    <w:rsid w:val="00964382"/>
    <w:rsid w:val="00965844"/>
    <w:rsid w:val="00980CD5"/>
    <w:rsid w:val="0098715E"/>
    <w:rsid w:val="009A52C4"/>
    <w:rsid w:val="00A1311E"/>
    <w:rsid w:val="00A25FA2"/>
    <w:rsid w:val="00A300D4"/>
    <w:rsid w:val="00A54E49"/>
    <w:rsid w:val="00A66350"/>
    <w:rsid w:val="00A67EEA"/>
    <w:rsid w:val="00A971F6"/>
    <w:rsid w:val="00AC595B"/>
    <w:rsid w:val="00AD5EFD"/>
    <w:rsid w:val="00AE0A52"/>
    <w:rsid w:val="00AF0FD1"/>
    <w:rsid w:val="00B2407E"/>
    <w:rsid w:val="00B26923"/>
    <w:rsid w:val="00B405C2"/>
    <w:rsid w:val="00B83B2A"/>
    <w:rsid w:val="00B857B0"/>
    <w:rsid w:val="00B90BDB"/>
    <w:rsid w:val="00BB7B80"/>
    <w:rsid w:val="00BD257A"/>
    <w:rsid w:val="00BE6FAB"/>
    <w:rsid w:val="00BF36E3"/>
    <w:rsid w:val="00C0020A"/>
    <w:rsid w:val="00C027F4"/>
    <w:rsid w:val="00C10933"/>
    <w:rsid w:val="00C164B8"/>
    <w:rsid w:val="00C26117"/>
    <w:rsid w:val="00C3076E"/>
    <w:rsid w:val="00C36D17"/>
    <w:rsid w:val="00C63AD2"/>
    <w:rsid w:val="00C83E39"/>
    <w:rsid w:val="00CA02C1"/>
    <w:rsid w:val="00CB07D6"/>
    <w:rsid w:val="00CC0A53"/>
    <w:rsid w:val="00D07C2E"/>
    <w:rsid w:val="00D322FC"/>
    <w:rsid w:val="00D65EA3"/>
    <w:rsid w:val="00D66A9E"/>
    <w:rsid w:val="00D7633B"/>
    <w:rsid w:val="00D76D99"/>
    <w:rsid w:val="00DC0406"/>
    <w:rsid w:val="00DC3BAC"/>
    <w:rsid w:val="00DC7F39"/>
    <w:rsid w:val="00DD6694"/>
    <w:rsid w:val="00DF106E"/>
    <w:rsid w:val="00DF2DA6"/>
    <w:rsid w:val="00E1621C"/>
    <w:rsid w:val="00EA2F1A"/>
    <w:rsid w:val="00EE1525"/>
    <w:rsid w:val="00F060CA"/>
    <w:rsid w:val="00F157BA"/>
    <w:rsid w:val="00F33277"/>
    <w:rsid w:val="00F4025B"/>
    <w:rsid w:val="00F74AED"/>
    <w:rsid w:val="00FA05F9"/>
    <w:rsid w:val="00FE3D7F"/>
    <w:rsid w:val="00FF4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09998"/>
  <w15:chartTrackingRefBased/>
  <w15:docId w15:val="{BF866E98-1507-415F-AAE6-C88D7B172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0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0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0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0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04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4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4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4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0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0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0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0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0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406"/>
    <w:rPr>
      <w:rFonts w:eastAsiaTheme="majorEastAsia" w:cstheme="majorBidi"/>
      <w:color w:val="272727" w:themeColor="text1" w:themeTint="D8"/>
    </w:rPr>
  </w:style>
  <w:style w:type="paragraph" w:styleId="Title">
    <w:name w:val="Title"/>
    <w:basedOn w:val="Normal"/>
    <w:next w:val="Normal"/>
    <w:link w:val="TitleChar"/>
    <w:uiPriority w:val="10"/>
    <w:qFormat/>
    <w:rsid w:val="00DC04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4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406"/>
    <w:pPr>
      <w:spacing w:before="160"/>
      <w:jc w:val="center"/>
    </w:pPr>
    <w:rPr>
      <w:i/>
      <w:iCs/>
      <w:color w:val="404040" w:themeColor="text1" w:themeTint="BF"/>
    </w:rPr>
  </w:style>
  <w:style w:type="character" w:customStyle="1" w:styleId="QuoteChar">
    <w:name w:val="Quote Char"/>
    <w:basedOn w:val="DefaultParagraphFont"/>
    <w:link w:val="Quote"/>
    <w:uiPriority w:val="29"/>
    <w:rsid w:val="00DC0406"/>
    <w:rPr>
      <w:i/>
      <w:iCs/>
      <w:color w:val="404040" w:themeColor="text1" w:themeTint="BF"/>
    </w:rPr>
  </w:style>
  <w:style w:type="paragraph" w:styleId="ListParagraph">
    <w:name w:val="List Paragraph"/>
    <w:basedOn w:val="Normal"/>
    <w:uiPriority w:val="34"/>
    <w:qFormat/>
    <w:rsid w:val="00DC0406"/>
    <w:pPr>
      <w:ind w:left="720"/>
      <w:contextualSpacing/>
    </w:pPr>
  </w:style>
  <w:style w:type="character" w:styleId="IntenseEmphasis">
    <w:name w:val="Intense Emphasis"/>
    <w:basedOn w:val="DefaultParagraphFont"/>
    <w:uiPriority w:val="21"/>
    <w:qFormat/>
    <w:rsid w:val="00DC0406"/>
    <w:rPr>
      <w:i/>
      <w:iCs/>
      <w:color w:val="0F4761" w:themeColor="accent1" w:themeShade="BF"/>
    </w:rPr>
  </w:style>
  <w:style w:type="paragraph" w:styleId="IntenseQuote">
    <w:name w:val="Intense Quote"/>
    <w:basedOn w:val="Normal"/>
    <w:next w:val="Normal"/>
    <w:link w:val="IntenseQuoteChar"/>
    <w:uiPriority w:val="30"/>
    <w:qFormat/>
    <w:rsid w:val="00DC0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0406"/>
    <w:rPr>
      <w:i/>
      <w:iCs/>
      <w:color w:val="0F4761" w:themeColor="accent1" w:themeShade="BF"/>
    </w:rPr>
  </w:style>
  <w:style w:type="character" w:styleId="IntenseReference">
    <w:name w:val="Intense Reference"/>
    <w:basedOn w:val="DefaultParagraphFont"/>
    <w:uiPriority w:val="32"/>
    <w:qFormat/>
    <w:rsid w:val="00DC0406"/>
    <w:rPr>
      <w:b/>
      <w:bCs/>
      <w:smallCaps/>
      <w:color w:val="0F4761" w:themeColor="accent1" w:themeShade="BF"/>
      <w:spacing w:val="5"/>
    </w:rPr>
  </w:style>
  <w:style w:type="paragraph" w:styleId="Header">
    <w:name w:val="header"/>
    <w:basedOn w:val="Normal"/>
    <w:link w:val="HeaderChar"/>
    <w:uiPriority w:val="99"/>
    <w:unhideWhenUsed/>
    <w:rsid w:val="00382E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EB5"/>
  </w:style>
  <w:style w:type="paragraph" w:styleId="Footer">
    <w:name w:val="footer"/>
    <w:basedOn w:val="Normal"/>
    <w:link w:val="FooterChar"/>
    <w:uiPriority w:val="99"/>
    <w:unhideWhenUsed/>
    <w:rsid w:val="00382E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EB5"/>
  </w:style>
  <w:style w:type="character" w:styleId="Strong">
    <w:name w:val="Strong"/>
    <w:basedOn w:val="DefaultParagraphFont"/>
    <w:uiPriority w:val="22"/>
    <w:qFormat/>
    <w:rsid w:val="00820BA8"/>
    <w:rPr>
      <w:b/>
      <w:bCs/>
    </w:rPr>
  </w:style>
  <w:style w:type="character" w:styleId="Emphasis">
    <w:name w:val="Emphasis"/>
    <w:basedOn w:val="DefaultParagraphFont"/>
    <w:uiPriority w:val="20"/>
    <w:qFormat/>
    <w:rsid w:val="00366016"/>
    <w:rPr>
      <w:i/>
      <w:iCs/>
    </w:rPr>
  </w:style>
  <w:style w:type="paragraph" w:styleId="NormalWeb">
    <w:name w:val="Normal (Web)"/>
    <w:basedOn w:val="Normal"/>
    <w:uiPriority w:val="99"/>
    <w:unhideWhenUsed/>
    <w:rsid w:val="001D357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876F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0969">
      <w:bodyDiv w:val="1"/>
      <w:marLeft w:val="0"/>
      <w:marRight w:val="0"/>
      <w:marTop w:val="0"/>
      <w:marBottom w:val="0"/>
      <w:divBdr>
        <w:top w:val="none" w:sz="0" w:space="0" w:color="auto"/>
        <w:left w:val="none" w:sz="0" w:space="0" w:color="auto"/>
        <w:bottom w:val="none" w:sz="0" w:space="0" w:color="auto"/>
        <w:right w:val="none" w:sz="0" w:space="0" w:color="auto"/>
      </w:divBdr>
    </w:div>
    <w:div w:id="29116034">
      <w:bodyDiv w:val="1"/>
      <w:marLeft w:val="0"/>
      <w:marRight w:val="0"/>
      <w:marTop w:val="0"/>
      <w:marBottom w:val="0"/>
      <w:divBdr>
        <w:top w:val="none" w:sz="0" w:space="0" w:color="auto"/>
        <w:left w:val="none" w:sz="0" w:space="0" w:color="auto"/>
        <w:bottom w:val="none" w:sz="0" w:space="0" w:color="auto"/>
        <w:right w:val="none" w:sz="0" w:space="0" w:color="auto"/>
      </w:divBdr>
    </w:div>
    <w:div w:id="37826621">
      <w:bodyDiv w:val="1"/>
      <w:marLeft w:val="0"/>
      <w:marRight w:val="0"/>
      <w:marTop w:val="0"/>
      <w:marBottom w:val="0"/>
      <w:divBdr>
        <w:top w:val="none" w:sz="0" w:space="0" w:color="auto"/>
        <w:left w:val="none" w:sz="0" w:space="0" w:color="auto"/>
        <w:bottom w:val="none" w:sz="0" w:space="0" w:color="auto"/>
        <w:right w:val="none" w:sz="0" w:space="0" w:color="auto"/>
      </w:divBdr>
    </w:div>
    <w:div w:id="92553485">
      <w:bodyDiv w:val="1"/>
      <w:marLeft w:val="0"/>
      <w:marRight w:val="0"/>
      <w:marTop w:val="0"/>
      <w:marBottom w:val="0"/>
      <w:divBdr>
        <w:top w:val="none" w:sz="0" w:space="0" w:color="auto"/>
        <w:left w:val="none" w:sz="0" w:space="0" w:color="auto"/>
        <w:bottom w:val="none" w:sz="0" w:space="0" w:color="auto"/>
        <w:right w:val="none" w:sz="0" w:space="0" w:color="auto"/>
      </w:divBdr>
    </w:div>
    <w:div w:id="99302828">
      <w:bodyDiv w:val="1"/>
      <w:marLeft w:val="0"/>
      <w:marRight w:val="0"/>
      <w:marTop w:val="0"/>
      <w:marBottom w:val="0"/>
      <w:divBdr>
        <w:top w:val="none" w:sz="0" w:space="0" w:color="auto"/>
        <w:left w:val="none" w:sz="0" w:space="0" w:color="auto"/>
        <w:bottom w:val="none" w:sz="0" w:space="0" w:color="auto"/>
        <w:right w:val="none" w:sz="0" w:space="0" w:color="auto"/>
      </w:divBdr>
    </w:div>
    <w:div w:id="111636711">
      <w:bodyDiv w:val="1"/>
      <w:marLeft w:val="0"/>
      <w:marRight w:val="0"/>
      <w:marTop w:val="0"/>
      <w:marBottom w:val="0"/>
      <w:divBdr>
        <w:top w:val="none" w:sz="0" w:space="0" w:color="auto"/>
        <w:left w:val="none" w:sz="0" w:space="0" w:color="auto"/>
        <w:bottom w:val="none" w:sz="0" w:space="0" w:color="auto"/>
        <w:right w:val="none" w:sz="0" w:space="0" w:color="auto"/>
      </w:divBdr>
    </w:div>
    <w:div w:id="124394810">
      <w:bodyDiv w:val="1"/>
      <w:marLeft w:val="0"/>
      <w:marRight w:val="0"/>
      <w:marTop w:val="0"/>
      <w:marBottom w:val="0"/>
      <w:divBdr>
        <w:top w:val="none" w:sz="0" w:space="0" w:color="auto"/>
        <w:left w:val="none" w:sz="0" w:space="0" w:color="auto"/>
        <w:bottom w:val="none" w:sz="0" w:space="0" w:color="auto"/>
        <w:right w:val="none" w:sz="0" w:space="0" w:color="auto"/>
      </w:divBdr>
    </w:div>
    <w:div w:id="147328393">
      <w:bodyDiv w:val="1"/>
      <w:marLeft w:val="0"/>
      <w:marRight w:val="0"/>
      <w:marTop w:val="0"/>
      <w:marBottom w:val="0"/>
      <w:divBdr>
        <w:top w:val="none" w:sz="0" w:space="0" w:color="auto"/>
        <w:left w:val="none" w:sz="0" w:space="0" w:color="auto"/>
        <w:bottom w:val="none" w:sz="0" w:space="0" w:color="auto"/>
        <w:right w:val="none" w:sz="0" w:space="0" w:color="auto"/>
      </w:divBdr>
    </w:div>
    <w:div w:id="192617456">
      <w:bodyDiv w:val="1"/>
      <w:marLeft w:val="0"/>
      <w:marRight w:val="0"/>
      <w:marTop w:val="0"/>
      <w:marBottom w:val="0"/>
      <w:divBdr>
        <w:top w:val="none" w:sz="0" w:space="0" w:color="auto"/>
        <w:left w:val="none" w:sz="0" w:space="0" w:color="auto"/>
        <w:bottom w:val="none" w:sz="0" w:space="0" w:color="auto"/>
        <w:right w:val="none" w:sz="0" w:space="0" w:color="auto"/>
      </w:divBdr>
    </w:div>
    <w:div w:id="198975191">
      <w:bodyDiv w:val="1"/>
      <w:marLeft w:val="0"/>
      <w:marRight w:val="0"/>
      <w:marTop w:val="0"/>
      <w:marBottom w:val="0"/>
      <w:divBdr>
        <w:top w:val="none" w:sz="0" w:space="0" w:color="auto"/>
        <w:left w:val="none" w:sz="0" w:space="0" w:color="auto"/>
        <w:bottom w:val="none" w:sz="0" w:space="0" w:color="auto"/>
        <w:right w:val="none" w:sz="0" w:space="0" w:color="auto"/>
      </w:divBdr>
    </w:div>
    <w:div w:id="279075817">
      <w:bodyDiv w:val="1"/>
      <w:marLeft w:val="0"/>
      <w:marRight w:val="0"/>
      <w:marTop w:val="0"/>
      <w:marBottom w:val="0"/>
      <w:divBdr>
        <w:top w:val="none" w:sz="0" w:space="0" w:color="auto"/>
        <w:left w:val="none" w:sz="0" w:space="0" w:color="auto"/>
        <w:bottom w:val="none" w:sz="0" w:space="0" w:color="auto"/>
        <w:right w:val="none" w:sz="0" w:space="0" w:color="auto"/>
      </w:divBdr>
    </w:div>
    <w:div w:id="307784728">
      <w:bodyDiv w:val="1"/>
      <w:marLeft w:val="0"/>
      <w:marRight w:val="0"/>
      <w:marTop w:val="0"/>
      <w:marBottom w:val="0"/>
      <w:divBdr>
        <w:top w:val="none" w:sz="0" w:space="0" w:color="auto"/>
        <w:left w:val="none" w:sz="0" w:space="0" w:color="auto"/>
        <w:bottom w:val="none" w:sz="0" w:space="0" w:color="auto"/>
        <w:right w:val="none" w:sz="0" w:space="0" w:color="auto"/>
      </w:divBdr>
    </w:div>
    <w:div w:id="316693807">
      <w:bodyDiv w:val="1"/>
      <w:marLeft w:val="0"/>
      <w:marRight w:val="0"/>
      <w:marTop w:val="0"/>
      <w:marBottom w:val="0"/>
      <w:divBdr>
        <w:top w:val="none" w:sz="0" w:space="0" w:color="auto"/>
        <w:left w:val="none" w:sz="0" w:space="0" w:color="auto"/>
        <w:bottom w:val="none" w:sz="0" w:space="0" w:color="auto"/>
        <w:right w:val="none" w:sz="0" w:space="0" w:color="auto"/>
      </w:divBdr>
    </w:div>
    <w:div w:id="371223477">
      <w:bodyDiv w:val="1"/>
      <w:marLeft w:val="0"/>
      <w:marRight w:val="0"/>
      <w:marTop w:val="0"/>
      <w:marBottom w:val="0"/>
      <w:divBdr>
        <w:top w:val="none" w:sz="0" w:space="0" w:color="auto"/>
        <w:left w:val="none" w:sz="0" w:space="0" w:color="auto"/>
        <w:bottom w:val="none" w:sz="0" w:space="0" w:color="auto"/>
        <w:right w:val="none" w:sz="0" w:space="0" w:color="auto"/>
      </w:divBdr>
    </w:div>
    <w:div w:id="383529239">
      <w:bodyDiv w:val="1"/>
      <w:marLeft w:val="0"/>
      <w:marRight w:val="0"/>
      <w:marTop w:val="0"/>
      <w:marBottom w:val="0"/>
      <w:divBdr>
        <w:top w:val="none" w:sz="0" w:space="0" w:color="auto"/>
        <w:left w:val="none" w:sz="0" w:space="0" w:color="auto"/>
        <w:bottom w:val="none" w:sz="0" w:space="0" w:color="auto"/>
        <w:right w:val="none" w:sz="0" w:space="0" w:color="auto"/>
      </w:divBdr>
    </w:div>
    <w:div w:id="388071022">
      <w:bodyDiv w:val="1"/>
      <w:marLeft w:val="0"/>
      <w:marRight w:val="0"/>
      <w:marTop w:val="0"/>
      <w:marBottom w:val="0"/>
      <w:divBdr>
        <w:top w:val="none" w:sz="0" w:space="0" w:color="auto"/>
        <w:left w:val="none" w:sz="0" w:space="0" w:color="auto"/>
        <w:bottom w:val="none" w:sz="0" w:space="0" w:color="auto"/>
        <w:right w:val="none" w:sz="0" w:space="0" w:color="auto"/>
      </w:divBdr>
    </w:div>
    <w:div w:id="409356629">
      <w:bodyDiv w:val="1"/>
      <w:marLeft w:val="0"/>
      <w:marRight w:val="0"/>
      <w:marTop w:val="0"/>
      <w:marBottom w:val="0"/>
      <w:divBdr>
        <w:top w:val="none" w:sz="0" w:space="0" w:color="auto"/>
        <w:left w:val="none" w:sz="0" w:space="0" w:color="auto"/>
        <w:bottom w:val="none" w:sz="0" w:space="0" w:color="auto"/>
        <w:right w:val="none" w:sz="0" w:space="0" w:color="auto"/>
      </w:divBdr>
    </w:div>
    <w:div w:id="486480595">
      <w:bodyDiv w:val="1"/>
      <w:marLeft w:val="0"/>
      <w:marRight w:val="0"/>
      <w:marTop w:val="0"/>
      <w:marBottom w:val="0"/>
      <w:divBdr>
        <w:top w:val="none" w:sz="0" w:space="0" w:color="auto"/>
        <w:left w:val="none" w:sz="0" w:space="0" w:color="auto"/>
        <w:bottom w:val="none" w:sz="0" w:space="0" w:color="auto"/>
        <w:right w:val="none" w:sz="0" w:space="0" w:color="auto"/>
      </w:divBdr>
    </w:div>
    <w:div w:id="568418661">
      <w:bodyDiv w:val="1"/>
      <w:marLeft w:val="0"/>
      <w:marRight w:val="0"/>
      <w:marTop w:val="0"/>
      <w:marBottom w:val="0"/>
      <w:divBdr>
        <w:top w:val="none" w:sz="0" w:space="0" w:color="auto"/>
        <w:left w:val="none" w:sz="0" w:space="0" w:color="auto"/>
        <w:bottom w:val="none" w:sz="0" w:space="0" w:color="auto"/>
        <w:right w:val="none" w:sz="0" w:space="0" w:color="auto"/>
      </w:divBdr>
    </w:div>
    <w:div w:id="594359271">
      <w:bodyDiv w:val="1"/>
      <w:marLeft w:val="0"/>
      <w:marRight w:val="0"/>
      <w:marTop w:val="0"/>
      <w:marBottom w:val="0"/>
      <w:divBdr>
        <w:top w:val="none" w:sz="0" w:space="0" w:color="auto"/>
        <w:left w:val="none" w:sz="0" w:space="0" w:color="auto"/>
        <w:bottom w:val="none" w:sz="0" w:space="0" w:color="auto"/>
        <w:right w:val="none" w:sz="0" w:space="0" w:color="auto"/>
      </w:divBdr>
    </w:div>
    <w:div w:id="652300469">
      <w:bodyDiv w:val="1"/>
      <w:marLeft w:val="0"/>
      <w:marRight w:val="0"/>
      <w:marTop w:val="0"/>
      <w:marBottom w:val="0"/>
      <w:divBdr>
        <w:top w:val="none" w:sz="0" w:space="0" w:color="auto"/>
        <w:left w:val="none" w:sz="0" w:space="0" w:color="auto"/>
        <w:bottom w:val="none" w:sz="0" w:space="0" w:color="auto"/>
        <w:right w:val="none" w:sz="0" w:space="0" w:color="auto"/>
      </w:divBdr>
    </w:div>
    <w:div w:id="712576186">
      <w:bodyDiv w:val="1"/>
      <w:marLeft w:val="0"/>
      <w:marRight w:val="0"/>
      <w:marTop w:val="0"/>
      <w:marBottom w:val="0"/>
      <w:divBdr>
        <w:top w:val="none" w:sz="0" w:space="0" w:color="auto"/>
        <w:left w:val="none" w:sz="0" w:space="0" w:color="auto"/>
        <w:bottom w:val="none" w:sz="0" w:space="0" w:color="auto"/>
        <w:right w:val="none" w:sz="0" w:space="0" w:color="auto"/>
      </w:divBdr>
    </w:div>
    <w:div w:id="727076058">
      <w:bodyDiv w:val="1"/>
      <w:marLeft w:val="0"/>
      <w:marRight w:val="0"/>
      <w:marTop w:val="0"/>
      <w:marBottom w:val="0"/>
      <w:divBdr>
        <w:top w:val="none" w:sz="0" w:space="0" w:color="auto"/>
        <w:left w:val="none" w:sz="0" w:space="0" w:color="auto"/>
        <w:bottom w:val="none" w:sz="0" w:space="0" w:color="auto"/>
        <w:right w:val="none" w:sz="0" w:space="0" w:color="auto"/>
      </w:divBdr>
    </w:div>
    <w:div w:id="761293217">
      <w:bodyDiv w:val="1"/>
      <w:marLeft w:val="0"/>
      <w:marRight w:val="0"/>
      <w:marTop w:val="0"/>
      <w:marBottom w:val="0"/>
      <w:divBdr>
        <w:top w:val="none" w:sz="0" w:space="0" w:color="auto"/>
        <w:left w:val="none" w:sz="0" w:space="0" w:color="auto"/>
        <w:bottom w:val="none" w:sz="0" w:space="0" w:color="auto"/>
        <w:right w:val="none" w:sz="0" w:space="0" w:color="auto"/>
      </w:divBdr>
    </w:div>
    <w:div w:id="802385284">
      <w:bodyDiv w:val="1"/>
      <w:marLeft w:val="0"/>
      <w:marRight w:val="0"/>
      <w:marTop w:val="0"/>
      <w:marBottom w:val="0"/>
      <w:divBdr>
        <w:top w:val="none" w:sz="0" w:space="0" w:color="auto"/>
        <w:left w:val="none" w:sz="0" w:space="0" w:color="auto"/>
        <w:bottom w:val="none" w:sz="0" w:space="0" w:color="auto"/>
        <w:right w:val="none" w:sz="0" w:space="0" w:color="auto"/>
      </w:divBdr>
    </w:div>
    <w:div w:id="817459838">
      <w:bodyDiv w:val="1"/>
      <w:marLeft w:val="0"/>
      <w:marRight w:val="0"/>
      <w:marTop w:val="0"/>
      <w:marBottom w:val="0"/>
      <w:divBdr>
        <w:top w:val="none" w:sz="0" w:space="0" w:color="auto"/>
        <w:left w:val="none" w:sz="0" w:space="0" w:color="auto"/>
        <w:bottom w:val="none" w:sz="0" w:space="0" w:color="auto"/>
        <w:right w:val="none" w:sz="0" w:space="0" w:color="auto"/>
      </w:divBdr>
      <w:divsChild>
        <w:div w:id="1422994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9077049">
      <w:bodyDiv w:val="1"/>
      <w:marLeft w:val="0"/>
      <w:marRight w:val="0"/>
      <w:marTop w:val="0"/>
      <w:marBottom w:val="0"/>
      <w:divBdr>
        <w:top w:val="none" w:sz="0" w:space="0" w:color="auto"/>
        <w:left w:val="none" w:sz="0" w:space="0" w:color="auto"/>
        <w:bottom w:val="none" w:sz="0" w:space="0" w:color="auto"/>
        <w:right w:val="none" w:sz="0" w:space="0" w:color="auto"/>
      </w:divBdr>
    </w:div>
    <w:div w:id="926230624">
      <w:bodyDiv w:val="1"/>
      <w:marLeft w:val="0"/>
      <w:marRight w:val="0"/>
      <w:marTop w:val="0"/>
      <w:marBottom w:val="0"/>
      <w:divBdr>
        <w:top w:val="none" w:sz="0" w:space="0" w:color="auto"/>
        <w:left w:val="none" w:sz="0" w:space="0" w:color="auto"/>
        <w:bottom w:val="none" w:sz="0" w:space="0" w:color="auto"/>
        <w:right w:val="none" w:sz="0" w:space="0" w:color="auto"/>
      </w:divBdr>
    </w:div>
    <w:div w:id="950477090">
      <w:bodyDiv w:val="1"/>
      <w:marLeft w:val="0"/>
      <w:marRight w:val="0"/>
      <w:marTop w:val="0"/>
      <w:marBottom w:val="0"/>
      <w:divBdr>
        <w:top w:val="none" w:sz="0" w:space="0" w:color="auto"/>
        <w:left w:val="none" w:sz="0" w:space="0" w:color="auto"/>
        <w:bottom w:val="none" w:sz="0" w:space="0" w:color="auto"/>
        <w:right w:val="none" w:sz="0" w:space="0" w:color="auto"/>
      </w:divBdr>
    </w:div>
    <w:div w:id="992029735">
      <w:bodyDiv w:val="1"/>
      <w:marLeft w:val="0"/>
      <w:marRight w:val="0"/>
      <w:marTop w:val="0"/>
      <w:marBottom w:val="0"/>
      <w:divBdr>
        <w:top w:val="none" w:sz="0" w:space="0" w:color="auto"/>
        <w:left w:val="none" w:sz="0" w:space="0" w:color="auto"/>
        <w:bottom w:val="none" w:sz="0" w:space="0" w:color="auto"/>
        <w:right w:val="none" w:sz="0" w:space="0" w:color="auto"/>
      </w:divBdr>
    </w:div>
    <w:div w:id="1061757371">
      <w:bodyDiv w:val="1"/>
      <w:marLeft w:val="0"/>
      <w:marRight w:val="0"/>
      <w:marTop w:val="0"/>
      <w:marBottom w:val="0"/>
      <w:divBdr>
        <w:top w:val="none" w:sz="0" w:space="0" w:color="auto"/>
        <w:left w:val="none" w:sz="0" w:space="0" w:color="auto"/>
        <w:bottom w:val="none" w:sz="0" w:space="0" w:color="auto"/>
        <w:right w:val="none" w:sz="0" w:space="0" w:color="auto"/>
      </w:divBdr>
    </w:div>
    <w:div w:id="1110399569">
      <w:bodyDiv w:val="1"/>
      <w:marLeft w:val="0"/>
      <w:marRight w:val="0"/>
      <w:marTop w:val="0"/>
      <w:marBottom w:val="0"/>
      <w:divBdr>
        <w:top w:val="none" w:sz="0" w:space="0" w:color="auto"/>
        <w:left w:val="none" w:sz="0" w:space="0" w:color="auto"/>
        <w:bottom w:val="none" w:sz="0" w:space="0" w:color="auto"/>
        <w:right w:val="none" w:sz="0" w:space="0" w:color="auto"/>
      </w:divBdr>
    </w:div>
    <w:div w:id="1168986501">
      <w:bodyDiv w:val="1"/>
      <w:marLeft w:val="0"/>
      <w:marRight w:val="0"/>
      <w:marTop w:val="0"/>
      <w:marBottom w:val="0"/>
      <w:divBdr>
        <w:top w:val="none" w:sz="0" w:space="0" w:color="auto"/>
        <w:left w:val="none" w:sz="0" w:space="0" w:color="auto"/>
        <w:bottom w:val="none" w:sz="0" w:space="0" w:color="auto"/>
        <w:right w:val="none" w:sz="0" w:space="0" w:color="auto"/>
      </w:divBdr>
    </w:div>
    <w:div w:id="1197426532">
      <w:bodyDiv w:val="1"/>
      <w:marLeft w:val="0"/>
      <w:marRight w:val="0"/>
      <w:marTop w:val="0"/>
      <w:marBottom w:val="0"/>
      <w:divBdr>
        <w:top w:val="none" w:sz="0" w:space="0" w:color="auto"/>
        <w:left w:val="none" w:sz="0" w:space="0" w:color="auto"/>
        <w:bottom w:val="none" w:sz="0" w:space="0" w:color="auto"/>
        <w:right w:val="none" w:sz="0" w:space="0" w:color="auto"/>
      </w:divBdr>
      <w:divsChild>
        <w:div w:id="1187258753">
          <w:marLeft w:val="0"/>
          <w:marRight w:val="0"/>
          <w:marTop w:val="0"/>
          <w:marBottom w:val="0"/>
          <w:divBdr>
            <w:top w:val="none" w:sz="0" w:space="0" w:color="auto"/>
            <w:left w:val="none" w:sz="0" w:space="0" w:color="auto"/>
            <w:bottom w:val="none" w:sz="0" w:space="0" w:color="auto"/>
            <w:right w:val="none" w:sz="0" w:space="0" w:color="auto"/>
          </w:divBdr>
          <w:divsChild>
            <w:div w:id="574903354">
              <w:marLeft w:val="0"/>
              <w:marRight w:val="0"/>
              <w:marTop w:val="0"/>
              <w:marBottom w:val="0"/>
              <w:divBdr>
                <w:top w:val="none" w:sz="0" w:space="0" w:color="auto"/>
                <w:left w:val="none" w:sz="0" w:space="0" w:color="auto"/>
                <w:bottom w:val="none" w:sz="0" w:space="0" w:color="auto"/>
                <w:right w:val="none" w:sz="0" w:space="0" w:color="auto"/>
              </w:divBdr>
              <w:divsChild>
                <w:div w:id="1962296756">
                  <w:marLeft w:val="0"/>
                  <w:marRight w:val="0"/>
                  <w:marTop w:val="0"/>
                  <w:marBottom w:val="0"/>
                  <w:divBdr>
                    <w:top w:val="none" w:sz="0" w:space="0" w:color="auto"/>
                    <w:left w:val="none" w:sz="0" w:space="0" w:color="auto"/>
                    <w:bottom w:val="none" w:sz="0" w:space="0" w:color="auto"/>
                    <w:right w:val="none" w:sz="0" w:space="0" w:color="auto"/>
                  </w:divBdr>
                  <w:divsChild>
                    <w:div w:id="614364288">
                      <w:marLeft w:val="0"/>
                      <w:marRight w:val="0"/>
                      <w:marTop w:val="0"/>
                      <w:marBottom w:val="0"/>
                      <w:divBdr>
                        <w:top w:val="none" w:sz="0" w:space="0" w:color="auto"/>
                        <w:left w:val="none" w:sz="0" w:space="0" w:color="auto"/>
                        <w:bottom w:val="none" w:sz="0" w:space="0" w:color="auto"/>
                        <w:right w:val="none" w:sz="0" w:space="0" w:color="auto"/>
                      </w:divBdr>
                      <w:divsChild>
                        <w:div w:id="825130554">
                          <w:marLeft w:val="0"/>
                          <w:marRight w:val="0"/>
                          <w:marTop w:val="0"/>
                          <w:marBottom w:val="0"/>
                          <w:divBdr>
                            <w:top w:val="none" w:sz="0" w:space="0" w:color="auto"/>
                            <w:left w:val="none" w:sz="0" w:space="0" w:color="auto"/>
                            <w:bottom w:val="none" w:sz="0" w:space="0" w:color="auto"/>
                            <w:right w:val="none" w:sz="0" w:space="0" w:color="auto"/>
                          </w:divBdr>
                          <w:divsChild>
                            <w:div w:id="1243375841">
                              <w:marLeft w:val="0"/>
                              <w:marRight w:val="0"/>
                              <w:marTop w:val="0"/>
                              <w:marBottom w:val="0"/>
                              <w:divBdr>
                                <w:top w:val="none" w:sz="0" w:space="0" w:color="auto"/>
                                <w:left w:val="none" w:sz="0" w:space="0" w:color="auto"/>
                                <w:bottom w:val="none" w:sz="0" w:space="0" w:color="auto"/>
                                <w:right w:val="none" w:sz="0" w:space="0" w:color="auto"/>
                              </w:divBdr>
                              <w:divsChild>
                                <w:div w:id="1007170145">
                                  <w:marLeft w:val="0"/>
                                  <w:marRight w:val="0"/>
                                  <w:marTop w:val="0"/>
                                  <w:marBottom w:val="0"/>
                                  <w:divBdr>
                                    <w:top w:val="none" w:sz="0" w:space="0" w:color="auto"/>
                                    <w:left w:val="none" w:sz="0" w:space="0" w:color="auto"/>
                                    <w:bottom w:val="none" w:sz="0" w:space="0" w:color="auto"/>
                                    <w:right w:val="none" w:sz="0" w:space="0" w:color="auto"/>
                                  </w:divBdr>
                                  <w:divsChild>
                                    <w:div w:id="1710835215">
                                      <w:marLeft w:val="0"/>
                                      <w:marRight w:val="0"/>
                                      <w:marTop w:val="0"/>
                                      <w:marBottom w:val="0"/>
                                      <w:divBdr>
                                        <w:top w:val="none" w:sz="0" w:space="0" w:color="auto"/>
                                        <w:left w:val="none" w:sz="0" w:space="0" w:color="auto"/>
                                        <w:bottom w:val="none" w:sz="0" w:space="0" w:color="auto"/>
                                        <w:right w:val="none" w:sz="0" w:space="0" w:color="auto"/>
                                      </w:divBdr>
                                      <w:divsChild>
                                        <w:div w:id="665210240">
                                          <w:marLeft w:val="0"/>
                                          <w:marRight w:val="0"/>
                                          <w:marTop w:val="0"/>
                                          <w:marBottom w:val="0"/>
                                          <w:divBdr>
                                            <w:top w:val="none" w:sz="0" w:space="0" w:color="auto"/>
                                            <w:left w:val="none" w:sz="0" w:space="0" w:color="auto"/>
                                            <w:bottom w:val="none" w:sz="0" w:space="0" w:color="auto"/>
                                            <w:right w:val="none" w:sz="0" w:space="0" w:color="auto"/>
                                          </w:divBdr>
                                          <w:divsChild>
                                            <w:div w:id="844786123">
                                              <w:marLeft w:val="0"/>
                                              <w:marRight w:val="0"/>
                                              <w:marTop w:val="0"/>
                                              <w:marBottom w:val="0"/>
                                              <w:divBdr>
                                                <w:top w:val="none" w:sz="0" w:space="0" w:color="auto"/>
                                                <w:left w:val="none" w:sz="0" w:space="0" w:color="auto"/>
                                                <w:bottom w:val="none" w:sz="0" w:space="0" w:color="auto"/>
                                                <w:right w:val="none" w:sz="0" w:space="0" w:color="auto"/>
                                              </w:divBdr>
                                              <w:divsChild>
                                                <w:div w:id="231237796">
                                                  <w:marLeft w:val="0"/>
                                                  <w:marRight w:val="0"/>
                                                  <w:marTop w:val="0"/>
                                                  <w:marBottom w:val="0"/>
                                                  <w:divBdr>
                                                    <w:top w:val="none" w:sz="0" w:space="0" w:color="auto"/>
                                                    <w:left w:val="none" w:sz="0" w:space="0" w:color="auto"/>
                                                    <w:bottom w:val="none" w:sz="0" w:space="0" w:color="auto"/>
                                                    <w:right w:val="none" w:sz="0" w:space="0" w:color="auto"/>
                                                  </w:divBdr>
                                                  <w:divsChild>
                                                    <w:div w:id="1609040363">
                                                      <w:marLeft w:val="0"/>
                                                      <w:marRight w:val="0"/>
                                                      <w:marTop w:val="0"/>
                                                      <w:marBottom w:val="0"/>
                                                      <w:divBdr>
                                                        <w:top w:val="none" w:sz="0" w:space="0" w:color="auto"/>
                                                        <w:left w:val="none" w:sz="0" w:space="0" w:color="auto"/>
                                                        <w:bottom w:val="none" w:sz="0" w:space="0" w:color="auto"/>
                                                        <w:right w:val="none" w:sz="0" w:space="0" w:color="auto"/>
                                                      </w:divBdr>
                                                    </w:div>
                                                  </w:divsChild>
                                                </w:div>
                                                <w:div w:id="1154880278">
                                                  <w:marLeft w:val="0"/>
                                                  <w:marRight w:val="0"/>
                                                  <w:marTop w:val="0"/>
                                                  <w:marBottom w:val="0"/>
                                                  <w:divBdr>
                                                    <w:top w:val="none" w:sz="0" w:space="0" w:color="auto"/>
                                                    <w:left w:val="none" w:sz="0" w:space="0" w:color="auto"/>
                                                    <w:bottom w:val="none" w:sz="0" w:space="0" w:color="auto"/>
                                                    <w:right w:val="none" w:sz="0" w:space="0" w:color="auto"/>
                                                  </w:divBdr>
                                                  <w:divsChild>
                                                    <w:div w:id="1192299983">
                                                      <w:marLeft w:val="0"/>
                                                      <w:marRight w:val="0"/>
                                                      <w:marTop w:val="0"/>
                                                      <w:marBottom w:val="0"/>
                                                      <w:divBdr>
                                                        <w:top w:val="none" w:sz="0" w:space="0" w:color="auto"/>
                                                        <w:left w:val="none" w:sz="0" w:space="0" w:color="auto"/>
                                                        <w:bottom w:val="none" w:sz="0" w:space="0" w:color="auto"/>
                                                        <w:right w:val="none" w:sz="0" w:space="0" w:color="auto"/>
                                                      </w:divBdr>
                                                      <w:divsChild>
                                                        <w:div w:id="1020594805">
                                                          <w:marLeft w:val="0"/>
                                                          <w:marRight w:val="0"/>
                                                          <w:marTop w:val="0"/>
                                                          <w:marBottom w:val="0"/>
                                                          <w:divBdr>
                                                            <w:top w:val="none" w:sz="0" w:space="0" w:color="auto"/>
                                                            <w:left w:val="none" w:sz="0" w:space="0" w:color="auto"/>
                                                            <w:bottom w:val="none" w:sz="0" w:space="0" w:color="auto"/>
                                                            <w:right w:val="none" w:sz="0" w:space="0" w:color="auto"/>
                                                          </w:divBdr>
                                                          <w:divsChild>
                                                            <w:div w:id="1679964105">
                                                              <w:marLeft w:val="0"/>
                                                              <w:marRight w:val="0"/>
                                                              <w:marTop w:val="0"/>
                                                              <w:marBottom w:val="0"/>
                                                              <w:divBdr>
                                                                <w:top w:val="none" w:sz="0" w:space="0" w:color="auto"/>
                                                                <w:left w:val="none" w:sz="0" w:space="0" w:color="auto"/>
                                                                <w:bottom w:val="none" w:sz="0" w:space="0" w:color="auto"/>
                                                                <w:right w:val="none" w:sz="0" w:space="0" w:color="auto"/>
                                                              </w:divBdr>
                                                              <w:divsChild>
                                                                <w:div w:id="544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6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091016">
                                          <w:marLeft w:val="0"/>
                                          <w:marRight w:val="0"/>
                                          <w:marTop w:val="0"/>
                                          <w:marBottom w:val="0"/>
                                          <w:divBdr>
                                            <w:top w:val="none" w:sz="0" w:space="0" w:color="auto"/>
                                            <w:left w:val="none" w:sz="0" w:space="0" w:color="auto"/>
                                            <w:bottom w:val="none" w:sz="0" w:space="0" w:color="auto"/>
                                            <w:right w:val="none" w:sz="0" w:space="0" w:color="auto"/>
                                          </w:divBdr>
                                          <w:divsChild>
                                            <w:div w:id="1252471179">
                                              <w:marLeft w:val="0"/>
                                              <w:marRight w:val="0"/>
                                              <w:marTop w:val="0"/>
                                              <w:marBottom w:val="0"/>
                                              <w:divBdr>
                                                <w:top w:val="none" w:sz="0" w:space="0" w:color="auto"/>
                                                <w:left w:val="none" w:sz="0" w:space="0" w:color="auto"/>
                                                <w:bottom w:val="none" w:sz="0" w:space="0" w:color="auto"/>
                                                <w:right w:val="none" w:sz="0" w:space="0" w:color="auto"/>
                                              </w:divBdr>
                                              <w:divsChild>
                                                <w:div w:id="118648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3608482">
          <w:marLeft w:val="0"/>
          <w:marRight w:val="0"/>
          <w:marTop w:val="0"/>
          <w:marBottom w:val="0"/>
          <w:divBdr>
            <w:top w:val="none" w:sz="0" w:space="0" w:color="auto"/>
            <w:left w:val="none" w:sz="0" w:space="0" w:color="auto"/>
            <w:bottom w:val="none" w:sz="0" w:space="0" w:color="auto"/>
            <w:right w:val="none" w:sz="0" w:space="0" w:color="auto"/>
          </w:divBdr>
          <w:divsChild>
            <w:div w:id="1986355067">
              <w:marLeft w:val="0"/>
              <w:marRight w:val="0"/>
              <w:marTop w:val="0"/>
              <w:marBottom w:val="0"/>
              <w:divBdr>
                <w:top w:val="none" w:sz="0" w:space="0" w:color="auto"/>
                <w:left w:val="none" w:sz="0" w:space="0" w:color="auto"/>
                <w:bottom w:val="none" w:sz="0" w:space="0" w:color="auto"/>
                <w:right w:val="none" w:sz="0" w:space="0" w:color="auto"/>
              </w:divBdr>
              <w:divsChild>
                <w:div w:id="189228219">
                  <w:marLeft w:val="0"/>
                  <w:marRight w:val="0"/>
                  <w:marTop w:val="0"/>
                  <w:marBottom w:val="0"/>
                  <w:divBdr>
                    <w:top w:val="none" w:sz="0" w:space="0" w:color="auto"/>
                    <w:left w:val="none" w:sz="0" w:space="0" w:color="auto"/>
                    <w:bottom w:val="none" w:sz="0" w:space="0" w:color="auto"/>
                    <w:right w:val="none" w:sz="0" w:space="0" w:color="auto"/>
                  </w:divBdr>
                  <w:divsChild>
                    <w:div w:id="1663007439">
                      <w:marLeft w:val="0"/>
                      <w:marRight w:val="0"/>
                      <w:marTop w:val="0"/>
                      <w:marBottom w:val="0"/>
                      <w:divBdr>
                        <w:top w:val="none" w:sz="0" w:space="0" w:color="auto"/>
                        <w:left w:val="none" w:sz="0" w:space="0" w:color="auto"/>
                        <w:bottom w:val="none" w:sz="0" w:space="0" w:color="auto"/>
                        <w:right w:val="none" w:sz="0" w:space="0" w:color="auto"/>
                      </w:divBdr>
                      <w:divsChild>
                        <w:div w:id="1300843594">
                          <w:marLeft w:val="0"/>
                          <w:marRight w:val="0"/>
                          <w:marTop w:val="0"/>
                          <w:marBottom w:val="0"/>
                          <w:divBdr>
                            <w:top w:val="none" w:sz="0" w:space="0" w:color="auto"/>
                            <w:left w:val="none" w:sz="0" w:space="0" w:color="auto"/>
                            <w:bottom w:val="none" w:sz="0" w:space="0" w:color="auto"/>
                            <w:right w:val="none" w:sz="0" w:space="0" w:color="auto"/>
                          </w:divBdr>
                          <w:divsChild>
                            <w:div w:id="1740250860">
                              <w:marLeft w:val="0"/>
                              <w:marRight w:val="0"/>
                              <w:marTop w:val="0"/>
                              <w:marBottom w:val="0"/>
                              <w:divBdr>
                                <w:top w:val="none" w:sz="0" w:space="0" w:color="auto"/>
                                <w:left w:val="none" w:sz="0" w:space="0" w:color="auto"/>
                                <w:bottom w:val="none" w:sz="0" w:space="0" w:color="auto"/>
                                <w:right w:val="none" w:sz="0" w:space="0" w:color="auto"/>
                              </w:divBdr>
                              <w:divsChild>
                                <w:div w:id="1417900947">
                                  <w:marLeft w:val="0"/>
                                  <w:marRight w:val="0"/>
                                  <w:marTop w:val="0"/>
                                  <w:marBottom w:val="0"/>
                                  <w:divBdr>
                                    <w:top w:val="none" w:sz="0" w:space="0" w:color="auto"/>
                                    <w:left w:val="none" w:sz="0" w:space="0" w:color="auto"/>
                                    <w:bottom w:val="none" w:sz="0" w:space="0" w:color="auto"/>
                                    <w:right w:val="none" w:sz="0" w:space="0" w:color="auto"/>
                                  </w:divBdr>
                                  <w:divsChild>
                                    <w:div w:id="1694695529">
                                      <w:marLeft w:val="0"/>
                                      <w:marRight w:val="0"/>
                                      <w:marTop w:val="0"/>
                                      <w:marBottom w:val="0"/>
                                      <w:divBdr>
                                        <w:top w:val="none" w:sz="0" w:space="0" w:color="auto"/>
                                        <w:left w:val="none" w:sz="0" w:space="0" w:color="auto"/>
                                        <w:bottom w:val="none" w:sz="0" w:space="0" w:color="auto"/>
                                        <w:right w:val="none" w:sz="0" w:space="0" w:color="auto"/>
                                      </w:divBdr>
                                      <w:divsChild>
                                        <w:div w:id="1724910435">
                                          <w:marLeft w:val="0"/>
                                          <w:marRight w:val="0"/>
                                          <w:marTop w:val="0"/>
                                          <w:marBottom w:val="0"/>
                                          <w:divBdr>
                                            <w:top w:val="none" w:sz="0" w:space="0" w:color="auto"/>
                                            <w:left w:val="none" w:sz="0" w:space="0" w:color="auto"/>
                                            <w:bottom w:val="none" w:sz="0" w:space="0" w:color="auto"/>
                                            <w:right w:val="none" w:sz="0" w:space="0" w:color="auto"/>
                                          </w:divBdr>
                                          <w:divsChild>
                                            <w:div w:id="697320582">
                                              <w:marLeft w:val="0"/>
                                              <w:marRight w:val="0"/>
                                              <w:marTop w:val="0"/>
                                              <w:marBottom w:val="0"/>
                                              <w:divBdr>
                                                <w:top w:val="none" w:sz="0" w:space="0" w:color="auto"/>
                                                <w:left w:val="none" w:sz="0" w:space="0" w:color="auto"/>
                                                <w:bottom w:val="none" w:sz="0" w:space="0" w:color="auto"/>
                                                <w:right w:val="none" w:sz="0" w:space="0" w:color="auto"/>
                                              </w:divBdr>
                                              <w:divsChild>
                                                <w:div w:id="92671011">
                                                  <w:marLeft w:val="0"/>
                                                  <w:marRight w:val="0"/>
                                                  <w:marTop w:val="0"/>
                                                  <w:marBottom w:val="0"/>
                                                  <w:divBdr>
                                                    <w:top w:val="none" w:sz="0" w:space="0" w:color="auto"/>
                                                    <w:left w:val="none" w:sz="0" w:space="0" w:color="auto"/>
                                                    <w:bottom w:val="none" w:sz="0" w:space="0" w:color="auto"/>
                                                    <w:right w:val="none" w:sz="0" w:space="0" w:color="auto"/>
                                                  </w:divBdr>
                                                  <w:divsChild>
                                                    <w:div w:id="638416801">
                                                      <w:marLeft w:val="0"/>
                                                      <w:marRight w:val="0"/>
                                                      <w:marTop w:val="0"/>
                                                      <w:marBottom w:val="0"/>
                                                      <w:divBdr>
                                                        <w:top w:val="none" w:sz="0" w:space="0" w:color="auto"/>
                                                        <w:left w:val="none" w:sz="0" w:space="0" w:color="auto"/>
                                                        <w:bottom w:val="none" w:sz="0" w:space="0" w:color="auto"/>
                                                        <w:right w:val="none" w:sz="0" w:space="0" w:color="auto"/>
                                                      </w:divBdr>
                                                      <w:divsChild>
                                                        <w:div w:id="1726677019">
                                                          <w:marLeft w:val="0"/>
                                                          <w:marRight w:val="0"/>
                                                          <w:marTop w:val="0"/>
                                                          <w:marBottom w:val="0"/>
                                                          <w:divBdr>
                                                            <w:top w:val="none" w:sz="0" w:space="0" w:color="auto"/>
                                                            <w:left w:val="none" w:sz="0" w:space="0" w:color="auto"/>
                                                            <w:bottom w:val="none" w:sz="0" w:space="0" w:color="auto"/>
                                                            <w:right w:val="none" w:sz="0" w:space="0" w:color="auto"/>
                                                          </w:divBdr>
                                                          <w:divsChild>
                                                            <w:div w:id="376859054">
                                                              <w:marLeft w:val="0"/>
                                                              <w:marRight w:val="0"/>
                                                              <w:marTop w:val="0"/>
                                                              <w:marBottom w:val="0"/>
                                                              <w:divBdr>
                                                                <w:top w:val="none" w:sz="0" w:space="0" w:color="auto"/>
                                                                <w:left w:val="none" w:sz="0" w:space="0" w:color="auto"/>
                                                                <w:bottom w:val="none" w:sz="0" w:space="0" w:color="auto"/>
                                                                <w:right w:val="none" w:sz="0" w:space="0" w:color="auto"/>
                                                              </w:divBdr>
                                                              <w:divsChild>
                                                                <w:div w:id="153500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00972639">
      <w:bodyDiv w:val="1"/>
      <w:marLeft w:val="0"/>
      <w:marRight w:val="0"/>
      <w:marTop w:val="0"/>
      <w:marBottom w:val="0"/>
      <w:divBdr>
        <w:top w:val="none" w:sz="0" w:space="0" w:color="auto"/>
        <w:left w:val="none" w:sz="0" w:space="0" w:color="auto"/>
        <w:bottom w:val="none" w:sz="0" w:space="0" w:color="auto"/>
        <w:right w:val="none" w:sz="0" w:space="0" w:color="auto"/>
      </w:divBdr>
    </w:div>
    <w:div w:id="1291547064">
      <w:bodyDiv w:val="1"/>
      <w:marLeft w:val="0"/>
      <w:marRight w:val="0"/>
      <w:marTop w:val="0"/>
      <w:marBottom w:val="0"/>
      <w:divBdr>
        <w:top w:val="none" w:sz="0" w:space="0" w:color="auto"/>
        <w:left w:val="none" w:sz="0" w:space="0" w:color="auto"/>
        <w:bottom w:val="none" w:sz="0" w:space="0" w:color="auto"/>
        <w:right w:val="none" w:sz="0" w:space="0" w:color="auto"/>
      </w:divBdr>
    </w:div>
    <w:div w:id="1306812698">
      <w:bodyDiv w:val="1"/>
      <w:marLeft w:val="0"/>
      <w:marRight w:val="0"/>
      <w:marTop w:val="0"/>
      <w:marBottom w:val="0"/>
      <w:divBdr>
        <w:top w:val="none" w:sz="0" w:space="0" w:color="auto"/>
        <w:left w:val="none" w:sz="0" w:space="0" w:color="auto"/>
        <w:bottom w:val="none" w:sz="0" w:space="0" w:color="auto"/>
        <w:right w:val="none" w:sz="0" w:space="0" w:color="auto"/>
      </w:divBdr>
    </w:div>
    <w:div w:id="1320036273">
      <w:bodyDiv w:val="1"/>
      <w:marLeft w:val="0"/>
      <w:marRight w:val="0"/>
      <w:marTop w:val="0"/>
      <w:marBottom w:val="0"/>
      <w:divBdr>
        <w:top w:val="none" w:sz="0" w:space="0" w:color="auto"/>
        <w:left w:val="none" w:sz="0" w:space="0" w:color="auto"/>
        <w:bottom w:val="none" w:sz="0" w:space="0" w:color="auto"/>
        <w:right w:val="none" w:sz="0" w:space="0" w:color="auto"/>
      </w:divBdr>
    </w:div>
    <w:div w:id="1333147001">
      <w:bodyDiv w:val="1"/>
      <w:marLeft w:val="0"/>
      <w:marRight w:val="0"/>
      <w:marTop w:val="0"/>
      <w:marBottom w:val="0"/>
      <w:divBdr>
        <w:top w:val="none" w:sz="0" w:space="0" w:color="auto"/>
        <w:left w:val="none" w:sz="0" w:space="0" w:color="auto"/>
        <w:bottom w:val="none" w:sz="0" w:space="0" w:color="auto"/>
        <w:right w:val="none" w:sz="0" w:space="0" w:color="auto"/>
      </w:divBdr>
      <w:divsChild>
        <w:div w:id="1724257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4331786">
      <w:bodyDiv w:val="1"/>
      <w:marLeft w:val="0"/>
      <w:marRight w:val="0"/>
      <w:marTop w:val="0"/>
      <w:marBottom w:val="0"/>
      <w:divBdr>
        <w:top w:val="none" w:sz="0" w:space="0" w:color="auto"/>
        <w:left w:val="none" w:sz="0" w:space="0" w:color="auto"/>
        <w:bottom w:val="none" w:sz="0" w:space="0" w:color="auto"/>
        <w:right w:val="none" w:sz="0" w:space="0" w:color="auto"/>
      </w:divBdr>
    </w:div>
    <w:div w:id="1449932043">
      <w:bodyDiv w:val="1"/>
      <w:marLeft w:val="0"/>
      <w:marRight w:val="0"/>
      <w:marTop w:val="0"/>
      <w:marBottom w:val="0"/>
      <w:divBdr>
        <w:top w:val="none" w:sz="0" w:space="0" w:color="auto"/>
        <w:left w:val="none" w:sz="0" w:space="0" w:color="auto"/>
        <w:bottom w:val="none" w:sz="0" w:space="0" w:color="auto"/>
        <w:right w:val="none" w:sz="0" w:space="0" w:color="auto"/>
      </w:divBdr>
    </w:div>
    <w:div w:id="1595628631">
      <w:bodyDiv w:val="1"/>
      <w:marLeft w:val="0"/>
      <w:marRight w:val="0"/>
      <w:marTop w:val="0"/>
      <w:marBottom w:val="0"/>
      <w:divBdr>
        <w:top w:val="none" w:sz="0" w:space="0" w:color="auto"/>
        <w:left w:val="none" w:sz="0" w:space="0" w:color="auto"/>
        <w:bottom w:val="none" w:sz="0" w:space="0" w:color="auto"/>
        <w:right w:val="none" w:sz="0" w:space="0" w:color="auto"/>
      </w:divBdr>
    </w:div>
    <w:div w:id="1645699180">
      <w:bodyDiv w:val="1"/>
      <w:marLeft w:val="0"/>
      <w:marRight w:val="0"/>
      <w:marTop w:val="0"/>
      <w:marBottom w:val="0"/>
      <w:divBdr>
        <w:top w:val="none" w:sz="0" w:space="0" w:color="auto"/>
        <w:left w:val="none" w:sz="0" w:space="0" w:color="auto"/>
        <w:bottom w:val="none" w:sz="0" w:space="0" w:color="auto"/>
        <w:right w:val="none" w:sz="0" w:space="0" w:color="auto"/>
      </w:divBdr>
    </w:div>
    <w:div w:id="1656840877">
      <w:bodyDiv w:val="1"/>
      <w:marLeft w:val="0"/>
      <w:marRight w:val="0"/>
      <w:marTop w:val="0"/>
      <w:marBottom w:val="0"/>
      <w:divBdr>
        <w:top w:val="none" w:sz="0" w:space="0" w:color="auto"/>
        <w:left w:val="none" w:sz="0" w:space="0" w:color="auto"/>
        <w:bottom w:val="none" w:sz="0" w:space="0" w:color="auto"/>
        <w:right w:val="none" w:sz="0" w:space="0" w:color="auto"/>
      </w:divBdr>
    </w:div>
    <w:div w:id="1905292287">
      <w:bodyDiv w:val="1"/>
      <w:marLeft w:val="0"/>
      <w:marRight w:val="0"/>
      <w:marTop w:val="0"/>
      <w:marBottom w:val="0"/>
      <w:divBdr>
        <w:top w:val="none" w:sz="0" w:space="0" w:color="auto"/>
        <w:left w:val="none" w:sz="0" w:space="0" w:color="auto"/>
        <w:bottom w:val="none" w:sz="0" w:space="0" w:color="auto"/>
        <w:right w:val="none" w:sz="0" w:space="0" w:color="auto"/>
      </w:divBdr>
    </w:div>
    <w:div w:id="2130002809">
      <w:bodyDiv w:val="1"/>
      <w:marLeft w:val="0"/>
      <w:marRight w:val="0"/>
      <w:marTop w:val="0"/>
      <w:marBottom w:val="0"/>
      <w:divBdr>
        <w:top w:val="none" w:sz="0" w:space="0" w:color="auto"/>
        <w:left w:val="none" w:sz="0" w:space="0" w:color="auto"/>
        <w:bottom w:val="none" w:sz="0" w:space="0" w:color="auto"/>
        <w:right w:val="none" w:sz="0" w:space="0" w:color="auto"/>
      </w:divBdr>
    </w:div>
    <w:div w:id="214592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anaw/2018/1/contents/enacted" TargetMode="External"/><Relationship Id="rId13" Type="http://schemas.openxmlformats.org/officeDocument/2006/relationships/hyperlink" Target="https://www.ted.com/talks/sir_ken_robinson_do_schools_kill_creativity" TargetMode="External"/><Relationship Id="rId18" Type="http://schemas.openxmlformats.org/officeDocument/2006/relationships/hyperlink" Target="https://www.ted.com/talks/sir_ken_robinson_do_schools_kill_creativity" TargetMode="External"/><Relationship Id="rId26" Type="http://schemas.openxmlformats.org/officeDocument/2006/relationships/hyperlink" Target="https://wiserd.ac.uk" TargetMode="External"/><Relationship Id="rId3" Type="http://schemas.openxmlformats.org/officeDocument/2006/relationships/styles" Target="styles.xml"/><Relationship Id="rId21" Type="http://schemas.openxmlformats.org/officeDocument/2006/relationships/hyperlink" Target="https://doi.org/10.1080/03004279.2011.615797" TargetMode="External"/><Relationship Id="rId7" Type="http://schemas.openxmlformats.org/officeDocument/2006/relationships/endnotes" Target="endnotes.xml"/><Relationship Id="rId12" Type="http://schemas.openxmlformats.org/officeDocument/2006/relationships/hyperlink" Target="https://gov.wales/curriculum-for-wales" TargetMode="External"/><Relationship Id="rId17" Type="http://schemas.openxmlformats.org/officeDocument/2006/relationships/hyperlink" Target="https://www.oecd.org/education" TargetMode="External"/><Relationship Id="rId25" Type="http://schemas.openxmlformats.org/officeDocument/2006/relationships/hyperlink" Target="https://gov.wales/foundation-phase-profile" TargetMode="External"/><Relationship Id="rId2" Type="http://schemas.openxmlformats.org/officeDocument/2006/relationships/numbering" Target="numbering.xml"/><Relationship Id="rId16" Type="http://schemas.openxmlformats.org/officeDocument/2006/relationships/hyperlink" Target="https://www.naht.org.uk" TargetMode="External"/><Relationship Id="rId20" Type="http://schemas.openxmlformats.org/officeDocument/2006/relationships/hyperlink" Target="https://www.walesonline.co.uk/news/educ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 TargetMode="External"/><Relationship Id="rId24" Type="http://schemas.openxmlformats.org/officeDocument/2006/relationships/hyperlink" Target="https://hwb.gov.wales/curriculum-for-wales" TargetMode="External"/><Relationship Id="rId5" Type="http://schemas.openxmlformats.org/officeDocument/2006/relationships/webSettings" Target="webSettings.xml"/><Relationship Id="rId15" Type="http://schemas.openxmlformats.org/officeDocument/2006/relationships/hyperlink" Target="https://doi.org/10.1080/09575146.2013.771152" TargetMode="External"/><Relationship Id="rId23" Type="http://schemas.openxmlformats.org/officeDocument/2006/relationships/hyperlink" Target="https://gov.wales/curriculum-for-wales" TargetMode="External"/><Relationship Id="rId28" Type="http://schemas.openxmlformats.org/officeDocument/2006/relationships/fontTable" Target="fontTable.xml"/><Relationship Id="rId10" Type="http://schemas.openxmlformats.org/officeDocument/2006/relationships/hyperlink" Target="https://gov.wales/docs/dcells/publications/150225-successful-futures-en.pdf" TargetMode="External"/><Relationship Id="rId19" Type="http://schemas.openxmlformats.org/officeDocument/2006/relationships/hyperlink" Target="https://wiserd.ac.uk" TargetMode="External"/><Relationship Id="rId4" Type="http://schemas.openxmlformats.org/officeDocument/2006/relationships/settings" Target="settings.xml"/><Relationship Id="rId9" Type="http://schemas.openxmlformats.org/officeDocument/2006/relationships/hyperlink" Target="https://www.gov.wales" TargetMode="External"/><Relationship Id="rId14" Type="http://schemas.openxmlformats.org/officeDocument/2006/relationships/hyperlink" Target="https://doi.org/10.1080/00071005.2019.1709272" TargetMode="External"/><Relationship Id="rId22" Type="http://schemas.openxmlformats.org/officeDocument/2006/relationships/hyperlink" Target="https://doi.org/10.1080/09575146.2016.1139547"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FB323-3F54-42A9-81F2-7663C8C1F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18</Pages>
  <Words>5784</Words>
  <Characters>32969</Characters>
  <Application>Microsoft Office Word</Application>
  <DocSecurity>0</DocSecurity>
  <Lines>274</Lines>
  <Paragraphs>77</Paragraphs>
  <ScaleCrop>false</ScaleCrop>
  <Company/>
  <LinksUpToDate>false</LinksUpToDate>
  <CharactersWithSpaces>38676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144</cp:revision>
  <dcterms:created xsi:type="dcterms:W3CDTF">2025-05-20T15:34:00Z</dcterms:created>
  <dcterms:modified xsi:type="dcterms:W3CDTF">2025-06-14T18:31:00Z</dcterms:modified>
</cp:coreProperties>
</file>