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74F36" w14:textId="77777777" w:rsidR="002414BB" w:rsidRPr="003A2EFA" w:rsidRDefault="002414BB">
      <w:pPr>
        <w:pStyle w:val="Body"/>
        <w:rPr>
          <w:rFonts w:ascii="Arial" w:hAnsi="Arial" w:cs="Arial"/>
        </w:rPr>
      </w:pPr>
    </w:p>
    <w:p w14:paraId="7126C8B8" w14:textId="77777777" w:rsidR="002414BB" w:rsidRPr="003A2EFA" w:rsidRDefault="002414BB">
      <w:pPr>
        <w:pStyle w:val="Body"/>
        <w:rPr>
          <w:rFonts w:ascii="Arial" w:hAnsi="Arial" w:cs="Arial"/>
        </w:rPr>
      </w:pPr>
    </w:p>
    <w:p w14:paraId="77EF2FA7" w14:textId="77777777" w:rsidR="002414BB" w:rsidRPr="003A2EFA" w:rsidRDefault="002414BB">
      <w:pPr>
        <w:pStyle w:val="Body"/>
        <w:rPr>
          <w:rFonts w:ascii="Arial" w:hAnsi="Arial" w:cs="Arial"/>
        </w:rPr>
      </w:pPr>
    </w:p>
    <w:p w14:paraId="2E0420C4" w14:textId="77777777" w:rsidR="002414BB" w:rsidRPr="003A2EFA" w:rsidRDefault="002414BB">
      <w:pPr>
        <w:pStyle w:val="Body"/>
        <w:rPr>
          <w:rFonts w:ascii="Arial" w:hAnsi="Arial" w:cs="Arial"/>
        </w:rPr>
      </w:pPr>
    </w:p>
    <w:p w14:paraId="6F69C5DC" w14:textId="391A64FE" w:rsidR="002414BB" w:rsidRPr="003A2EFA" w:rsidRDefault="00506A9F">
      <w:pPr>
        <w:pStyle w:val="Subtitle"/>
        <w:jc w:val="center"/>
        <w:rPr>
          <w:rFonts w:ascii="Arial" w:hAnsi="Arial" w:cs="Arial"/>
          <w:lang w:val="en-GB"/>
        </w:rPr>
      </w:pPr>
      <w:r w:rsidRPr="00506A9F">
        <w:rPr>
          <w:rFonts w:ascii="Arial" w:hAnsi="Arial" w:cs="Arial"/>
          <w:lang w:val="en-GB"/>
        </w:rPr>
        <w:t>Social Policy in Health and Social Care</w:t>
      </w:r>
    </w:p>
    <w:p w14:paraId="47D86DC6" w14:textId="77777777" w:rsidR="002414BB" w:rsidRPr="003A2EFA" w:rsidRDefault="002414BB">
      <w:pPr>
        <w:pStyle w:val="Body"/>
        <w:rPr>
          <w:rFonts w:ascii="Arial" w:hAnsi="Arial" w:cs="Arial"/>
        </w:rPr>
      </w:pPr>
    </w:p>
    <w:p w14:paraId="54F831A6" w14:textId="77777777" w:rsidR="002414BB" w:rsidRPr="003A2EFA" w:rsidRDefault="002414BB">
      <w:pPr>
        <w:pStyle w:val="Body"/>
        <w:rPr>
          <w:rFonts w:ascii="Arial" w:hAnsi="Arial" w:cs="Arial"/>
        </w:rPr>
      </w:pPr>
    </w:p>
    <w:p w14:paraId="50959CA6" w14:textId="77777777" w:rsidR="002414BB" w:rsidRPr="003A2EFA" w:rsidRDefault="002414BB">
      <w:pPr>
        <w:pStyle w:val="Body"/>
        <w:rPr>
          <w:rFonts w:ascii="Arial" w:hAnsi="Arial" w:cs="Arial"/>
        </w:rPr>
      </w:pPr>
    </w:p>
    <w:p w14:paraId="16A76300" w14:textId="77777777" w:rsidR="002414BB" w:rsidRPr="003A2EFA" w:rsidRDefault="002414BB">
      <w:pPr>
        <w:pStyle w:val="Body"/>
        <w:rPr>
          <w:rFonts w:ascii="Arial" w:hAnsi="Arial" w:cs="Arial"/>
        </w:rPr>
      </w:pPr>
    </w:p>
    <w:p w14:paraId="2E8DB08C" w14:textId="77777777" w:rsidR="002414BB" w:rsidRPr="003A2EFA" w:rsidRDefault="002414BB">
      <w:pPr>
        <w:pStyle w:val="Body"/>
        <w:rPr>
          <w:rFonts w:ascii="Arial" w:hAnsi="Arial" w:cs="Arial"/>
        </w:rPr>
      </w:pPr>
    </w:p>
    <w:p w14:paraId="0CBAB185" w14:textId="77777777" w:rsidR="002414BB" w:rsidRPr="003A2EFA" w:rsidRDefault="00A8694E">
      <w:pPr>
        <w:pStyle w:val="Heading3"/>
        <w:jc w:val="center"/>
        <w:rPr>
          <w:rFonts w:ascii="Arial" w:hAnsi="Arial" w:cs="Arial"/>
          <w:lang w:val="en-GB"/>
        </w:rPr>
      </w:pPr>
      <w:r w:rsidRPr="003A2EFA">
        <w:rPr>
          <w:rFonts w:ascii="Arial" w:hAnsi="Arial" w:cs="Arial"/>
          <w:lang w:val="en-GB"/>
        </w:rPr>
        <w:t>An investigation and evaluation of a post-war initiative in United Kingdom health and social care policy</w:t>
      </w:r>
    </w:p>
    <w:p w14:paraId="7138F9CE" w14:textId="77777777" w:rsidR="002414BB" w:rsidRPr="003A2EFA" w:rsidRDefault="002414BB">
      <w:pPr>
        <w:pStyle w:val="Body"/>
        <w:jc w:val="center"/>
        <w:rPr>
          <w:rFonts w:ascii="Arial" w:hAnsi="Arial" w:cs="Arial"/>
        </w:rPr>
      </w:pPr>
    </w:p>
    <w:p w14:paraId="31D44069" w14:textId="77777777" w:rsidR="002414BB" w:rsidRPr="003A2EFA" w:rsidRDefault="002414BB">
      <w:pPr>
        <w:pStyle w:val="Body"/>
        <w:rPr>
          <w:rFonts w:ascii="Arial" w:hAnsi="Arial" w:cs="Arial"/>
        </w:rPr>
      </w:pPr>
    </w:p>
    <w:p w14:paraId="36B7B744" w14:textId="77777777" w:rsidR="002414BB" w:rsidRPr="003A2EFA" w:rsidRDefault="002414BB">
      <w:pPr>
        <w:pStyle w:val="Body"/>
        <w:rPr>
          <w:rFonts w:ascii="Arial" w:hAnsi="Arial" w:cs="Arial"/>
        </w:rPr>
      </w:pPr>
    </w:p>
    <w:p w14:paraId="40FE6B3E" w14:textId="77777777"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This assignment will introduce the definition of social policy in the United Kingdom (UK), based on the way policy is made and implemented, also the main policies and their limitations. In order to prepare the writing of this assignment it will be examined and critically analysed to set out details about the chosen topics. This assignment gives attention to the issues about how the social policy system affects different people with particular regard to social division in respect of socio-economic status, gender and ethnic group relating to poverty. To understand the character of social policy in the UK today, firstly it is important to have a historical perspective on the relationship between social policy and political change. Secondly, the assignment examines the 'Poor Law' reformation and consequences of the effect of these forces and processes working on each of the social security, health care, education, housing, and other activities that were called the 'welfare state'. Thirdly, it focuses on concluding comments that suggests information listed in the findings of the chosen topic. After concluding, this assignment will provide recommendations that indicate a need for improvements related to the health and social care policy.</w:t>
      </w:r>
    </w:p>
    <w:p w14:paraId="7B65048F" w14:textId="77777777" w:rsidR="002414BB" w:rsidRPr="003A2EFA" w:rsidRDefault="002414BB" w:rsidP="003A2EFA">
      <w:pPr>
        <w:pStyle w:val="Body"/>
        <w:spacing w:line="360" w:lineRule="auto"/>
        <w:rPr>
          <w:rFonts w:ascii="Arial" w:hAnsi="Arial" w:cs="Arial"/>
          <w:sz w:val="24"/>
          <w:szCs w:val="24"/>
        </w:rPr>
      </w:pPr>
    </w:p>
    <w:p w14:paraId="6D6CD663" w14:textId="77777777" w:rsidR="002414BB" w:rsidRPr="003A2EFA" w:rsidRDefault="002414BB" w:rsidP="003A2EFA">
      <w:pPr>
        <w:pStyle w:val="Body"/>
        <w:spacing w:line="360" w:lineRule="auto"/>
        <w:rPr>
          <w:rFonts w:ascii="Arial" w:hAnsi="Arial" w:cs="Arial"/>
          <w:sz w:val="24"/>
          <w:szCs w:val="24"/>
        </w:rPr>
      </w:pPr>
    </w:p>
    <w:p w14:paraId="0369784C" w14:textId="77777777" w:rsidR="002414BB" w:rsidRPr="003A2EFA" w:rsidRDefault="002414BB" w:rsidP="003A2EFA">
      <w:pPr>
        <w:pStyle w:val="Body"/>
        <w:spacing w:line="360" w:lineRule="auto"/>
        <w:rPr>
          <w:rFonts w:ascii="Arial" w:hAnsi="Arial" w:cs="Arial"/>
          <w:sz w:val="24"/>
          <w:szCs w:val="24"/>
        </w:rPr>
      </w:pPr>
    </w:p>
    <w:p w14:paraId="0038B77B" w14:textId="77777777" w:rsidR="002414BB" w:rsidRPr="003A2EFA" w:rsidRDefault="002414BB" w:rsidP="003A2EFA">
      <w:pPr>
        <w:pStyle w:val="Body"/>
        <w:spacing w:line="360" w:lineRule="auto"/>
        <w:rPr>
          <w:rFonts w:ascii="Arial" w:hAnsi="Arial" w:cs="Arial"/>
          <w:sz w:val="24"/>
          <w:szCs w:val="24"/>
        </w:rPr>
      </w:pPr>
    </w:p>
    <w:p w14:paraId="1AE3A22F" w14:textId="77777777" w:rsidR="002414BB" w:rsidRPr="003A2EFA" w:rsidRDefault="002414BB" w:rsidP="003A2EFA">
      <w:pPr>
        <w:pStyle w:val="Body"/>
        <w:spacing w:line="360" w:lineRule="auto"/>
        <w:rPr>
          <w:rFonts w:ascii="Arial" w:hAnsi="Arial" w:cs="Arial"/>
          <w:sz w:val="24"/>
          <w:szCs w:val="24"/>
        </w:rPr>
      </w:pPr>
    </w:p>
    <w:p w14:paraId="3A889A1C" w14:textId="77777777" w:rsidR="00787A01" w:rsidRDefault="00787A01" w:rsidP="003A2EFA">
      <w:pPr>
        <w:pStyle w:val="Body"/>
        <w:spacing w:line="360" w:lineRule="auto"/>
        <w:rPr>
          <w:rFonts w:ascii="Arial" w:hAnsi="Arial" w:cs="Arial"/>
          <w:sz w:val="24"/>
          <w:szCs w:val="24"/>
        </w:rPr>
      </w:pPr>
    </w:p>
    <w:p w14:paraId="2AA68589" w14:textId="77777777" w:rsidR="00787A01" w:rsidRDefault="00787A01" w:rsidP="003A2EFA">
      <w:pPr>
        <w:pStyle w:val="Body"/>
        <w:spacing w:line="360" w:lineRule="auto"/>
        <w:rPr>
          <w:rFonts w:ascii="Arial" w:hAnsi="Arial" w:cs="Arial"/>
          <w:sz w:val="24"/>
          <w:szCs w:val="24"/>
        </w:rPr>
      </w:pPr>
    </w:p>
    <w:p w14:paraId="0E24AFB0" w14:textId="77777777" w:rsidR="00787A01" w:rsidRDefault="00787A01" w:rsidP="003A2EFA">
      <w:pPr>
        <w:pStyle w:val="Body"/>
        <w:spacing w:line="360" w:lineRule="auto"/>
        <w:rPr>
          <w:rFonts w:ascii="Arial" w:hAnsi="Arial" w:cs="Arial"/>
          <w:sz w:val="24"/>
          <w:szCs w:val="24"/>
        </w:rPr>
      </w:pPr>
    </w:p>
    <w:p w14:paraId="09C73827" w14:textId="77777777" w:rsidR="00787A01" w:rsidRDefault="00787A01" w:rsidP="003A2EFA">
      <w:pPr>
        <w:pStyle w:val="Body"/>
        <w:spacing w:line="360" w:lineRule="auto"/>
        <w:rPr>
          <w:rFonts w:ascii="Arial" w:hAnsi="Arial" w:cs="Arial"/>
          <w:sz w:val="24"/>
          <w:szCs w:val="24"/>
        </w:rPr>
      </w:pPr>
    </w:p>
    <w:p w14:paraId="3BB71D92" w14:textId="77777777" w:rsidR="00787A01" w:rsidRDefault="00787A01" w:rsidP="003A2EFA">
      <w:pPr>
        <w:pStyle w:val="Body"/>
        <w:spacing w:line="360" w:lineRule="auto"/>
        <w:rPr>
          <w:rFonts w:ascii="Arial" w:hAnsi="Arial" w:cs="Arial"/>
          <w:sz w:val="24"/>
          <w:szCs w:val="24"/>
        </w:rPr>
      </w:pPr>
    </w:p>
    <w:p w14:paraId="29D196E8" w14:textId="3AC1E691" w:rsidR="002414BB" w:rsidRPr="003A2EFA" w:rsidRDefault="00A8694E" w:rsidP="00787A01">
      <w:pPr>
        <w:pStyle w:val="Body"/>
        <w:spacing w:line="360" w:lineRule="auto"/>
        <w:ind w:firstLine="240"/>
        <w:rPr>
          <w:rFonts w:ascii="Arial" w:hAnsi="Arial" w:cs="Arial"/>
          <w:sz w:val="24"/>
          <w:szCs w:val="24"/>
        </w:rPr>
      </w:pPr>
      <w:r w:rsidRPr="003A2EFA">
        <w:rPr>
          <w:rFonts w:ascii="Arial" w:hAnsi="Arial" w:cs="Arial"/>
          <w:sz w:val="24"/>
          <w:szCs w:val="24"/>
        </w:rPr>
        <w:t>Social policy is defined as "actions aimed at promoting social well-being" (</w:t>
      </w:r>
      <w:proofErr w:type="spellStart"/>
      <w:r w:rsidRPr="003A2EFA">
        <w:rPr>
          <w:rFonts w:ascii="Arial" w:hAnsi="Arial" w:cs="Arial"/>
          <w:sz w:val="24"/>
          <w:szCs w:val="24"/>
        </w:rPr>
        <w:t>Alcock</w:t>
      </w:r>
      <w:proofErr w:type="spellEnd"/>
      <w:r w:rsidRPr="003A2EFA">
        <w:rPr>
          <w:rFonts w:ascii="Arial" w:hAnsi="Arial" w:cs="Arial"/>
          <w:sz w:val="24"/>
          <w:szCs w:val="24"/>
        </w:rPr>
        <w:t>, et al., 1998, p.7), otherwise the definition can be expressed as 'social policy is primarily used to define the role of the state in relation to the welfare of its citizens' (Hill, 2003, p.1). This way the usage of the word 'welfare' raises two key questions:</w:t>
      </w:r>
    </w:p>
    <w:p w14:paraId="6896FC20" w14:textId="77777777" w:rsidR="002414BB" w:rsidRPr="003A2EFA" w:rsidRDefault="00A8694E" w:rsidP="003A2EFA">
      <w:pPr>
        <w:pStyle w:val="Body"/>
        <w:numPr>
          <w:ilvl w:val="0"/>
          <w:numId w:val="2"/>
        </w:numPr>
        <w:spacing w:line="360" w:lineRule="auto"/>
        <w:rPr>
          <w:rFonts w:ascii="Arial" w:hAnsi="Arial" w:cs="Arial"/>
          <w:sz w:val="24"/>
          <w:szCs w:val="24"/>
        </w:rPr>
      </w:pPr>
      <w:r w:rsidRPr="003A2EFA">
        <w:rPr>
          <w:rFonts w:ascii="Arial" w:hAnsi="Arial" w:cs="Arial"/>
          <w:sz w:val="24"/>
          <w:szCs w:val="24"/>
        </w:rPr>
        <w:t xml:space="preserve">What is the role of the state in relation to welfare, since the welfare of citizens is affected by their own actions and by the actions of others? </w:t>
      </w:r>
    </w:p>
    <w:p w14:paraId="03533A29" w14:textId="77777777" w:rsidR="002414BB" w:rsidRPr="003A2EFA" w:rsidRDefault="00A8694E" w:rsidP="003A2EFA">
      <w:pPr>
        <w:pStyle w:val="Body"/>
        <w:numPr>
          <w:ilvl w:val="0"/>
          <w:numId w:val="2"/>
        </w:numPr>
        <w:spacing w:line="360" w:lineRule="auto"/>
        <w:rPr>
          <w:rFonts w:ascii="Arial" w:hAnsi="Arial" w:cs="Arial"/>
          <w:sz w:val="24"/>
          <w:szCs w:val="24"/>
        </w:rPr>
      </w:pPr>
      <w:r w:rsidRPr="003A2EFA">
        <w:rPr>
          <w:rFonts w:ascii="Arial" w:hAnsi="Arial" w:cs="Arial"/>
          <w:sz w:val="24"/>
          <w:szCs w:val="24"/>
        </w:rPr>
        <w:t>What are the types of actions which have an impact on welfare?</w:t>
      </w:r>
    </w:p>
    <w:p w14:paraId="2AEAE4E7" w14:textId="77777777" w:rsidR="002414BB" w:rsidRPr="003A2EFA" w:rsidRDefault="00A8694E" w:rsidP="003A2EFA">
      <w:pPr>
        <w:pStyle w:val="Body"/>
        <w:spacing w:line="360" w:lineRule="auto"/>
        <w:rPr>
          <w:rFonts w:ascii="Arial" w:hAnsi="Arial" w:cs="Arial"/>
          <w:sz w:val="24"/>
          <w:szCs w:val="24"/>
        </w:rPr>
      </w:pPr>
      <w:r w:rsidRPr="003A2EFA">
        <w:rPr>
          <w:rFonts w:ascii="Arial" w:hAnsi="Arial" w:cs="Arial"/>
          <w:sz w:val="24"/>
          <w:szCs w:val="24"/>
        </w:rPr>
        <w:t>Another aspect pursued is that social policy also examines how society responds to the needs of security, health and well-being, education and the way society meets the global challenges of social, demographic, economic, and of poverty, migration and globalisation (Platt, 2020).</w:t>
      </w:r>
    </w:p>
    <w:p w14:paraId="105C39A1" w14:textId="77777777" w:rsidR="002414BB" w:rsidRPr="003A2EFA" w:rsidRDefault="002414BB" w:rsidP="003A2EFA">
      <w:pPr>
        <w:pStyle w:val="Body"/>
        <w:spacing w:line="360" w:lineRule="auto"/>
        <w:rPr>
          <w:rFonts w:ascii="Arial" w:hAnsi="Arial" w:cs="Arial"/>
          <w:sz w:val="24"/>
          <w:szCs w:val="24"/>
        </w:rPr>
      </w:pPr>
    </w:p>
    <w:p w14:paraId="3D1B9973" w14:textId="77777777"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The UK social policy was influenced by the Poor Laws, first conceptualised in 1598 and continuing until 1948 (</w:t>
      </w:r>
      <w:proofErr w:type="spellStart"/>
      <w:r w:rsidRPr="003A2EFA">
        <w:rPr>
          <w:rFonts w:ascii="Arial" w:hAnsi="Arial" w:cs="Arial"/>
          <w:sz w:val="24"/>
          <w:szCs w:val="24"/>
        </w:rPr>
        <w:t>Spicker</w:t>
      </w:r>
      <w:proofErr w:type="spellEnd"/>
      <w:r w:rsidRPr="003A2EFA">
        <w:rPr>
          <w:rFonts w:ascii="Arial" w:hAnsi="Arial" w:cs="Arial"/>
          <w:sz w:val="24"/>
          <w:szCs w:val="24"/>
        </w:rPr>
        <w:t>, 2020). The changes of the industrial revolution caused increasing poor rates and the Poor Law Commission of 1834 emphasised two principles as 'less eligibility' and the 'workhouse test'. The growth of states involvement with the social welfare of its citizens can be related to the development of an industrial society, or described as 'post-industrialism'. The development of the industry involved citizens more in the activities of the state, these are changes to the social life, family life, changing views of the responsibilities of the individual and the state of remedies to social problems. For example, 'the insurance principle' in social security, adopted in many ways by a variety of governments who clearly attended to learn from each other's experiences (</w:t>
      </w:r>
      <w:proofErr w:type="spellStart"/>
      <w:r w:rsidRPr="003A2EFA">
        <w:rPr>
          <w:rFonts w:ascii="Arial" w:hAnsi="Arial" w:cs="Arial"/>
          <w:sz w:val="24"/>
          <w:szCs w:val="24"/>
        </w:rPr>
        <w:t>Heclo</w:t>
      </w:r>
      <w:proofErr w:type="spellEnd"/>
      <w:r w:rsidRPr="003A2EFA">
        <w:rPr>
          <w:rFonts w:ascii="Arial" w:hAnsi="Arial" w:cs="Arial"/>
          <w:sz w:val="24"/>
          <w:szCs w:val="24"/>
        </w:rPr>
        <w:t xml:space="preserve">, 1974; Baldwin, 1990). </w:t>
      </w:r>
    </w:p>
    <w:p w14:paraId="6C5D71C0" w14:textId="77777777" w:rsidR="002414BB" w:rsidRPr="003A2EFA" w:rsidRDefault="002414BB" w:rsidP="003A2EFA">
      <w:pPr>
        <w:pStyle w:val="Body"/>
        <w:spacing w:line="360" w:lineRule="auto"/>
        <w:rPr>
          <w:rFonts w:ascii="Arial" w:hAnsi="Arial" w:cs="Arial"/>
          <w:sz w:val="24"/>
          <w:szCs w:val="24"/>
        </w:rPr>
      </w:pPr>
    </w:p>
    <w:p w14:paraId="0800D172" w14:textId="77777777" w:rsidR="009E030F"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 xml:space="preserve">Between the sixteenth and twentieth centuries, the UK became industrialised and urbanised, and consideration of the Poor Law, with its roots in Elizabethan legislation of 1601, was one of the attempts to make this work. For example, the trade recensions and outbreaks of </w:t>
      </w:r>
      <w:r w:rsidR="003A2EFA" w:rsidRPr="003A2EFA">
        <w:rPr>
          <w:rFonts w:ascii="Arial" w:hAnsi="Arial" w:cs="Arial"/>
          <w:sz w:val="24"/>
          <w:szCs w:val="24"/>
        </w:rPr>
        <w:t>infectious</w:t>
      </w:r>
      <w:r w:rsidRPr="003A2EFA">
        <w:rPr>
          <w:rFonts w:ascii="Arial" w:hAnsi="Arial" w:cs="Arial"/>
          <w:sz w:val="24"/>
          <w:szCs w:val="24"/>
        </w:rPr>
        <w:t xml:space="preserve"> diseases, affecting large numbers of people in the new towns and cities, made attempts to modernise the Poor Law and became the Poor Law Amendment Act of 1843. The aims of these were to develop a policy where the 'workhouse test' is 'less eligible'. The system was intended to ensure that those who received help were worse off or 'less eligible' than the poorest people in work. As </w:t>
      </w:r>
      <w:proofErr w:type="spellStart"/>
      <w:r w:rsidRPr="003A2EFA">
        <w:rPr>
          <w:rFonts w:ascii="Arial" w:hAnsi="Arial" w:cs="Arial"/>
          <w:sz w:val="24"/>
          <w:szCs w:val="24"/>
        </w:rPr>
        <w:t>Piachaud</w:t>
      </w:r>
      <w:proofErr w:type="spellEnd"/>
      <w:r w:rsidRPr="003A2EFA">
        <w:rPr>
          <w:rFonts w:ascii="Arial" w:hAnsi="Arial" w:cs="Arial"/>
          <w:sz w:val="24"/>
          <w:szCs w:val="24"/>
        </w:rPr>
        <w:t xml:space="preserve"> (1981) argues, the definition of poverty is a moral question, and it may refer to material conditions or low standards of living, economic position or low income and social position or lack of entitlement.</w:t>
      </w:r>
    </w:p>
    <w:p w14:paraId="0C839688" w14:textId="357EAB01" w:rsidR="002414BB" w:rsidRPr="003A2EFA" w:rsidRDefault="00A8694E" w:rsidP="003A2EFA">
      <w:pPr>
        <w:pStyle w:val="Body"/>
        <w:spacing w:line="360" w:lineRule="auto"/>
        <w:rPr>
          <w:rFonts w:ascii="Arial" w:hAnsi="Arial" w:cs="Arial"/>
          <w:sz w:val="24"/>
          <w:szCs w:val="24"/>
        </w:rPr>
      </w:pPr>
      <w:r w:rsidRPr="003A2EFA">
        <w:rPr>
          <w:rFonts w:ascii="Arial" w:hAnsi="Arial" w:cs="Arial"/>
          <w:sz w:val="24"/>
          <w:szCs w:val="24"/>
        </w:rPr>
        <w:lastRenderedPageBreak/>
        <w:t xml:space="preserve">The Poor Law was ceased by the National Assistance Act in 1948 and in turn was the Beverage Report in 1942, which suggests reforms for a complex collection of income maintenance schemes such as 'national health service', 'full employment' and a system of 'children's or family allowances'. By introducing these three assumptions it become a project which created the Keynesian - </w:t>
      </w:r>
      <w:proofErr w:type="spellStart"/>
      <w:r w:rsidRPr="003A2EFA">
        <w:rPr>
          <w:rFonts w:ascii="Arial" w:hAnsi="Arial" w:cs="Arial"/>
          <w:sz w:val="24"/>
          <w:szCs w:val="24"/>
        </w:rPr>
        <w:t>Beveridgean</w:t>
      </w:r>
      <w:proofErr w:type="spellEnd"/>
      <w:r w:rsidRPr="003A2EFA">
        <w:rPr>
          <w:rFonts w:ascii="Arial" w:hAnsi="Arial" w:cs="Arial"/>
          <w:sz w:val="24"/>
          <w:szCs w:val="24"/>
        </w:rPr>
        <w:t xml:space="preserve"> Welfare State (</w:t>
      </w:r>
      <w:proofErr w:type="spellStart"/>
      <w:r w:rsidRPr="003A2EFA">
        <w:rPr>
          <w:rFonts w:ascii="Arial" w:hAnsi="Arial" w:cs="Arial"/>
          <w:sz w:val="24"/>
          <w:szCs w:val="24"/>
        </w:rPr>
        <w:t>Lavalette</w:t>
      </w:r>
      <w:proofErr w:type="spellEnd"/>
      <w:r w:rsidRPr="003A2EFA">
        <w:rPr>
          <w:rFonts w:ascii="Arial" w:hAnsi="Arial" w:cs="Arial"/>
          <w:sz w:val="24"/>
          <w:szCs w:val="24"/>
        </w:rPr>
        <w:t xml:space="preserve"> and Pratt, 1997). Social policy from this perspective can be seen as a political project (</w:t>
      </w:r>
      <w:proofErr w:type="spellStart"/>
      <w:r w:rsidRPr="003A2EFA">
        <w:rPr>
          <w:rFonts w:ascii="Arial" w:hAnsi="Arial" w:cs="Arial"/>
          <w:sz w:val="24"/>
          <w:szCs w:val="24"/>
        </w:rPr>
        <w:t>Ringen</w:t>
      </w:r>
      <w:proofErr w:type="spellEnd"/>
      <w:r w:rsidRPr="003A2EFA">
        <w:rPr>
          <w:rFonts w:ascii="Arial" w:hAnsi="Arial" w:cs="Arial"/>
          <w:sz w:val="24"/>
          <w:szCs w:val="24"/>
        </w:rPr>
        <w:t xml:space="preserve">, 1986) as in 1945 when the Labour Government was elected, three key acts were introduced: </w:t>
      </w:r>
      <w:r w:rsidR="009E030F" w:rsidRPr="003A2EFA">
        <w:rPr>
          <w:rFonts w:ascii="Arial" w:hAnsi="Arial" w:cs="Arial"/>
          <w:sz w:val="24"/>
          <w:szCs w:val="24"/>
        </w:rPr>
        <w:t>The</w:t>
      </w:r>
      <w:r w:rsidRPr="003A2EFA">
        <w:rPr>
          <w:rFonts w:ascii="Arial" w:hAnsi="Arial" w:cs="Arial"/>
          <w:sz w:val="24"/>
          <w:szCs w:val="24"/>
        </w:rPr>
        <w:t xml:space="preserve"> National Insurance Act 1946, the National Health Service Act 1946 and the National Assistance Act 1948. The analyses of the social reform, which occurred around the end of the Second World War, reaches the results that by organising a complex system the aim would be to protect citizens from the risk of poverty for providing a health service free at the point of use, for organising improved education provision with secondary education for all, and improvements in housing provision. As </w:t>
      </w:r>
      <w:proofErr w:type="spellStart"/>
      <w:r w:rsidRPr="003A2EFA">
        <w:rPr>
          <w:rFonts w:ascii="Arial" w:hAnsi="Arial" w:cs="Arial"/>
          <w:sz w:val="24"/>
          <w:szCs w:val="24"/>
        </w:rPr>
        <w:t>Lavalette</w:t>
      </w:r>
      <w:proofErr w:type="spellEnd"/>
      <w:r w:rsidRPr="003A2EFA">
        <w:rPr>
          <w:rFonts w:ascii="Arial" w:hAnsi="Arial" w:cs="Arial"/>
          <w:sz w:val="24"/>
          <w:szCs w:val="24"/>
        </w:rPr>
        <w:t xml:space="preserve"> and Pratt (1997) specifies, Keynes and Beveridge are the central theoreticians of modern social democracy and the story continues to the present.</w:t>
      </w:r>
    </w:p>
    <w:p w14:paraId="2F32A517" w14:textId="77777777" w:rsidR="002414BB" w:rsidRPr="003A2EFA" w:rsidRDefault="002414BB" w:rsidP="003A2EFA">
      <w:pPr>
        <w:pStyle w:val="Body"/>
        <w:spacing w:line="360" w:lineRule="auto"/>
        <w:rPr>
          <w:rFonts w:ascii="Arial" w:hAnsi="Arial" w:cs="Arial"/>
          <w:sz w:val="24"/>
          <w:szCs w:val="24"/>
        </w:rPr>
      </w:pPr>
    </w:p>
    <w:p w14:paraId="44F43A59" w14:textId="195F4A88"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 xml:space="preserve">To examine the development in the early 1960s, a number of studies reveals that the 'welfare state' had abolished poverty by helping to stimulate a retrospect of social security (Cole and </w:t>
      </w:r>
      <w:proofErr w:type="spellStart"/>
      <w:r w:rsidRPr="003A2EFA">
        <w:rPr>
          <w:rFonts w:ascii="Arial" w:hAnsi="Arial" w:cs="Arial"/>
          <w:sz w:val="24"/>
          <w:szCs w:val="24"/>
        </w:rPr>
        <w:t>Utting</w:t>
      </w:r>
      <w:proofErr w:type="spellEnd"/>
      <w:r w:rsidRPr="003A2EFA">
        <w:rPr>
          <w:rFonts w:ascii="Arial" w:hAnsi="Arial" w:cs="Arial"/>
          <w:sz w:val="24"/>
          <w:szCs w:val="24"/>
        </w:rPr>
        <w:t xml:space="preserve">, 1962; Lynes, 1962; Abel-Smith and Townsend, 1965), and therefore Labour government of 1964-1970 made a substantial number of changes to social security such as raising people's incomes and increasing in benefits rates. Related to these increases carried out in social </w:t>
      </w:r>
      <w:r w:rsidR="003A2EFA" w:rsidRPr="003A2EFA">
        <w:rPr>
          <w:rFonts w:ascii="Arial" w:hAnsi="Arial" w:cs="Arial"/>
          <w:sz w:val="24"/>
          <w:szCs w:val="24"/>
        </w:rPr>
        <w:t>security made</w:t>
      </w:r>
      <w:r w:rsidRPr="003A2EFA">
        <w:rPr>
          <w:rFonts w:ascii="Arial" w:hAnsi="Arial" w:cs="Arial"/>
          <w:sz w:val="24"/>
          <w:szCs w:val="24"/>
        </w:rPr>
        <w:t xml:space="preserve"> the principle of "less eligible" appear under threat. One in particular focuses the attention of the Child Poverty Action Group that puts pressure on the government to deal with this problem by increasing family allowance. The Conservatives in the 1970s implemented an income tax called 'tax credit' and 'family income supplement, but in 1974 when Labour returned to power the Government decided to develop a new family allowance scheme called 'child benefit' (McCarthy, 1986).</w:t>
      </w:r>
    </w:p>
    <w:p w14:paraId="686F3DC0" w14:textId="77777777" w:rsidR="002414BB" w:rsidRPr="003A2EFA" w:rsidRDefault="002414BB" w:rsidP="003A2EFA">
      <w:pPr>
        <w:pStyle w:val="Body"/>
        <w:spacing w:line="360" w:lineRule="auto"/>
        <w:rPr>
          <w:rFonts w:ascii="Arial" w:hAnsi="Arial" w:cs="Arial"/>
          <w:sz w:val="24"/>
          <w:szCs w:val="24"/>
        </w:rPr>
      </w:pPr>
    </w:p>
    <w:p w14:paraId="0EA0CB4A" w14:textId="60ABA25B"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 xml:space="preserve">Having considered a few aspects in social policy changes, the assignment moves to observe the health policy aspects in the 1950s under UK governments. The concern that brought to the government's attention was that the costs for the health service were difficult to control, so that the Mental Health Act of 1959 abolished the 'old certification' procedure and adapted the compulsory admission and retention of the mentality ill in hospital (Ham, 2009). Developments in medicine began in the nineteenth century, when the approach for the care of the sick was considered to be cheap or free for the poor. This </w:t>
      </w:r>
      <w:r w:rsidRPr="003A2EFA">
        <w:rPr>
          <w:rFonts w:ascii="Arial" w:hAnsi="Arial" w:cs="Arial"/>
          <w:sz w:val="24"/>
          <w:szCs w:val="24"/>
        </w:rPr>
        <w:lastRenderedPageBreak/>
        <w:t>was partly a Poor Law development and the complex of mixture attempts to rationalise the health service which influenced the shape of the National Health Service (NHS). By creating the NHS another innovation in social policy was formed, and by this change it made GPs and hospitals to deliver free services for everyone at the point of use. This structure was achieved by Aneurin Bevan after a heavy negotiation between the minister and doctors (</w:t>
      </w:r>
      <w:proofErr w:type="spellStart"/>
      <w:r w:rsidRPr="003A2EFA">
        <w:rPr>
          <w:rFonts w:ascii="Arial" w:hAnsi="Arial" w:cs="Arial"/>
          <w:sz w:val="24"/>
          <w:szCs w:val="24"/>
        </w:rPr>
        <w:t>Eckstain</w:t>
      </w:r>
      <w:proofErr w:type="spellEnd"/>
      <w:r w:rsidRPr="003A2EFA">
        <w:rPr>
          <w:rFonts w:ascii="Arial" w:hAnsi="Arial" w:cs="Arial"/>
          <w:sz w:val="24"/>
          <w:szCs w:val="24"/>
        </w:rPr>
        <w:t xml:space="preserve">, 1960; Pater, 1981). Various changes marked the organisation of the NHS leading to the end the of Poor Law advancing on </w:t>
      </w:r>
      <w:r w:rsidR="003A2EFA" w:rsidRPr="003A2EFA">
        <w:rPr>
          <w:rFonts w:ascii="Arial" w:hAnsi="Arial" w:cs="Arial"/>
          <w:sz w:val="24"/>
          <w:szCs w:val="24"/>
        </w:rPr>
        <w:t>another</w:t>
      </w:r>
      <w:r w:rsidRPr="003A2EFA">
        <w:rPr>
          <w:rFonts w:ascii="Arial" w:hAnsi="Arial" w:cs="Arial"/>
          <w:sz w:val="24"/>
          <w:szCs w:val="24"/>
        </w:rPr>
        <w:t xml:space="preserve"> road. The Local Government Act 1929 transferred the control of workhouse and infirmaries to local authorities being responsible for a wide range of hospitals. The movement led the White Paper to propose for a national health service in 1944, the National Health Service Act in 1946, and the establishment of the Service itself in 1948 (Webster, 1988).</w:t>
      </w:r>
    </w:p>
    <w:p w14:paraId="23B96A80" w14:textId="77777777" w:rsidR="002414BB" w:rsidRPr="003A2EFA" w:rsidRDefault="002414BB" w:rsidP="003A2EFA">
      <w:pPr>
        <w:pStyle w:val="Body"/>
        <w:spacing w:line="360" w:lineRule="auto"/>
        <w:rPr>
          <w:rFonts w:ascii="Arial" w:hAnsi="Arial" w:cs="Arial"/>
          <w:sz w:val="24"/>
          <w:szCs w:val="24"/>
        </w:rPr>
      </w:pPr>
    </w:p>
    <w:p w14:paraId="1B3765DA" w14:textId="77777777"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The Industrial Revolution period led to an increased urbanisation society and implicitly the need to improve the skills of the workforce by maintaining competitiveness, the concern of the illiteracy grow, at the same time some reforms required local authorities to employ professional staff, these changes influenced the educational evolution of the state. The Elementary Education Act 1870 known as Forster's Education Act moved the provision of primary education creating school boards. In the 1880s, the Education Act made schooling compulsory for children between the age of five to ten, and in the 1890s most elementary schools were free. Under the Elementary Education Act 1893 the education was extended to the age of eleven, and by 1899 the living age was increased again to thirteen (Politics, 2020). In the period of 1951-1964 there has been a number of innovations regarding educational policy with structure implication constituted by the Butler Act of 1944, this Act created the secondary education system. The need for new schools and teachers created a variety of educational issues and the rapidly expanding of higher education in the 1960s has increased the school leaving age to sixteen in 1972 (Hill, 2003, p.34).</w:t>
      </w:r>
    </w:p>
    <w:p w14:paraId="374B1C43" w14:textId="77777777" w:rsidR="002414BB" w:rsidRPr="003A2EFA" w:rsidRDefault="002414BB" w:rsidP="003A2EFA">
      <w:pPr>
        <w:pStyle w:val="Body"/>
        <w:spacing w:line="360" w:lineRule="auto"/>
        <w:rPr>
          <w:rFonts w:ascii="Arial" w:hAnsi="Arial" w:cs="Arial"/>
          <w:sz w:val="24"/>
          <w:szCs w:val="24"/>
        </w:rPr>
      </w:pPr>
    </w:p>
    <w:p w14:paraId="5787F56E" w14:textId="77777777"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 xml:space="preserve">The Poor Law was as essential to industrial prosperity of UK as its factories, mills, coal-mines and ports (Pinker, 1971, p. 66), a period for house building both in the private and public sectors which made politicians of the 1960s concerned. As research shows the cost for looking after the poor before 1834 grew every year. This cost was paid through their local taxes retrieved from the middle and upper class, and this system made tax payers think that the poor became lazy and avoided work. A new Poor Law was introduced and the changes imposed by the new system were to consider in reducing the cost of </w:t>
      </w:r>
      <w:r w:rsidRPr="003A2EFA">
        <w:rPr>
          <w:rFonts w:ascii="Arial" w:hAnsi="Arial" w:cs="Arial"/>
          <w:sz w:val="24"/>
          <w:szCs w:val="24"/>
        </w:rPr>
        <w:lastRenderedPageBreak/>
        <w:t>looking after the poor (The National Archives, 2020). Not long after the new Poor Law was introduced, the government appointed an investigation to be made and recommended to introduce an improvement (Living Heritage, 2020). The responsibility for the poor under the Act of Settlement, should be returned to their parishes of origins, if the poor were not sufficiently desperate to enter to workhouse. The Poor Law Amendment Act came in 1834 with the aim of discouraging people from applying for relief (</w:t>
      </w:r>
      <w:proofErr w:type="spellStart"/>
      <w:r w:rsidRPr="003A2EFA">
        <w:rPr>
          <w:rFonts w:ascii="Arial" w:hAnsi="Arial" w:cs="Arial"/>
          <w:sz w:val="24"/>
          <w:szCs w:val="24"/>
        </w:rPr>
        <w:t>Bloy</w:t>
      </w:r>
      <w:proofErr w:type="spellEnd"/>
      <w:r w:rsidRPr="003A2EFA">
        <w:rPr>
          <w:rFonts w:ascii="Arial" w:hAnsi="Arial" w:cs="Arial"/>
          <w:sz w:val="24"/>
          <w:szCs w:val="24"/>
        </w:rPr>
        <w:t>, 2016). By the 19th-century society was still poor, mostly among the working classes were to become poor at some point due to the unemployment situation, sickness or old age, and this situation at that point was to be considered right because it will encourage the poor to work.</w:t>
      </w:r>
    </w:p>
    <w:p w14:paraId="15DF548E" w14:textId="77777777" w:rsidR="002414BB" w:rsidRPr="003A2EFA" w:rsidRDefault="002414BB" w:rsidP="003A2EFA">
      <w:pPr>
        <w:pStyle w:val="Body"/>
        <w:spacing w:line="360" w:lineRule="auto"/>
        <w:rPr>
          <w:rFonts w:ascii="Arial" w:hAnsi="Arial" w:cs="Arial"/>
          <w:sz w:val="24"/>
          <w:szCs w:val="24"/>
        </w:rPr>
      </w:pPr>
    </w:p>
    <w:p w14:paraId="33BB8C06" w14:textId="77777777"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The implementation of social policy came into action when help was necessary for the population to survive. From this concept an organised plan was to be developed attempting to help citizens, in case of war because it is the society's duty to help the victims, to provide pensions for disabled soldiers and for orphans. Social welfare is considered to have begun formally with the Elizabethan Poor Laws of 1601 with the responsibility for dependent people as a whole. Through the evolution of history these laws have had many changes such as distinguishing between deserving and undeserving poor, reforms in housing, employment, education and other basic areas. Social welfare programs presume government involvement at the national, local and international levels (</w:t>
      </w:r>
      <w:proofErr w:type="spellStart"/>
      <w:r w:rsidRPr="003A2EFA">
        <w:rPr>
          <w:rFonts w:ascii="Arial" w:hAnsi="Arial" w:cs="Arial"/>
          <w:sz w:val="24"/>
          <w:szCs w:val="24"/>
        </w:rPr>
        <w:t>Macarov</w:t>
      </w:r>
      <w:proofErr w:type="spellEnd"/>
      <w:r w:rsidRPr="003A2EFA">
        <w:rPr>
          <w:rFonts w:ascii="Arial" w:hAnsi="Arial" w:cs="Arial"/>
          <w:sz w:val="24"/>
          <w:szCs w:val="24"/>
        </w:rPr>
        <w:t>, 1995).</w:t>
      </w:r>
    </w:p>
    <w:p w14:paraId="035FAF86" w14:textId="51C6F2EE" w:rsidR="002414BB" w:rsidRDefault="002414BB" w:rsidP="003A2EFA">
      <w:pPr>
        <w:pStyle w:val="Body"/>
        <w:spacing w:line="360" w:lineRule="auto"/>
        <w:rPr>
          <w:rFonts w:ascii="Arial" w:hAnsi="Arial" w:cs="Arial"/>
          <w:sz w:val="24"/>
          <w:szCs w:val="24"/>
        </w:rPr>
      </w:pPr>
    </w:p>
    <w:p w14:paraId="586272CB" w14:textId="53DAC9E2" w:rsidR="00E77A55" w:rsidRDefault="00E77A55" w:rsidP="003A2EFA">
      <w:pPr>
        <w:pStyle w:val="Body"/>
        <w:spacing w:line="360" w:lineRule="auto"/>
        <w:rPr>
          <w:rFonts w:ascii="Arial" w:hAnsi="Arial" w:cs="Arial"/>
          <w:sz w:val="24"/>
          <w:szCs w:val="24"/>
        </w:rPr>
      </w:pPr>
    </w:p>
    <w:p w14:paraId="0B7FD1C6" w14:textId="419F5745" w:rsidR="00E77A55" w:rsidRDefault="00E77A55" w:rsidP="003A2EFA">
      <w:pPr>
        <w:pStyle w:val="Body"/>
        <w:spacing w:line="360" w:lineRule="auto"/>
        <w:rPr>
          <w:rFonts w:ascii="Arial" w:hAnsi="Arial" w:cs="Arial"/>
          <w:sz w:val="24"/>
          <w:szCs w:val="24"/>
        </w:rPr>
      </w:pPr>
    </w:p>
    <w:p w14:paraId="49EC6708" w14:textId="77777777" w:rsidR="00E77A55" w:rsidRPr="003A2EFA" w:rsidRDefault="00E77A55" w:rsidP="003A2EFA">
      <w:pPr>
        <w:pStyle w:val="Body"/>
        <w:spacing w:line="360" w:lineRule="auto"/>
        <w:rPr>
          <w:rFonts w:ascii="Arial" w:hAnsi="Arial" w:cs="Arial"/>
          <w:sz w:val="24"/>
          <w:szCs w:val="24"/>
        </w:rPr>
      </w:pPr>
    </w:p>
    <w:p w14:paraId="08DD69FF" w14:textId="5066CACB" w:rsidR="002414BB" w:rsidRPr="003A2EFA" w:rsidRDefault="00A8694E" w:rsidP="00787A01">
      <w:pPr>
        <w:pStyle w:val="Body"/>
        <w:spacing w:line="360" w:lineRule="auto"/>
        <w:ind w:firstLine="720"/>
        <w:rPr>
          <w:rFonts w:ascii="Arial" w:hAnsi="Arial" w:cs="Arial"/>
          <w:sz w:val="24"/>
          <w:szCs w:val="24"/>
        </w:rPr>
      </w:pPr>
      <w:r w:rsidRPr="003A2EFA">
        <w:rPr>
          <w:rFonts w:ascii="Arial" w:hAnsi="Arial" w:cs="Arial"/>
          <w:sz w:val="24"/>
          <w:szCs w:val="24"/>
        </w:rPr>
        <w:t xml:space="preserve">In conclusion this assignment sets out to investigate and analyse the issues about how the social policies system </w:t>
      </w:r>
      <w:r w:rsidR="003A2EFA" w:rsidRPr="003A2EFA">
        <w:rPr>
          <w:rFonts w:ascii="Arial" w:hAnsi="Arial" w:cs="Arial"/>
          <w:sz w:val="24"/>
          <w:szCs w:val="24"/>
        </w:rPr>
        <w:t>affects</w:t>
      </w:r>
      <w:r w:rsidRPr="003A2EFA">
        <w:rPr>
          <w:rFonts w:ascii="Arial" w:hAnsi="Arial" w:cs="Arial"/>
          <w:sz w:val="24"/>
          <w:szCs w:val="24"/>
        </w:rPr>
        <w:t xml:space="preserve"> people regarding post-war poverty. The assignment institutes by providing a definition on social policy and focusing on historical background to acknowledge the influence of the Poor Law with its origin in Elizabethan legislation of 1601. Considerable attention is handed out to the impact of the Poor Law as it had heavy influence on the lives of many UK citizens to have a more equal society between the poor and the rich. Conservative and Labour Governments have influenced and changed the Act but have not been able to fully transform it. The attention that has been given to the social and </w:t>
      </w:r>
      <w:r w:rsidR="003A2EFA" w:rsidRPr="003A2EFA">
        <w:rPr>
          <w:rFonts w:ascii="Arial" w:hAnsi="Arial" w:cs="Arial"/>
          <w:sz w:val="24"/>
          <w:szCs w:val="24"/>
        </w:rPr>
        <w:t>economic</w:t>
      </w:r>
      <w:r w:rsidRPr="003A2EFA">
        <w:rPr>
          <w:rFonts w:ascii="Arial" w:hAnsi="Arial" w:cs="Arial"/>
          <w:sz w:val="24"/>
          <w:szCs w:val="24"/>
        </w:rPr>
        <w:t xml:space="preserve"> condition created the need for social policies, for example the government provision of housing was seen as a response to the inadequacies of the market as a provider of houses.</w:t>
      </w:r>
    </w:p>
    <w:p w14:paraId="31380599" w14:textId="77777777" w:rsidR="002414BB" w:rsidRPr="003A2EFA" w:rsidRDefault="002414BB" w:rsidP="003A2EFA">
      <w:pPr>
        <w:pStyle w:val="Body"/>
        <w:spacing w:line="360" w:lineRule="auto"/>
        <w:rPr>
          <w:rFonts w:ascii="Arial" w:hAnsi="Arial" w:cs="Arial"/>
          <w:sz w:val="24"/>
          <w:szCs w:val="24"/>
        </w:rPr>
      </w:pPr>
    </w:p>
    <w:p w14:paraId="4D3B8DA2" w14:textId="34B01ED0" w:rsidR="002414BB" w:rsidRDefault="00A8694E" w:rsidP="003A2EFA">
      <w:pPr>
        <w:pStyle w:val="Body"/>
        <w:spacing w:line="360" w:lineRule="auto"/>
        <w:rPr>
          <w:rFonts w:ascii="Arial" w:hAnsi="Arial" w:cs="Arial"/>
          <w:sz w:val="24"/>
          <w:szCs w:val="24"/>
        </w:rPr>
      </w:pPr>
      <w:r w:rsidRPr="003A2EFA">
        <w:rPr>
          <w:rFonts w:ascii="Arial" w:hAnsi="Arial" w:cs="Arial"/>
          <w:sz w:val="24"/>
          <w:szCs w:val="24"/>
        </w:rPr>
        <w:t>With this conclusion being put into consideration, this report will be fulfilled with recommendations for UK social policies relating to poverty</w:t>
      </w:r>
      <w:r w:rsidR="00E77A55">
        <w:rPr>
          <w:rFonts w:ascii="Arial" w:hAnsi="Arial" w:cs="Arial"/>
          <w:sz w:val="24"/>
          <w:szCs w:val="24"/>
        </w:rPr>
        <w:t>:</w:t>
      </w:r>
    </w:p>
    <w:p w14:paraId="134280E5" w14:textId="77777777" w:rsidR="00E77A55" w:rsidRPr="003A2EFA" w:rsidRDefault="00E77A55" w:rsidP="003A2EFA">
      <w:pPr>
        <w:pStyle w:val="Body"/>
        <w:spacing w:line="360" w:lineRule="auto"/>
        <w:rPr>
          <w:rFonts w:ascii="Arial" w:hAnsi="Arial" w:cs="Arial"/>
          <w:sz w:val="24"/>
          <w:szCs w:val="24"/>
        </w:rPr>
      </w:pPr>
    </w:p>
    <w:p w14:paraId="171B71C2" w14:textId="12E7E131" w:rsidR="00E77A55" w:rsidRDefault="00A8694E" w:rsidP="00E77A55">
      <w:pPr>
        <w:pStyle w:val="Body"/>
        <w:spacing w:line="360" w:lineRule="auto"/>
        <w:ind w:firstLine="720"/>
        <w:rPr>
          <w:rFonts w:ascii="Arial" w:hAnsi="Arial" w:cs="Arial"/>
          <w:sz w:val="24"/>
          <w:szCs w:val="24"/>
        </w:rPr>
      </w:pPr>
      <w:r w:rsidRPr="003A2EFA">
        <w:rPr>
          <w:rFonts w:ascii="Arial" w:hAnsi="Arial" w:cs="Arial"/>
          <w:sz w:val="24"/>
          <w:szCs w:val="24"/>
        </w:rPr>
        <w:t>In policy terms, it is recommended by providing benefits which are influenced by how much the person earns, it will create a model which will avoid poverty and create incentive to increase how much they work.</w:t>
      </w:r>
    </w:p>
    <w:p w14:paraId="64B6D3BD" w14:textId="77777777" w:rsidR="00E77A55" w:rsidRDefault="00E77A55" w:rsidP="003A2EFA">
      <w:pPr>
        <w:pStyle w:val="Body"/>
        <w:spacing w:line="360" w:lineRule="auto"/>
        <w:rPr>
          <w:rFonts w:ascii="Arial" w:hAnsi="Arial" w:cs="Arial"/>
          <w:sz w:val="24"/>
          <w:szCs w:val="24"/>
        </w:rPr>
      </w:pPr>
    </w:p>
    <w:p w14:paraId="461F656A" w14:textId="47C2CC11" w:rsidR="002414BB" w:rsidRPr="003A2EFA" w:rsidRDefault="00A8694E" w:rsidP="00E77A55">
      <w:pPr>
        <w:pStyle w:val="Body"/>
        <w:spacing w:line="360" w:lineRule="auto"/>
        <w:ind w:firstLine="720"/>
        <w:rPr>
          <w:rFonts w:ascii="Arial" w:hAnsi="Arial" w:cs="Arial"/>
          <w:sz w:val="24"/>
          <w:szCs w:val="24"/>
        </w:rPr>
      </w:pPr>
      <w:r w:rsidRPr="003A2EFA">
        <w:rPr>
          <w:rFonts w:ascii="Arial" w:hAnsi="Arial" w:cs="Arial"/>
          <w:sz w:val="24"/>
          <w:szCs w:val="24"/>
        </w:rPr>
        <w:t>It is recommended a new development of delivering welfare which includes partnership between the public and private sector and the involvement of the voluntary sector. This concept that making information available to citizens will increase their capacity to participate in contributing for a better society.</w:t>
      </w:r>
    </w:p>
    <w:p w14:paraId="3D827883" w14:textId="77777777" w:rsidR="002414BB" w:rsidRPr="003A2EFA" w:rsidRDefault="002414BB" w:rsidP="003A2EFA">
      <w:pPr>
        <w:pStyle w:val="Body"/>
        <w:spacing w:line="360" w:lineRule="auto"/>
        <w:rPr>
          <w:rFonts w:ascii="Arial" w:hAnsi="Arial" w:cs="Arial"/>
          <w:sz w:val="24"/>
          <w:szCs w:val="24"/>
        </w:rPr>
      </w:pPr>
    </w:p>
    <w:p w14:paraId="51561933" w14:textId="77777777" w:rsidR="002414BB" w:rsidRPr="003A2EFA" w:rsidRDefault="002414BB" w:rsidP="003A2EFA">
      <w:pPr>
        <w:pStyle w:val="Body"/>
        <w:spacing w:line="360" w:lineRule="auto"/>
        <w:rPr>
          <w:rFonts w:ascii="Arial" w:hAnsi="Arial" w:cs="Arial"/>
          <w:sz w:val="24"/>
          <w:szCs w:val="24"/>
        </w:rPr>
      </w:pPr>
    </w:p>
    <w:p w14:paraId="6F118AAC" w14:textId="77777777" w:rsidR="002414BB" w:rsidRPr="003A2EFA" w:rsidRDefault="002414BB" w:rsidP="003A2EFA">
      <w:pPr>
        <w:pStyle w:val="Body"/>
        <w:spacing w:line="360" w:lineRule="auto"/>
        <w:rPr>
          <w:rFonts w:ascii="Arial" w:hAnsi="Arial" w:cs="Arial"/>
          <w:sz w:val="24"/>
          <w:szCs w:val="24"/>
        </w:rPr>
      </w:pPr>
    </w:p>
    <w:p w14:paraId="0F01DDD3" w14:textId="77777777" w:rsidR="002414BB" w:rsidRPr="003A2EFA" w:rsidRDefault="002414BB" w:rsidP="003A2EFA">
      <w:pPr>
        <w:pStyle w:val="Body"/>
        <w:spacing w:line="360" w:lineRule="auto"/>
        <w:rPr>
          <w:rFonts w:ascii="Arial" w:hAnsi="Arial" w:cs="Arial"/>
          <w:sz w:val="24"/>
          <w:szCs w:val="24"/>
        </w:rPr>
      </w:pPr>
    </w:p>
    <w:p w14:paraId="55A7AC83" w14:textId="77777777" w:rsidR="002414BB" w:rsidRPr="003A2EFA" w:rsidRDefault="002414BB" w:rsidP="003A2EFA">
      <w:pPr>
        <w:pStyle w:val="Body"/>
        <w:spacing w:line="360" w:lineRule="auto"/>
        <w:rPr>
          <w:rFonts w:ascii="Arial" w:hAnsi="Arial" w:cs="Arial"/>
          <w:sz w:val="24"/>
          <w:szCs w:val="24"/>
        </w:rPr>
      </w:pPr>
    </w:p>
    <w:p w14:paraId="1C91F4A9" w14:textId="77777777" w:rsidR="002414BB" w:rsidRPr="003A2EFA" w:rsidRDefault="002414BB" w:rsidP="003A2EFA">
      <w:pPr>
        <w:pStyle w:val="Body"/>
        <w:spacing w:line="360" w:lineRule="auto"/>
        <w:rPr>
          <w:rFonts w:ascii="Arial" w:hAnsi="Arial" w:cs="Arial"/>
          <w:sz w:val="24"/>
          <w:szCs w:val="24"/>
        </w:rPr>
      </w:pPr>
    </w:p>
    <w:p w14:paraId="2663AD6B" w14:textId="77777777" w:rsidR="002414BB" w:rsidRPr="003A2EFA" w:rsidRDefault="002414BB" w:rsidP="003A2EFA">
      <w:pPr>
        <w:pStyle w:val="Body"/>
        <w:spacing w:line="360" w:lineRule="auto"/>
        <w:rPr>
          <w:rFonts w:ascii="Arial" w:hAnsi="Arial" w:cs="Arial"/>
          <w:sz w:val="24"/>
          <w:szCs w:val="24"/>
        </w:rPr>
      </w:pPr>
    </w:p>
    <w:p w14:paraId="5900BA49" w14:textId="77777777" w:rsidR="002414BB" w:rsidRPr="003A2EFA" w:rsidRDefault="002414BB" w:rsidP="003A2EFA">
      <w:pPr>
        <w:pStyle w:val="Body"/>
        <w:spacing w:line="360" w:lineRule="auto"/>
        <w:rPr>
          <w:rFonts w:ascii="Arial" w:hAnsi="Arial" w:cs="Arial"/>
          <w:sz w:val="24"/>
          <w:szCs w:val="24"/>
        </w:rPr>
      </w:pPr>
    </w:p>
    <w:p w14:paraId="0BF76940" w14:textId="77777777" w:rsidR="002414BB" w:rsidRPr="003A2EFA" w:rsidRDefault="002414BB" w:rsidP="003A2EFA">
      <w:pPr>
        <w:pStyle w:val="Body"/>
        <w:spacing w:line="360" w:lineRule="auto"/>
        <w:rPr>
          <w:rFonts w:ascii="Arial" w:hAnsi="Arial" w:cs="Arial"/>
          <w:sz w:val="24"/>
          <w:szCs w:val="24"/>
        </w:rPr>
      </w:pPr>
    </w:p>
    <w:p w14:paraId="2D8D70DA" w14:textId="77777777" w:rsidR="002414BB" w:rsidRPr="003A2EFA" w:rsidRDefault="002414BB" w:rsidP="003A2EFA">
      <w:pPr>
        <w:pStyle w:val="Body"/>
        <w:spacing w:line="360" w:lineRule="auto"/>
        <w:rPr>
          <w:rFonts w:ascii="Arial" w:hAnsi="Arial" w:cs="Arial"/>
          <w:sz w:val="24"/>
          <w:szCs w:val="24"/>
        </w:rPr>
      </w:pPr>
    </w:p>
    <w:p w14:paraId="262F224E" w14:textId="77777777" w:rsidR="002414BB" w:rsidRPr="003A2EFA" w:rsidRDefault="002414BB" w:rsidP="003A2EFA">
      <w:pPr>
        <w:pStyle w:val="Body"/>
        <w:spacing w:line="360" w:lineRule="auto"/>
        <w:rPr>
          <w:rFonts w:ascii="Arial" w:hAnsi="Arial" w:cs="Arial"/>
          <w:sz w:val="24"/>
          <w:szCs w:val="24"/>
        </w:rPr>
      </w:pPr>
    </w:p>
    <w:p w14:paraId="7943CC45" w14:textId="77777777" w:rsidR="002414BB" w:rsidRPr="003A2EFA" w:rsidRDefault="002414BB" w:rsidP="003A2EFA">
      <w:pPr>
        <w:pStyle w:val="Body"/>
        <w:spacing w:line="360" w:lineRule="auto"/>
        <w:rPr>
          <w:rFonts w:ascii="Arial" w:hAnsi="Arial" w:cs="Arial"/>
          <w:sz w:val="24"/>
          <w:szCs w:val="24"/>
        </w:rPr>
      </w:pPr>
    </w:p>
    <w:p w14:paraId="39006D46" w14:textId="77777777" w:rsidR="002414BB" w:rsidRPr="003A2EFA" w:rsidRDefault="002414BB" w:rsidP="003A2EFA">
      <w:pPr>
        <w:pStyle w:val="Body"/>
        <w:spacing w:line="360" w:lineRule="auto"/>
        <w:rPr>
          <w:rFonts w:ascii="Arial" w:hAnsi="Arial" w:cs="Arial"/>
          <w:sz w:val="24"/>
          <w:szCs w:val="24"/>
        </w:rPr>
      </w:pPr>
    </w:p>
    <w:p w14:paraId="606CFA28" w14:textId="77777777" w:rsidR="002414BB" w:rsidRPr="003A2EFA" w:rsidRDefault="002414BB" w:rsidP="003A2EFA">
      <w:pPr>
        <w:pStyle w:val="Body"/>
        <w:spacing w:line="360" w:lineRule="auto"/>
        <w:rPr>
          <w:rFonts w:ascii="Arial" w:hAnsi="Arial" w:cs="Arial"/>
          <w:sz w:val="24"/>
          <w:szCs w:val="24"/>
        </w:rPr>
      </w:pPr>
    </w:p>
    <w:p w14:paraId="4FC5C7AB" w14:textId="77777777" w:rsidR="002414BB" w:rsidRPr="003A2EFA" w:rsidRDefault="002414BB" w:rsidP="003A2EFA">
      <w:pPr>
        <w:pStyle w:val="Body"/>
        <w:spacing w:line="360" w:lineRule="auto"/>
        <w:rPr>
          <w:rFonts w:ascii="Arial" w:hAnsi="Arial" w:cs="Arial"/>
          <w:sz w:val="24"/>
          <w:szCs w:val="24"/>
        </w:rPr>
      </w:pPr>
    </w:p>
    <w:p w14:paraId="7189BD9D" w14:textId="77777777" w:rsidR="002414BB" w:rsidRPr="003A2EFA" w:rsidRDefault="002414BB" w:rsidP="003A2EFA">
      <w:pPr>
        <w:pStyle w:val="Body"/>
        <w:spacing w:line="360" w:lineRule="auto"/>
        <w:rPr>
          <w:rFonts w:ascii="Arial" w:hAnsi="Arial" w:cs="Arial"/>
          <w:sz w:val="24"/>
          <w:szCs w:val="24"/>
        </w:rPr>
      </w:pPr>
    </w:p>
    <w:p w14:paraId="4C3C2FB6" w14:textId="77777777" w:rsidR="002414BB" w:rsidRPr="003A2EFA" w:rsidRDefault="002414BB" w:rsidP="003A2EFA">
      <w:pPr>
        <w:pStyle w:val="Body"/>
        <w:spacing w:line="360" w:lineRule="auto"/>
        <w:rPr>
          <w:rFonts w:ascii="Arial" w:hAnsi="Arial" w:cs="Arial"/>
          <w:sz w:val="24"/>
          <w:szCs w:val="24"/>
        </w:rPr>
      </w:pPr>
    </w:p>
    <w:p w14:paraId="235ACB2D" w14:textId="042F0F6C" w:rsidR="002414BB" w:rsidRDefault="002414BB" w:rsidP="003A2EFA">
      <w:pPr>
        <w:pStyle w:val="Body"/>
        <w:spacing w:line="360" w:lineRule="auto"/>
        <w:rPr>
          <w:rFonts w:ascii="Arial" w:hAnsi="Arial" w:cs="Arial"/>
          <w:sz w:val="24"/>
          <w:szCs w:val="24"/>
        </w:rPr>
      </w:pPr>
    </w:p>
    <w:p w14:paraId="1C6F4B99" w14:textId="74B3EA3F" w:rsidR="003A2EFA" w:rsidRDefault="003A2EFA" w:rsidP="003A2EFA">
      <w:pPr>
        <w:pStyle w:val="Body"/>
        <w:spacing w:line="360" w:lineRule="auto"/>
        <w:rPr>
          <w:rFonts w:ascii="Arial" w:hAnsi="Arial" w:cs="Arial"/>
          <w:sz w:val="24"/>
          <w:szCs w:val="24"/>
        </w:rPr>
      </w:pPr>
    </w:p>
    <w:p w14:paraId="352E5F89" w14:textId="4F13CCEE" w:rsidR="003A2EFA" w:rsidRDefault="003A2EFA" w:rsidP="003A2EFA">
      <w:pPr>
        <w:pStyle w:val="Body"/>
        <w:spacing w:line="360" w:lineRule="auto"/>
        <w:rPr>
          <w:rFonts w:ascii="Arial" w:hAnsi="Arial" w:cs="Arial"/>
          <w:sz w:val="24"/>
          <w:szCs w:val="24"/>
        </w:rPr>
      </w:pPr>
    </w:p>
    <w:p w14:paraId="45A9AF36" w14:textId="19B381E9" w:rsidR="003A2EFA" w:rsidRDefault="003A2EFA" w:rsidP="003A2EFA">
      <w:pPr>
        <w:pStyle w:val="Body"/>
        <w:spacing w:line="360" w:lineRule="auto"/>
        <w:rPr>
          <w:rFonts w:ascii="Arial" w:hAnsi="Arial" w:cs="Arial"/>
          <w:sz w:val="24"/>
          <w:szCs w:val="24"/>
        </w:rPr>
      </w:pPr>
    </w:p>
    <w:p w14:paraId="168B9293" w14:textId="0382DD75" w:rsidR="003A2EFA" w:rsidRDefault="003A2EFA" w:rsidP="003A2EFA">
      <w:pPr>
        <w:pStyle w:val="Body"/>
        <w:spacing w:line="360" w:lineRule="auto"/>
        <w:rPr>
          <w:rFonts w:ascii="Arial" w:hAnsi="Arial" w:cs="Arial"/>
          <w:sz w:val="24"/>
          <w:szCs w:val="24"/>
        </w:rPr>
      </w:pPr>
    </w:p>
    <w:p w14:paraId="472EF825" w14:textId="77777777" w:rsidR="00E77A55" w:rsidRDefault="00E77A55" w:rsidP="003A2EFA">
      <w:pPr>
        <w:pStyle w:val="Body"/>
        <w:spacing w:line="360" w:lineRule="auto"/>
        <w:rPr>
          <w:rFonts w:ascii="Arial" w:hAnsi="Arial" w:cs="Arial"/>
          <w:sz w:val="24"/>
          <w:szCs w:val="24"/>
        </w:rPr>
      </w:pPr>
    </w:p>
    <w:p w14:paraId="448F06E6" w14:textId="77777777" w:rsidR="00E77A55" w:rsidRDefault="00E77A55" w:rsidP="003A2EFA">
      <w:pPr>
        <w:pStyle w:val="Body"/>
        <w:spacing w:line="360" w:lineRule="auto"/>
        <w:rPr>
          <w:rFonts w:ascii="Arial" w:hAnsi="Arial" w:cs="Arial"/>
          <w:sz w:val="24"/>
          <w:szCs w:val="24"/>
        </w:rPr>
      </w:pPr>
    </w:p>
    <w:p w14:paraId="6D31370A" w14:textId="6FF27C14" w:rsidR="002414BB" w:rsidRPr="00787A01" w:rsidRDefault="00A8694E" w:rsidP="003A2EFA">
      <w:pPr>
        <w:pStyle w:val="Body"/>
        <w:spacing w:line="360" w:lineRule="auto"/>
        <w:rPr>
          <w:rFonts w:ascii="Arial" w:hAnsi="Arial" w:cs="Arial"/>
          <w:b/>
          <w:bCs/>
          <w:sz w:val="24"/>
          <w:szCs w:val="24"/>
        </w:rPr>
      </w:pPr>
      <w:r w:rsidRPr="00787A01">
        <w:rPr>
          <w:rFonts w:ascii="Arial" w:hAnsi="Arial" w:cs="Arial"/>
          <w:b/>
          <w:bCs/>
          <w:sz w:val="24"/>
          <w:szCs w:val="24"/>
        </w:rPr>
        <w:t>Reference list</w:t>
      </w:r>
    </w:p>
    <w:p w14:paraId="25110DDC" w14:textId="77777777" w:rsidR="00787A01" w:rsidRPr="003A2EFA" w:rsidRDefault="00787A01" w:rsidP="003A2EFA">
      <w:pPr>
        <w:pStyle w:val="Body"/>
        <w:spacing w:line="360" w:lineRule="auto"/>
        <w:rPr>
          <w:rFonts w:ascii="Arial" w:hAnsi="Arial" w:cs="Arial"/>
          <w:sz w:val="24"/>
          <w:szCs w:val="24"/>
        </w:rPr>
      </w:pPr>
    </w:p>
    <w:p w14:paraId="1A4D8944" w14:textId="324AF4E7" w:rsidR="00787A01" w:rsidRDefault="00787A01" w:rsidP="003A2EFA">
      <w:pPr>
        <w:pStyle w:val="Body"/>
        <w:spacing w:line="360" w:lineRule="auto"/>
        <w:rPr>
          <w:rFonts w:ascii="Arial" w:hAnsi="Arial" w:cs="Arial"/>
          <w:sz w:val="24"/>
          <w:szCs w:val="24"/>
        </w:rPr>
      </w:pPr>
      <w:r w:rsidRPr="00787A01">
        <w:rPr>
          <w:rFonts w:ascii="Arial" w:hAnsi="Arial" w:cs="Arial"/>
          <w:sz w:val="24"/>
          <w:szCs w:val="24"/>
        </w:rPr>
        <w:t>Abel-Smith, B. and Townsend, P. (1965), The Poor and the Poorest. London: Bell.</w:t>
      </w:r>
    </w:p>
    <w:p w14:paraId="00A20C8B" w14:textId="77777777" w:rsidR="00787A01" w:rsidRPr="00787A01" w:rsidRDefault="00787A01" w:rsidP="003A2EFA">
      <w:pPr>
        <w:pStyle w:val="Body"/>
        <w:spacing w:line="360" w:lineRule="auto"/>
        <w:rPr>
          <w:rFonts w:ascii="Arial" w:hAnsi="Arial" w:cs="Arial"/>
          <w:sz w:val="24"/>
          <w:szCs w:val="24"/>
        </w:rPr>
      </w:pPr>
    </w:p>
    <w:p w14:paraId="2B97AF1A" w14:textId="7A1F11CD"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Alcock</w:t>
      </w:r>
      <w:proofErr w:type="spellEnd"/>
      <w:r w:rsidRPr="00787A01">
        <w:rPr>
          <w:rFonts w:ascii="Arial" w:hAnsi="Arial" w:cs="Arial"/>
          <w:sz w:val="24"/>
          <w:szCs w:val="24"/>
        </w:rPr>
        <w:t>, P., Erskine, A. And May, M. (1998), The Student's Companion to Social Policy. Oxford: Blackwell.</w:t>
      </w:r>
    </w:p>
    <w:p w14:paraId="14FAD1E6" w14:textId="77777777" w:rsidR="00787A01" w:rsidRPr="00787A01" w:rsidRDefault="00787A01" w:rsidP="003A2EFA">
      <w:pPr>
        <w:pStyle w:val="Body"/>
        <w:spacing w:line="360" w:lineRule="auto"/>
        <w:rPr>
          <w:rFonts w:ascii="Arial" w:hAnsi="Arial" w:cs="Arial"/>
          <w:sz w:val="24"/>
          <w:szCs w:val="24"/>
        </w:rPr>
      </w:pPr>
    </w:p>
    <w:p w14:paraId="7525312A" w14:textId="755311BC"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Baldwin, P. (1990), The Politics of Social Solidarity. Cambridge: Cambridge University Press.</w:t>
      </w:r>
    </w:p>
    <w:p w14:paraId="0EDC4772" w14:textId="77777777" w:rsidR="00787A01" w:rsidRPr="00787A01" w:rsidRDefault="00787A01" w:rsidP="003A2EFA">
      <w:pPr>
        <w:pStyle w:val="Body"/>
        <w:spacing w:line="360" w:lineRule="auto"/>
        <w:rPr>
          <w:rFonts w:ascii="Arial" w:hAnsi="Arial" w:cs="Arial"/>
          <w:sz w:val="24"/>
          <w:szCs w:val="24"/>
        </w:rPr>
      </w:pPr>
    </w:p>
    <w:p w14:paraId="2EDC055B" w14:textId="33AD947E"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Bloy</w:t>
      </w:r>
      <w:proofErr w:type="spellEnd"/>
      <w:r w:rsidRPr="00787A01">
        <w:rPr>
          <w:rFonts w:ascii="Arial" w:hAnsi="Arial" w:cs="Arial"/>
          <w:sz w:val="24"/>
          <w:szCs w:val="24"/>
        </w:rPr>
        <w:t xml:space="preserve">, M. (2016), The Poor Law Amendment Act, 1834. A Web of English History, available at: </w:t>
      </w:r>
      <w:hyperlink r:id="rId7" w:history="1">
        <w:r w:rsidRPr="00787A01">
          <w:rPr>
            <w:rStyle w:val="Hyperlink0"/>
            <w:rFonts w:ascii="Arial" w:hAnsi="Arial" w:cs="Arial"/>
            <w:sz w:val="24"/>
            <w:szCs w:val="24"/>
            <w:u w:val="none"/>
          </w:rPr>
          <w:t>http://www.historyhome.co.uk/peel/poorlaw/poorlaw.htm</w:t>
        </w:r>
      </w:hyperlink>
      <w:r w:rsidRPr="00787A01">
        <w:rPr>
          <w:rFonts w:ascii="Arial" w:hAnsi="Arial" w:cs="Arial"/>
          <w:sz w:val="24"/>
          <w:szCs w:val="24"/>
        </w:rPr>
        <w:t>, accessed on May 2020.</w:t>
      </w:r>
    </w:p>
    <w:p w14:paraId="25266278" w14:textId="77777777" w:rsidR="00787A01" w:rsidRPr="00787A01" w:rsidRDefault="00787A01" w:rsidP="003A2EFA">
      <w:pPr>
        <w:pStyle w:val="Body"/>
        <w:spacing w:line="360" w:lineRule="auto"/>
        <w:rPr>
          <w:rFonts w:ascii="Arial" w:hAnsi="Arial" w:cs="Arial"/>
          <w:sz w:val="24"/>
          <w:szCs w:val="24"/>
        </w:rPr>
      </w:pPr>
    </w:p>
    <w:p w14:paraId="49C63984" w14:textId="4C9C4E04"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 xml:space="preserve">Cole, D. and </w:t>
      </w:r>
      <w:proofErr w:type="spellStart"/>
      <w:r w:rsidRPr="00787A01">
        <w:rPr>
          <w:rFonts w:ascii="Arial" w:hAnsi="Arial" w:cs="Arial"/>
          <w:sz w:val="24"/>
          <w:szCs w:val="24"/>
        </w:rPr>
        <w:t>Utting</w:t>
      </w:r>
      <w:proofErr w:type="spellEnd"/>
      <w:r w:rsidRPr="00787A01">
        <w:rPr>
          <w:rFonts w:ascii="Arial" w:hAnsi="Arial" w:cs="Arial"/>
          <w:sz w:val="24"/>
          <w:szCs w:val="24"/>
        </w:rPr>
        <w:t xml:space="preserve">, J. (1962), The Economic Circumstances of Old People. London: </w:t>
      </w:r>
      <w:proofErr w:type="spellStart"/>
      <w:r w:rsidRPr="00787A01">
        <w:rPr>
          <w:rFonts w:ascii="Arial" w:hAnsi="Arial" w:cs="Arial"/>
          <w:sz w:val="24"/>
          <w:szCs w:val="24"/>
        </w:rPr>
        <w:t>Codicote</w:t>
      </w:r>
      <w:proofErr w:type="spellEnd"/>
      <w:r w:rsidRPr="00787A01">
        <w:rPr>
          <w:rFonts w:ascii="Arial" w:hAnsi="Arial" w:cs="Arial"/>
          <w:sz w:val="24"/>
          <w:szCs w:val="24"/>
        </w:rPr>
        <w:t>.</w:t>
      </w:r>
    </w:p>
    <w:p w14:paraId="2369C0AD" w14:textId="77777777" w:rsidR="00787A01" w:rsidRPr="00787A01" w:rsidRDefault="00787A01" w:rsidP="003A2EFA">
      <w:pPr>
        <w:pStyle w:val="Body"/>
        <w:spacing w:line="360" w:lineRule="auto"/>
        <w:rPr>
          <w:rFonts w:ascii="Arial" w:hAnsi="Arial" w:cs="Arial"/>
          <w:sz w:val="24"/>
          <w:szCs w:val="24"/>
        </w:rPr>
      </w:pPr>
    </w:p>
    <w:p w14:paraId="54996567" w14:textId="2B1182CB"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Eckstein, H. (1960), Pressure Group Politics. London: Allen and Unwind.</w:t>
      </w:r>
    </w:p>
    <w:p w14:paraId="59D36655" w14:textId="77777777" w:rsidR="00787A01" w:rsidRPr="00787A01" w:rsidRDefault="00787A01" w:rsidP="003A2EFA">
      <w:pPr>
        <w:pStyle w:val="Body"/>
        <w:spacing w:line="360" w:lineRule="auto"/>
        <w:rPr>
          <w:rFonts w:ascii="Arial" w:hAnsi="Arial" w:cs="Arial"/>
          <w:sz w:val="24"/>
          <w:szCs w:val="24"/>
        </w:rPr>
      </w:pPr>
    </w:p>
    <w:p w14:paraId="1BD40234" w14:textId="1E09BAC0"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Ham, C. (2009), Health Policy in Britain, sixth edition. Basingstoke: Palgrave MacMillan, available at:</w:t>
      </w:r>
      <w:r w:rsidRPr="00787A01">
        <w:t xml:space="preserve"> </w:t>
      </w:r>
      <w:r w:rsidRPr="00787A01">
        <w:rPr>
          <w:rFonts w:ascii="Arial" w:hAnsi="Arial" w:cs="Arial"/>
          <w:sz w:val="24"/>
          <w:szCs w:val="24"/>
        </w:rPr>
        <w:t>https://bit.ly/2McaU4d, accessed on May 2020.</w:t>
      </w:r>
    </w:p>
    <w:p w14:paraId="764E127E" w14:textId="77777777" w:rsidR="00787A01" w:rsidRPr="00787A01" w:rsidRDefault="00787A01" w:rsidP="003A2EFA">
      <w:pPr>
        <w:pStyle w:val="Body"/>
        <w:spacing w:line="360" w:lineRule="auto"/>
        <w:rPr>
          <w:rFonts w:ascii="Arial" w:hAnsi="Arial" w:cs="Arial"/>
          <w:sz w:val="24"/>
          <w:szCs w:val="24"/>
        </w:rPr>
      </w:pPr>
    </w:p>
    <w:p w14:paraId="2F6539F1" w14:textId="2C285533"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Hello, H. H. (1974), Modern Social Politics in Britain and Sweden. New Haven: Yale University Press.</w:t>
      </w:r>
    </w:p>
    <w:p w14:paraId="22594EE2" w14:textId="77777777" w:rsidR="00787A01" w:rsidRPr="00787A01" w:rsidRDefault="00787A01" w:rsidP="003A2EFA">
      <w:pPr>
        <w:pStyle w:val="Body"/>
        <w:spacing w:line="360" w:lineRule="auto"/>
        <w:rPr>
          <w:rFonts w:ascii="Arial" w:hAnsi="Arial" w:cs="Arial"/>
          <w:sz w:val="24"/>
          <w:szCs w:val="24"/>
        </w:rPr>
      </w:pPr>
    </w:p>
    <w:p w14:paraId="596C9D1A" w14:textId="57340745"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Hill, M. (2003), Understanding Social Policy, Seventh Edition. Blackwell Publishing Ltd.</w:t>
      </w:r>
    </w:p>
    <w:p w14:paraId="0207D3BD" w14:textId="77777777" w:rsidR="00787A01" w:rsidRPr="00787A01" w:rsidRDefault="00787A01" w:rsidP="003A2EFA">
      <w:pPr>
        <w:pStyle w:val="Body"/>
        <w:spacing w:line="360" w:lineRule="auto"/>
        <w:rPr>
          <w:rFonts w:ascii="Arial" w:hAnsi="Arial" w:cs="Arial"/>
          <w:sz w:val="24"/>
          <w:szCs w:val="24"/>
        </w:rPr>
      </w:pPr>
    </w:p>
    <w:p w14:paraId="36D3E462" w14:textId="01529BD5"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Lavalette</w:t>
      </w:r>
      <w:proofErr w:type="spellEnd"/>
      <w:r w:rsidRPr="00787A01">
        <w:rPr>
          <w:rFonts w:ascii="Arial" w:hAnsi="Arial" w:cs="Arial"/>
          <w:sz w:val="24"/>
          <w:szCs w:val="24"/>
        </w:rPr>
        <w:t>, M. and Pratt, A. (1997), Social Policy. A Conceptual and Theoretical Introduction. London: Sage Publications Ltd.</w:t>
      </w:r>
    </w:p>
    <w:p w14:paraId="5930E743" w14:textId="77777777" w:rsidR="00787A01" w:rsidRPr="00787A01" w:rsidRDefault="00787A01" w:rsidP="003A2EFA">
      <w:pPr>
        <w:pStyle w:val="Body"/>
        <w:spacing w:line="360" w:lineRule="auto"/>
        <w:rPr>
          <w:rFonts w:ascii="Arial" w:hAnsi="Arial" w:cs="Arial"/>
          <w:sz w:val="24"/>
          <w:szCs w:val="24"/>
        </w:rPr>
      </w:pPr>
    </w:p>
    <w:p w14:paraId="79ED59B1" w14:textId="4424DE9C"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 xml:space="preserve">Living Heritage (2020), Reforming Society in the 19th Century: Poor Law Reform, available at: </w:t>
      </w:r>
      <w:hyperlink r:id="rId8" w:history="1">
        <w:r w:rsidRPr="00787A01">
          <w:rPr>
            <w:rStyle w:val="Hyperlink0"/>
            <w:rFonts w:ascii="Arial" w:hAnsi="Arial" w:cs="Arial"/>
            <w:sz w:val="24"/>
            <w:szCs w:val="24"/>
            <w:u w:val="none"/>
          </w:rPr>
          <w:t>https://www.parliament.uk/about/living-heritage/transformingsociety/livinglearning/19thcentury/overview/poorlaw/</w:t>
        </w:r>
      </w:hyperlink>
      <w:r w:rsidRPr="00787A01">
        <w:rPr>
          <w:rFonts w:ascii="Arial" w:hAnsi="Arial" w:cs="Arial"/>
          <w:sz w:val="24"/>
          <w:szCs w:val="24"/>
        </w:rPr>
        <w:t>, accessed on May 2020.</w:t>
      </w:r>
    </w:p>
    <w:p w14:paraId="557CD545" w14:textId="77777777" w:rsidR="00787A01" w:rsidRPr="00787A01" w:rsidRDefault="00787A01" w:rsidP="003A2EFA">
      <w:pPr>
        <w:pStyle w:val="Body"/>
        <w:spacing w:line="360" w:lineRule="auto"/>
        <w:rPr>
          <w:rFonts w:ascii="Arial" w:hAnsi="Arial" w:cs="Arial"/>
          <w:sz w:val="24"/>
          <w:szCs w:val="24"/>
        </w:rPr>
      </w:pPr>
    </w:p>
    <w:p w14:paraId="2196D031" w14:textId="77777777"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lastRenderedPageBreak/>
        <w:t xml:space="preserve">Lynes, T. (1962), National Assistance and National Prosperity. London: </w:t>
      </w:r>
      <w:proofErr w:type="spellStart"/>
      <w:r w:rsidRPr="00787A01">
        <w:rPr>
          <w:rFonts w:ascii="Arial" w:hAnsi="Arial" w:cs="Arial"/>
          <w:sz w:val="24"/>
          <w:szCs w:val="24"/>
        </w:rPr>
        <w:t>Codicote</w:t>
      </w:r>
      <w:proofErr w:type="spellEnd"/>
      <w:r w:rsidRPr="00787A01">
        <w:rPr>
          <w:rFonts w:ascii="Arial" w:hAnsi="Arial" w:cs="Arial"/>
          <w:sz w:val="24"/>
          <w:szCs w:val="24"/>
        </w:rPr>
        <w:t>.</w:t>
      </w:r>
    </w:p>
    <w:p w14:paraId="1A1C7F22" w14:textId="77777777" w:rsidR="00787A01" w:rsidRPr="00787A01" w:rsidRDefault="00787A01" w:rsidP="003A2EFA">
      <w:pPr>
        <w:pStyle w:val="Body"/>
        <w:spacing w:line="360" w:lineRule="auto"/>
        <w:rPr>
          <w:rFonts w:ascii="Arial" w:hAnsi="Arial" w:cs="Arial"/>
          <w:sz w:val="24"/>
          <w:szCs w:val="24"/>
        </w:rPr>
      </w:pPr>
    </w:p>
    <w:p w14:paraId="31BDA911" w14:textId="5245F7BE"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Macarov</w:t>
      </w:r>
      <w:proofErr w:type="spellEnd"/>
      <w:r w:rsidRPr="00787A01">
        <w:rPr>
          <w:rFonts w:ascii="Arial" w:hAnsi="Arial" w:cs="Arial"/>
          <w:sz w:val="24"/>
          <w:szCs w:val="24"/>
        </w:rPr>
        <w:t>, D. (1995), Social Welfare, Structure and Practice. London: Sage Publications, Inc.</w:t>
      </w:r>
    </w:p>
    <w:p w14:paraId="613E1D4C" w14:textId="77777777" w:rsidR="00787A01" w:rsidRPr="00787A01" w:rsidRDefault="00787A01" w:rsidP="003A2EFA">
      <w:pPr>
        <w:pStyle w:val="Body"/>
        <w:spacing w:line="360" w:lineRule="auto"/>
        <w:rPr>
          <w:rFonts w:ascii="Arial" w:hAnsi="Arial" w:cs="Arial"/>
          <w:sz w:val="24"/>
          <w:szCs w:val="24"/>
        </w:rPr>
      </w:pPr>
    </w:p>
    <w:p w14:paraId="540BACAB" w14:textId="26F6CE51"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McCarthy, M. (1986), Campaigning for the Poor. Beckenham: Croom Helm.</w:t>
      </w:r>
    </w:p>
    <w:p w14:paraId="6555CDDE" w14:textId="77777777" w:rsidR="00787A01" w:rsidRPr="00787A01" w:rsidRDefault="00787A01" w:rsidP="003A2EFA">
      <w:pPr>
        <w:pStyle w:val="Body"/>
        <w:spacing w:line="360" w:lineRule="auto"/>
        <w:rPr>
          <w:rFonts w:ascii="Arial" w:hAnsi="Arial" w:cs="Arial"/>
          <w:sz w:val="24"/>
          <w:szCs w:val="24"/>
        </w:rPr>
      </w:pPr>
    </w:p>
    <w:p w14:paraId="5EEBFE80" w14:textId="27C7B2B0"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Pater, J. E. (1981), The Making of the National Health Service. London: King's Fund.</w:t>
      </w:r>
    </w:p>
    <w:p w14:paraId="331ED923" w14:textId="77777777" w:rsidR="00787A01" w:rsidRPr="00787A01" w:rsidRDefault="00787A01" w:rsidP="003A2EFA">
      <w:pPr>
        <w:pStyle w:val="Body"/>
        <w:spacing w:line="360" w:lineRule="auto"/>
        <w:rPr>
          <w:rFonts w:ascii="Arial" w:hAnsi="Arial" w:cs="Arial"/>
          <w:sz w:val="24"/>
          <w:szCs w:val="24"/>
        </w:rPr>
      </w:pPr>
    </w:p>
    <w:p w14:paraId="1E8F614C" w14:textId="346BA9B2"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Piachaud</w:t>
      </w:r>
      <w:proofErr w:type="spellEnd"/>
      <w:r w:rsidRPr="00787A01">
        <w:rPr>
          <w:rFonts w:ascii="Arial" w:hAnsi="Arial" w:cs="Arial"/>
          <w:sz w:val="24"/>
          <w:szCs w:val="24"/>
        </w:rPr>
        <w:t>, D. (1981), Peter Townsend and the Holy Grail, New Society (Sept.) 421.</w:t>
      </w:r>
    </w:p>
    <w:p w14:paraId="2159DEEB" w14:textId="77777777" w:rsidR="00787A01" w:rsidRPr="00787A01" w:rsidRDefault="00787A01" w:rsidP="003A2EFA">
      <w:pPr>
        <w:pStyle w:val="Body"/>
        <w:spacing w:line="360" w:lineRule="auto"/>
        <w:rPr>
          <w:rFonts w:ascii="Arial" w:hAnsi="Arial" w:cs="Arial"/>
          <w:sz w:val="24"/>
          <w:szCs w:val="24"/>
        </w:rPr>
      </w:pPr>
    </w:p>
    <w:p w14:paraId="7D94708E" w14:textId="417CED54"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Pinker, R (1971), Social Theory and Social Policy, London and Edinburg: Heinemann Educational Books Ltd.</w:t>
      </w:r>
    </w:p>
    <w:p w14:paraId="70A992A5" w14:textId="77777777" w:rsidR="00787A01" w:rsidRPr="00787A01" w:rsidRDefault="00787A01" w:rsidP="003A2EFA">
      <w:pPr>
        <w:pStyle w:val="Body"/>
        <w:spacing w:line="360" w:lineRule="auto"/>
        <w:rPr>
          <w:rFonts w:ascii="Arial" w:hAnsi="Arial" w:cs="Arial"/>
          <w:sz w:val="24"/>
          <w:szCs w:val="24"/>
        </w:rPr>
      </w:pPr>
    </w:p>
    <w:p w14:paraId="42AEF085" w14:textId="0FC99B44"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 xml:space="preserve">Platt, L. (2020), What is Social Policy?, available at: </w:t>
      </w:r>
      <w:hyperlink r:id="rId9" w:history="1">
        <w:r w:rsidRPr="00787A01">
          <w:rPr>
            <w:rStyle w:val="Hyperlink0"/>
            <w:rFonts w:ascii="Arial" w:hAnsi="Arial" w:cs="Arial"/>
            <w:sz w:val="24"/>
            <w:szCs w:val="24"/>
            <w:u w:val="none"/>
          </w:rPr>
          <w:t>http://www.lse.ac.uk/social-policy/about-us/What-is-social-policy</w:t>
        </w:r>
      </w:hyperlink>
      <w:r w:rsidRPr="00787A01">
        <w:rPr>
          <w:rFonts w:ascii="Arial" w:hAnsi="Arial" w:cs="Arial"/>
          <w:sz w:val="24"/>
          <w:szCs w:val="24"/>
        </w:rPr>
        <w:t>, accessed on May 2020.</w:t>
      </w:r>
    </w:p>
    <w:p w14:paraId="44563487" w14:textId="77777777" w:rsidR="00787A01" w:rsidRPr="00787A01" w:rsidRDefault="00787A01" w:rsidP="003A2EFA">
      <w:pPr>
        <w:pStyle w:val="Body"/>
        <w:spacing w:line="360" w:lineRule="auto"/>
        <w:rPr>
          <w:rFonts w:ascii="Arial" w:hAnsi="Arial" w:cs="Arial"/>
          <w:sz w:val="24"/>
          <w:szCs w:val="24"/>
        </w:rPr>
      </w:pPr>
    </w:p>
    <w:p w14:paraId="4C4DFEC0" w14:textId="4A079B01" w:rsidR="00787A01" w:rsidRPr="00787A01" w:rsidRDefault="00F31947" w:rsidP="003A2EFA">
      <w:pPr>
        <w:pStyle w:val="Body"/>
        <w:spacing w:line="360" w:lineRule="auto"/>
        <w:rPr>
          <w:rFonts w:ascii="Arial" w:hAnsi="Arial" w:cs="Arial"/>
          <w:sz w:val="24"/>
          <w:szCs w:val="24"/>
        </w:rPr>
      </w:pPr>
      <w:hyperlink r:id="rId10" w:history="1">
        <w:r w:rsidR="00787A01">
          <w:rPr>
            <w:rStyle w:val="Hyperlink0"/>
            <w:rFonts w:ascii="Arial" w:hAnsi="Arial" w:cs="Arial"/>
            <w:sz w:val="24"/>
            <w:szCs w:val="24"/>
            <w:u w:val="none"/>
          </w:rPr>
          <w:t>Politics.co.uk</w:t>
        </w:r>
      </w:hyperlink>
      <w:r w:rsidR="00787A01" w:rsidRPr="00787A01">
        <w:rPr>
          <w:rFonts w:ascii="Arial" w:hAnsi="Arial" w:cs="Arial"/>
          <w:sz w:val="24"/>
          <w:szCs w:val="24"/>
        </w:rPr>
        <w:t xml:space="preserve"> (2020), Education Leaving Age, available at: </w:t>
      </w:r>
      <w:hyperlink r:id="rId11" w:history="1">
        <w:r w:rsidR="00787A01" w:rsidRPr="00787A01">
          <w:rPr>
            <w:rStyle w:val="Hyperlink0"/>
            <w:rFonts w:ascii="Arial" w:hAnsi="Arial" w:cs="Arial"/>
            <w:sz w:val="24"/>
            <w:szCs w:val="24"/>
            <w:u w:val="none"/>
          </w:rPr>
          <w:t>https://www.politics.co.uk/reference/education-leaving-age</w:t>
        </w:r>
      </w:hyperlink>
      <w:r w:rsidR="00787A01" w:rsidRPr="00787A01">
        <w:rPr>
          <w:rFonts w:ascii="Arial" w:hAnsi="Arial" w:cs="Arial"/>
          <w:sz w:val="24"/>
          <w:szCs w:val="24"/>
        </w:rPr>
        <w:t>, accessed on May 2020.</w:t>
      </w:r>
    </w:p>
    <w:p w14:paraId="77912405" w14:textId="77777777" w:rsidR="00787A01" w:rsidRPr="00787A01" w:rsidRDefault="00787A01" w:rsidP="003A2EFA">
      <w:pPr>
        <w:pStyle w:val="Body"/>
        <w:spacing w:line="360" w:lineRule="auto"/>
        <w:rPr>
          <w:rFonts w:ascii="Arial" w:hAnsi="Arial" w:cs="Arial"/>
          <w:sz w:val="24"/>
          <w:szCs w:val="24"/>
        </w:rPr>
      </w:pPr>
    </w:p>
    <w:p w14:paraId="6732DCD2" w14:textId="161FCF27"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Ringen</w:t>
      </w:r>
      <w:proofErr w:type="spellEnd"/>
      <w:r w:rsidRPr="00787A01">
        <w:rPr>
          <w:rFonts w:ascii="Arial" w:hAnsi="Arial" w:cs="Arial"/>
          <w:sz w:val="24"/>
          <w:szCs w:val="24"/>
        </w:rPr>
        <w:t>, S. (1986), The Possibility of Politics. Oxford: Oxford University Press.</w:t>
      </w:r>
    </w:p>
    <w:p w14:paraId="5D5ABE0B" w14:textId="77777777" w:rsidR="00787A01" w:rsidRPr="00787A01" w:rsidRDefault="00787A01" w:rsidP="003A2EFA">
      <w:pPr>
        <w:pStyle w:val="Body"/>
        <w:spacing w:line="360" w:lineRule="auto"/>
        <w:rPr>
          <w:rFonts w:ascii="Arial" w:hAnsi="Arial" w:cs="Arial"/>
          <w:sz w:val="24"/>
          <w:szCs w:val="24"/>
        </w:rPr>
      </w:pPr>
    </w:p>
    <w:p w14:paraId="254E52A9" w14:textId="7D3992A5" w:rsidR="00787A01" w:rsidRPr="00787A01" w:rsidRDefault="00787A01" w:rsidP="003A2EFA">
      <w:pPr>
        <w:pStyle w:val="Body"/>
        <w:spacing w:line="360" w:lineRule="auto"/>
        <w:rPr>
          <w:rFonts w:ascii="Arial" w:hAnsi="Arial" w:cs="Arial"/>
          <w:sz w:val="24"/>
          <w:szCs w:val="24"/>
        </w:rPr>
      </w:pPr>
      <w:proofErr w:type="spellStart"/>
      <w:r w:rsidRPr="00787A01">
        <w:rPr>
          <w:rFonts w:ascii="Arial" w:hAnsi="Arial" w:cs="Arial"/>
          <w:sz w:val="24"/>
          <w:szCs w:val="24"/>
        </w:rPr>
        <w:t>Spicker</w:t>
      </w:r>
      <w:proofErr w:type="spellEnd"/>
      <w:r w:rsidRPr="00787A01">
        <w:rPr>
          <w:rFonts w:ascii="Arial" w:hAnsi="Arial" w:cs="Arial"/>
          <w:sz w:val="24"/>
          <w:szCs w:val="24"/>
        </w:rPr>
        <w:t xml:space="preserve">, P. (2020), Social Policy in the UK, available at: </w:t>
      </w:r>
      <w:hyperlink r:id="rId12" w:anchor="administration" w:history="1">
        <w:r w:rsidRPr="00787A01">
          <w:rPr>
            <w:rStyle w:val="Hyperlink0"/>
            <w:rFonts w:ascii="Arial" w:hAnsi="Arial" w:cs="Arial"/>
            <w:sz w:val="24"/>
            <w:szCs w:val="24"/>
            <w:u w:val="none"/>
          </w:rPr>
          <w:t>http://www.spicker.uk/social-policy/uk.htm#administration</w:t>
        </w:r>
      </w:hyperlink>
      <w:r w:rsidRPr="00787A01">
        <w:rPr>
          <w:rFonts w:ascii="Arial" w:hAnsi="Arial" w:cs="Arial"/>
          <w:sz w:val="24"/>
          <w:szCs w:val="24"/>
        </w:rPr>
        <w:t>, accessed on May 2020.</w:t>
      </w:r>
    </w:p>
    <w:p w14:paraId="24BBBE4D" w14:textId="77777777" w:rsidR="00787A01" w:rsidRPr="00787A01" w:rsidRDefault="00787A01" w:rsidP="003A2EFA">
      <w:pPr>
        <w:pStyle w:val="Body"/>
        <w:spacing w:line="360" w:lineRule="auto"/>
        <w:rPr>
          <w:rFonts w:ascii="Arial" w:hAnsi="Arial" w:cs="Arial"/>
          <w:sz w:val="24"/>
          <w:szCs w:val="24"/>
        </w:rPr>
      </w:pPr>
    </w:p>
    <w:p w14:paraId="48C5E63A" w14:textId="51805B46"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 xml:space="preserve">The National Archives (2020), 1834 Poor Law, available at: </w:t>
      </w:r>
      <w:hyperlink r:id="rId13" w:history="1">
        <w:r w:rsidRPr="00787A01">
          <w:rPr>
            <w:rStyle w:val="Hyperlink0"/>
            <w:rFonts w:ascii="Arial" w:hAnsi="Arial" w:cs="Arial"/>
            <w:sz w:val="24"/>
            <w:szCs w:val="24"/>
            <w:u w:val="none"/>
          </w:rPr>
          <w:t>https://www.nationalarchives.gov.uk/education/resources/1834-poor-law/</w:t>
        </w:r>
      </w:hyperlink>
      <w:r w:rsidRPr="00787A01">
        <w:rPr>
          <w:rFonts w:ascii="Arial" w:hAnsi="Arial" w:cs="Arial"/>
          <w:sz w:val="24"/>
          <w:szCs w:val="24"/>
        </w:rPr>
        <w:t>, accessed on May 2020.</w:t>
      </w:r>
    </w:p>
    <w:p w14:paraId="443A7B53" w14:textId="77777777" w:rsidR="00787A01" w:rsidRPr="00787A01" w:rsidRDefault="00787A01" w:rsidP="003A2EFA">
      <w:pPr>
        <w:pStyle w:val="Body"/>
        <w:spacing w:line="360" w:lineRule="auto"/>
        <w:rPr>
          <w:rFonts w:ascii="Arial" w:hAnsi="Arial" w:cs="Arial"/>
          <w:sz w:val="24"/>
          <w:szCs w:val="24"/>
        </w:rPr>
      </w:pPr>
    </w:p>
    <w:p w14:paraId="36F50554" w14:textId="0C018B55" w:rsidR="00787A01" w:rsidRPr="00787A01" w:rsidRDefault="00787A01" w:rsidP="003A2EFA">
      <w:pPr>
        <w:pStyle w:val="Body"/>
        <w:spacing w:line="360" w:lineRule="auto"/>
        <w:rPr>
          <w:rFonts w:ascii="Arial" w:hAnsi="Arial" w:cs="Arial"/>
          <w:sz w:val="24"/>
          <w:szCs w:val="24"/>
        </w:rPr>
      </w:pPr>
      <w:r w:rsidRPr="00787A01">
        <w:rPr>
          <w:rFonts w:ascii="Arial" w:hAnsi="Arial" w:cs="Arial"/>
          <w:sz w:val="24"/>
          <w:szCs w:val="24"/>
        </w:rPr>
        <w:t xml:space="preserve">Webster, C. (1988), Origins of the NHS. Lessons from History. Volume 2, Issue 2, page 33-36. Published online 2008, available at: </w:t>
      </w:r>
      <w:hyperlink r:id="rId14" w:history="1">
        <w:r w:rsidRPr="00787A01">
          <w:rPr>
            <w:rStyle w:val="Hyperlink0"/>
            <w:rFonts w:ascii="Arial" w:hAnsi="Arial" w:cs="Arial"/>
            <w:sz w:val="24"/>
            <w:szCs w:val="24"/>
            <w:u w:val="none"/>
          </w:rPr>
          <w:t>https://www.tandfonline.com/doi/abs/10.1080/13619468808580971?journalCode=fcbh19</w:t>
        </w:r>
      </w:hyperlink>
      <w:r w:rsidRPr="00787A01">
        <w:rPr>
          <w:rFonts w:ascii="Arial" w:hAnsi="Arial" w:cs="Arial"/>
          <w:sz w:val="24"/>
          <w:szCs w:val="24"/>
        </w:rPr>
        <w:t>, accessed on May 2020.</w:t>
      </w:r>
    </w:p>
    <w:sectPr w:rsidR="00787A01" w:rsidRPr="00787A01">
      <w:headerReference w:type="default" r:id="rId15"/>
      <w:footerReference w:type="default" r:id="rId16"/>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DDA307" w14:textId="77777777" w:rsidR="00F31947" w:rsidRDefault="00F31947">
      <w:r>
        <w:separator/>
      </w:r>
    </w:p>
  </w:endnote>
  <w:endnote w:type="continuationSeparator" w:id="0">
    <w:p w14:paraId="4DCD6897" w14:textId="77777777" w:rsidR="00F31947" w:rsidRDefault="00F31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C51A85" w14:textId="77777777" w:rsidR="002414BB" w:rsidRDefault="002414B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580079" w14:textId="77777777" w:rsidR="00F31947" w:rsidRDefault="00F31947">
      <w:r>
        <w:separator/>
      </w:r>
    </w:p>
  </w:footnote>
  <w:footnote w:type="continuationSeparator" w:id="0">
    <w:p w14:paraId="0C024207" w14:textId="77777777" w:rsidR="00F31947" w:rsidRDefault="00F319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CC52B" w14:textId="77777777" w:rsidR="002414BB" w:rsidRDefault="002414B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DC376E"/>
    <w:multiLevelType w:val="hybridMultilevel"/>
    <w:tmpl w:val="1D5E1020"/>
    <w:numStyleLink w:val="Dash"/>
  </w:abstractNum>
  <w:abstractNum w:abstractNumId="1" w15:restartNumberingAfterBreak="0">
    <w:nsid w:val="3C46017F"/>
    <w:multiLevelType w:val="hybridMultilevel"/>
    <w:tmpl w:val="1D5E1020"/>
    <w:styleLink w:val="Dash"/>
    <w:lvl w:ilvl="0" w:tplc="E480A2D4">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15DC1114">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8CD8A97A">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5DDE83B0">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7212BD36">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5C0CA0CE">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871A65E2">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303E253E">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305462E2">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4BB"/>
    <w:rsid w:val="002414BB"/>
    <w:rsid w:val="003A2EFA"/>
    <w:rsid w:val="00506A9F"/>
    <w:rsid w:val="005D5E87"/>
    <w:rsid w:val="00787A01"/>
    <w:rsid w:val="009E030F"/>
    <w:rsid w:val="00A8694E"/>
    <w:rsid w:val="00E77A55"/>
    <w:rsid w:val="00F31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71DAB"/>
  <w15:docId w15:val="{A37DD83A-F197-4D56-AA6D-23F1024A5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3">
    <w:name w:val="heading 3"/>
    <w:next w:val="Body"/>
    <w:uiPriority w:val="9"/>
    <w:unhideWhenUsed/>
    <w:qFormat/>
    <w:pPr>
      <w:keepNext/>
      <w:pBdr>
        <w:top w:val="single" w:sz="4" w:space="0" w:color="515151"/>
      </w:pBdr>
      <w:spacing w:before="360" w:after="40" w:line="288" w:lineRule="auto"/>
      <w:outlineLvl w:val="2"/>
    </w:pPr>
    <w:rPr>
      <w:rFonts w:ascii="Helvetica Neue" w:hAnsi="Helvetica Neue" w:cs="Arial Unicode MS"/>
      <w:color w:val="000000"/>
      <w:spacing w:val="5"/>
      <w:sz w:val="28"/>
      <w:szCs w:val="2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styleId="Subtitle">
    <w:name w:val="Subtitle"/>
    <w:next w:val="Body"/>
    <w:uiPriority w:val="11"/>
    <w:qFormat/>
    <w:pPr>
      <w:keepNext/>
    </w:pPr>
    <w:rPr>
      <w:rFonts w:ascii="Helvetica Neue" w:hAnsi="Helvetica Neue" w:cs="Arial Unicode MS"/>
      <w:color w:val="000000"/>
      <w:sz w:val="40"/>
      <w:szCs w:val="40"/>
      <w:lang w:val="en-US"/>
      <w14:textOutline w14:w="0" w14:cap="flat" w14:cmpd="sng" w14:algn="ctr">
        <w14:noFill/>
        <w14:prstDash w14:val="solid"/>
        <w14:bevel/>
      </w14:textOutline>
    </w:rPr>
  </w:style>
  <w:style w:type="numbering" w:customStyle="1" w:styleId="Dash">
    <w:name w:val="Dash"/>
    <w:pPr>
      <w:numPr>
        <w:numId w:val="1"/>
      </w:numPr>
    </w:p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parliament.uk/about/living-heritage/transformingsociety/livinglearning/19thcentury/overview/poorlaw/" TargetMode="External"/><Relationship Id="rId13" Type="http://schemas.openxmlformats.org/officeDocument/2006/relationships/hyperlink" Target="https://www.nationalarchives.gov.uk/education/resources/1834-poor-law/"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historyhome.co.uk/peel/poorlaw/poorlaw.htm" TargetMode="External"/><Relationship Id="rId12" Type="http://schemas.openxmlformats.org/officeDocument/2006/relationships/hyperlink" Target="http://www.spicker.uk/social-policy/uk.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litics.co.uk/reference/education-leaving-ag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politics.co.uk" TargetMode="External"/><Relationship Id="rId4" Type="http://schemas.openxmlformats.org/officeDocument/2006/relationships/webSettings" Target="webSettings.xml"/><Relationship Id="rId9" Type="http://schemas.openxmlformats.org/officeDocument/2006/relationships/hyperlink" Target="http://www.lse.ac.uk/social-policy/about-us/What-is-social-policy" TargetMode="External"/><Relationship Id="rId14" Type="http://schemas.openxmlformats.org/officeDocument/2006/relationships/hyperlink" Target="https://www.tandfonline.com/doi/abs/10.1080/13619468808580971?journalCode=fcbh19"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2422</Words>
  <Characters>13810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6</cp:revision>
  <dcterms:created xsi:type="dcterms:W3CDTF">2020-05-29T20:36:00Z</dcterms:created>
  <dcterms:modified xsi:type="dcterms:W3CDTF">2020-05-29T20:53:00Z</dcterms:modified>
</cp:coreProperties>
</file>