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CDEA0B6" wp14:paraId="2C078E63" wp14:textId="688FACE3">
      <w:pPr>
        <w:pStyle w:val="Title"/>
      </w:pPr>
      <w:r w:rsidR="3CF7FB03">
        <w:rPr/>
        <w:t>L</w:t>
      </w:r>
      <w:r w:rsidR="47FBDBB7">
        <w:rPr/>
        <w:t>eading</w:t>
      </w:r>
      <w:r w:rsidR="00276AB0">
        <w:rPr/>
        <w:t xml:space="preserve"> </w:t>
      </w:r>
      <w:r w:rsidR="0D1EAFF6">
        <w:rPr/>
        <w:t>A</w:t>
      </w:r>
      <w:r w:rsidR="00276AB0">
        <w:rPr/>
        <w:t xml:space="preserve">nd </w:t>
      </w:r>
      <w:r w:rsidR="3F21CB5E">
        <w:rPr/>
        <w:t>I</w:t>
      </w:r>
      <w:r w:rsidR="7726C20E">
        <w:rPr/>
        <w:t>mplementing</w:t>
      </w:r>
      <w:r w:rsidR="00276AB0">
        <w:rPr/>
        <w:t xml:space="preserve"> </w:t>
      </w:r>
      <w:r w:rsidR="2227F6E8">
        <w:rPr/>
        <w:t>C</w:t>
      </w:r>
      <w:r w:rsidR="2929450D">
        <w:rPr/>
        <w:t xml:space="preserve">hange </w:t>
      </w:r>
    </w:p>
    <w:p w:rsidR="0CDEA0B6" w:rsidP="0CDEA0B6" w:rsidRDefault="0CDEA0B6" w14:paraId="3B1EC231" w14:textId="478E3295">
      <w:pPr>
        <w:pStyle w:val="Normal"/>
      </w:pPr>
    </w:p>
    <w:p w:rsidR="0CDEA0B6" w:rsidP="0CDEA0B6" w:rsidRDefault="0CDEA0B6" w14:paraId="2B90AEA2" w14:textId="52A19E06">
      <w:pPr>
        <w:pStyle w:val="Normal"/>
      </w:pPr>
    </w:p>
    <w:p w:rsidR="13520BB0" w:rsidP="0CDEA0B6" w:rsidRDefault="13520BB0" w14:paraId="57235843" w14:textId="3F999776">
      <w:pPr>
        <w:pStyle w:val="Title"/>
      </w:pPr>
      <w:r w:rsidR="13520BB0">
        <w:rPr/>
        <w:t>Assignment</w:t>
      </w:r>
      <w:r w:rsidR="52207406">
        <w:rPr/>
        <w:t xml:space="preserve">: </w:t>
      </w:r>
      <w:r w:rsidR="41765FA7">
        <w:rPr/>
        <w:t>Report on Aston Martin</w:t>
      </w:r>
    </w:p>
    <w:p w:rsidR="0CDEA0B6" w:rsidP="0CDEA0B6" w:rsidRDefault="0CDEA0B6" w14:paraId="1F00DDE9" w14:textId="58721388">
      <w:pPr>
        <w:pStyle w:val="Normal"/>
      </w:pPr>
    </w:p>
    <w:p w:rsidR="0CDEA0B6" w:rsidP="0CDEA0B6" w:rsidRDefault="0CDEA0B6" w14:paraId="02CCF8BF" w14:textId="5EEE6373">
      <w:pPr>
        <w:pStyle w:val="Normal"/>
      </w:pPr>
    </w:p>
    <w:p w:rsidR="41765FA7" w:rsidP="0CDEA0B6" w:rsidRDefault="41765FA7" w14:paraId="244ECE6F" w14:textId="008990E9">
      <w:pPr>
        <w:pStyle w:val="Title"/>
        <w:rPr>
          <w:rFonts w:ascii="Arial" w:hAnsi="Arial" w:eastAsia="Arial" w:cs="Arial"/>
        </w:rPr>
      </w:pPr>
      <w:r w:rsidR="41765FA7">
        <w:rPr/>
        <w:t>Student Name: Ishwok Mohammed</w:t>
      </w:r>
    </w:p>
    <w:p w:rsidR="0CDEA0B6" w:rsidP="0CDEA0B6" w:rsidRDefault="0CDEA0B6" w14:paraId="22BA284C" w14:textId="098C4DFE">
      <w:pPr>
        <w:pStyle w:val="Normal"/>
      </w:pPr>
    </w:p>
    <w:p w:rsidR="41765FA7" w:rsidP="0CDEA0B6" w:rsidRDefault="41765FA7" w14:paraId="438BF0D2" w14:textId="29F88385">
      <w:pPr>
        <w:pStyle w:val="Title"/>
      </w:pPr>
      <w:r w:rsidR="41765FA7">
        <w:rPr/>
        <w:t>Student ID:2323786</w:t>
      </w:r>
    </w:p>
    <w:p w:rsidR="0CDEA0B6" w:rsidP="0CDEA0B6" w:rsidRDefault="0CDEA0B6" w14:paraId="2FC00CF4" w14:textId="6C6DDBA1">
      <w:pPr>
        <w:pStyle w:val="Normal"/>
      </w:pPr>
    </w:p>
    <w:p w:rsidR="41765FA7" w:rsidP="0CDEA0B6" w:rsidRDefault="41765FA7" w14:paraId="06FA49C0" w14:textId="365B9E58">
      <w:pPr>
        <w:pStyle w:val="Title"/>
      </w:pPr>
      <w:r w:rsidR="41765FA7">
        <w:rPr/>
        <w:t xml:space="preserve">Lecturer: </w:t>
      </w:r>
      <w:r w:rsidRPr="0CDEA0B6" w:rsidR="41765FA7">
        <w:rPr>
          <w:noProof w:val="0"/>
          <w:lang w:val="en-US"/>
        </w:rPr>
        <w:t xml:space="preserve">Taonga Kaonga </w:t>
      </w:r>
      <w:r w:rsidRPr="0CDEA0B6" w:rsidR="629165B8">
        <w:rPr>
          <w:noProof w:val="0"/>
          <w:lang w:val="en-US"/>
        </w:rPr>
        <w:t>Sobere</w:t>
      </w:r>
    </w:p>
    <w:p w:rsidR="41765FA7" w:rsidP="0CDEA0B6" w:rsidRDefault="41765FA7" w14:paraId="509F5485" w14:textId="74C1D635">
      <w:pPr>
        <w:pStyle w:val="Title"/>
        <w:rPr>
          <w:noProof w:val="0"/>
          <w:lang w:val="en-US"/>
        </w:rPr>
      </w:pPr>
      <w:r w:rsidRPr="0CDEA0B6" w:rsidR="41765FA7">
        <w:rPr>
          <w:noProof w:val="0"/>
          <w:lang w:val="en-US"/>
        </w:rPr>
        <w:t>-Snithers</w:t>
      </w:r>
    </w:p>
    <w:p w:rsidR="0CDEA0B6" w:rsidP="0CDEA0B6" w:rsidRDefault="0CDEA0B6" w14:paraId="2628C986" w14:textId="57D3A8A6">
      <w:pPr>
        <w:pStyle w:val="Normal"/>
        <w:rPr>
          <w:noProof w:val="0"/>
          <w:lang w:val="en-US"/>
        </w:rPr>
      </w:pPr>
    </w:p>
    <w:p w:rsidR="3533F734" w:rsidP="0CDEA0B6" w:rsidRDefault="3533F734" w14:paraId="60523352" w14:textId="0EF15D9D">
      <w:pPr>
        <w:pStyle w:val="Title"/>
        <w:spacing w:before="0" w:beforeAutospacing="off" w:after="0" w:afterAutospacing="off"/>
        <w:rPr>
          <w:noProof w:val="0"/>
          <w:lang w:val="en-US"/>
        </w:rPr>
      </w:pPr>
      <w:r w:rsidRPr="0CDEA0B6" w:rsidR="3533F734">
        <w:rPr>
          <w:noProof w:val="0"/>
          <w:lang w:val="en-US"/>
        </w:rPr>
        <w:t>Module: LCLM6003</w:t>
      </w:r>
      <w:r w:rsidRPr="0CDEA0B6" w:rsidR="0C6CFBB1">
        <w:rPr>
          <w:noProof w:val="0"/>
          <w:lang w:val="en-US"/>
        </w:rPr>
        <w:t xml:space="preserve"> </w:t>
      </w:r>
    </w:p>
    <w:p w:rsidR="0CDEA0B6" w:rsidP="0CDEA0B6" w:rsidRDefault="0CDEA0B6" w14:paraId="3E6B3E0F" w14:textId="38387374">
      <w:pPr>
        <w:pStyle w:val="Title"/>
        <w:spacing w:before="0" w:beforeAutospacing="off" w:after="0" w:afterAutospacing="off"/>
        <w:rPr>
          <w:noProof w:val="0"/>
          <w:lang w:val="en-US"/>
        </w:rPr>
      </w:pPr>
    </w:p>
    <w:p w:rsidR="0CDEA0B6" w:rsidP="0CDEA0B6" w:rsidRDefault="0CDEA0B6" w14:paraId="719B3AF5" w14:textId="23304B51">
      <w:pPr>
        <w:pStyle w:val="Title"/>
        <w:spacing w:before="0" w:beforeAutospacing="off" w:after="0" w:afterAutospacing="off"/>
        <w:rPr>
          <w:noProof w:val="0"/>
          <w:lang w:val="en-US"/>
        </w:rPr>
      </w:pPr>
    </w:p>
    <w:p w:rsidR="0CDEA0B6" w:rsidP="0CDEA0B6" w:rsidRDefault="0CDEA0B6" w14:paraId="183E292C" w14:textId="7741431B">
      <w:pPr>
        <w:pStyle w:val="Title"/>
        <w:spacing w:before="0" w:beforeAutospacing="off" w:after="0" w:afterAutospacing="off"/>
        <w:rPr>
          <w:noProof w:val="0"/>
          <w:lang w:val="en-US"/>
        </w:rPr>
      </w:pPr>
    </w:p>
    <w:p w:rsidR="0CDEA0B6" w:rsidP="0CDEA0B6" w:rsidRDefault="0CDEA0B6" w14:paraId="15B57B41" w14:textId="49EB05D7">
      <w:pPr>
        <w:pStyle w:val="Title"/>
        <w:spacing w:before="0" w:beforeAutospacing="off" w:after="0" w:afterAutospacing="off"/>
        <w:rPr>
          <w:noProof w:val="0"/>
          <w:lang w:val="en-US"/>
        </w:rPr>
      </w:pPr>
    </w:p>
    <w:p w:rsidR="0CDEA0B6" w:rsidP="0CDEA0B6" w:rsidRDefault="0CDEA0B6" w14:paraId="67C1831E" w14:textId="5AE399D5">
      <w:pPr>
        <w:pStyle w:val="Title"/>
        <w:spacing w:before="0" w:beforeAutospacing="off" w:after="0" w:afterAutospacing="off"/>
        <w:rPr>
          <w:noProof w:val="0"/>
          <w:lang w:val="en-US"/>
        </w:rPr>
      </w:pPr>
    </w:p>
    <w:p w:rsidR="0CDEA0B6" w:rsidP="0CDEA0B6" w:rsidRDefault="0CDEA0B6" w14:paraId="6A467774" w14:textId="31BAC9FF">
      <w:pPr>
        <w:pStyle w:val="Title"/>
        <w:spacing w:before="0" w:beforeAutospacing="off" w:after="0" w:afterAutospacing="off"/>
        <w:rPr>
          <w:noProof w:val="0"/>
          <w:lang w:val="en-US"/>
        </w:rPr>
      </w:pPr>
    </w:p>
    <w:p w:rsidR="0CDEA0B6" w:rsidP="50B301CB" w:rsidRDefault="0CDEA0B6" w14:paraId="4AE1ED6C" w14:textId="2C4A7A87">
      <w:pPr>
        <w:pStyle w:val="Heading1"/>
      </w:pPr>
      <w:r w:rsidRPr="50B301CB" w:rsidR="0AB0D082">
        <w:rPr>
          <w:noProof w:val="0"/>
          <w:lang w:val="en-US"/>
        </w:rPr>
        <w:t>Introduction</w:t>
      </w:r>
    </w:p>
    <w:p w:rsidR="0CDEA0B6" w:rsidP="50B301CB" w:rsidRDefault="0CDEA0B6" w14:paraId="5DDDF632" w14:textId="7F062B4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The global automotive industry is experiencing significant transformation due to technological innovation, environmental concerns, and changing consumer expectations. Automotive manufacturers are increasingly investing in </w:t>
      </w:r>
      <w:r w:rsidRPr="50B301CB" w:rsidR="6BBCBD4F">
        <w:rPr>
          <w:rFonts w:ascii="Arial" w:hAnsi="Arial" w:eastAsia="Arial" w:cs="Arial"/>
          <w:b w:val="0"/>
          <w:bCs w:val="0"/>
          <w:i w:val="0"/>
          <w:iCs w:val="0"/>
          <w:caps w:val="0"/>
          <w:smallCaps w:val="0"/>
          <w:noProof w:val="0"/>
          <w:color w:val="242424"/>
          <w:sz w:val="24"/>
          <w:szCs w:val="24"/>
          <w:lang w:val="en-US"/>
        </w:rPr>
        <w:t>digitalization</w:t>
      </w:r>
      <w:r w:rsidRPr="50B301CB" w:rsidR="0AB0D082">
        <w:rPr>
          <w:rFonts w:ascii="Arial" w:hAnsi="Arial" w:eastAsia="Arial" w:cs="Arial"/>
          <w:b w:val="0"/>
          <w:bCs w:val="0"/>
          <w:i w:val="0"/>
          <w:iCs w:val="0"/>
          <w:caps w:val="0"/>
          <w:smallCaps w:val="0"/>
          <w:noProof w:val="0"/>
          <w:color w:val="242424"/>
          <w:sz w:val="24"/>
          <w:szCs w:val="24"/>
          <w:lang w:val="en-US"/>
        </w:rPr>
        <w:t xml:space="preserve">, artificial intelligence (AI), automation, and electric vehicle (EV) technology to remain competitive in a rapidly evolving market. According to the International Energy Agency (2024), electric vehicles accounted for approximately 18% of global car sales in 2024, </w:t>
      </w:r>
      <w:r w:rsidRPr="50B301CB" w:rsidR="0AB0D082">
        <w:rPr>
          <w:rFonts w:ascii="Arial" w:hAnsi="Arial" w:eastAsia="Arial" w:cs="Arial"/>
          <w:b w:val="0"/>
          <w:bCs w:val="0"/>
          <w:i w:val="0"/>
          <w:iCs w:val="0"/>
          <w:caps w:val="0"/>
          <w:smallCaps w:val="0"/>
          <w:noProof w:val="0"/>
          <w:color w:val="242424"/>
          <w:sz w:val="24"/>
          <w:szCs w:val="24"/>
          <w:lang w:val="en-US"/>
        </w:rPr>
        <w:t>demonstrating</w:t>
      </w:r>
      <w:r w:rsidRPr="50B301CB" w:rsidR="0AB0D082">
        <w:rPr>
          <w:rFonts w:ascii="Arial" w:hAnsi="Arial" w:eastAsia="Arial" w:cs="Arial"/>
          <w:b w:val="0"/>
          <w:bCs w:val="0"/>
          <w:i w:val="0"/>
          <w:iCs w:val="0"/>
          <w:caps w:val="0"/>
          <w:smallCaps w:val="0"/>
          <w:noProof w:val="0"/>
          <w:color w:val="242424"/>
          <w:sz w:val="24"/>
          <w:szCs w:val="24"/>
          <w:lang w:val="en-US"/>
        </w:rPr>
        <w:t xml:space="preserve"> the growing demand for sustainable transportation. At the same time, governments worldwide are introducing stricter environmental regulations and carbon reduction targets, placing </w:t>
      </w:r>
      <w:r w:rsidRPr="50B301CB" w:rsidR="0AB0D082">
        <w:rPr>
          <w:rFonts w:ascii="Arial" w:hAnsi="Arial" w:eastAsia="Arial" w:cs="Arial"/>
          <w:b w:val="0"/>
          <w:bCs w:val="0"/>
          <w:i w:val="0"/>
          <w:iCs w:val="0"/>
          <w:caps w:val="0"/>
          <w:smallCaps w:val="0"/>
          <w:noProof w:val="0"/>
          <w:color w:val="242424"/>
          <w:sz w:val="24"/>
          <w:szCs w:val="24"/>
          <w:lang w:val="en-US"/>
        </w:rPr>
        <w:t>additional</w:t>
      </w:r>
      <w:r w:rsidRPr="50B301CB" w:rsidR="0AB0D082">
        <w:rPr>
          <w:rFonts w:ascii="Arial" w:hAnsi="Arial" w:eastAsia="Arial" w:cs="Arial"/>
          <w:b w:val="0"/>
          <w:bCs w:val="0"/>
          <w:i w:val="0"/>
          <w:iCs w:val="0"/>
          <w:caps w:val="0"/>
          <w:smallCaps w:val="0"/>
          <w:noProof w:val="0"/>
          <w:color w:val="242424"/>
          <w:sz w:val="24"/>
          <w:szCs w:val="24"/>
          <w:lang w:val="en-US"/>
        </w:rPr>
        <w:t xml:space="preserve"> pressure on vehicle manufacturers to develop cleaner and more efficient mobility solutions (World Economic Forum, 2024).</w:t>
      </w:r>
    </w:p>
    <w:p w:rsidR="0CDEA0B6" w:rsidP="50B301CB" w:rsidRDefault="0CDEA0B6" w14:paraId="431D30FB" w14:textId="10A680D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Aston Martin, a British luxury automotive manufacturer headquartered in Gaydon, England, is one of the companies affected by these industry changes. Known for its high-performance sports cars and luxury vehicles, Aston Martin operates in a highly competitive market alongside brands such as Ferrari, Porsche, and Bentley. Despite its strong global reputation, the company faces challenges including rising production costs, supply chain disruptions, increasing competition from electric vehicle manufacturers, and changing customer preferences towards sustainable vehicles (Aston Martin, 2024). These factors have created a need for strategic transformation to ensure long-term competitiveness and profitability.</w:t>
      </w:r>
    </w:p>
    <w:p w:rsidR="0CDEA0B6" w:rsidP="50B301CB" w:rsidRDefault="0CDEA0B6" w14:paraId="709994AF" w14:textId="25B120C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To respond to these challenges, Aston Martin has introduced its Racing Green sustainability strategy, which is the change initiative examined in this report. The strategy focuses on electrification, sustainability, and digital innovation through the development of hybrid and fully electric vehicles, reductions in carbon emissions, and investment in advanced technologies (Deloitte, 2024). This initiative reflects the company's commitment to adapting to changing market conditions while maintaining its luxury brand position.</w:t>
      </w:r>
    </w:p>
    <w:p w:rsidR="0CDEA0B6" w:rsidP="50B301CB" w:rsidRDefault="0CDEA0B6" w14:paraId="512482AA" w14:textId="535A8C5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This report critically evaluates the internal and external factors affecting Aston Martin and analyses how strategic change management can support </w:t>
      </w:r>
      <w:r w:rsidRPr="50B301CB" w:rsidR="0AB0D082">
        <w:rPr>
          <w:rFonts w:ascii="Arial" w:hAnsi="Arial" w:eastAsia="Arial" w:cs="Arial"/>
          <w:b w:val="0"/>
          <w:bCs w:val="0"/>
          <w:i w:val="0"/>
          <w:iCs w:val="0"/>
          <w:caps w:val="0"/>
          <w:smallCaps w:val="0"/>
          <w:noProof w:val="0"/>
          <w:color w:val="242424"/>
          <w:sz w:val="24"/>
          <w:szCs w:val="24"/>
          <w:lang w:val="en-US"/>
        </w:rPr>
        <w:t>organizational</w:t>
      </w:r>
      <w:r w:rsidRPr="50B301CB" w:rsidR="0AB0D082">
        <w:rPr>
          <w:rFonts w:ascii="Arial" w:hAnsi="Arial" w:eastAsia="Arial" w:cs="Arial"/>
          <w:b w:val="0"/>
          <w:bCs w:val="0"/>
          <w:i w:val="0"/>
          <w:iCs w:val="0"/>
          <w:caps w:val="0"/>
          <w:smallCaps w:val="0"/>
          <w:noProof w:val="0"/>
          <w:color w:val="242424"/>
          <w:sz w:val="24"/>
          <w:szCs w:val="24"/>
          <w:lang w:val="en-US"/>
        </w:rPr>
        <w:t xml:space="preserve"> growth, sustainability, and future competitiveness within the evolving automotive industry (Kotter, 2012).</w:t>
      </w:r>
    </w:p>
    <w:p w:rsidR="0CDEA0B6" w:rsidP="50B301CB" w:rsidRDefault="0CDEA0B6" w14:paraId="3E3C5B62" w14:textId="53A96131">
      <w:pPr>
        <w:pStyle w:val="Heading3"/>
        <w:shd w:val="clear" w:color="auto" w:fill="FFFFFF" w:themeFill="background1"/>
        <w:spacing w:before="0" w:beforeAutospacing="off" w:after="0" w:afterAutospacing="off"/>
        <w:rPr>
          <w:rFonts w:ascii="Arial" w:hAnsi="Arial" w:eastAsia="Arial" w:cs="Arial"/>
          <w:i w:val="0"/>
          <w:iCs w:val="0"/>
          <w:caps w:val="0"/>
          <w:smallCaps w:val="0"/>
          <w:noProof w:val="0"/>
          <w:color w:val="242424"/>
          <w:sz w:val="24"/>
          <w:szCs w:val="24"/>
          <w:lang w:val="en-US"/>
        </w:rPr>
      </w:pPr>
      <w:r w:rsidRPr="50B301CB" w:rsidR="0AB0D082">
        <w:rPr>
          <w:rFonts w:ascii="Arial" w:hAnsi="Arial" w:eastAsia="Arial" w:cs="Arial"/>
          <w:i w:val="0"/>
          <w:iCs w:val="0"/>
          <w:caps w:val="0"/>
          <w:smallCaps w:val="0"/>
          <w:noProof w:val="0"/>
          <w:color w:val="242424"/>
          <w:sz w:val="24"/>
          <w:szCs w:val="24"/>
          <w:lang w:val="en-US"/>
        </w:rPr>
        <w:t>References</w:t>
      </w:r>
    </w:p>
    <w:p w:rsidR="0CDEA0B6" w:rsidP="50B301CB" w:rsidRDefault="0CDEA0B6" w14:paraId="7C1EDBFA" w14:textId="0DFFC22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Aston Martin (2024) </w:t>
      </w:r>
      <w:r w:rsidRPr="50B301CB" w:rsidR="0AB0D082">
        <w:rPr>
          <w:rFonts w:ascii="Arial" w:hAnsi="Arial" w:eastAsia="Arial" w:cs="Arial"/>
          <w:b w:val="0"/>
          <w:bCs w:val="0"/>
          <w:i w:val="1"/>
          <w:iCs w:val="1"/>
          <w:caps w:val="0"/>
          <w:smallCaps w:val="0"/>
          <w:noProof w:val="0"/>
          <w:color w:val="242424"/>
          <w:sz w:val="24"/>
          <w:szCs w:val="24"/>
          <w:lang w:val="en-US"/>
        </w:rPr>
        <w:t>Annual Report 2024</w:t>
      </w:r>
      <w:r w:rsidRPr="50B301CB" w:rsidR="0AB0D082">
        <w:rPr>
          <w:rFonts w:ascii="Arial" w:hAnsi="Arial" w:eastAsia="Arial" w:cs="Arial"/>
          <w:b w:val="0"/>
          <w:bCs w:val="0"/>
          <w:i w:val="0"/>
          <w:iCs w:val="0"/>
          <w:caps w:val="0"/>
          <w:smallCaps w:val="0"/>
          <w:noProof w:val="0"/>
          <w:color w:val="242424"/>
          <w:sz w:val="24"/>
          <w:szCs w:val="24"/>
          <w:lang w:val="en-US"/>
        </w:rPr>
        <w:t xml:space="preserve">. Gaydon: Aston Martin Lagonda Global </w:t>
      </w:r>
      <w:r w:rsidRPr="50B301CB" w:rsidR="0AB0D082">
        <w:rPr>
          <w:rFonts w:ascii="Arial" w:hAnsi="Arial" w:eastAsia="Arial" w:cs="Arial"/>
          <w:b w:val="0"/>
          <w:bCs w:val="0"/>
          <w:i w:val="0"/>
          <w:iCs w:val="0"/>
          <w:caps w:val="0"/>
          <w:smallCaps w:val="0"/>
          <w:noProof w:val="0"/>
          <w:color w:val="242424"/>
          <w:sz w:val="24"/>
          <w:szCs w:val="24"/>
          <w:lang w:val="en-US"/>
        </w:rPr>
        <w:t>Holdings,</w:t>
      </w:r>
      <w:r w:rsidRPr="50B301CB" w:rsidR="0AB0D082">
        <w:rPr>
          <w:rFonts w:ascii="Arial" w:hAnsi="Arial" w:eastAsia="Arial" w:cs="Arial"/>
          <w:b w:val="0"/>
          <w:bCs w:val="0"/>
          <w:i w:val="0"/>
          <w:iCs w:val="0"/>
          <w:caps w:val="0"/>
          <w:smallCaps w:val="0"/>
          <w:noProof w:val="0"/>
          <w:color w:val="242424"/>
          <w:sz w:val="24"/>
          <w:szCs w:val="24"/>
          <w:lang w:val="en-US"/>
        </w:rPr>
        <w:t xml:space="preserve"> plc.</w:t>
      </w:r>
    </w:p>
    <w:p w:rsidR="0CDEA0B6" w:rsidP="50B301CB" w:rsidRDefault="0CDEA0B6" w14:paraId="1B9E7867" w14:textId="55427F2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Deloitte (2024) </w:t>
      </w:r>
      <w:r w:rsidRPr="50B301CB" w:rsidR="0AB0D082">
        <w:rPr>
          <w:rFonts w:ascii="Arial" w:hAnsi="Arial" w:eastAsia="Arial" w:cs="Arial"/>
          <w:b w:val="0"/>
          <w:bCs w:val="0"/>
          <w:i w:val="1"/>
          <w:iCs w:val="1"/>
          <w:caps w:val="0"/>
          <w:smallCaps w:val="0"/>
          <w:noProof w:val="0"/>
          <w:color w:val="242424"/>
          <w:sz w:val="24"/>
          <w:szCs w:val="24"/>
          <w:lang w:val="en-US"/>
        </w:rPr>
        <w:t>2024 Global Automotive Consumer Study</w:t>
      </w:r>
      <w:r w:rsidRPr="50B301CB" w:rsidR="0AB0D082">
        <w:rPr>
          <w:rFonts w:ascii="Arial" w:hAnsi="Arial" w:eastAsia="Arial" w:cs="Arial"/>
          <w:b w:val="0"/>
          <w:bCs w:val="0"/>
          <w:i w:val="0"/>
          <w:iCs w:val="0"/>
          <w:caps w:val="0"/>
          <w:smallCaps w:val="0"/>
          <w:noProof w:val="0"/>
          <w:color w:val="242424"/>
          <w:sz w:val="24"/>
          <w:szCs w:val="24"/>
          <w:lang w:val="en-US"/>
        </w:rPr>
        <w:t>. London: Deloitte.</w:t>
      </w:r>
    </w:p>
    <w:p w:rsidR="0CDEA0B6" w:rsidP="50B301CB" w:rsidRDefault="0CDEA0B6" w14:paraId="6CC456E5" w14:textId="3645B92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International Energy Agency (2024) </w:t>
      </w:r>
      <w:r w:rsidRPr="50B301CB" w:rsidR="0AB0D082">
        <w:rPr>
          <w:rFonts w:ascii="Arial" w:hAnsi="Arial" w:eastAsia="Arial" w:cs="Arial"/>
          <w:b w:val="0"/>
          <w:bCs w:val="0"/>
          <w:i w:val="1"/>
          <w:iCs w:val="1"/>
          <w:caps w:val="0"/>
          <w:smallCaps w:val="0"/>
          <w:noProof w:val="0"/>
          <w:color w:val="242424"/>
          <w:sz w:val="24"/>
          <w:szCs w:val="24"/>
          <w:lang w:val="en-US"/>
        </w:rPr>
        <w:t>Global EV Outlook 2024</w:t>
      </w:r>
      <w:r w:rsidRPr="50B301CB" w:rsidR="0AB0D082">
        <w:rPr>
          <w:rFonts w:ascii="Arial" w:hAnsi="Arial" w:eastAsia="Arial" w:cs="Arial"/>
          <w:b w:val="0"/>
          <w:bCs w:val="0"/>
          <w:i w:val="0"/>
          <w:iCs w:val="0"/>
          <w:caps w:val="0"/>
          <w:smallCaps w:val="0"/>
          <w:noProof w:val="0"/>
          <w:color w:val="242424"/>
          <w:sz w:val="24"/>
          <w:szCs w:val="24"/>
          <w:lang w:val="en-US"/>
        </w:rPr>
        <w:t>. Paris: IEA.</w:t>
      </w:r>
    </w:p>
    <w:p w:rsidR="0CDEA0B6" w:rsidP="50B301CB" w:rsidRDefault="0CDEA0B6" w14:paraId="55E7522F" w14:textId="278CFAC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Kotter, J.P. (2012)</w:t>
      </w:r>
      <w:r w:rsidRPr="50B301CB" w:rsidR="0AB0D082">
        <w:rPr>
          <w:rFonts w:ascii="Arial" w:hAnsi="Arial" w:eastAsia="Arial" w:cs="Arial"/>
          <w:b w:val="0"/>
          <w:bCs w:val="0"/>
          <w:i w:val="0"/>
          <w:iCs w:val="0"/>
          <w:caps w:val="0"/>
          <w:smallCaps w:val="0"/>
          <w:noProof w:val="0"/>
          <w:color w:val="242424"/>
          <w:sz w:val="24"/>
          <w:szCs w:val="24"/>
          <w:lang w:val="en-US"/>
        </w:rPr>
        <w:t>. Leading</w:t>
      </w:r>
      <w:r w:rsidRPr="50B301CB" w:rsidR="0AB0D082">
        <w:rPr>
          <w:rFonts w:ascii="Arial" w:hAnsi="Arial" w:eastAsia="Arial" w:cs="Arial"/>
          <w:b w:val="0"/>
          <w:bCs w:val="0"/>
          <w:i w:val="1"/>
          <w:iCs w:val="1"/>
          <w:caps w:val="0"/>
          <w:smallCaps w:val="0"/>
          <w:noProof w:val="0"/>
          <w:color w:val="242424"/>
          <w:sz w:val="24"/>
          <w:szCs w:val="24"/>
          <w:lang w:val="en-US"/>
        </w:rPr>
        <w:t xml:space="preserve"> Change</w:t>
      </w:r>
      <w:r w:rsidRPr="50B301CB" w:rsidR="0AB0D082">
        <w:rPr>
          <w:rFonts w:ascii="Arial" w:hAnsi="Arial" w:eastAsia="Arial" w:cs="Arial"/>
          <w:b w:val="0"/>
          <w:bCs w:val="0"/>
          <w:i w:val="0"/>
          <w:iCs w:val="0"/>
          <w:caps w:val="0"/>
          <w:smallCaps w:val="0"/>
          <w:noProof w:val="0"/>
          <w:color w:val="242424"/>
          <w:sz w:val="24"/>
          <w:szCs w:val="24"/>
          <w:lang w:val="en-US"/>
        </w:rPr>
        <w:t>. Boston: Harvard Business Review Press.</w:t>
      </w:r>
    </w:p>
    <w:p w:rsidR="0CDEA0B6" w:rsidP="50B301CB" w:rsidRDefault="0CDEA0B6" w14:paraId="40892DBB" w14:textId="6937F66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42424"/>
          <w:sz w:val="24"/>
          <w:szCs w:val="24"/>
          <w:lang w:val="en-US"/>
        </w:rPr>
      </w:pPr>
      <w:r w:rsidRPr="50B301CB" w:rsidR="0AB0D082">
        <w:rPr>
          <w:rFonts w:ascii="Arial" w:hAnsi="Arial" w:eastAsia="Arial" w:cs="Arial"/>
          <w:b w:val="0"/>
          <w:bCs w:val="0"/>
          <w:i w:val="0"/>
          <w:iCs w:val="0"/>
          <w:caps w:val="0"/>
          <w:smallCaps w:val="0"/>
          <w:noProof w:val="0"/>
          <w:color w:val="242424"/>
          <w:sz w:val="24"/>
          <w:szCs w:val="24"/>
          <w:lang w:val="en-US"/>
        </w:rPr>
        <w:t xml:space="preserve">World Economic Forum (2024) </w:t>
      </w:r>
      <w:r w:rsidRPr="50B301CB" w:rsidR="0AB0D082">
        <w:rPr>
          <w:rFonts w:ascii="Arial" w:hAnsi="Arial" w:eastAsia="Arial" w:cs="Arial"/>
          <w:b w:val="0"/>
          <w:bCs w:val="0"/>
          <w:i w:val="1"/>
          <w:iCs w:val="1"/>
          <w:caps w:val="0"/>
          <w:smallCaps w:val="0"/>
          <w:noProof w:val="0"/>
          <w:color w:val="242424"/>
          <w:sz w:val="24"/>
          <w:szCs w:val="24"/>
          <w:lang w:val="en-US"/>
        </w:rPr>
        <w:t>The Future of Mobility Report</w:t>
      </w:r>
      <w:r w:rsidRPr="50B301CB" w:rsidR="0AB0D082">
        <w:rPr>
          <w:rFonts w:ascii="Arial" w:hAnsi="Arial" w:eastAsia="Arial" w:cs="Arial"/>
          <w:b w:val="0"/>
          <w:bCs w:val="0"/>
          <w:i w:val="0"/>
          <w:iCs w:val="0"/>
          <w:caps w:val="0"/>
          <w:smallCaps w:val="0"/>
          <w:noProof w:val="0"/>
          <w:color w:val="242424"/>
          <w:sz w:val="24"/>
          <w:szCs w:val="24"/>
          <w:lang w:val="en-US"/>
        </w:rPr>
        <w:t>. Geneva: World Economic Forum.</w:t>
      </w:r>
    </w:p>
    <w:p w:rsidR="0CDEA0B6" w:rsidP="50B301CB" w:rsidRDefault="0CDEA0B6" w14:paraId="235AAD91" w14:textId="3219819F">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34db7ed2205a4440"/>
      <w:footerReference w:type="default" r:id="R4e1b31b57f3644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B301CB" w:rsidTr="50B301CB" w14:paraId="173E1FE7">
      <w:trPr>
        <w:trHeight w:val="300"/>
      </w:trPr>
      <w:tc>
        <w:tcPr>
          <w:tcW w:w="3120" w:type="dxa"/>
          <w:tcMar/>
        </w:tcPr>
        <w:p w:rsidR="50B301CB" w:rsidP="50B301CB" w:rsidRDefault="50B301CB" w14:paraId="5E43F3C5" w14:textId="7D0B1968">
          <w:pPr>
            <w:pStyle w:val="Header"/>
            <w:bidi w:val="0"/>
            <w:ind w:left="-115"/>
            <w:jc w:val="left"/>
          </w:pPr>
        </w:p>
      </w:tc>
      <w:tc>
        <w:tcPr>
          <w:tcW w:w="3120" w:type="dxa"/>
          <w:tcMar/>
        </w:tcPr>
        <w:p w:rsidR="50B301CB" w:rsidP="50B301CB" w:rsidRDefault="50B301CB" w14:paraId="3FCBBE20" w14:textId="188C28EC">
          <w:pPr>
            <w:pStyle w:val="Header"/>
            <w:bidi w:val="0"/>
            <w:jc w:val="center"/>
          </w:pPr>
        </w:p>
      </w:tc>
      <w:tc>
        <w:tcPr>
          <w:tcW w:w="3120" w:type="dxa"/>
          <w:tcMar/>
        </w:tcPr>
        <w:p w:rsidR="50B301CB" w:rsidP="50B301CB" w:rsidRDefault="50B301CB" w14:paraId="43DC21C9" w14:textId="5110AB5C">
          <w:pPr>
            <w:pStyle w:val="Header"/>
            <w:bidi w:val="0"/>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B301CB" w:rsidTr="50B301CB" w14:paraId="3EC11476">
      <w:trPr>
        <w:trHeight w:val="300"/>
      </w:trPr>
      <w:tc>
        <w:tcPr>
          <w:tcW w:w="3120" w:type="dxa"/>
          <w:tcMar/>
        </w:tcPr>
        <w:p w:rsidR="50B301CB" w:rsidP="50B301CB" w:rsidRDefault="50B301CB" w14:paraId="42B7F93F" w14:textId="21C9B0BC">
          <w:pPr>
            <w:pStyle w:val="Header"/>
            <w:bidi w:val="0"/>
            <w:ind w:left="-115"/>
            <w:jc w:val="left"/>
          </w:pPr>
        </w:p>
      </w:tc>
      <w:tc>
        <w:tcPr>
          <w:tcW w:w="3120" w:type="dxa"/>
          <w:tcMar/>
        </w:tcPr>
        <w:p w:rsidR="50B301CB" w:rsidP="50B301CB" w:rsidRDefault="50B301CB" w14:paraId="2B310722" w14:textId="6259CFA6">
          <w:pPr>
            <w:pStyle w:val="Header"/>
            <w:bidi w:val="0"/>
            <w:jc w:val="center"/>
          </w:pPr>
        </w:p>
      </w:tc>
      <w:tc>
        <w:tcPr>
          <w:tcW w:w="3120" w:type="dxa"/>
          <w:tcMar/>
        </w:tcPr>
        <w:p w:rsidR="50B301CB" w:rsidP="50B301CB" w:rsidRDefault="50B301CB" w14:paraId="0D803510" w14:textId="483C705B">
          <w:pPr>
            <w:pStyle w:val="Header"/>
            <w:bidi w:val="0"/>
            <w:ind w:right="-115"/>
            <w:jc w:val="right"/>
          </w:pPr>
        </w:p>
      </w:tc>
    </w:tr>
  </w:tbl>
  <w:p w:rsidR="50B301CB" w:rsidP="50B301CB" w:rsidRDefault="50B301CB" w14:paraId="0074C1BE" w14:textId="4F4032B3">
    <w:pPr>
      <w:pStyle w:val="Header"/>
      <w:bidi w:val="0"/>
    </w:pPr>
  </w:p>
</w:hdr>
</file>

<file path=word/intelligence2.xml><?xml version="1.0" encoding="utf-8"?>
<int2:intelligence xmlns:int2="http://schemas.microsoft.com/office/intelligence/2020/intelligence">
  <int2:observations>
    <int2:textHash int2:hashCode="bzZZvmsF+2MStn" int2:id="kWCOJ9YD">
      <int2:state int2:type="spell" int2:value="Rejected"/>
    </int2:textHash>
    <int2:textHash int2:hashCode="Y7rxyEYEGk+h8X" int2:id="DJI1PMgj">
      <int2:state int2:type="spell" int2:value="Rejected"/>
    </int2:textHash>
    <int2:textHash int2:hashCode="hhZl/C49RqWALW" int2:id="N7NHwutJ">
      <int2:state int2:type="spell" int2:value="Rejected"/>
    </int2:textHash>
    <int2:textHash int2:hashCode="WIJB1fvLF7Cxz7" int2:id="uORyESNo">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AD3E32"/>
    <w:rsid w:val="00276AB0"/>
    <w:rsid w:val="005F64C9"/>
    <w:rsid w:val="00627B7F"/>
    <w:rsid w:val="03AD3E32"/>
    <w:rsid w:val="050B14A1"/>
    <w:rsid w:val="0A3C9A63"/>
    <w:rsid w:val="0AB0D082"/>
    <w:rsid w:val="0C6CFBB1"/>
    <w:rsid w:val="0CDEA0B6"/>
    <w:rsid w:val="0D1EAFF6"/>
    <w:rsid w:val="0DAEC5D8"/>
    <w:rsid w:val="0FB62336"/>
    <w:rsid w:val="10143B8F"/>
    <w:rsid w:val="106F84FC"/>
    <w:rsid w:val="12956706"/>
    <w:rsid w:val="13520BB0"/>
    <w:rsid w:val="161FB7CF"/>
    <w:rsid w:val="1746EFD3"/>
    <w:rsid w:val="175CEF40"/>
    <w:rsid w:val="176A9959"/>
    <w:rsid w:val="18EEA57A"/>
    <w:rsid w:val="1A790FFE"/>
    <w:rsid w:val="1AB86C10"/>
    <w:rsid w:val="1B608E78"/>
    <w:rsid w:val="1FB7BCED"/>
    <w:rsid w:val="20DE3B05"/>
    <w:rsid w:val="215E12CE"/>
    <w:rsid w:val="2227F6E8"/>
    <w:rsid w:val="2264719A"/>
    <w:rsid w:val="2283E595"/>
    <w:rsid w:val="25CDDE3E"/>
    <w:rsid w:val="25E61A89"/>
    <w:rsid w:val="284E8BD5"/>
    <w:rsid w:val="28927BAB"/>
    <w:rsid w:val="2929450D"/>
    <w:rsid w:val="2AF43B0A"/>
    <w:rsid w:val="2C6B408C"/>
    <w:rsid w:val="2CC3EDFE"/>
    <w:rsid w:val="2E002462"/>
    <w:rsid w:val="306A19AF"/>
    <w:rsid w:val="307F089F"/>
    <w:rsid w:val="32162314"/>
    <w:rsid w:val="328F62DE"/>
    <w:rsid w:val="34F190B1"/>
    <w:rsid w:val="3533F734"/>
    <w:rsid w:val="35E9F02D"/>
    <w:rsid w:val="362E52C7"/>
    <w:rsid w:val="3768D5B6"/>
    <w:rsid w:val="38134660"/>
    <w:rsid w:val="3A057CE7"/>
    <w:rsid w:val="3ACE7502"/>
    <w:rsid w:val="3AE27C67"/>
    <w:rsid w:val="3CD612D0"/>
    <w:rsid w:val="3CF7FB03"/>
    <w:rsid w:val="3F21CB5E"/>
    <w:rsid w:val="4091BDB5"/>
    <w:rsid w:val="41765FA7"/>
    <w:rsid w:val="423C3626"/>
    <w:rsid w:val="44B4AC8B"/>
    <w:rsid w:val="47FBDBB7"/>
    <w:rsid w:val="48584DB8"/>
    <w:rsid w:val="490622FF"/>
    <w:rsid w:val="49102B6A"/>
    <w:rsid w:val="49DC517B"/>
    <w:rsid w:val="50B301CB"/>
    <w:rsid w:val="50B4281B"/>
    <w:rsid w:val="52207406"/>
    <w:rsid w:val="52A9361B"/>
    <w:rsid w:val="545DA6D5"/>
    <w:rsid w:val="5752B808"/>
    <w:rsid w:val="582C308A"/>
    <w:rsid w:val="59AB386F"/>
    <w:rsid w:val="5B5EDC44"/>
    <w:rsid w:val="629165B8"/>
    <w:rsid w:val="634B58DC"/>
    <w:rsid w:val="63C0697F"/>
    <w:rsid w:val="64EBEEE8"/>
    <w:rsid w:val="659A4123"/>
    <w:rsid w:val="67B408DC"/>
    <w:rsid w:val="68D0B1B5"/>
    <w:rsid w:val="68EF3958"/>
    <w:rsid w:val="6A2EA15F"/>
    <w:rsid w:val="6BBCBD4F"/>
    <w:rsid w:val="6E6206D7"/>
    <w:rsid w:val="723E2157"/>
    <w:rsid w:val="7726C20E"/>
    <w:rsid w:val="77436AC5"/>
    <w:rsid w:val="78E720CF"/>
    <w:rsid w:val="7AB5AE26"/>
    <w:rsid w:val="7C4ED2D4"/>
    <w:rsid w:val="7CD1B8ED"/>
    <w:rsid w:val="7CF35CF9"/>
    <w:rsid w:val="7D5546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D3E32"/>
  <w15:chartTrackingRefBased/>
  <w15:docId w15:val="{CACD2718-CFFF-4D75-BA33-1B617AEA5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CDEA0B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0CDEA0B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0CDEA0B6"/>
    <w:rPr>
      <w:color w:val="467886"/>
      <w:u w:val="single"/>
    </w:rPr>
  </w:style>
  <w:style w:type="paragraph" w:styleId="Heading2">
    <w:uiPriority w:val="9"/>
    <w:name w:val="heading 2"/>
    <w:basedOn w:val="Normal"/>
    <w:next w:val="Normal"/>
    <w:unhideWhenUsed/>
    <w:qFormat/>
    <w:rsid w:val="0CDEA0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F190B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0B301C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b6afe82469e4686" /><Relationship Type="http://schemas.openxmlformats.org/officeDocument/2006/relationships/header" Target="header.xml" Id="R34db7ed2205a4440" /><Relationship Type="http://schemas.openxmlformats.org/officeDocument/2006/relationships/footer" Target="footer.xml" Id="R4e1b31b57f3644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2026-02-27T09:20:00.9054949Z</dcterms:created>
  <dcterms:modified xsi:type="dcterms:W3CDTF">2026-06-15T09:21:27.3837916Z</dcterms:modified>
  <dc:creator>Ishwok Mohammed (2323786)</dc:creator>
  <lastModifiedBy>Ishwok Mohammed (2323786)</lastModifiedBy>
</coreProperties>
</file>