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4F2F2DB" w14:textId="2D096878" w:rsidR="007D1947" w:rsidRDefault="0068296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68296F">
            <w:rPr>
              <w:rFonts w:asciiTheme="majorHAnsi" w:eastAsiaTheme="majorEastAsia" w:hAnsiTheme="majorHAnsi" w:cstheme="majorBidi"/>
              <w:caps/>
              <w:color w:val="5B9BD5" w:themeColor="accent1"/>
              <w:sz w:val="72"/>
              <w:szCs w:val="72"/>
            </w:rPr>
            <w:t>Current Issues in taxation</w:t>
          </w:r>
        </w:p>
        <w:p w14:paraId="475B7674" w14:textId="1C81CFAA" w:rsidR="007D1947" w:rsidRPr="0068296F" w:rsidRDefault="0068296F">
          <w:pPr>
            <w:pStyle w:val="NoSpacing"/>
            <w:jc w:val="center"/>
            <w:rPr>
              <w:color w:val="5B9BD5" w:themeColor="accent1"/>
              <w:sz w:val="32"/>
              <w:szCs w:val="32"/>
            </w:rPr>
          </w:pPr>
          <w:r w:rsidRPr="0068296F">
            <w:rPr>
              <w:color w:val="5B9BD5" w:themeColor="accent1"/>
              <w:sz w:val="32"/>
              <w:szCs w:val="32"/>
            </w:rPr>
            <w:t>Making Tax Digital for all Tax types</w:t>
          </w:r>
        </w:p>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752"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27T00:00:00Z">
                                    <w:dateFormat w:val="MMMM d, yyyy"/>
                                    <w:lid w:val="en-US"/>
                                    <w:storeMappedDataAs w:val="dateTime"/>
                                    <w:calendar w:val="gregorian"/>
                                  </w:date>
                                </w:sdtPr>
                                <w:sdtContent>
                                  <w:p w14:paraId="52BAF8D9" w14:textId="607930B7" w:rsidR="007D1947" w:rsidRDefault="0068296F">
                                    <w:pPr>
                                      <w:pStyle w:val="NoSpacing"/>
                                      <w:spacing w:after="40"/>
                                      <w:jc w:val="center"/>
                                      <w:rPr>
                                        <w:caps/>
                                        <w:color w:val="5B9BD5" w:themeColor="accent1"/>
                                        <w:sz w:val="28"/>
                                        <w:szCs w:val="28"/>
                                      </w:rPr>
                                    </w:pPr>
                                    <w:r>
                                      <w:rPr>
                                        <w:caps/>
                                        <w:color w:val="5B9BD5" w:themeColor="accent1"/>
                                        <w:sz w:val="28"/>
                                        <w:szCs w:val="28"/>
                                      </w:rPr>
                                      <w:t>March 2</w:t>
                                    </w:r>
                                    <w:r w:rsidR="00C44D05">
                                      <w:rPr>
                                        <w:caps/>
                                        <w:color w:val="5B9BD5" w:themeColor="accent1"/>
                                        <w:sz w:val="28"/>
                                        <w:szCs w:val="28"/>
                                      </w:rPr>
                                      <w:t>7</w:t>
                                    </w:r>
                                    <w:r>
                                      <w:rPr>
                                        <w:caps/>
                                        <w:color w:val="5B9BD5" w:themeColor="accent1"/>
                                        <w:sz w:val="28"/>
                                        <w:szCs w:val="28"/>
                                      </w:rPr>
                                      <w:t>,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7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27T00:00:00Z">
                              <w:dateFormat w:val="MMMM d, yyyy"/>
                              <w:lid w:val="en-US"/>
                              <w:storeMappedDataAs w:val="dateTime"/>
                              <w:calendar w:val="gregorian"/>
                            </w:date>
                          </w:sdtPr>
                          <w:sdtContent>
                            <w:p w14:paraId="52BAF8D9" w14:textId="607930B7" w:rsidR="007D1947" w:rsidRDefault="0068296F">
                              <w:pPr>
                                <w:pStyle w:val="NoSpacing"/>
                                <w:spacing w:after="40"/>
                                <w:jc w:val="center"/>
                                <w:rPr>
                                  <w:caps/>
                                  <w:color w:val="5B9BD5" w:themeColor="accent1"/>
                                  <w:sz w:val="28"/>
                                  <w:szCs w:val="28"/>
                                </w:rPr>
                              </w:pPr>
                              <w:r>
                                <w:rPr>
                                  <w:caps/>
                                  <w:color w:val="5B9BD5" w:themeColor="accent1"/>
                                  <w:sz w:val="28"/>
                                  <w:szCs w:val="28"/>
                                </w:rPr>
                                <w:t>March 2</w:t>
                              </w:r>
                              <w:r w:rsidR="00C44D05">
                                <w:rPr>
                                  <w:caps/>
                                  <w:color w:val="5B9BD5" w:themeColor="accent1"/>
                                  <w:sz w:val="28"/>
                                  <w:szCs w:val="28"/>
                                </w:rPr>
                                <w:t>7</w:t>
                              </w:r>
                              <w:r>
                                <w:rPr>
                                  <w:caps/>
                                  <w:color w:val="5B9BD5" w:themeColor="accent1"/>
                                  <w:sz w:val="28"/>
                                  <w:szCs w:val="28"/>
                                </w:rPr>
                                <w:t>,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E148999" w14:textId="77777777" w:rsidR="0068296F" w:rsidRDefault="0068296F" w:rsidP="0068296F">
          <w:pPr>
            <w:rPr>
              <w:rFonts w:ascii="Arial" w:hAnsi="Arial" w:cs="Arial"/>
              <w:b/>
              <w:bCs/>
            </w:rPr>
          </w:pPr>
        </w:p>
        <w:p w14:paraId="43C5AA19" w14:textId="77777777" w:rsidR="0068296F" w:rsidRDefault="0068296F" w:rsidP="0068296F">
          <w:pPr>
            <w:rPr>
              <w:rFonts w:ascii="Arial" w:hAnsi="Arial" w:cs="Arial"/>
              <w:b/>
              <w:bCs/>
            </w:rPr>
          </w:pPr>
        </w:p>
        <w:p w14:paraId="383D37B1" w14:textId="14EF84C8" w:rsidR="0068296F" w:rsidRDefault="0068296F" w:rsidP="0068296F">
          <w:pPr>
            <w:rPr>
              <w:rFonts w:ascii="Arial" w:hAnsi="Arial" w:cs="Arial"/>
              <w:b/>
              <w:bCs/>
              <w:sz w:val="24"/>
              <w:szCs w:val="24"/>
            </w:rPr>
          </w:pPr>
          <w:r w:rsidRPr="0068296F">
            <w:rPr>
              <w:rFonts w:ascii="Arial" w:hAnsi="Arial" w:cs="Arial"/>
              <w:b/>
              <w:bCs/>
              <w:sz w:val="24"/>
              <w:szCs w:val="24"/>
            </w:rPr>
            <w:t xml:space="preserve">Name: </w:t>
          </w:r>
          <w:r w:rsidRPr="0068296F">
            <w:rPr>
              <w:rFonts w:ascii="Arial" w:hAnsi="Arial" w:cs="Arial"/>
              <w:sz w:val="24"/>
              <w:szCs w:val="24"/>
            </w:rPr>
            <w:t>Buhari Jeng</w:t>
          </w:r>
          <w:r w:rsidRPr="0068296F">
            <w:rPr>
              <w:rFonts w:ascii="Arial" w:hAnsi="Arial" w:cs="Arial"/>
              <w:b/>
              <w:bCs/>
              <w:sz w:val="24"/>
              <w:szCs w:val="24"/>
            </w:rPr>
            <w:t xml:space="preserve"> </w:t>
          </w:r>
        </w:p>
        <w:p w14:paraId="512B6379" w14:textId="4076D2D2" w:rsidR="00E82305" w:rsidRPr="00E82305" w:rsidRDefault="00E82305" w:rsidP="0068296F">
          <w:pPr>
            <w:rPr>
              <w:rFonts w:ascii="Arial" w:hAnsi="Arial" w:cs="Arial"/>
              <w:sz w:val="24"/>
              <w:szCs w:val="24"/>
            </w:rPr>
          </w:pPr>
          <w:r>
            <w:rPr>
              <w:rFonts w:ascii="Arial" w:hAnsi="Arial" w:cs="Arial"/>
              <w:b/>
              <w:bCs/>
              <w:sz w:val="24"/>
              <w:szCs w:val="24"/>
            </w:rPr>
            <w:t>Student Number:</w:t>
          </w:r>
          <w:r w:rsidRPr="00E82305">
            <w:rPr>
              <w:rFonts w:ascii="Arial" w:hAnsi="Arial" w:cs="Arial"/>
              <w:sz w:val="24"/>
              <w:szCs w:val="24"/>
            </w:rPr>
            <w:t xml:space="preserve"> 2206713</w:t>
          </w:r>
        </w:p>
        <w:p w14:paraId="1F8E48C9" w14:textId="4D02D2E9" w:rsidR="0068296F" w:rsidRPr="0068296F" w:rsidRDefault="0068296F" w:rsidP="0068296F">
          <w:pPr>
            <w:ind w:right="-957"/>
            <w:rPr>
              <w:rFonts w:ascii="Arial" w:hAnsi="Arial" w:cs="Arial"/>
              <w:b/>
              <w:sz w:val="24"/>
              <w:szCs w:val="24"/>
            </w:rPr>
          </w:pPr>
          <w:r w:rsidRPr="0068296F">
            <w:rPr>
              <w:rFonts w:ascii="Arial" w:hAnsi="Arial" w:cs="Arial"/>
              <w:b/>
              <w:sz w:val="24"/>
              <w:szCs w:val="24"/>
            </w:rPr>
            <w:t xml:space="preserve">Module: </w:t>
          </w:r>
          <w:r w:rsidRPr="0068296F">
            <w:rPr>
              <w:rFonts w:ascii="Arial" w:hAnsi="Arial" w:cs="Arial"/>
              <w:bCs/>
              <w:sz w:val="24"/>
              <w:szCs w:val="24"/>
            </w:rPr>
            <w:t xml:space="preserve">Taxation </w:t>
          </w:r>
        </w:p>
        <w:p w14:paraId="308B0570" w14:textId="4B570DCA" w:rsidR="0068296F" w:rsidRPr="0068296F" w:rsidRDefault="0068296F" w:rsidP="0068296F">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Cs/>
              <w:sz w:val="24"/>
              <w:szCs w:val="24"/>
            </w:rPr>
          </w:pPr>
          <w:r w:rsidRPr="0068296F">
            <w:rPr>
              <w:rFonts w:ascii="Arial" w:hAnsi="Arial" w:cs="Arial"/>
              <w:b/>
              <w:sz w:val="24"/>
              <w:szCs w:val="24"/>
            </w:rPr>
            <w:t>Module Code:</w:t>
          </w:r>
          <w:r w:rsidRPr="0068296F">
            <w:rPr>
              <w:rFonts w:ascii="Arial" w:hAnsi="Arial" w:cs="Arial"/>
              <w:bCs/>
              <w:sz w:val="24"/>
              <w:szCs w:val="24"/>
            </w:rPr>
            <w:t xml:space="preserve"> BMBM501</w:t>
          </w:r>
          <w:r w:rsidRPr="0068296F">
            <w:rPr>
              <w:rFonts w:ascii="Arial" w:hAnsi="Arial" w:cs="Arial"/>
              <w:bCs/>
              <w:sz w:val="24"/>
              <w:szCs w:val="24"/>
            </w:rPr>
            <w:t>9</w:t>
          </w:r>
        </w:p>
        <w:p w14:paraId="605C58ED" w14:textId="77777777" w:rsidR="0068296F" w:rsidRPr="0068296F" w:rsidRDefault="0068296F" w:rsidP="0068296F">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4"/>
              <w:szCs w:val="24"/>
            </w:rPr>
          </w:pPr>
          <w:r w:rsidRPr="0068296F">
            <w:rPr>
              <w:rFonts w:ascii="Arial" w:hAnsi="Arial" w:cs="Arial"/>
              <w:b/>
              <w:sz w:val="24"/>
              <w:szCs w:val="24"/>
            </w:rPr>
            <w:t xml:space="preserve">Lecturer: </w:t>
          </w:r>
          <w:r w:rsidRPr="0068296F">
            <w:rPr>
              <w:rFonts w:ascii="Arial" w:hAnsi="Arial" w:cs="Arial"/>
              <w:bCs/>
              <w:sz w:val="24"/>
              <w:szCs w:val="24"/>
            </w:rPr>
            <w:t>Marie Pitson</w:t>
          </w:r>
        </w:p>
        <w:p w14:paraId="0A6AEA3D" w14:textId="76861427" w:rsidR="00CA045D" w:rsidRPr="00CA045D" w:rsidRDefault="007D1947" w:rsidP="00084AA8">
          <w:pPr>
            <w:pStyle w:val="Heading1"/>
          </w:pPr>
          <w:r>
            <w:br w:type="page"/>
          </w:r>
          <w:bookmarkStart w:id="0" w:name="_Toc225538035"/>
          <w:r>
            <w:lastRenderedPageBreak/>
            <w:t>Executive Summary</w:t>
          </w:r>
          <w:bookmarkEnd w:id="0"/>
        </w:p>
        <w:p w14:paraId="3E62ADDB" w14:textId="16F06877" w:rsidR="00600813" w:rsidRPr="00600813" w:rsidRDefault="00600813" w:rsidP="00600813">
          <w:pPr>
            <w:rPr>
              <w:rFonts w:ascii="Arial" w:hAnsi="Arial" w:cs="Arial"/>
              <w:sz w:val="24"/>
              <w:szCs w:val="24"/>
            </w:rPr>
          </w:pPr>
          <w:r w:rsidRPr="00600813">
            <w:rPr>
              <w:rFonts w:ascii="Arial" w:hAnsi="Arial" w:cs="Arial"/>
              <w:sz w:val="24"/>
              <w:szCs w:val="24"/>
            </w:rPr>
            <w:t>This report offers a detailed look at Making Tax Digital (MTD), a major change in tax policy introduced by HM Revenue and Customs (HMRC) in the UK. The goal of MTD is to update the tax system by requiring individuals and businesses to keep their tax records digitally and submit their tax returns online. This applies to various types of taxes, including Value Added Tax (VAT), Income Tax, and Corporation Tax. One of the main advantages of MTD is that it can make tax returns more accurate and efficient, as digital records reduce the chances of errors that often occur with paper records.</w:t>
          </w:r>
        </w:p>
        <w:p w14:paraId="2B929FDB" w14:textId="0A7D98D1" w:rsidR="00600813" w:rsidRPr="00600813" w:rsidRDefault="00600813" w:rsidP="00600813">
          <w:pPr>
            <w:rPr>
              <w:rFonts w:ascii="Arial" w:hAnsi="Arial" w:cs="Arial"/>
              <w:sz w:val="24"/>
              <w:szCs w:val="24"/>
            </w:rPr>
          </w:pPr>
          <w:r w:rsidRPr="00600813">
            <w:rPr>
              <w:rFonts w:ascii="Arial" w:hAnsi="Arial" w:cs="Arial"/>
              <w:sz w:val="24"/>
              <w:szCs w:val="24"/>
            </w:rPr>
            <w:t>However, MTD also brings about several challenges. One major concern is the burden of compliance; many taxpayers might find it difficult to adapt to the new digital requirements, especially if they are not familiar with technology. This can lead to issues like digital exclusion, where certain groups, such as the elderly or those in remote areas, may struggle to meet the new standards. Additionally, there are worries about data security, as moving sensitive financial information online can expose taxpayers to risks like cyberattacks or data breaches.</w:t>
          </w:r>
        </w:p>
        <w:p w14:paraId="0E79EAB1" w14:textId="460D31A8" w:rsidR="00600813" w:rsidRPr="00600813" w:rsidRDefault="00600813" w:rsidP="00600813">
          <w:pPr>
            <w:rPr>
              <w:rFonts w:ascii="Arial" w:hAnsi="Arial" w:cs="Arial"/>
              <w:sz w:val="24"/>
              <w:szCs w:val="24"/>
            </w:rPr>
          </w:pPr>
          <w:r w:rsidRPr="00600813">
            <w:rPr>
              <w:rFonts w:ascii="Arial" w:hAnsi="Arial" w:cs="Arial"/>
              <w:sz w:val="24"/>
              <w:szCs w:val="24"/>
            </w:rPr>
            <w:t>The report examines these challenges by referencing relevant laws, court cases, and academic studies to provide a well-rounded understanding of MTD's impact on the UK's tax system. It suggests recommendations for policymakers to consider, aiming to facilitate the smooth implementation of MTD while ensuring that the needs of taxpayers are met. This balance is crucial for achieving the objectives set out by the tax system without alienating those who may find it difficult to adapt to such changes.</w:t>
          </w:r>
        </w:p>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bookmarkStart w:id="1" w:name="_Hlk225537958"/>
            <w:p w14:paraId="53A9B504" w14:textId="02EE248A" w:rsidR="00DC1FD6" w:rsidRPr="00247190" w:rsidRDefault="007D1947">
              <w:pPr>
                <w:pStyle w:val="TOC1"/>
                <w:tabs>
                  <w:tab w:val="right" w:leader="dot" w:pos="9016"/>
                </w:tabs>
                <w:rPr>
                  <w:rFonts w:ascii="Arial" w:eastAsiaTheme="minorEastAsia" w:hAnsi="Arial" w:cs="Arial"/>
                  <w:noProof/>
                  <w:kern w:val="2"/>
                  <w:sz w:val="24"/>
                  <w:szCs w:val="24"/>
                  <w:lang w:eastAsia="en-GB"/>
                  <w14:ligatures w14:val="standardContextual"/>
                </w:rPr>
              </w:pPr>
              <w:r>
                <w:fldChar w:fldCharType="begin"/>
              </w:r>
              <w:r>
                <w:instrText xml:space="preserve"> TOC \o "1-3" \h \z \u </w:instrText>
              </w:r>
              <w:r>
                <w:fldChar w:fldCharType="separate"/>
              </w:r>
              <w:hyperlink w:anchor="_Toc225538035" w:history="1">
                <w:r w:rsidR="00DC1FD6" w:rsidRPr="00247190">
                  <w:rPr>
                    <w:rStyle w:val="Hyperlink"/>
                    <w:rFonts w:ascii="Arial" w:hAnsi="Arial" w:cs="Arial"/>
                    <w:noProof/>
                    <w:sz w:val="24"/>
                    <w:szCs w:val="24"/>
                  </w:rPr>
                  <w:t>Executive Summary</w:t>
                </w:r>
                <w:r w:rsidR="00DC1FD6" w:rsidRPr="00247190">
                  <w:rPr>
                    <w:rFonts w:ascii="Arial" w:hAnsi="Arial" w:cs="Arial"/>
                    <w:noProof/>
                    <w:webHidden/>
                    <w:sz w:val="24"/>
                    <w:szCs w:val="24"/>
                  </w:rPr>
                  <w:tab/>
                </w:r>
                <w:r w:rsidR="00DC1FD6" w:rsidRPr="00247190">
                  <w:rPr>
                    <w:rFonts w:ascii="Arial" w:hAnsi="Arial" w:cs="Arial"/>
                    <w:noProof/>
                    <w:webHidden/>
                    <w:sz w:val="24"/>
                    <w:szCs w:val="24"/>
                  </w:rPr>
                  <w:fldChar w:fldCharType="begin"/>
                </w:r>
                <w:r w:rsidR="00DC1FD6" w:rsidRPr="00247190">
                  <w:rPr>
                    <w:rFonts w:ascii="Arial" w:hAnsi="Arial" w:cs="Arial"/>
                    <w:noProof/>
                    <w:webHidden/>
                    <w:sz w:val="24"/>
                    <w:szCs w:val="24"/>
                  </w:rPr>
                  <w:instrText xml:space="preserve"> PAGEREF _Toc225538035 \h </w:instrText>
                </w:r>
                <w:r w:rsidR="00DC1FD6" w:rsidRPr="00247190">
                  <w:rPr>
                    <w:rFonts w:ascii="Arial" w:hAnsi="Arial" w:cs="Arial"/>
                    <w:noProof/>
                    <w:webHidden/>
                    <w:sz w:val="24"/>
                    <w:szCs w:val="24"/>
                  </w:rPr>
                </w:r>
                <w:r w:rsidR="00DC1FD6" w:rsidRPr="00247190">
                  <w:rPr>
                    <w:rFonts w:ascii="Arial" w:hAnsi="Arial" w:cs="Arial"/>
                    <w:noProof/>
                    <w:webHidden/>
                    <w:sz w:val="24"/>
                    <w:szCs w:val="24"/>
                  </w:rPr>
                  <w:fldChar w:fldCharType="separate"/>
                </w:r>
                <w:r w:rsidR="00DC1FD6" w:rsidRPr="00247190">
                  <w:rPr>
                    <w:rFonts w:ascii="Arial" w:hAnsi="Arial" w:cs="Arial"/>
                    <w:noProof/>
                    <w:webHidden/>
                    <w:sz w:val="24"/>
                    <w:szCs w:val="24"/>
                  </w:rPr>
                  <w:t>1</w:t>
                </w:r>
                <w:r w:rsidR="00DC1FD6" w:rsidRPr="00247190">
                  <w:rPr>
                    <w:rFonts w:ascii="Arial" w:hAnsi="Arial" w:cs="Arial"/>
                    <w:noProof/>
                    <w:webHidden/>
                    <w:sz w:val="24"/>
                    <w:szCs w:val="24"/>
                  </w:rPr>
                  <w:fldChar w:fldCharType="end"/>
                </w:r>
              </w:hyperlink>
            </w:p>
            <w:p w14:paraId="30924F58" w14:textId="66243D3B" w:rsidR="00DC1FD6" w:rsidRPr="00247190" w:rsidRDefault="00DC1FD6">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5538036" w:history="1">
                <w:r w:rsidRPr="00247190">
                  <w:rPr>
                    <w:rStyle w:val="Hyperlink"/>
                    <w:rFonts w:ascii="Arial" w:hAnsi="Arial" w:cs="Arial"/>
                    <w:noProof/>
                    <w:sz w:val="24"/>
                    <w:szCs w:val="24"/>
                  </w:rPr>
                  <w:t>Introduction</w:t>
                </w:r>
                <w:r w:rsidRPr="00247190">
                  <w:rPr>
                    <w:rFonts w:ascii="Arial" w:hAnsi="Arial" w:cs="Arial"/>
                    <w:noProof/>
                    <w:webHidden/>
                    <w:sz w:val="24"/>
                    <w:szCs w:val="24"/>
                  </w:rPr>
                  <w:tab/>
                </w:r>
                <w:r w:rsidRPr="00247190">
                  <w:rPr>
                    <w:rFonts w:ascii="Arial" w:hAnsi="Arial" w:cs="Arial"/>
                    <w:noProof/>
                    <w:webHidden/>
                    <w:sz w:val="24"/>
                    <w:szCs w:val="24"/>
                  </w:rPr>
                  <w:fldChar w:fldCharType="begin"/>
                </w:r>
                <w:r w:rsidRPr="00247190">
                  <w:rPr>
                    <w:rFonts w:ascii="Arial" w:hAnsi="Arial" w:cs="Arial"/>
                    <w:noProof/>
                    <w:webHidden/>
                    <w:sz w:val="24"/>
                    <w:szCs w:val="24"/>
                  </w:rPr>
                  <w:instrText xml:space="preserve"> PAGEREF _Toc225538036 \h </w:instrText>
                </w:r>
                <w:r w:rsidRPr="00247190">
                  <w:rPr>
                    <w:rFonts w:ascii="Arial" w:hAnsi="Arial" w:cs="Arial"/>
                    <w:noProof/>
                    <w:webHidden/>
                    <w:sz w:val="24"/>
                    <w:szCs w:val="24"/>
                  </w:rPr>
                </w:r>
                <w:r w:rsidRPr="00247190">
                  <w:rPr>
                    <w:rFonts w:ascii="Arial" w:hAnsi="Arial" w:cs="Arial"/>
                    <w:noProof/>
                    <w:webHidden/>
                    <w:sz w:val="24"/>
                    <w:szCs w:val="24"/>
                  </w:rPr>
                  <w:fldChar w:fldCharType="separate"/>
                </w:r>
                <w:r w:rsidRPr="00247190">
                  <w:rPr>
                    <w:rFonts w:ascii="Arial" w:hAnsi="Arial" w:cs="Arial"/>
                    <w:noProof/>
                    <w:webHidden/>
                    <w:sz w:val="24"/>
                    <w:szCs w:val="24"/>
                  </w:rPr>
                  <w:t>3</w:t>
                </w:r>
                <w:r w:rsidRPr="00247190">
                  <w:rPr>
                    <w:rFonts w:ascii="Arial" w:hAnsi="Arial" w:cs="Arial"/>
                    <w:noProof/>
                    <w:webHidden/>
                    <w:sz w:val="24"/>
                    <w:szCs w:val="24"/>
                  </w:rPr>
                  <w:fldChar w:fldCharType="end"/>
                </w:r>
              </w:hyperlink>
            </w:p>
            <w:p w14:paraId="77FAA43A" w14:textId="21FD169B" w:rsidR="00DC1FD6" w:rsidRPr="00247190" w:rsidRDefault="00DC1FD6">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5538037" w:history="1">
                <w:r w:rsidRPr="00247190">
                  <w:rPr>
                    <w:rStyle w:val="Hyperlink"/>
                    <w:rFonts w:ascii="Arial" w:hAnsi="Arial" w:cs="Arial"/>
                    <w:noProof/>
                    <w:sz w:val="24"/>
                    <w:szCs w:val="24"/>
                  </w:rPr>
                  <w:t>Main Findings</w:t>
                </w:r>
                <w:r w:rsidRPr="00247190">
                  <w:rPr>
                    <w:rFonts w:ascii="Arial" w:hAnsi="Arial" w:cs="Arial"/>
                    <w:noProof/>
                    <w:webHidden/>
                    <w:sz w:val="24"/>
                    <w:szCs w:val="24"/>
                  </w:rPr>
                  <w:tab/>
                </w:r>
                <w:r w:rsidRPr="00247190">
                  <w:rPr>
                    <w:rFonts w:ascii="Arial" w:hAnsi="Arial" w:cs="Arial"/>
                    <w:noProof/>
                    <w:webHidden/>
                    <w:sz w:val="24"/>
                    <w:szCs w:val="24"/>
                  </w:rPr>
                  <w:fldChar w:fldCharType="begin"/>
                </w:r>
                <w:r w:rsidRPr="00247190">
                  <w:rPr>
                    <w:rFonts w:ascii="Arial" w:hAnsi="Arial" w:cs="Arial"/>
                    <w:noProof/>
                    <w:webHidden/>
                    <w:sz w:val="24"/>
                    <w:szCs w:val="24"/>
                  </w:rPr>
                  <w:instrText xml:space="preserve"> PAGEREF _Toc225538037 \h </w:instrText>
                </w:r>
                <w:r w:rsidRPr="00247190">
                  <w:rPr>
                    <w:rFonts w:ascii="Arial" w:hAnsi="Arial" w:cs="Arial"/>
                    <w:noProof/>
                    <w:webHidden/>
                    <w:sz w:val="24"/>
                    <w:szCs w:val="24"/>
                  </w:rPr>
                </w:r>
                <w:r w:rsidRPr="00247190">
                  <w:rPr>
                    <w:rFonts w:ascii="Arial" w:hAnsi="Arial" w:cs="Arial"/>
                    <w:noProof/>
                    <w:webHidden/>
                    <w:sz w:val="24"/>
                    <w:szCs w:val="24"/>
                  </w:rPr>
                  <w:fldChar w:fldCharType="separate"/>
                </w:r>
                <w:r w:rsidRPr="00247190">
                  <w:rPr>
                    <w:rFonts w:ascii="Arial" w:hAnsi="Arial" w:cs="Arial"/>
                    <w:noProof/>
                    <w:webHidden/>
                    <w:sz w:val="24"/>
                    <w:szCs w:val="24"/>
                  </w:rPr>
                  <w:t>4</w:t>
                </w:r>
                <w:r w:rsidRPr="00247190">
                  <w:rPr>
                    <w:rFonts w:ascii="Arial" w:hAnsi="Arial" w:cs="Arial"/>
                    <w:noProof/>
                    <w:webHidden/>
                    <w:sz w:val="24"/>
                    <w:szCs w:val="24"/>
                  </w:rPr>
                  <w:fldChar w:fldCharType="end"/>
                </w:r>
              </w:hyperlink>
            </w:p>
            <w:p w14:paraId="657B4D4A" w14:textId="448A53F1" w:rsidR="00DC1FD6" w:rsidRPr="00247190" w:rsidRDefault="00DC1FD6">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5538038" w:history="1">
                <w:r w:rsidRPr="00247190">
                  <w:rPr>
                    <w:rStyle w:val="Hyperlink"/>
                    <w:rFonts w:ascii="Arial" w:hAnsi="Arial" w:cs="Arial"/>
                    <w:noProof/>
                    <w:sz w:val="24"/>
                    <w:szCs w:val="24"/>
                  </w:rPr>
                  <w:t>Conclusion</w:t>
                </w:r>
                <w:r w:rsidRPr="00247190">
                  <w:rPr>
                    <w:rFonts w:ascii="Arial" w:hAnsi="Arial" w:cs="Arial"/>
                    <w:noProof/>
                    <w:webHidden/>
                    <w:sz w:val="24"/>
                    <w:szCs w:val="24"/>
                  </w:rPr>
                  <w:tab/>
                </w:r>
                <w:r w:rsidRPr="00247190">
                  <w:rPr>
                    <w:rFonts w:ascii="Arial" w:hAnsi="Arial" w:cs="Arial"/>
                    <w:noProof/>
                    <w:webHidden/>
                    <w:sz w:val="24"/>
                    <w:szCs w:val="24"/>
                  </w:rPr>
                  <w:fldChar w:fldCharType="begin"/>
                </w:r>
                <w:r w:rsidRPr="00247190">
                  <w:rPr>
                    <w:rFonts w:ascii="Arial" w:hAnsi="Arial" w:cs="Arial"/>
                    <w:noProof/>
                    <w:webHidden/>
                    <w:sz w:val="24"/>
                    <w:szCs w:val="24"/>
                  </w:rPr>
                  <w:instrText xml:space="preserve"> PAGEREF _Toc225538038 \h </w:instrText>
                </w:r>
                <w:r w:rsidRPr="00247190">
                  <w:rPr>
                    <w:rFonts w:ascii="Arial" w:hAnsi="Arial" w:cs="Arial"/>
                    <w:noProof/>
                    <w:webHidden/>
                    <w:sz w:val="24"/>
                    <w:szCs w:val="24"/>
                  </w:rPr>
                </w:r>
                <w:r w:rsidRPr="00247190">
                  <w:rPr>
                    <w:rFonts w:ascii="Arial" w:hAnsi="Arial" w:cs="Arial"/>
                    <w:noProof/>
                    <w:webHidden/>
                    <w:sz w:val="24"/>
                    <w:szCs w:val="24"/>
                  </w:rPr>
                  <w:fldChar w:fldCharType="separate"/>
                </w:r>
                <w:r w:rsidRPr="00247190">
                  <w:rPr>
                    <w:rFonts w:ascii="Arial" w:hAnsi="Arial" w:cs="Arial"/>
                    <w:noProof/>
                    <w:webHidden/>
                    <w:sz w:val="24"/>
                    <w:szCs w:val="24"/>
                  </w:rPr>
                  <w:t>9</w:t>
                </w:r>
                <w:r w:rsidRPr="00247190">
                  <w:rPr>
                    <w:rFonts w:ascii="Arial" w:hAnsi="Arial" w:cs="Arial"/>
                    <w:noProof/>
                    <w:webHidden/>
                    <w:sz w:val="24"/>
                    <w:szCs w:val="24"/>
                  </w:rPr>
                  <w:fldChar w:fldCharType="end"/>
                </w:r>
              </w:hyperlink>
            </w:p>
            <w:p w14:paraId="4650F26A" w14:textId="1F829C35" w:rsidR="00DC1FD6" w:rsidRPr="00247190" w:rsidRDefault="00DC1FD6">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5538039" w:history="1">
                <w:r w:rsidRPr="00247190">
                  <w:rPr>
                    <w:rStyle w:val="Hyperlink"/>
                    <w:rFonts w:ascii="Arial" w:hAnsi="Arial" w:cs="Arial"/>
                    <w:noProof/>
                    <w:sz w:val="24"/>
                    <w:szCs w:val="24"/>
                  </w:rPr>
                  <w:t>Bibliography</w:t>
                </w:r>
                <w:r w:rsidRPr="00247190">
                  <w:rPr>
                    <w:rFonts w:ascii="Arial" w:hAnsi="Arial" w:cs="Arial"/>
                    <w:noProof/>
                    <w:webHidden/>
                    <w:sz w:val="24"/>
                    <w:szCs w:val="24"/>
                  </w:rPr>
                  <w:tab/>
                </w:r>
                <w:r w:rsidRPr="00247190">
                  <w:rPr>
                    <w:rFonts w:ascii="Arial" w:hAnsi="Arial" w:cs="Arial"/>
                    <w:noProof/>
                    <w:webHidden/>
                    <w:sz w:val="24"/>
                    <w:szCs w:val="24"/>
                  </w:rPr>
                  <w:fldChar w:fldCharType="begin"/>
                </w:r>
                <w:r w:rsidRPr="00247190">
                  <w:rPr>
                    <w:rFonts w:ascii="Arial" w:hAnsi="Arial" w:cs="Arial"/>
                    <w:noProof/>
                    <w:webHidden/>
                    <w:sz w:val="24"/>
                    <w:szCs w:val="24"/>
                  </w:rPr>
                  <w:instrText xml:space="preserve"> PAGEREF _Toc225538039 \h </w:instrText>
                </w:r>
                <w:r w:rsidRPr="00247190">
                  <w:rPr>
                    <w:rFonts w:ascii="Arial" w:hAnsi="Arial" w:cs="Arial"/>
                    <w:noProof/>
                    <w:webHidden/>
                    <w:sz w:val="24"/>
                    <w:szCs w:val="24"/>
                  </w:rPr>
                </w:r>
                <w:r w:rsidRPr="00247190">
                  <w:rPr>
                    <w:rFonts w:ascii="Arial" w:hAnsi="Arial" w:cs="Arial"/>
                    <w:noProof/>
                    <w:webHidden/>
                    <w:sz w:val="24"/>
                    <w:szCs w:val="24"/>
                  </w:rPr>
                  <w:fldChar w:fldCharType="separate"/>
                </w:r>
                <w:r w:rsidRPr="00247190">
                  <w:rPr>
                    <w:rFonts w:ascii="Arial" w:hAnsi="Arial" w:cs="Arial"/>
                    <w:noProof/>
                    <w:webHidden/>
                    <w:sz w:val="24"/>
                    <w:szCs w:val="24"/>
                  </w:rPr>
                  <w:t>10</w:t>
                </w:r>
                <w:r w:rsidRPr="00247190">
                  <w:rPr>
                    <w:rFonts w:ascii="Arial" w:hAnsi="Arial" w:cs="Arial"/>
                    <w:noProof/>
                    <w:webHidden/>
                    <w:sz w:val="24"/>
                    <w:szCs w:val="24"/>
                  </w:rPr>
                  <w:fldChar w:fldCharType="end"/>
                </w:r>
              </w:hyperlink>
            </w:p>
            <w:p w14:paraId="2A70A0E1" w14:textId="120098DE" w:rsidR="00DC1FD6" w:rsidRPr="00247190" w:rsidRDefault="00DC1FD6">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5538040" w:history="1">
                <w:r w:rsidRPr="00247190">
                  <w:rPr>
                    <w:rStyle w:val="Hyperlink"/>
                    <w:rFonts w:ascii="Arial" w:hAnsi="Arial" w:cs="Arial"/>
                    <w:noProof/>
                    <w:sz w:val="24"/>
                    <w:szCs w:val="24"/>
                  </w:rPr>
                  <w:t>Appendix</w:t>
                </w:r>
                <w:r w:rsidRPr="00247190">
                  <w:rPr>
                    <w:rFonts w:ascii="Arial" w:hAnsi="Arial" w:cs="Arial"/>
                    <w:noProof/>
                    <w:webHidden/>
                    <w:sz w:val="24"/>
                    <w:szCs w:val="24"/>
                  </w:rPr>
                  <w:tab/>
                </w:r>
                <w:r w:rsidRPr="00247190">
                  <w:rPr>
                    <w:rFonts w:ascii="Arial" w:hAnsi="Arial" w:cs="Arial"/>
                    <w:noProof/>
                    <w:webHidden/>
                    <w:sz w:val="24"/>
                    <w:szCs w:val="24"/>
                  </w:rPr>
                  <w:fldChar w:fldCharType="begin"/>
                </w:r>
                <w:r w:rsidRPr="00247190">
                  <w:rPr>
                    <w:rFonts w:ascii="Arial" w:hAnsi="Arial" w:cs="Arial"/>
                    <w:noProof/>
                    <w:webHidden/>
                    <w:sz w:val="24"/>
                    <w:szCs w:val="24"/>
                  </w:rPr>
                  <w:instrText xml:space="preserve"> PAGEREF _Toc225538040 \h </w:instrText>
                </w:r>
                <w:r w:rsidRPr="00247190">
                  <w:rPr>
                    <w:rFonts w:ascii="Arial" w:hAnsi="Arial" w:cs="Arial"/>
                    <w:noProof/>
                    <w:webHidden/>
                    <w:sz w:val="24"/>
                    <w:szCs w:val="24"/>
                  </w:rPr>
                </w:r>
                <w:r w:rsidRPr="00247190">
                  <w:rPr>
                    <w:rFonts w:ascii="Arial" w:hAnsi="Arial" w:cs="Arial"/>
                    <w:noProof/>
                    <w:webHidden/>
                    <w:sz w:val="24"/>
                    <w:szCs w:val="24"/>
                  </w:rPr>
                  <w:fldChar w:fldCharType="separate"/>
                </w:r>
                <w:r w:rsidRPr="00247190">
                  <w:rPr>
                    <w:rFonts w:ascii="Arial" w:hAnsi="Arial" w:cs="Arial"/>
                    <w:noProof/>
                    <w:webHidden/>
                    <w:sz w:val="24"/>
                    <w:szCs w:val="24"/>
                  </w:rPr>
                  <w:t>13</w:t>
                </w:r>
                <w:r w:rsidRPr="00247190">
                  <w:rPr>
                    <w:rFonts w:ascii="Arial" w:hAnsi="Arial" w:cs="Arial"/>
                    <w:noProof/>
                    <w:webHidden/>
                    <w:sz w:val="24"/>
                    <w:szCs w:val="24"/>
                  </w:rPr>
                  <w:fldChar w:fldCharType="end"/>
                </w:r>
              </w:hyperlink>
            </w:p>
            <w:p w14:paraId="05194699" w14:textId="3DD89F72" w:rsidR="007D1947" w:rsidRDefault="007D1947">
              <w:r>
                <w:rPr>
                  <w:b/>
                  <w:bCs/>
                  <w:noProof/>
                </w:rPr>
                <w:fldChar w:fldCharType="end"/>
              </w:r>
              <w:bookmarkEnd w:id="1"/>
              <w:r w:rsidR="0068296F">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25DC41A4" w:rsidR="007D1947" w:rsidRDefault="007D1947"/>
        <w:p w14:paraId="0DCF0194" w14:textId="70600FC3" w:rsidR="00084E65" w:rsidRDefault="00084E65"/>
        <w:p w14:paraId="655F29CA" w14:textId="77777777" w:rsidR="007D1947" w:rsidRDefault="007D1947"/>
        <w:p w14:paraId="24B1027C" w14:textId="77777777" w:rsidR="000D6576" w:rsidRDefault="000D6576"/>
        <w:p w14:paraId="19B051AB" w14:textId="77777777" w:rsidR="000D6576" w:rsidRDefault="000D6576"/>
        <w:p w14:paraId="471C77B7" w14:textId="77777777" w:rsidR="000D6576" w:rsidRDefault="000D6576"/>
        <w:p w14:paraId="002D35A3" w14:textId="77777777" w:rsidR="000D6576" w:rsidRDefault="000D6576"/>
        <w:p w14:paraId="06D7918E" w14:textId="77777777" w:rsidR="00432663" w:rsidRDefault="00432663" w:rsidP="000D6576">
          <w:pPr>
            <w:pStyle w:val="Heading1"/>
          </w:pPr>
          <w:bookmarkStart w:id="2" w:name="_Toc225538036"/>
        </w:p>
        <w:p w14:paraId="17564F84" w14:textId="131AD12E" w:rsidR="006A7730" w:rsidRPr="006A7730" w:rsidRDefault="007D1947" w:rsidP="000D6576">
          <w:pPr>
            <w:pStyle w:val="Heading1"/>
          </w:pPr>
          <w:r>
            <w:t>Introduction</w:t>
          </w:r>
          <w:bookmarkEnd w:id="2"/>
          <w:r w:rsidR="00480872">
            <w:t xml:space="preserve"> </w:t>
          </w:r>
        </w:p>
        <w:p w14:paraId="20C58F64" w14:textId="710108AD" w:rsidR="00BF6601" w:rsidRPr="00BF6601" w:rsidRDefault="00BF6601" w:rsidP="00BF6601">
          <w:pPr>
            <w:spacing w:after="0" w:line="240" w:lineRule="auto"/>
            <w:rPr>
              <w:rFonts w:ascii="Arial" w:eastAsia="Aptos" w:hAnsi="Arial" w:cs="Arial"/>
              <w:kern w:val="2"/>
              <w:sz w:val="24"/>
              <w:szCs w:val="24"/>
              <w14:ligatures w14:val="standardContextual"/>
            </w:rPr>
          </w:pPr>
          <w:r w:rsidRPr="00BF6601">
            <w:rPr>
              <w:rFonts w:ascii="Arial" w:eastAsia="Aptos" w:hAnsi="Arial" w:cs="Arial"/>
              <w:kern w:val="2"/>
              <w:sz w:val="24"/>
              <w:szCs w:val="24"/>
              <w14:ligatures w14:val="standardContextual"/>
            </w:rPr>
            <w:t>Making Tax Digital (MTD) is a significant initiative by HM Revenue and Customs</w:t>
          </w:r>
          <w:r w:rsidR="006443D8">
            <w:rPr>
              <w:rFonts w:ascii="Arial" w:eastAsia="Aptos" w:hAnsi="Arial" w:cs="Arial"/>
              <w:kern w:val="2"/>
              <w:sz w:val="24"/>
              <w:szCs w:val="24"/>
              <w14:ligatures w14:val="standardContextual"/>
            </w:rPr>
            <w:t xml:space="preserve"> </w:t>
          </w:r>
          <w:r w:rsidRPr="00BF6601">
            <w:rPr>
              <w:rFonts w:ascii="Arial" w:eastAsia="Aptos" w:hAnsi="Arial" w:cs="Arial"/>
              <w:kern w:val="2"/>
              <w:sz w:val="24"/>
              <w:szCs w:val="24"/>
              <w14:ligatures w14:val="standardContextual"/>
            </w:rPr>
            <w:t>(HMRC) in the UK, designed to modernise the nation's tax system through digit</w:t>
          </w:r>
          <w:r w:rsidR="00A63A2D">
            <w:rPr>
              <w:rFonts w:ascii="Arial" w:eastAsia="Aptos" w:hAnsi="Arial" w:cs="Arial"/>
              <w:kern w:val="2"/>
              <w:sz w:val="24"/>
              <w:szCs w:val="24"/>
              <w14:ligatures w14:val="standardContextual"/>
            </w:rPr>
            <w:t>i</w:t>
          </w:r>
          <w:r w:rsidRPr="00BF6601">
            <w:rPr>
              <w:rFonts w:ascii="Arial" w:eastAsia="Aptos" w:hAnsi="Arial" w:cs="Arial"/>
              <w:kern w:val="2"/>
              <w:sz w:val="24"/>
              <w:szCs w:val="24"/>
              <w14:ligatures w14:val="standardContextual"/>
            </w:rPr>
            <w:t>sation. Introduced in 2015, MTD fundamentally changes how taxpayers interact with HMRC, requiring them to maintain digital records of their financial transactions and submit tax information electronically using compatible software (HMRC, 2019).</w:t>
          </w:r>
        </w:p>
        <w:p w14:paraId="561ABA68" w14:textId="77777777" w:rsidR="00BF6601" w:rsidRPr="00BF6601" w:rsidRDefault="00BF6601" w:rsidP="00BF6601">
          <w:pPr>
            <w:spacing w:after="0" w:line="240" w:lineRule="auto"/>
            <w:rPr>
              <w:rFonts w:ascii="Arial" w:eastAsia="Aptos" w:hAnsi="Arial" w:cs="Arial"/>
              <w:kern w:val="2"/>
              <w:sz w:val="24"/>
              <w:szCs w:val="24"/>
              <w14:ligatures w14:val="standardContextual"/>
            </w:rPr>
          </w:pPr>
        </w:p>
        <w:p w14:paraId="5A6E01C5" w14:textId="5B0D6E8B" w:rsidR="00BF6601" w:rsidRPr="00BF6601" w:rsidRDefault="00BF6601" w:rsidP="00BF6601">
          <w:pPr>
            <w:spacing w:after="0" w:line="240" w:lineRule="auto"/>
            <w:rPr>
              <w:rFonts w:ascii="Arial" w:eastAsia="Aptos" w:hAnsi="Arial" w:cs="Arial"/>
              <w:kern w:val="2"/>
              <w:sz w:val="24"/>
              <w:szCs w:val="24"/>
              <w14:ligatures w14:val="standardContextual"/>
            </w:rPr>
          </w:pPr>
          <w:r w:rsidRPr="00BF6601">
            <w:rPr>
              <w:rFonts w:ascii="Arial" w:eastAsia="Aptos" w:hAnsi="Arial" w:cs="Arial"/>
              <w:kern w:val="2"/>
              <w:sz w:val="24"/>
              <w:szCs w:val="24"/>
              <w14:ligatures w14:val="standardContextual"/>
            </w:rPr>
            <w:t xml:space="preserve">This digital mandate applies to various tax categories, including Value Added Tax (VAT), Income Tax for the self-employed and landlords, and is planned for Corporation Tax. The core objectives of MTD are threefold: to improve the accuracy of tax submissions by reducing manual errors, to enhance overall taxpayer compliance through more regular engagement with tax affairs, and crucially, to help close the 'tax gap'. This gap, representing the difference between tax owed and tax collected, was estimated at a </w:t>
          </w:r>
          <w:r w:rsidR="00E66B19">
            <w:rPr>
              <w:rFonts w:ascii="Arial" w:eastAsia="Aptos" w:hAnsi="Arial" w:cs="Arial"/>
              <w:kern w:val="2"/>
              <w:sz w:val="24"/>
              <w:szCs w:val="24"/>
              <w14:ligatures w14:val="standardContextual"/>
            </w:rPr>
            <w:t>“</w:t>
          </w:r>
          <w:r w:rsidRPr="00BF6601">
            <w:rPr>
              <w:rFonts w:ascii="Arial" w:eastAsia="Aptos" w:hAnsi="Arial" w:cs="Arial"/>
              <w:kern w:val="2"/>
              <w:sz w:val="24"/>
              <w:szCs w:val="24"/>
              <w14:ligatures w14:val="standardContextual"/>
            </w:rPr>
            <w:t>substantial £31 billion in 2020</w:t>
          </w:r>
          <w:r w:rsidR="00E66B19">
            <w:rPr>
              <w:rFonts w:ascii="Arial" w:eastAsia="Aptos" w:hAnsi="Arial" w:cs="Arial"/>
              <w:kern w:val="2"/>
              <w:sz w:val="24"/>
              <w:szCs w:val="24"/>
              <w14:ligatures w14:val="standardContextual"/>
            </w:rPr>
            <w:t>”</w:t>
          </w:r>
          <w:r w:rsidRPr="00BF6601">
            <w:rPr>
              <w:rFonts w:ascii="Arial" w:eastAsia="Aptos" w:hAnsi="Arial" w:cs="Arial"/>
              <w:kern w:val="2"/>
              <w:sz w:val="24"/>
              <w:szCs w:val="24"/>
              <w14:ligatures w14:val="standardContextual"/>
            </w:rPr>
            <w:t xml:space="preserve"> (HMRC, 2021).</w:t>
          </w:r>
        </w:p>
        <w:p w14:paraId="4946C22D" w14:textId="77777777" w:rsidR="00BF6601" w:rsidRPr="00BF6601" w:rsidRDefault="00BF6601" w:rsidP="00BF6601">
          <w:pPr>
            <w:spacing w:after="0" w:line="240" w:lineRule="auto"/>
            <w:rPr>
              <w:rFonts w:ascii="Arial" w:eastAsia="Aptos" w:hAnsi="Arial" w:cs="Arial"/>
              <w:kern w:val="2"/>
              <w:sz w:val="24"/>
              <w:szCs w:val="24"/>
              <w14:ligatures w14:val="standardContextual"/>
            </w:rPr>
          </w:pPr>
        </w:p>
        <w:p w14:paraId="3A94097F" w14:textId="391A26CD" w:rsidR="00BF6601" w:rsidRPr="00BF6601" w:rsidRDefault="00BF6601" w:rsidP="00BF6601">
          <w:pPr>
            <w:spacing w:after="0" w:line="240" w:lineRule="auto"/>
            <w:rPr>
              <w:rFonts w:ascii="Arial" w:eastAsia="Aptos" w:hAnsi="Arial" w:cs="Arial"/>
              <w:kern w:val="2"/>
              <w:sz w:val="24"/>
              <w:szCs w:val="24"/>
              <w14:ligatures w14:val="standardContextual"/>
            </w:rPr>
          </w:pPr>
          <w:r w:rsidRPr="00BF6601">
            <w:rPr>
              <w:rFonts w:ascii="Arial" w:eastAsia="Aptos" w:hAnsi="Arial" w:cs="Arial"/>
              <w:kern w:val="2"/>
              <w:sz w:val="24"/>
              <w:szCs w:val="24"/>
              <w14:ligatures w14:val="standardContextual"/>
            </w:rPr>
            <w:t xml:space="preserve">By April 2026, MTD is expected to be fully rolled out across all relevant tax types, marking a profound shift in how individuals and businesses manage their tax responsibilities. The report aims to </w:t>
          </w:r>
          <w:r w:rsidR="00602409">
            <w:rPr>
              <w:rFonts w:ascii="Arial" w:eastAsia="Aptos" w:hAnsi="Arial" w:cs="Arial"/>
              <w:kern w:val="2"/>
              <w:sz w:val="24"/>
              <w:szCs w:val="24"/>
              <w14:ligatures w14:val="standardContextual"/>
            </w:rPr>
            <w:t>look</w:t>
          </w:r>
          <w:r w:rsidRPr="00BF6601">
            <w:rPr>
              <w:rFonts w:ascii="Arial" w:eastAsia="Aptos" w:hAnsi="Arial" w:cs="Arial"/>
              <w:kern w:val="2"/>
              <w:sz w:val="24"/>
              <w:szCs w:val="24"/>
              <w14:ligatures w14:val="standardContextual"/>
            </w:rPr>
            <w:t xml:space="preserve"> into MTD's specific objectives, and the wide-ranging implications for taxpayers and businesses. Furthermore, it will critically examine the challenges associated with MTD, referencing relevant legislation, case law, and academic research to provide a comprehensive understanding of its impact on the UK tax landscape.</w:t>
          </w:r>
        </w:p>
        <w:p w14:paraId="5DBAD65B" w14:textId="77777777" w:rsidR="004A11F6" w:rsidRDefault="004A11F6"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3BCFD6F0" w14:textId="77777777" w:rsidR="004A11F6" w:rsidRDefault="004A11F6" w:rsidP="007D1947"/>
        <w:p w14:paraId="2F757D32" w14:textId="77777777" w:rsidR="004A11F6" w:rsidRDefault="004A11F6" w:rsidP="007D1947"/>
        <w:p w14:paraId="4950AFFE" w14:textId="77777777" w:rsidR="004A11F6" w:rsidRDefault="004A11F6" w:rsidP="007D1947"/>
        <w:p w14:paraId="377C9265" w14:textId="77777777" w:rsidR="004A11F6" w:rsidRDefault="004A11F6" w:rsidP="007D1947"/>
        <w:p w14:paraId="4108EE7B" w14:textId="77777777" w:rsidR="004A11F6" w:rsidRDefault="004A11F6" w:rsidP="007D1947"/>
        <w:p w14:paraId="7C657C89" w14:textId="77777777" w:rsidR="00AA2A91" w:rsidRDefault="00AA2A91" w:rsidP="004D519C"/>
        <w:p w14:paraId="73483ECF" w14:textId="77777777" w:rsidR="000D6576" w:rsidRDefault="000D6576" w:rsidP="00AA2A91">
          <w:pPr>
            <w:pStyle w:val="Heading1"/>
          </w:pPr>
        </w:p>
        <w:p w14:paraId="2E293EB9" w14:textId="2B583DD1" w:rsidR="00480872" w:rsidRDefault="00480872" w:rsidP="00AA2A91">
          <w:pPr>
            <w:pStyle w:val="Heading1"/>
          </w:pPr>
          <w:bookmarkStart w:id="3" w:name="_Toc225538037"/>
          <w:r>
            <w:t>Main Findings</w:t>
          </w:r>
          <w:bookmarkEnd w:id="3"/>
        </w:p>
        <w:p w14:paraId="3ACB3FF3" w14:textId="77777777" w:rsidR="00CF6AEF" w:rsidRPr="00CF6AEF" w:rsidRDefault="00CF6AEF" w:rsidP="00CF6AEF">
          <w:pPr>
            <w:spacing w:after="0" w:line="240" w:lineRule="auto"/>
            <w:rPr>
              <w:rFonts w:ascii="Arial" w:eastAsia="Aptos" w:hAnsi="Arial" w:cs="Arial"/>
              <w:kern w:val="2"/>
              <w:sz w:val="24"/>
              <w:szCs w:val="24"/>
              <w14:ligatures w14:val="standardContextual"/>
            </w:rPr>
          </w:pPr>
        </w:p>
        <w:p w14:paraId="22612818" w14:textId="77777777" w:rsidR="00CF6AEF" w:rsidRPr="00CF6AEF" w:rsidRDefault="00CF6AEF" w:rsidP="00CF6AEF">
          <w:pPr>
            <w:spacing w:after="0"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14:ligatures w14:val="standardContextual"/>
            </w:rPr>
            <w:t>The Making Tax Digital (MTD) initiative began in the 2015 Budget as part of a government plan to improve the tax system, making it easier and more efficient for taxpayers (</w:t>
          </w:r>
          <w:r w:rsidRPr="00CF6AEF">
            <w:rPr>
              <w:rFonts w:ascii="Arial" w:eastAsia="Aptos" w:hAnsi="Arial" w:cs="Arial"/>
              <w:kern w:val="2"/>
              <w:sz w:val="24"/>
              <w:szCs w:val="24"/>
              <w:lang w:val="en-NZ"/>
              <w14:ligatures w14:val="standardContextual"/>
            </w:rPr>
            <w:t>Sadiq, M</w:t>
          </w:r>
          <w:r w:rsidRPr="00CF6AEF">
            <w:rPr>
              <w:rFonts w:ascii="Arial" w:eastAsia="Aptos" w:hAnsi="Arial" w:cs="Arial"/>
              <w:kern w:val="2"/>
              <w:sz w:val="24"/>
              <w:szCs w:val="24"/>
              <w14:ligatures w14:val="standardContextual"/>
            </w:rPr>
            <w:t xml:space="preserve">). According to </w:t>
          </w:r>
          <w:r w:rsidRPr="00CF6AEF">
            <w:rPr>
              <w:rFonts w:ascii="Arial" w:eastAsia="Aptos" w:hAnsi="Arial" w:cs="Arial"/>
              <w:kern w:val="2"/>
              <w:sz w:val="24"/>
              <w:szCs w:val="24"/>
              <w:lang w:val="en-NZ"/>
              <w14:ligatures w14:val="standardContextual"/>
            </w:rPr>
            <w:t>Siregar and Tarigan (2026), t</w:t>
          </w:r>
          <w:r w:rsidRPr="00CF6AEF">
            <w:rPr>
              <w:rFonts w:ascii="Arial" w:eastAsia="Aptos" w:hAnsi="Arial" w:cs="Arial"/>
              <w:kern w:val="2"/>
              <w:sz w:val="24"/>
              <w:szCs w:val="24"/>
              <w14:ligatures w14:val="standardContextual"/>
            </w:rPr>
            <w:t>he aim was to reduce mistakes in tax reporting and help people comply better with tax laws, which would ultimately increase tax revenue.</w:t>
          </w:r>
        </w:p>
        <w:p w14:paraId="044BD9E5" w14:textId="77777777" w:rsidR="00CF6AEF" w:rsidRPr="00CF6AEF" w:rsidRDefault="00CF6AEF" w:rsidP="00CF6AEF">
          <w:pPr>
            <w:spacing w:after="0" w:line="240" w:lineRule="auto"/>
            <w:rPr>
              <w:rFonts w:ascii="Arial" w:eastAsia="Aptos" w:hAnsi="Arial" w:cs="Arial"/>
              <w:kern w:val="2"/>
              <w:sz w:val="24"/>
              <w:szCs w:val="24"/>
              <w14:ligatures w14:val="standardContextual"/>
            </w:rPr>
          </w:pPr>
        </w:p>
        <w:p w14:paraId="6CF2CA01" w14:textId="77777777" w:rsidR="00CF6AEF" w:rsidRP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 xml:space="preserve">At first, MTD applied to Value Added Tax (VAT). From April 2019, businesses with a taxable turnover above £85,000 were required to submit their VAT returns online, using digital record-keeping (HMRC, 2019). </w:t>
          </w:r>
          <w:r w:rsidRPr="00CF6AEF">
            <w:rPr>
              <w:rFonts w:ascii="Arial" w:eastAsia="Aptos" w:hAnsi="Arial" w:cs="Arial"/>
              <w:kern w:val="2"/>
              <w:sz w:val="24"/>
              <w:szCs w:val="24"/>
              <w:lang w:val="en-NZ"/>
              <w14:ligatures w14:val="standardContextual"/>
            </w:rPr>
            <w:t>Sadiq (2021) when further to say that t</w:t>
          </w:r>
          <w:r w:rsidRPr="00CF6AEF">
            <w:rPr>
              <w:rFonts w:ascii="Arial" w:eastAsia="Aptos" w:hAnsi="Arial" w:cs="Arial"/>
              <w:kern w:val="2"/>
              <w:sz w:val="24"/>
              <w:szCs w:val="24"/>
              <w14:ligatures w14:val="standardContextual"/>
            </w:rPr>
            <w:t>his change was intended to simplify the process and reduce errors that often occur with paper forms.</w:t>
          </w:r>
        </w:p>
        <w:p w14:paraId="393C81D3" w14:textId="77777777" w:rsidR="00CF6AEF" w:rsidRPr="00CF6AEF" w:rsidRDefault="00CF6AEF" w:rsidP="00CF6AEF">
          <w:pPr>
            <w:spacing w:after="0" w:line="240" w:lineRule="auto"/>
            <w:rPr>
              <w:rFonts w:ascii="Arial" w:eastAsia="Aptos" w:hAnsi="Arial" w:cs="Arial"/>
              <w:kern w:val="2"/>
              <w:sz w:val="24"/>
              <w:szCs w:val="24"/>
              <w14:ligatures w14:val="standardContextual"/>
            </w:rPr>
          </w:pPr>
        </w:p>
        <w:p w14:paraId="614D400F" w14:textId="4808180B" w:rsidR="00CF6AEF" w:rsidRP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 xml:space="preserve">As MTD developed, plans were made to extend it to other areas, such as Income Tax Self-Assessment (ITSA) and Corporation Tax. The full implementation of MTD is expected by </w:t>
          </w:r>
          <w:r w:rsidR="00F45531">
            <w:rPr>
              <w:rFonts w:ascii="Arial" w:eastAsia="Aptos" w:hAnsi="Arial" w:cs="Arial"/>
              <w:kern w:val="2"/>
              <w:sz w:val="24"/>
              <w:szCs w:val="24"/>
              <w14:ligatures w14:val="standardContextual"/>
            </w:rPr>
            <w:t xml:space="preserve">the second quarter of </w:t>
          </w:r>
          <w:r w:rsidRPr="00CF6AEF">
            <w:rPr>
              <w:rFonts w:ascii="Arial" w:eastAsia="Aptos" w:hAnsi="Arial" w:cs="Arial"/>
              <w:kern w:val="2"/>
              <w:sz w:val="24"/>
              <w:szCs w:val="24"/>
              <w14:ligatures w14:val="standardContextual"/>
            </w:rPr>
            <w:t>2026, meaning that eventually all taxpayers will need to use digital methods for their tax submissions (</w:t>
          </w:r>
          <w:r w:rsidRPr="00CF6AEF">
            <w:rPr>
              <w:rFonts w:ascii="Arial" w:eastAsia="Aptos" w:hAnsi="Arial" w:cs="Arial"/>
              <w:kern w:val="2"/>
              <w:sz w:val="24"/>
              <w:szCs w:val="24"/>
              <w:lang w:val="en-NZ"/>
              <w14:ligatures w14:val="standardContextual"/>
            </w:rPr>
            <w:t>Gallagher, 2025).</w:t>
          </w:r>
        </w:p>
        <w:p w14:paraId="6B9F796E" w14:textId="77777777" w:rsidR="00CF6AEF" w:rsidRPr="00CF6AEF" w:rsidRDefault="00CF6AEF" w:rsidP="00CF6AEF">
          <w:pPr>
            <w:spacing w:after="0" w:line="240" w:lineRule="auto"/>
            <w:rPr>
              <w:rFonts w:ascii="Arial" w:eastAsia="Aptos" w:hAnsi="Arial" w:cs="Arial"/>
              <w:kern w:val="2"/>
              <w:sz w:val="24"/>
              <w:szCs w:val="24"/>
              <w14:ligatures w14:val="standardContextual"/>
            </w:rPr>
          </w:pPr>
        </w:p>
        <w:p w14:paraId="60026612" w14:textId="7F644313" w:rsidR="00CF6AEF" w:rsidRP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 xml:space="preserve">According to HMRC (2022), this phased rollout allows HM Revenue and Customs (HMRC) to adjust and improve the system based on feedback from those who start using it first. However, it also raises concerns about whether taxpayers and businesses are ready to adapt to these new digital requirements (Morse and Williams, 2020). </w:t>
          </w:r>
          <w:r w:rsidR="00284999">
            <w:rPr>
              <w:rFonts w:ascii="Arial" w:eastAsia="Aptos" w:hAnsi="Arial" w:cs="Arial"/>
              <w:kern w:val="2"/>
              <w:sz w:val="24"/>
              <w:szCs w:val="24"/>
              <w14:ligatures w14:val="standardContextual"/>
            </w:rPr>
            <w:t xml:space="preserve">However, </w:t>
          </w:r>
          <w:r w:rsidRPr="00CF6AEF">
            <w:rPr>
              <w:rFonts w:ascii="Arial" w:eastAsia="Aptos" w:hAnsi="Arial" w:cs="Arial"/>
              <w:kern w:val="2"/>
              <w:sz w:val="24"/>
              <w:szCs w:val="24"/>
              <w:lang w:val="en-NZ"/>
              <w14:ligatures w14:val="standardContextual"/>
            </w:rPr>
            <w:t xml:space="preserve">Chen and Zhang (2026) </w:t>
          </w:r>
          <w:r w:rsidR="004C36A1">
            <w:rPr>
              <w:rFonts w:ascii="Arial" w:eastAsia="Aptos" w:hAnsi="Arial" w:cs="Arial"/>
              <w:kern w:val="2"/>
              <w:sz w:val="24"/>
              <w:szCs w:val="24"/>
              <w:lang w:val="en-NZ"/>
              <w14:ligatures w14:val="standardContextual"/>
            </w:rPr>
            <w:t>argued</w:t>
          </w:r>
          <w:r w:rsidRPr="00CF6AEF">
            <w:rPr>
              <w:rFonts w:ascii="Arial" w:eastAsia="Aptos" w:hAnsi="Arial" w:cs="Arial"/>
              <w:kern w:val="2"/>
              <w:sz w:val="24"/>
              <w:szCs w:val="24"/>
              <w:lang w:val="en-NZ"/>
              <w14:ligatures w14:val="standardContextual"/>
            </w:rPr>
            <w:t xml:space="preserve"> that m</w:t>
          </w:r>
          <w:r w:rsidRPr="00CF6AEF">
            <w:rPr>
              <w:rFonts w:ascii="Arial" w:eastAsia="Aptos" w:hAnsi="Arial" w:cs="Arial"/>
              <w:kern w:val="2"/>
              <w:sz w:val="24"/>
              <w:szCs w:val="24"/>
              <w14:ligatures w14:val="standardContextual"/>
            </w:rPr>
            <w:t>any people may find it challenging to switch from traditional methods to digital processes, which can create confusion and uncertainty. Overall, MTD aims to modernise the tax system, but its successful implementation will depend on how well taxpayers and businesses can adjust to these changes (Adams et al., 2018).</w:t>
          </w:r>
        </w:p>
        <w:p w14:paraId="62684D4D" w14:textId="77777777" w:rsidR="00CF6AEF" w:rsidRPr="00CF6AEF" w:rsidRDefault="00CF6AEF" w:rsidP="00CF6AEF">
          <w:pPr>
            <w:spacing w:after="0" w:line="240" w:lineRule="auto"/>
            <w:rPr>
              <w:rFonts w:ascii="Arial" w:eastAsia="Aptos" w:hAnsi="Arial" w:cs="Arial"/>
              <w:kern w:val="2"/>
              <w:sz w:val="24"/>
              <w:szCs w:val="24"/>
              <w14:ligatures w14:val="standardContextual"/>
            </w:rPr>
          </w:pPr>
        </w:p>
        <w:p w14:paraId="566A6594" w14:textId="77777777" w:rsidR="00CF6AEF" w:rsidRP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Making Tax Digital (MTD) has several key objectives, all aimed at improving the way the tax system operates in the UK. These objectives focus on accuracy, compliance, and closing the tax gap (</w:t>
          </w:r>
          <w:r w:rsidRPr="00CF6AEF">
            <w:rPr>
              <w:rFonts w:ascii="Arial" w:eastAsia="Aptos" w:hAnsi="Arial" w:cs="Arial"/>
              <w:kern w:val="2"/>
              <w:sz w:val="24"/>
              <w:szCs w:val="24"/>
              <w:lang w:val="en-NZ"/>
              <w14:ligatures w14:val="standardContextual"/>
            </w:rPr>
            <w:t>Skoumpopoulou and Crisp, 2021)</w:t>
          </w:r>
          <w:r w:rsidRPr="00CF6AEF">
            <w:rPr>
              <w:rFonts w:ascii="Arial" w:eastAsia="Aptos" w:hAnsi="Arial" w:cs="Arial"/>
              <w:kern w:val="2"/>
              <w:sz w:val="24"/>
              <w:szCs w:val="24"/>
              <w14:ligatures w14:val="standardContextual"/>
            </w:rPr>
            <w:t>.</w:t>
          </w:r>
        </w:p>
        <w:p w14:paraId="60143362" w14:textId="77777777" w:rsidR="00CF6AEF" w:rsidRPr="00CF6AEF" w:rsidRDefault="00CF6AEF" w:rsidP="00CF6AEF">
          <w:pPr>
            <w:spacing w:after="0" w:line="240" w:lineRule="auto"/>
            <w:rPr>
              <w:rFonts w:ascii="Arial" w:eastAsia="Aptos" w:hAnsi="Arial" w:cs="Arial"/>
              <w:kern w:val="2"/>
              <w:sz w:val="24"/>
              <w:szCs w:val="24"/>
              <w14:ligatures w14:val="standardContextual"/>
            </w:rPr>
          </w:pPr>
        </w:p>
        <w:p w14:paraId="020432C3" w14:textId="7BD1E3B5" w:rsidR="00CF6AEF" w:rsidRP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 xml:space="preserve">One of the main goals of MTD is to enhance accuracy in tax reporting. Traditionally, many errors in tax submissions arise from manual data entry. When individuals or businesses enter information by hand, mistakes can happen easily. MTD addresses this issue by requiring digital record-keeping (Bolanle and Olabiyi, 2024). </w:t>
          </w:r>
          <w:r w:rsidRPr="00CF6AEF">
            <w:rPr>
              <w:rFonts w:ascii="Arial" w:eastAsia="Aptos" w:hAnsi="Arial" w:cs="Arial"/>
              <w:kern w:val="2"/>
              <w:sz w:val="24"/>
              <w:szCs w:val="24"/>
              <w:lang w:val="en-NZ"/>
              <w14:ligatures w14:val="standardContextual"/>
            </w:rPr>
            <w:t>Park (2014)</w:t>
          </w:r>
          <w:r w:rsidR="006C78C7">
            <w:rPr>
              <w:rFonts w:ascii="Arial" w:eastAsia="Aptos" w:hAnsi="Arial" w:cs="Arial"/>
              <w:kern w:val="2"/>
              <w:sz w:val="24"/>
              <w:szCs w:val="24"/>
              <w:lang w:val="en-NZ"/>
              <w14:ligatures w14:val="standardContextual"/>
            </w:rPr>
            <w:t xml:space="preserve"> </w:t>
          </w:r>
          <w:r w:rsidR="002C2CF1">
            <w:rPr>
              <w:rFonts w:ascii="Arial" w:eastAsia="Aptos" w:hAnsi="Arial" w:cs="Arial"/>
              <w:kern w:val="2"/>
              <w:sz w:val="24"/>
              <w:szCs w:val="24"/>
              <w:lang w:val="en-NZ"/>
              <w14:ligatures w14:val="standardContextual"/>
            </w:rPr>
            <w:t xml:space="preserve">affirms this positions by stating </w:t>
          </w:r>
          <w:r w:rsidR="006C78C7">
            <w:rPr>
              <w:rFonts w:ascii="Arial" w:eastAsia="Aptos" w:hAnsi="Arial" w:cs="Arial"/>
              <w:kern w:val="2"/>
              <w:sz w:val="24"/>
              <w:szCs w:val="24"/>
              <w:lang w:val="en-NZ"/>
              <w14:ligatures w14:val="standardContextual"/>
            </w:rPr>
            <w:t>that</w:t>
          </w:r>
          <w:r w:rsidRPr="00CF6AEF">
            <w:rPr>
              <w:rFonts w:ascii="Arial" w:eastAsia="Aptos" w:hAnsi="Arial" w:cs="Arial"/>
              <w:kern w:val="2"/>
              <w:sz w:val="24"/>
              <w:szCs w:val="24"/>
              <w:lang w:val="en-NZ"/>
              <w14:ligatures w14:val="standardContextual"/>
            </w:rPr>
            <w:t xml:space="preserve"> </w:t>
          </w:r>
          <w:r w:rsidRPr="00CF6AEF">
            <w:rPr>
              <w:rFonts w:ascii="Arial" w:eastAsia="Aptos" w:hAnsi="Arial" w:cs="Arial"/>
              <w:kern w:val="2"/>
              <w:sz w:val="24"/>
              <w:szCs w:val="24"/>
              <w14:ligatures w14:val="standardContextual"/>
            </w:rPr>
            <w:t xml:space="preserve">digital systems can automatically calculate figures, reducing the chances of human error. </w:t>
          </w:r>
          <w:r w:rsidRPr="00CF6AEF">
            <w:rPr>
              <w:rFonts w:ascii="Arial" w:eastAsia="Aptos" w:hAnsi="Arial" w:cs="Arial"/>
              <w:kern w:val="2"/>
              <w:sz w:val="24"/>
              <w:szCs w:val="24"/>
              <w:lang w:val="en-NZ"/>
              <w14:ligatures w14:val="standardContextual"/>
            </w:rPr>
            <w:t xml:space="preserve">Reifer (2001) </w:t>
          </w:r>
          <w:r w:rsidR="00FD4B33">
            <w:rPr>
              <w:rFonts w:ascii="Arial" w:eastAsia="Aptos" w:hAnsi="Arial" w:cs="Arial"/>
              <w:kern w:val="2"/>
              <w:sz w:val="24"/>
              <w:szCs w:val="24"/>
              <w:lang w:val="en-NZ"/>
              <w14:ligatures w14:val="standardContextual"/>
            </w:rPr>
            <w:t>also endorses this perspective</w:t>
          </w:r>
          <w:r w:rsidR="00A5599E">
            <w:rPr>
              <w:rFonts w:ascii="Arial" w:eastAsia="Aptos" w:hAnsi="Arial" w:cs="Arial"/>
              <w:kern w:val="2"/>
              <w:sz w:val="24"/>
              <w:szCs w:val="24"/>
              <w:lang w:val="en-NZ"/>
              <w14:ligatures w14:val="standardContextual"/>
            </w:rPr>
            <w:t xml:space="preserve"> articulating </w:t>
          </w:r>
          <w:r w:rsidRPr="00CF6AEF">
            <w:rPr>
              <w:rFonts w:ascii="Arial" w:eastAsia="Aptos" w:hAnsi="Arial" w:cs="Arial"/>
              <w:kern w:val="2"/>
              <w:sz w:val="24"/>
              <w:szCs w:val="24"/>
              <w:lang w:val="en-NZ"/>
              <w14:ligatures w14:val="standardContextual"/>
            </w:rPr>
            <w:t xml:space="preserve">that </w:t>
          </w:r>
          <w:r w:rsidRPr="00CF6AEF">
            <w:rPr>
              <w:rFonts w:ascii="Arial" w:eastAsia="Aptos" w:hAnsi="Arial" w:cs="Arial"/>
              <w:kern w:val="2"/>
              <w:sz w:val="24"/>
              <w:szCs w:val="24"/>
              <w14:ligatures w14:val="standardContextual"/>
            </w:rPr>
            <w:t>if a business uses software to record its income and expenses, the software can perform calculations automatically and flag any mistakes or discrepancies that might arise. By doing this, MTD aims to ensure that tax submissions are more precise, which is crucial for both taxpayers and HM Revenue and Customs (HMRC).</w:t>
          </w:r>
        </w:p>
        <w:p w14:paraId="4CC469AD" w14:textId="77777777" w:rsidR="00CF6AEF" w:rsidRPr="00CF6AEF" w:rsidRDefault="00CF6AEF" w:rsidP="00CF6AEF">
          <w:pPr>
            <w:spacing w:after="0" w:line="240" w:lineRule="auto"/>
            <w:rPr>
              <w:rFonts w:ascii="Arial" w:eastAsia="Aptos" w:hAnsi="Arial" w:cs="Arial"/>
              <w:kern w:val="2"/>
              <w:sz w:val="24"/>
              <w:szCs w:val="24"/>
              <w14:ligatures w14:val="standardContextual"/>
            </w:rPr>
          </w:pPr>
        </w:p>
        <w:p w14:paraId="2616F940" w14:textId="77777777" w:rsidR="00CF6AEF" w:rsidRP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 xml:space="preserve">Another important objective of MTD is to make it easier for taxpayers to meet their tax obligations. The initiative introduces digital reminders and streamlines processes </w:t>
          </w:r>
          <w:r w:rsidRPr="00CF6AEF">
            <w:rPr>
              <w:rFonts w:ascii="Arial" w:eastAsia="Aptos" w:hAnsi="Arial" w:cs="Arial"/>
              <w:kern w:val="2"/>
              <w:sz w:val="24"/>
              <w:szCs w:val="24"/>
              <w14:ligatures w14:val="standardContextual"/>
            </w:rPr>
            <w:lastRenderedPageBreak/>
            <w:t>that help individuals and businesses keep track of their responsibilities. For example, tax software can send alerts before deadlines, reminding taxpayers to submit their returns on time (</w:t>
          </w:r>
          <w:r w:rsidRPr="00CF6AEF">
            <w:rPr>
              <w:rFonts w:ascii="Arial" w:eastAsia="Aptos" w:hAnsi="Arial" w:cs="Arial"/>
              <w:kern w:val="2"/>
              <w:sz w:val="24"/>
              <w:szCs w:val="24"/>
              <w:lang w:val="en-NZ"/>
              <w14:ligatures w14:val="standardContextual"/>
            </w:rPr>
            <w:t>Stone et al</w:t>
          </w:r>
          <w:r w:rsidRPr="00CF6AEF">
            <w:rPr>
              <w:rFonts w:ascii="Arial" w:eastAsia="Aptos" w:hAnsi="Arial" w:cs="Arial"/>
              <w:kern w:val="2"/>
              <w:sz w:val="24"/>
              <w:szCs w:val="24"/>
              <w14:ligatures w14:val="standardContextual"/>
            </w:rPr>
            <w:t>, 2025). This is particularly beneficial for self-employed individuals and small business owners, who often juggle multiple tasks and may forget important dates. By simplifying the compliance process, MTD encourages a higher rate of on-time submissions, which ultimately benefits the tax system in general (</w:t>
          </w:r>
          <w:r w:rsidRPr="00CF6AEF">
            <w:rPr>
              <w:rFonts w:ascii="Arial" w:eastAsia="Aptos" w:hAnsi="Arial" w:cs="Arial"/>
              <w:kern w:val="2"/>
              <w:sz w:val="24"/>
              <w:szCs w:val="24"/>
              <w:lang w:val="en-NZ"/>
              <w14:ligatures w14:val="standardContextual"/>
            </w:rPr>
            <w:t>Sadiq, 2021)</w:t>
          </w:r>
          <w:r w:rsidRPr="00CF6AEF">
            <w:rPr>
              <w:rFonts w:ascii="Arial" w:eastAsia="Aptos" w:hAnsi="Arial" w:cs="Arial"/>
              <w:kern w:val="2"/>
              <w:sz w:val="24"/>
              <w:szCs w:val="24"/>
              <w14:ligatures w14:val="standardContextual"/>
            </w:rPr>
            <w:t xml:space="preserve">. </w:t>
          </w:r>
        </w:p>
        <w:p w14:paraId="53C60ABD" w14:textId="77777777" w:rsidR="00CF6AEF" w:rsidRPr="00CF6AEF" w:rsidRDefault="00CF6AEF" w:rsidP="00CF6AEF">
          <w:pPr>
            <w:spacing w:after="0" w:line="240" w:lineRule="auto"/>
            <w:rPr>
              <w:rFonts w:ascii="Arial" w:eastAsia="Aptos" w:hAnsi="Arial" w:cs="Arial"/>
              <w:kern w:val="2"/>
              <w:sz w:val="24"/>
              <w:szCs w:val="24"/>
              <w14:ligatures w14:val="standardContextual"/>
            </w:rPr>
          </w:pPr>
        </w:p>
        <w:p w14:paraId="6F96CF2C" w14:textId="100CA33B" w:rsidR="00CF6AEF" w:rsidRP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One of the central aims of MTD is to close the tax gap, which is the difference between the amount of tax that should be collected and what is actually received by the government. In recent years, this gap has been significant, costing the UK £31 billion in lost revenue (HMRC, 2021). MTD seeks to tackle this issue by improving compliance rates and reducing errors.</w:t>
          </w:r>
          <w:r w:rsidR="00EA313B">
            <w:rPr>
              <w:rFonts w:ascii="Arial" w:eastAsia="Aptos" w:hAnsi="Arial" w:cs="Arial"/>
              <w:kern w:val="2"/>
              <w:sz w:val="24"/>
              <w:szCs w:val="24"/>
              <w14:ligatures w14:val="standardContextual"/>
            </w:rPr>
            <w:t xml:space="preserve"> </w:t>
          </w:r>
          <w:r w:rsidRPr="00CF6AEF">
            <w:rPr>
              <w:rFonts w:ascii="Arial" w:eastAsia="Aptos" w:hAnsi="Arial" w:cs="Arial"/>
              <w:kern w:val="2"/>
              <w:sz w:val="24"/>
              <w:szCs w:val="24"/>
              <w:lang w:val="en-NZ"/>
              <w14:ligatures w14:val="standardContextual"/>
            </w:rPr>
            <w:t>Mandasari</w:t>
          </w:r>
          <w:r w:rsidRPr="00CF6AEF">
            <w:rPr>
              <w:rFonts w:ascii="Arial" w:eastAsia="Aptos" w:hAnsi="Arial" w:cs="Arial"/>
              <w:kern w:val="2"/>
              <w:sz w:val="24"/>
              <w:szCs w:val="24"/>
              <w14:ligatures w14:val="standardContextual"/>
            </w:rPr>
            <w:t xml:space="preserve"> (2024)</w:t>
          </w:r>
          <w:r w:rsidR="00EA313B">
            <w:rPr>
              <w:rFonts w:ascii="Arial" w:eastAsia="Aptos" w:hAnsi="Arial" w:cs="Arial"/>
              <w:kern w:val="2"/>
              <w:sz w:val="24"/>
              <w:szCs w:val="24"/>
              <w14:ligatures w14:val="standardContextual"/>
            </w:rPr>
            <w:t xml:space="preserve"> </w:t>
          </w:r>
          <w:r w:rsidR="00814AD5">
            <w:rPr>
              <w:rFonts w:ascii="Arial" w:eastAsia="Aptos" w:hAnsi="Arial" w:cs="Arial"/>
              <w:kern w:val="2"/>
              <w:sz w:val="24"/>
              <w:szCs w:val="24"/>
              <w14:ligatures w14:val="standardContextual"/>
            </w:rPr>
            <w:t>emphasised</w:t>
          </w:r>
          <w:r w:rsidR="00EA313B">
            <w:rPr>
              <w:rFonts w:ascii="Arial" w:eastAsia="Aptos" w:hAnsi="Arial" w:cs="Arial"/>
              <w:kern w:val="2"/>
              <w:sz w:val="24"/>
              <w:szCs w:val="24"/>
              <w14:ligatures w14:val="standardContextual"/>
            </w:rPr>
            <w:t xml:space="preserve"> that </w:t>
          </w:r>
          <w:r w:rsidRPr="00CF6AEF">
            <w:rPr>
              <w:rFonts w:ascii="Arial" w:eastAsia="Aptos" w:hAnsi="Arial" w:cs="Arial"/>
              <w:kern w:val="2"/>
              <w:sz w:val="24"/>
              <w:szCs w:val="24"/>
              <w14:ligatures w14:val="standardContextual"/>
            </w:rPr>
            <w:t>when taxpayers use digital systems that enhance accuracy and simplify processes, they are more likely to submit correct information. This, in turn, helps HMRC collect the tax it is owed, ultimately increasing government revenue.</w:t>
          </w:r>
        </w:p>
        <w:p w14:paraId="26A4F5CC" w14:textId="77777777" w:rsidR="00CF6AEF" w:rsidRPr="00CF6AEF" w:rsidRDefault="00CF6AEF" w:rsidP="00CF6AEF">
          <w:pPr>
            <w:spacing w:after="0" w:line="240" w:lineRule="auto"/>
            <w:rPr>
              <w:rFonts w:ascii="Arial" w:eastAsia="Aptos" w:hAnsi="Arial" w:cs="Arial"/>
              <w:kern w:val="2"/>
              <w:sz w:val="24"/>
              <w:szCs w:val="24"/>
              <w14:ligatures w14:val="standardContextual"/>
            </w:rPr>
          </w:pPr>
        </w:p>
        <w:p w14:paraId="21766169" w14:textId="77777777" w:rsidR="00CF6AEF" w:rsidRP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The benefits of MTD extend beyond just the objectives. Firstly, digital record-keeping significantly enhances the accuracy of tax reporting. With the automation of calculations and real-time error-checking, taxpayers can feel more confident that their submissions are correct, which reduces stress and uncertainty (Morse and Williams, 2020).</w:t>
          </w:r>
        </w:p>
        <w:p w14:paraId="5583CBDD" w14:textId="77777777" w:rsidR="00CF6AEF" w:rsidRPr="00CF6AEF" w:rsidRDefault="00CF6AEF" w:rsidP="00CF6AEF">
          <w:pPr>
            <w:spacing w:after="0" w:line="240" w:lineRule="auto"/>
            <w:rPr>
              <w:rFonts w:ascii="Arial" w:eastAsia="Aptos" w:hAnsi="Arial" w:cs="Arial"/>
              <w:kern w:val="2"/>
              <w:sz w:val="24"/>
              <w:szCs w:val="24"/>
              <w14:ligatures w14:val="standardContextual"/>
            </w:rPr>
          </w:pPr>
        </w:p>
        <w:p w14:paraId="3C30CB81" w14:textId="77777777" w:rsidR="00CF6AEF" w:rsidRP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Secondly, the use of compatible software means that taxpayers can manage their financial obligations more effectively. The software not only automates calculations but also provides reminders for important deadlines, ensuring that individuals and businesses do not miss submission dates (James, 2018). This capability supports better financial management and planning.</w:t>
          </w:r>
        </w:p>
        <w:p w14:paraId="36FBF51F" w14:textId="77777777" w:rsidR="00CF6AEF" w:rsidRPr="00CF6AEF" w:rsidRDefault="00CF6AEF" w:rsidP="00CF6AEF">
          <w:pPr>
            <w:spacing w:after="0" w:line="240" w:lineRule="auto"/>
            <w:rPr>
              <w:rFonts w:ascii="Arial" w:eastAsia="Aptos" w:hAnsi="Arial" w:cs="Arial"/>
              <w:kern w:val="2"/>
              <w:sz w:val="24"/>
              <w:szCs w:val="24"/>
              <w14:ligatures w14:val="standardContextual"/>
            </w:rPr>
          </w:pPr>
        </w:p>
        <w:p w14:paraId="7AF77742" w14:textId="77777777" w:rsidR="00CF6AEF" w:rsidRP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Additionally, MTD can lead to improved cash flow for businesses. When tax submissions are timely and accurate, businesses can better forecast their financial obligations and avoid penalties related to late submissions. This financial clarity allows businesses to focus on growth and investment rather than worrying about tax compliance (Melville, 2022).</w:t>
          </w:r>
        </w:p>
        <w:p w14:paraId="02A70662" w14:textId="77777777" w:rsidR="00CF6AEF" w:rsidRPr="00CF6AEF" w:rsidRDefault="00CF6AEF" w:rsidP="00CF6AEF">
          <w:pPr>
            <w:spacing w:after="0" w:line="240" w:lineRule="auto"/>
            <w:rPr>
              <w:rFonts w:ascii="Arial" w:eastAsia="Aptos" w:hAnsi="Arial" w:cs="Arial"/>
              <w:kern w:val="2"/>
              <w:sz w:val="24"/>
              <w:szCs w:val="24"/>
              <w14:ligatures w14:val="standardContextual"/>
            </w:rPr>
          </w:pPr>
        </w:p>
        <w:p w14:paraId="5CAC8430" w14:textId="63102EDC" w:rsidR="00CF6AEF" w:rsidRP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Moreover, MTD is designed to improve accuracy, enhance compliance, and close the tax gap. Its benefits are significant, offering taxpayers a more streamlined and effective way to manage their tax affairs. By embracing digital technology, MTD aims to modernise the UK tax system for the better (</w:t>
          </w:r>
          <w:r w:rsidRPr="00CF6AEF">
            <w:rPr>
              <w:rFonts w:ascii="Arial" w:eastAsia="Aptos" w:hAnsi="Arial" w:cs="Arial"/>
              <w:kern w:val="2"/>
              <w:sz w:val="24"/>
              <w:szCs w:val="24"/>
              <w:lang w:val="en-NZ"/>
              <w14:ligatures w14:val="standardContextual"/>
            </w:rPr>
            <w:t>Shidomi and Imoniana, 2025)</w:t>
          </w:r>
          <w:r>
            <w:rPr>
              <w:rFonts w:ascii="Arial" w:eastAsia="Aptos" w:hAnsi="Arial" w:cs="Arial"/>
              <w:kern w:val="2"/>
              <w:sz w:val="24"/>
              <w:szCs w:val="24"/>
              <w:lang w:val="en-NZ"/>
              <w14:ligatures w14:val="standardContextual"/>
            </w:rPr>
            <w:t>.</w:t>
          </w:r>
        </w:p>
        <w:p w14:paraId="6DF73EDF" w14:textId="77777777" w:rsidR="00480872" w:rsidRDefault="00480872" w:rsidP="00AA2A91">
          <w:pPr>
            <w:pStyle w:val="Heading1"/>
          </w:pPr>
        </w:p>
        <w:p w14:paraId="32497693" w14:textId="77777777" w:rsidR="00CF0E48" w:rsidRDefault="00CF0E48" w:rsidP="00CF0E48"/>
        <w:p w14:paraId="2FDBC807" w14:textId="77777777" w:rsidR="00620994" w:rsidRDefault="00620994" w:rsidP="00CF6AEF">
          <w:pPr>
            <w:spacing w:after="0" w:line="240" w:lineRule="auto"/>
            <w:rPr>
              <w:rFonts w:ascii="Arial" w:eastAsia="Aptos" w:hAnsi="Arial" w:cs="Arial"/>
              <w:kern w:val="2"/>
              <w:sz w:val="24"/>
              <w:szCs w:val="24"/>
              <w14:ligatures w14:val="standardContextual"/>
            </w:rPr>
          </w:pPr>
        </w:p>
        <w:p w14:paraId="09E3A10D" w14:textId="77777777" w:rsidR="00620994" w:rsidRDefault="00620994" w:rsidP="00CF6AEF">
          <w:pPr>
            <w:spacing w:after="0" w:line="240" w:lineRule="auto"/>
            <w:rPr>
              <w:rFonts w:ascii="Arial" w:eastAsia="Aptos" w:hAnsi="Arial" w:cs="Arial"/>
              <w:kern w:val="2"/>
              <w:sz w:val="24"/>
              <w:szCs w:val="24"/>
              <w14:ligatures w14:val="standardContextual"/>
            </w:rPr>
          </w:pPr>
        </w:p>
        <w:p w14:paraId="0AD26206" w14:textId="77777777" w:rsidR="00620994" w:rsidRDefault="00620994" w:rsidP="00CF6AEF">
          <w:pPr>
            <w:spacing w:after="0" w:line="240" w:lineRule="auto"/>
            <w:rPr>
              <w:rFonts w:ascii="Arial" w:eastAsia="Aptos" w:hAnsi="Arial" w:cs="Arial"/>
              <w:kern w:val="2"/>
              <w:sz w:val="24"/>
              <w:szCs w:val="24"/>
              <w14:ligatures w14:val="standardContextual"/>
            </w:rPr>
          </w:pPr>
        </w:p>
        <w:p w14:paraId="64F932D2" w14:textId="77777777" w:rsidR="00620994" w:rsidRDefault="00620994" w:rsidP="00CF6AEF">
          <w:pPr>
            <w:spacing w:after="0" w:line="240" w:lineRule="auto"/>
            <w:rPr>
              <w:rFonts w:ascii="Arial" w:eastAsia="Aptos" w:hAnsi="Arial" w:cs="Arial"/>
              <w:kern w:val="2"/>
              <w:sz w:val="24"/>
              <w:szCs w:val="24"/>
              <w14:ligatures w14:val="standardContextual"/>
            </w:rPr>
          </w:pPr>
        </w:p>
        <w:p w14:paraId="1FAA3B7D" w14:textId="77777777" w:rsidR="00620994" w:rsidRDefault="00620994" w:rsidP="00CF6AEF">
          <w:pPr>
            <w:spacing w:after="0" w:line="240" w:lineRule="auto"/>
            <w:rPr>
              <w:rFonts w:ascii="Arial" w:eastAsia="Aptos" w:hAnsi="Arial" w:cs="Arial"/>
              <w:kern w:val="2"/>
              <w:sz w:val="24"/>
              <w:szCs w:val="24"/>
              <w14:ligatures w14:val="standardContextual"/>
            </w:rPr>
          </w:pPr>
        </w:p>
        <w:p w14:paraId="30784FE1" w14:textId="77777777" w:rsidR="00620994" w:rsidRDefault="00620994" w:rsidP="00CF6AEF">
          <w:pPr>
            <w:spacing w:after="0" w:line="240" w:lineRule="auto"/>
            <w:rPr>
              <w:rFonts w:ascii="Arial" w:eastAsia="Aptos" w:hAnsi="Arial" w:cs="Arial"/>
              <w:kern w:val="2"/>
              <w:sz w:val="24"/>
              <w:szCs w:val="24"/>
              <w14:ligatures w14:val="standardContextual"/>
            </w:rPr>
          </w:pPr>
        </w:p>
        <w:p w14:paraId="3268E0F6" w14:textId="77777777" w:rsidR="00620994" w:rsidRDefault="00620994" w:rsidP="00CF6AEF">
          <w:pPr>
            <w:spacing w:after="0" w:line="240" w:lineRule="auto"/>
            <w:rPr>
              <w:rFonts w:ascii="Arial" w:eastAsia="Aptos" w:hAnsi="Arial" w:cs="Arial"/>
              <w:kern w:val="2"/>
              <w:sz w:val="24"/>
              <w:szCs w:val="24"/>
              <w14:ligatures w14:val="standardContextual"/>
            </w:rPr>
          </w:pPr>
        </w:p>
        <w:p w14:paraId="70C10B9C" w14:textId="77777777" w:rsidR="00CF6AEF" w:rsidRP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lastRenderedPageBreak/>
            <w:t>Making Tax Digital (MTD) offers several advantages, but it also presents significant challenges that need careful consideration. These challenges can impact various groups and the overall effectiveness of the initiative (</w:t>
          </w:r>
          <w:r w:rsidRPr="00CF6AEF">
            <w:rPr>
              <w:rFonts w:ascii="Arial" w:eastAsia="Aptos" w:hAnsi="Arial" w:cs="Arial"/>
              <w:kern w:val="2"/>
              <w:sz w:val="24"/>
              <w:szCs w:val="24"/>
              <w:lang w:val="en-NZ"/>
              <w14:ligatures w14:val="standardContextual"/>
            </w:rPr>
            <w:t>Mupokosera and Oguttu, 2026).</w:t>
          </w:r>
        </w:p>
        <w:p w14:paraId="3F8F31E6" w14:textId="77777777" w:rsidR="00CF6AEF" w:rsidRPr="00CF6AEF" w:rsidRDefault="00CF6AEF" w:rsidP="00CF6AEF">
          <w:pPr>
            <w:spacing w:after="0" w:line="240" w:lineRule="auto"/>
            <w:rPr>
              <w:rFonts w:ascii="Arial" w:eastAsia="Aptos" w:hAnsi="Arial" w:cs="Arial"/>
              <w:kern w:val="2"/>
              <w:sz w:val="24"/>
              <w:szCs w:val="24"/>
              <w14:ligatures w14:val="standardContextual"/>
            </w:rPr>
          </w:pPr>
        </w:p>
        <w:p w14:paraId="737A11CE" w14:textId="772DA7E6" w:rsid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 xml:space="preserve">One of the most pressing concerns with MTD is digital exclusion. According to </w:t>
          </w:r>
          <w:r w:rsidRPr="00CF6AEF">
            <w:rPr>
              <w:rFonts w:ascii="Arial" w:eastAsia="Aptos" w:hAnsi="Arial" w:cs="Arial"/>
              <w:kern w:val="2"/>
              <w:sz w:val="24"/>
              <w:szCs w:val="24"/>
              <w:lang w:val="en-NZ"/>
              <w14:ligatures w14:val="standardContextual"/>
            </w:rPr>
            <w:t>Wilson-Menzfeld</w:t>
          </w:r>
          <w:r w:rsidRPr="00CF6AEF">
            <w:rPr>
              <w:rFonts w:ascii="Arial" w:eastAsia="Aptos" w:hAnsi="Arial" w:cs="Arial"/>
              <w:kern w:val="2"/>
              <w:sz w:val="24"/>
              <w:szCs w:val="24"/>
              <w14:ligatures w14:val="standardContextual"/>
            </w:rPr>
            <w:t xml:space="preserve"> et al. (2025), this term refers to the difficulties some individuals face when adapting to digital technology. Specifically, older people and those living in rural areas may struggle to access reliable internet services or may not feel comfortable using digital tools (James, 2018). For instance, many older individuals may not have grown up with technology and might find it intimidating to navigate online tax systems. This lack of familiarity can lead to disparities in compliance rates, meaning some individuals might not be able to meet their tax obligations easily. If certain groups are unable to adapt, it creates an unfair burden, as they may face penalties or issues with their tax submissions (Frecknall-Hughes et al., 2020).</w:t>
          </w:r>
          <w:r w:rsidR="00523EB6">
            <w:rPr>
              <w:rFonts w:ascii="Arial" w:eastAsia="Aptos" w:hAnsi="Arial" w:cs="Arial"/>
              <w:kern w:val="2"/>
              <w:sz w:val="24"/>
              <w:szCs w:val="24"/>
              <w14:ligatures w14:val="standardContextual"/>
            </w:rPr>
            <w:t xml:space="preserve"> </w:t>
          </w:r>
        </w:p>
        <w:p w14:paraId="6712BFC6" w14:textId="77777777" w:rsidR="00523EB6" w:rsidRDefault="00523EB6" w:rsidP="00CF6AEF">
          <w:pPr>
            <w:spacing w:after="0" w:line="240" w:lineRule="auto"/>
            <w:rPr>
              <w:rFonts w:ascii="Arial" w:eastAsia="Aptos" w:hAnsi="Arial" w:cs="Arial"/>
              <w:kern w:val="2"/>
              <w:sz w:val="24"/>
              <w:szCs w:val="24"/>
              <w14:ligatures w14:val="standardContextual"/>
            </w:rPr>
          </w:pPr>
        </w:p>
        <w:p w14:paraId="55063577" w14:textId="60153435" w:rsidR="00523EB6" w:rsidRPr="00523EB6" w:rsidRDefault="00523EB6" w:rsidP="00523EB6">
          <w:pPr>
            <w:spacing w:after="0" w:line="240" w:lineRule="auto"/>
            <w:rPr>
              <w:rFonts w:ascii="Arial" w:eastAsia="Aptos" w:hAnsi="Arial" w:cs="Arial"/>
              <w:kern w:val="2"/>
              <w:sz w:val="24"/>
              <w:szCs w:val="24"/>
              <w14:ligatures w14:val="standardContextual"/>
            </w:rPr>
          </w:pPr>
          <w:r w:rsidRPr="00523EB6">
            <w:rPr>
              <w:rFonts w:ascii="Arial" w:eastAsia="Aptos" w:hAnsi="Arial" w:cs="Arial"/>
              <w:kern w:val="2"/>
              <w:sz w:val="24"/>
              <w:szCs w:val="24"/>
              <w14:ligatures w14:val="standardContextual"/>
            </w:rPr>
            <w:t xml:space="preserve">The case of Glen Lyn Generations Ltd and Exmoor Coast Boat Cruises Ltd v HMRC </w:t>
          </w:r>
          <w:r>
            <w:rPr>
              <w:rFonts w:ascii="Arial" w:eastAsia="Aptos" w:hAnsi="Arial" w:cs="Arial"/>
              <w:kern w:val="2"/>
              <w:sz w:val="24"/>
              <w:szCs w:val="24"/>
              <w14:ligatures w14:val="standardContextual"/>
            </w:rPr>
            <w:t>(</w:t>
          </w:r>
          <w:r w:rsidRPr="00523EB6">
            <w:rPr>
              <w:rFonts w:ascii="Arial" w:eastAsia="Aptos" w:hAnsi="Arial" w:cs="Arial"/>
              <w:kern w:val="2"/>
              <w:sz w:val="24"/>
              <w:szCs w:val="24"/>
              <w14:ligatures w14:val="standardContextual"/>
            </w:rPr>
            <w:t>2018</w:t>
          </w:r>
          <w:r>
            <w:rPr>
              <w:rFonts w:ascii="Arial" w:eastAsia="Aptos" w:hAnsi="Arial" w:cs="Arial"/>
              <w:kern w:val="2"/>
              <w:sz w:val="24"/>
              <w:szCs w:val="24"/>
              <w14:ligatures w14:val="standardContextual"/>
            </w:rPr>
            <w:t>)</w:t>
          </w:r>
          <w:r w:rsidRPr="00523EB6">
            <w:rPr>
              <w:rFonts w:ascii="Arial" w:eastAsia="Aptos" w:hAnsi="Arial" w:cs="Arial"/>
              <w:kern w:val="2"/>
              <w:sz w:val="24"/>
              <w:szCs w:val="24"/>
              <w14:ligatures w14:val="standardContextual"/>
            </w:rPr>
            <w:t xml:space="preserve"> is significant for its interpretation of VAT exemption conditions, particularly concerning online filing requirements. The key issue was whether Mr. Oxenham, the director responsible for filing VAT returns for both companies, could claim an exemption from online filing due to his age and lack of computer skills. Although HMRC acknowledged that Mr. Oxenham was not very computer literate, they argued that it was still “reasonably practicable” for him to file online, even if it might be somewhat inconvenient. HMRC suggested that Mr. Oxenham could hire an agent to help with the online process, and they contended that “age” should only apply to physical limitations rather than general age.</w:t>
          </w:r>
        </w:p>
        <w:p w14:paraId="6A3DEE92" w14:textId="77777777" w:rsidR="00523EB6" w:rsidRPr="00523EB6" w:rsidRDefault="00523EB6" w:rsidP="00523EB6">
          <w:pPr>
            <w:spacing w:after="0" w:line="240" w:lineRule="auto"/>
            <w:rPr>
              <w:rFonts w:ascii="Arial" w:eastAsia="Aptos" w:hAnsi="Arial" w:cs="Arial"/>
              <w:kern w:val="2"/>
              <w:sz w:val="24"/>
              <w:szCs w:val="24"/>
              <w14:ligatures w14:val="standardContextual"/>
            </w:rPr>
          </w:pPr>
        </w:p>
        <w:p w14:paraId="11B920DA" w14:textId="64F636CC" w:rsidR="00523EB6" w:rsidRPr="00CF6AEF" w:rsidRDefault="00523EB6" w:rsidP="00523EB6">
          <w:pPr>
            <w:spacing w:after="0" w:line="240" w:lineRule="auto"/>
            <w:rPr>
              <w:rFonts w:ascii="Arial" w:eastAsia="Aptos" w:hAnsi="Arial" w:cs="Arial"/>
              <w:kern w:val="2"/>
              <w:sz w:val="24"/>
              <w:szCs w:val="24"/>
              <w14:ligatures w14:val="standardContextual"/>
            </w:rPr>
          </w:pPr>
          <w:r w:rsidRPr="00523EB6">
            <w:rPr>
              <w:rFonts w:ascii="Arial" w:eastAsia="Aptos" w:hAnsi="Arial" w:cs="Arial"/>
              <w:kern w:val="2"/>
              <w:sz w:val="24"/>
              <w:szCs w:val="24"/>
              <w14:ligatures w14:val="standardContextual"/>
            </w:rPr>
            <w:t>The Tribunal ultimately upheld HMRC’s decision but recognised that the circumstances surrounding Mr. Oxenham’s age and computer skills were relevant factors. They stated that age could affect one's ability to use computers, especially for those who did not grow up with technology. Nevertheless, the Tribunal noted that both companies had previously filed their VAT returns online, making it hard to argue that it was impractical for them to continue doing so. The Tribunal also highlighted Mr. Oxenham's ongoing objections to online filing as a moral stance rather than a practical one. This case illustrates that obtaining an exemption from online VAT filing is challenging, but it also acknowledges that not everyone is equally adept with technology, a consideration that may need to be taken into account in future cases.</w:t>
          </w:r>
        </w:p>
        <w:p w14:paraId="1E7ED940" w14:textId="77777777" w:rsidR="00CF6AEF" w:rsidRPr="00CF6AEF" w:rsidRDefault="00CF6AEF" w:rsidP="00CF6AEF">
          <w:pPr>
            <w:spacing w:after="0" w:line="240" w:lineRule="auto"/>
            <w:rPr>
              <w:rFonts w:ascii="Arial" w:eastAsia="Aptos" w:hAnsi="Arial" w:cs="Arial"/>
              <w:kern w:val="2"/>
              <w:sz w:val="24"/>
              <w:szCs w:val="24"/>
              <w14:ligatures w14:val="standardContextual"/>
            </w:rPr>
          </w:pPr>
        </w:p>
        <w:p w14:paraId="03614019" w14:textId="77777777" w:rsidR="00CF6AEF" w:rsidRDefault="00CF6AEF" w:rsidP="00CF6AEF">
          <w:pPr>
            <w:spacing w:after="0"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14:ligatures w14:val="standardContextual"/>
            </w:rPr>
            <w:t>Another significant challenge is the increased administrative burden on small businesses and self-employed individuals (</w:t>
          </w:r>
          <w:r w:rsidRPr="00CF6AEF">
            <w:rPr>
              <w:rFonts w:ascii="Arial" w:eastAsia="Aptos" w:hAnsi="Arial" w:cs="Arial"/>
              <w:kern w:val="2"/>
              <w:sz w:val="24"/>
              <w:szCs w:val="24"/>
              <w:lang w:val="en-NZ"/>
              <w14:ligatures w14:val="standardContextual"/>
            </w:rPr>
            <w:t>Skoumpopoulou and Crisp, 2021)</w:t>
          </w:r>
          <w:r w:rsidRPr="00CF6AEF">
            <w:rPr>
              <w:rFonts w:ascii="Arial" w:eastAsia="Aptos" w:hAnsi="Arial" w:cs="Arial"/>
              <w:kern w:val="2"/>
              <w:sz w:val="24"/>
              <w:szCs w:val="24"/>
              <w14:ligatures w14:val="standardContextual"/>
            </w:rPr>
            <w:t>. Many of these taxpayers may not have the financial resources to invest in the necessary software to comply with MTD. For example, small businesses often operate on tight budgets and may find it challenging to allocate funds for new digital tools or training (Morse and Williams, 2020). The transition to digital record-keeping can seem daunting, especially for those who have relied on traditional methods for many years. This situation could lead to higher costs for small enterprises, as they may need to hire consultants or spend time learning new systems. Ultimately, this increased burden could threaten the viability of some small businesses, which are vital to the UK economy (</w:t>
          </w:r>
          <w:r w:rsidRPr="00CF6AEF">
            <w:rPr>
              <w:rFonts w:ascii="Arial" w:eastAsia="Aptos" w:hAnsi="Arial" w:cs="Arial"/>
              <w:kern w:val="2"/>
              <w:sz w:val="24"/>
              <w:szCs w:val="24"/>
              <w:lang w:val="en-NZ"/>
              <w14:ligatures w14:val="standardContextual"/>
            </w:rPr>
            <w:t>Adebiyi, 2023).</w:t>
          </w:r>
        </w:p>
        <w:p w14:paraId="5B6DF379" w14:textId="77777777" w:rsidR="00E11F72" w:rsidRDefault="00E11F72" w:rsidP="00CF6AEF">
          <w:pPr>
            <w:spacing w:after="0" w:line="240" w:lineRule="auto"/>
            <w:rPr>
              <w:rFonts w:ascii="Arial" w:eastAsia="Aptos" w:hAnsi="Arial" w:cs="Arial"/>
              <w:kern w:val="2"/>
              <w:sz w:val="24"/>
              <w:szCs w:val="24"/>
              <w:lang w:val="en-NZ"/>
              <w14:ligatures w14:val="standardContextual"/>
            </w:rPr>
          </w:pPr>
        </w:p>
        <w:p w14:paraId="6A0E7AF4" w14:textId="70BAF4F8" w:rsidR="00CF6AEF" w:rsidRP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lastRenderedPageBreak/>
            <w:t xml:space="preserve">According to </w:t>
          </w:r>
          <w:r w:rsidRPr="00CF6AEF">
            <w:rPr>
              <w:rFonts w:ascii="Arial" w:eastAsia="Aptos" w:hAnsi="Arial" w:cs="Arial"/>
              <w:kern w:val="2"/>
              <w:sz w:val="24"/>
              <w:szCs w:val="24"/>
              <w:lang w:val="en-NZ"/>
              <w14:ligatures w14:val="standardContextual"/>
            </w:rPr>
            <w:t>Abdul Rashid</w:t>
          </w:r>
          <w:r w:rsidRPr="00CF6AEF">
            <w:rPr>
              <w:rFonts w:ascii="Arial" w:eastAsia="Aptos" w:hAnsi="Arial" w:cs="Arial"/>
              <w:kern w:val="2"/>
              <w:sz w:val="24"/>
              <w:szCs w:val="24"/>
              <w14:ligatures w14:val="standardContextual"/>
            </w:rPr>
            <w:t xml:space="preserve"> et al. (2024), the transition to MTD also raises important questions about data security and privacy. Taxpayers need to feel confident that their sensitive financial information is protected when shared with HM Revenue and Customs (HMRC) through digital platforms (Melville, 2022). There is a legitimate concern that cyber threats could compromise personal data, leading to identity theft or financial fraud. To address these concerns, it is crucial for HMRC to implement strong cybersecurity measures. This includes encryption of data, secure access protocols, and regular audits to ensure that systems are robust against potential threats</w:t>
          </w:r>
          <w:r w:rsidR="0081714E">
            <w:rPr>
              <w:rFonts w:ascii="Arial" w:eastAsia="Aptos" w:hAnsi="Arial" w:cs="Arial"/>
              <w:kern w:val="2"/>
              <w:sz w:val="24"/>
              <w:szCs w:val="24"/>
              <w14:ligatures w14:val="standardContextual"/>
            </w:rPr>
            <w:t xml:space="preserve">. </w:t>
          </w:r>
          <w:r w:rsidRPr="00CF6AEF">
            <w:rPr>
              <w:rFonts w:ascii="Arial" w:eastAsia="Aptos" w:hAnsi="Arial" w:cs="Arial"/>
              <w:kern w:val="2"/>
              <w:sz w:val="24"/>
              <w:szCs w:val="24"/>
              <w14:ligatures w14:val="standardContextual"/>
            </w:rPr>
            <w:t>Without these measures, public confidence in the tax system could erode, making people hesitant to engage with digital processes</w:t>
          </w:r>
          <w:r w:rsidR="0081714E">
            <w:rPr>
              <w:rFonts w:ascii="Arial" w:eastAsia="Aptos" w:hAnsi="Arial" w:cs="Arial"/>
              <w:kern w:val="2"/>
              <w:sz w:val="24"/>
              <w:szCs w:val="24"/>
              <w14:ligatures w14:val="standardContextual"/>
            </w:rPr>
            <w:t xml:space="preserve"> </w:t>
          </w:r>
          <w:r w:rsidR="0081714E" w:rsidRPr="00CF6AEF">
            <w:rPr>
              <w:rFonts w:ascii="Arial" w:eastAsia="Aptos" w:hAnsi="Arial" w:cs="Arial"/>
              <w:kern w:val="2"/>
              <w:sz w:val="24"/>
              <w:szCs w:val="24"/>
              <w14:ligatures w14:val="standardContextual"/>
            </w:rPr>
            <w:t>(</w:t>
          </w:r>
          <w:r w:rsidR="0081714E" w:rsidRPr="00CF6AEF">
            <w:rPr>
              <w:rFonts w:ascii="Arial" w:eastAsia="Aptos" w:hAnsi="Arial" w:cs="Arial"/>
              <w:kern w:val="2"/>
              <w:sz w:val="24"/>
              <w:szCs w:val="24"/>
              <w:lang w:val="en-NZ"/>
              <w14:ligatures w14:val="standardContextual"/>
            </w:rPr>
            <w:t>Joy et al.</w:t>
          </w:r>
          <w:r w:rsidR="00CA6866">
            <w:rPr>
              <w:rFonts w:ascii="Arial" w:eastAsia="Aptos" w:hAnsi="Arial" w:cs="Arial"/>
              <w:kern w:val="2"/>
              <w:sz w:val="24"/>
              <w:szCs w:val="24"/>
              <w:lang w:val="en-NZ"/>
              <w14:ligatures w14:val="standardContextual"/>
            </w:rPr>
            <w:t>,</w:t>
          </w:r>
          <w:r w:rsidR="00E31307">
            <w:rPr>
              <w:rFonts w:ascii="Arial" w:eastAsia="Aptos" w:hAnsi="Arial" w:cs="Arial"/>
              <w:kern w:val="2"/>
              <w:sz w:val="24"/>
              <w:szCs w:val="24"/>
              <w:lang w:val="en-NZ"/>
              <w14:ligatures w14:val="standardContextual"/>
            </w:rPr>
            <w:t xml:space="preserve"> </w:t>
          </w:r>
          <w:r w:rsidR="0081714E" w:rsidRPr="00CF6AEF">
            <w:rPr>
              <w:rFonts w:ascii="Arial" w:eastAsia="Aptos" w:hAnsi="Arial" w:cs="Arial"/>
              <w:kern w:val="2"/>
              <w:sz w:val="24"/>
              <w:szCs w:val="24"/>
              <w:lang w:val="en-NZ"/>
              <w14:ligatures w14:val="standardContextual"/>
            </w:rPr>
            <w:t>2024)</w:t>
          </w:r>
          <w:r w:rsidR="0081714E" w:rsidRPr="00CF6AEF">
            <w:rPr>
              <w:rFonts w:ascii="Arial" w:eastAsia="Aptos" w:hAnsi="Arial" w:cs="Arial"/>
              <w:kern w:val="2"/>
              <w:sz w:val="24"/>
              <w:szCs w:val="24"/>
              <w14:ligatures w14:val="standardContextual"/>
            </w:rPr>
            <w:t>.</w:t>
          </w:r>
        </w:p>
        <w:p w14:paraId="638C5ADF" w14:textId="77777777" w:rsidR="00CF0E48" w:rsidRDefault="00CF0E48" w:rsidP="00CF0E48"/>
        <w:p w14:paraId="585BED9D" w14:textId="01DA6121" w:rsidR="00090D3D" w:rsidRPr="00090D3D" w:rsidRDefault="00A30590" w:rsidP="00090D3D">
          <w:pPr>
            <w:rPr>
              <w:rFonts w:ascii="Arial" w:hAnsi="Arial" w:cs="Arial"/>
              <w:sz w:val="24"/>
              <w:szCs w:val="24"/>
            </w:rPr>
          </w:pPr>
          <w:r>
            <w:rPr>
              <w:rFonts w:ascii="Arial" w:hAnsi="Arial" w:cs="Arial"/>
              <w:sz w:val="24"/>
              <w:szCs w:val="24"/>
            </w:rPr>
            <w:t>For instance, the ca</w:t>
          </w:r>
          <w:r w:rsidR="00090D3D" w:rsidRPr="00090D3D">
            <w:rPr>
              <w:rFonts w:ascii="Arial" w:hAnsi="Arial" w:cs="Arial"/>
              <w:sz w:val="24"/>
              <w:szCs w:val="24"/>
            </w:rPr>
            <w:t xml:space="preserve">se of Ashley v HMRC </w:t>
          </w:r>
          <w:r>
            <w:rPr>
              <w:rFonts w:ascii="Arial" w:hAnsi="Arial" w:cs="Arial"/>
              <w:sz w:val="24"/>
              <w:szCs w:val="24"/>
            </w:rPr>
            <w:t>(</w:t>
          </w:r>
          <w:r w:rsidR="00090D3D" w:rsidRPr="00090D3D">
            <w:rPr>
              <w:rFonts w:ascii="Arial" w:hAnsi="Arial" w:cs="Arial"/>
              <w:sz w:val="24"/>
              <w:szCs w:val="24"/>
            </w:rPr>
            <w:t>2025</w:t>
          </w:r>
          <w:r>
            <w:rPr>
              <w:rFonts w:ascii="Arial" w:hAnsi="Arial" w:cs="Arial"/>
              <w:sz w:val="24"/>
              <w:szCs w:val="24"/>
            </w:rPr>
            <w:t>)</w:t>
          </w:r>
          <w:r w:rsidR="00090D3D" w:rsidRPr="00090D3D">
            <w:rPr>
              <w:rFonts w:ascii="Arial" w:hAnsi="Arial" w:cs="Arial"/>
              <w:sz w:val="24"/>
              <w:szCs w:val="24"/>
            </w:rPr>
            <w:t xml:space="preserve"> EWHC is significant for its implications on Making Tax Digital (MTD) and the handling of data by HM Revenue and Customs (HMRC). The High Court ruled that HMRC has a clear obligation to provide taxpayers with comprehensive and understandable data when they make a data subject access request (DSAR). This means that when taxpayers ask for their personal data, HMRC must ensure that they receive all relevant information processed during tax inquiries, including contextual details. The court clarified that data related to tax assessments could be considered personal data if it is linked to the taxpayer's identity through its content, purpose, or effect. This ruling broadens what taxpayers can request in terms of data, especially as MTD requires extensive digital records to determine tax liabilities.</w:t>
          </w:r>
        </w:p>
        <w:p w14:paraId="3869867C" w14:textId="3155A00D" w:rsidR="00DF4EEF" w:rsidRDefault="00090D3D" w:rsidP="00CF6AEF">
          <w:pPr>
            <w:rPr>
              <w:rFonts w:ascii="Arial" w:hAnsi="Arial" w:cs="Arial"/>
              <w:sz w:val="24"/>
              <w:szCs w:val="24"/>
            </w:rPr>
          </w:pPr>
          <w:r w:rsidRPr="00090D3D">
            <w:rPr>
              <w:rFonts w:ascii="Arial" w:hAnsi="Arial" w:cs="Arial"/>
              <w:sz w:val="24"/>
              <w:szCs w:val="24"/>
            </w:rPr>
            <w:t>Additionally, the court found that HMRC had failed in its duty by only searching one department for data and ignoring other relevant sources. This means that HMRC must conduct thorough searches across all its divisions, ensuring that they do not treat departments as isolated entities. The ruling also emphasi</w:t>
          </w:r>
          <w:r w:rsidR="009A25DD">
            <w:rPr>
              <w:rFonts w:ascii="Arial" w:hAnsi="Arial" w:cs="Arial"/>
              <w:sz w:val="24"/>
              <w:szCs w:val="24"/>
            </w:rPr>
            <w:t>s</w:t>
          </w:r>
          <w:r w:rsidRPr="00090D3D">
            <w:rPr>
              <w:rFonts w:ascii="Arial" w:hAnsi="Arial" w:cs="Arial"/>
              <w:sz w:val="24"/>
              <w:szCs w:val="24"/>
            </w:rPr>
            <w:t>ed that HMRC cannot simply provide heavily redacted information; data must be delivered in a form that is clear and meaningful, allowing taxpayers to understand how their information has been used. Moreover, the court rejected HMRC's claims of "tax exemptions" for withholding information without substantial evidence. Overall, this case underscores the necessity for transparency in HMRC's data processing, aligning with the transparency goals of MTD as more tax data becomes digital and interconnected.</w:t>
          </w:r>
        </w:p>
        <w:p w14:paraId="1C48F74E" w14:textId="1E8E8B25" w:rsidR="00CF6AEF" w:rsidRPr="00811272" w:rsidRDefault="000335C1" w:rsidP="00CF6AEF">
          <w:pPr>
            <w:rPr>
              <w:rFonts w:ascii="Arial" w:hAnsi="Arial" w:cs="Arial"/>
              <w:sz w:val="24"/>
              <w:szCs w:val="24"/>
            </w:rPr>
          </w:pPr>
          <w:r>
            <w:rPr>
              <w:rFonts w:ascii="Arial" w:hAnsi="Arial" w:cs="Arial"/>
              <w:sz w:val="24"/>
              <w:szCs w:val="24"/>
            </w:rPr>
            <w:t>The</w:t>
          </w:r>
          <w:r w:rsidR="00CF6AEF" w:rsidRPr="00811272">
            <w:rPr>
              <w:rFonts w:ascii="Arial" w:hAnsi="Arial" w:cs="Arial"/>
              <w:sz w:val="24"/>
              <w:szCs w:val="24"/>
            </w:rPr>
            <w:t xml:space="preserve"> implementation of Making Tax Digital (MTD) is governed by several important laws. One key piece of legislation is the Finance Act </w:t>
          </w:r>
          <w:r w:rsidR="00474C27">
            <w:rPr>
              <w:rFonts w:ascii="Arial" w:hAnsi="Arial" w:cs="Arial"/>
              <w:sz w:val="24"/>
              <w:szCs w:val="24"/>
            </w:rPr>
            <w:t>(</w:t>
          </w:r>
          <w:r w:rsidR="00CF6AEF" w:rsidRPr="00811272">
            <w:rPr>
              <w:rFonts w:ascii="Arial" w:hAnsi="Arial" w:cs="Arial"/>
              <w:sz w:val="24"/>
              <w:szCs w:val="24"/>
            </w:rPr>
            <w:t>2018</w:t>
          </w:r>
          <w:r w:rsidR="00474C27">
            <w:rPr>
              <w:rFonts w:ascii="Arial" w:hAnsi="Arial" w:cs="Arial"/>
              <w:sz w:val="24"/>
              <w:szCs w:val="24"/>
            </w:rPr>
            <w:t>)</w:t>
          </w:r>
          <w:r w:rsidR="00CF6AEF" w:rsidRPr="00811272">
            <w:rPr>
              <w:rFonts w:ascii="Arial" w:hAnsi="Arial" w:cs="Arial"/>
              <w:sz w:val="24"/>
              <w:szCs w:val="24"/>
            </w:rPr>
            <w:t>, which established the legal framework for MTD. This act outlines how MTD should be applied, detailing the requirements for digital record-keeping and electronic submissions. It is essential for taxpayers to understand this framework as it defines their responsibilities and rights under the new system (HMRC, 2021).</w:t>
          </w:r>
        </w:p>
        <w:p w14:paraId="0314A3F6" w14:textId="3A30B4A7" w:rsidR="00CF6AEF" w:rsidRPr="00811272" w:rsidRDefault="00CF6AEF" w:rsidP="00CF6AEF">
          <w:pPr>
            <w:rPr>
              <w:rFonts w:ascii="Arial" w:hAnsi="Arial" w:cs="Arial"/>
              <w:sz w:val="24"/>
              <w:szCs w:val="24"/>
            </w:rPr>
          </w:pPr>
          <w:r w:rsidRPr="00811272">
            <w:rPr>
              <w:rFonts w:ascii="Arial" w:hAnsi="Arial" w:cs="Arial"/>
              <w:sz w:val="24"/>
              <w:szCs w:val="24"/>
            </w:rPr>
            <w:t>Th</w:t>
          </w:r>
          <w:r w:rsidR="000D42C8">
            <w:rPr>
              <w:rFonts w:ascii="Arial" w:hAnsi="Arial" w:cs="Arial"/>
              <w:sz w:val="24"/>
              <w:szCs w:val="24"/>
            </w:rPr>
            <w:t>e above</w:t>
          </w:r>
          <w:r w:rsidRPr="00811272">
            <w:rPr>
              <w:rFonts w:ascii="Arial" w:hAnsi="Arial" w:cs="Arial"/>
              <w:sz w:val="24"/>
              <w:szCs w:val="24"/>
            </w:rPr>
            <w:t xml:space="preserve"> case</w:t>
          </w:r>
          <w:r w:rsidR="000D42C8">
            <w:rPr>
              <w:rFonts w:ascii="Arial" w:hAnsi="Arial" w:cs="Arial"/>
              <w:sz w:val="24"/>
              <w:szCs w:val="24"/>
            </w:rPr>
            <w:t>s</w:t>
          </w:r>
          <w:r w:rsidRPr="00811272">
            <w:rPr>
              <w:rFonts w:ascii="Arial" w:hAnsi="Arial" w:cs="Arial"/>
              <w:sz w:val="24"/>
              <w:szCs w:val="24"/>
            </w:rPr>
            <w:t xml:space="preserve"> shows how courts interpret tax laws in the context of digital processes, providing insights into the expectations placed on taxpayers</w:t>
          </w:r>
          <w:r w:rsidR="000D42C8">
            <w:rPr>
              <w:rFonts w:ascii="Arial" w:hAnsi="Arial" w:cs="Arial"/>
              <w:sz w:val="24"/>
              <w:szCs w:val="24"/>
            </w:rPr>
            <w:t xml:space="preserve"> as well as</w:t>
          </w:r>
          <w:r w:rsidR="002B2315">
            <w:rPr>
              <w:rFonts w:ascii="Arial" w:hAnsi="Arial" w:cs="Arial"/>
              <w:sz w:val="24"/>
              <w:szCs w:val="24"/>
            </w:rPr>
            <w:t xml:space="preserve"> </w:t>
          </w:r>
          <w:r w:rsidR="000D42C8">
            <w:rPr>
              <w:rFonts w:ascii="Arial" w:hAnsi="Arial" w:cs="Arial"/>
              <w:sz w:val="24"/>
              <w:szCs w:val="24"/>
            </w:rPr>
            <w:t>tax administrators</w:t>
          </w:r>
          <w:r w:rsidRPr="00811272">
            <w:rPr>
              <w:rFonts w:ascii="Arial" w:hAnsi="Arial" w:cs="Arial"/>
              <w:sz w:val="24"/>
              <w:szCs w:val="24"/>
            </w:rPr>
            <w:t>. Understanding such cases is crucial for taxpayers to navigate their obligations effectively.</w:t>
          </w:r>
        </w:p>
        <w:p w14:paraId="1DE56674" w14:textId="25A48A1A" w:rsidR="00CF6AEF" w:rsidRPr="00811272" w:rsidRDefault="00CF6AEF" w:rsidP="00CF6AEF">
          <w:pPr>
            <w:rPr>
              <w:rFonts w:ascii="Arial" w:hAnsi="Arial" w:cs="Arial"/>
              <w:sz w:val="24"/>
              <w:szCs w:val="24"/>
            </w:rPr>
          </w:pPr>
          <w:r w:rsidRPr="00811272">
            <w:rPr>
              <w:rFonts w:ascii="Arial" w:hAnsi="Arial" w:cs="Arial"/>
              <w:sz w:val="24"/>
              <w:szCs w:val="24"/>
            </w:rPr>
            <w:t xml:space="preserve">Moreover, literature on MTD reveals a growing body of research that examines its implications. Scholars like James (2018) and Morse and Williams (2020) explore the principles of tax law and discuss both the benefits and challenges of MTD. Their </w:t>
          </w:r>
          <w:r w:rsidRPr="00811272">
            <w:rPr>
              <w:rFonts w:ascii="Arial" w:hAnsi="Arial" w:cs="Arial"/>
              <w:sz w:val="24"/>
              <w:szCs w:val="24"/>
            </w:rPr>
            <w:lastRenderedPageBreak/>
            <w:t>studies provide valuable insights into how digitisation can improve tax compliance but also highlight potential issues that may arise during implementation. </w:t>
          </w:r>
        </w:p>
        <w:p w14:paraId="049832FB" w14:textId="74676A84" w:rsidR="00CF6AEF" w:rsidRDefault="00CF6AEF" w:rsidP="00CF6AEF">
          <w:pPr>
            <w:rPr>
              <w:rFonts w:ascii="Arial" w:hAnsi="Arial" w:cs="Arial"/>
              <w:sz w:val="24"/>
              <w:szCs w:val="24"/>
            </w:rPr>
          </w:pPr>
          <w:r w:rsidRPr="00811272">
            <w:rPr>
              <w:rFonts w:ascii="Arial" w:hAnsi="Arial" w:cs="Arial"/>
              <w:sz w:val="24"/>
              <w:szCs w:val="24"/>
            </w:rPr>
            <w:t>This research emphasi</w:t>
          </w:r>
          <w:r w:rsidR="009A25DD">
            <w:rPr>
              <w:rFonts w:ascii="Arial" w:hAnsi="Arial" w:cs="Arial"/>
              <w:sz w:val="24"/>
              <w:szCs w:val="24"/>
            </w:rPr>
            <w:t>s</w:t>
          </w:r>
          <w:r w:rsidRPr="00811272">
            <w:rPr>
              <w:rFonts w:ascii="Arial" w:hAnsi="Arial" w:cs="Arial"/>
              <w:sz w:val="24"/>
              <w:szCs w:val="24"/>
            </w:rPr>
            <w:t>es the importance of ongoing evaluation of MTD, as noted by Melville (2022). Continuous study is needed to assess the long-term effects of this digital initiative on tax administration and compliance. By examining both legislative frameworks and scholarly research, stakeholders can better understand the complexities and impacts of MTD on the UK tax system.</w:t>
          </w:r>
        </w:p>
        <w:p w14:paraId="26D5EFF0" w14:textId="77777777" w:rsidR="00FB237D" w:rsidRDefault="00FB237D" w:rsidP="00CF6AEF">
          <w:pPr>
            <w:rPr>
              <w:rFonts w:ascii="Arial" w:hAnsi="Arial" w:cs="Arial"/>
              <w:sz w:val="24"/>
              <w:szCs w:val="24"/>
            </w:rPr>
          </w:pPr>
        </w:p>
        <w:p w14:paraId="4BB94978" w14:textId="77777777" w:rsidR="00FB237D" w:rsidRDefault="00FB237D" w:rsidP="00CF6AEF">
          <w:pPr>
            <w:rPr>
              <w:rFonts w:ascii="Arial" w:hAnsi="Arial" w:cs="Arial"/>
              <w:sz w:val="24"/>
              <w:szCs w:val="24"/>
            </w:rPr>
          </w:pPr>
        </w:p>
        <w:p w14:paraId="58F53204" w14:textId="77777777" w:rsidR="006C237E" w:rsidRDefault="006C237E" w:rsidP="00CF6AEF">
          <w:pPr>
            <w:rPr>
              <w:rFonts w:ascii="Arial" w:hAnsi="Arial" w:cs="Arial"/>
              <w:sz w:val="24"/>
              <w:szCs w:val="24"/>
            </w:rPr>
          </w:pPr>
        </w:p>
        <w:p w14:paraId="22DD465D" w14:textId="77777777" w:rsidR="006C237E" w:rsidRDefault="006C237E" w:rsidP="00CF6AEF">
          <w:pPr>
            <w:rPr>
              <w:rFonts w:ascii="Arial" w:hAnsi="Arial" w:cs="Arial"/>
              <w:sz w:val="24"/>
              <w:szCs w:val="24"/>
            </w:rPr>
          </w:pPr>
        </w:p>
        <w:p w14:paraId="7348EEBC" w14:textId="77777777" w:rsidR="006C237E" w:rsidRDefault="006C237E" w:rsidP="00CF6AEF">
          <w:pPr>
            <w:rPr>
              <w:rFonts w:ascii="Arial" w:hAnsi="Arial" w:cs="Arial"/>
              <w:sz w:val="24"/>
              <w:szCs w:val="24"/>
            </w:rPr>
          </w:pPr>
        </w:p>
        <w:p w14:paraId="1AEBBA1A" w14:textId="77777777" w:rsidR="006C237E" w:rsidRDefault="006C237E" w:rsidP="00CF6AEF">
          <w:pPr>
            <w:rPr>
              <w:rFonts w:ascii="Arial" w:hAnsi="Arial" w:cs="Arial"/>
              <w:sz w:val="24"/>
              <w:szCs w:val="24"/>
            </w:rPr>
          </w:pPr>
        </w:p>
        <w:p w14:paraId="5E8D45EF" w14:textId="77777777" w:rsidR="006C237E" w:rsidRDefault="006C237E" w:rsidP="00CF6AEF">
          <w:pPr>
            <w:rPr>
              <w:rFonts w:ascii="Arial" w:hAnsi="Arial" w:cs="Arial"/>
              <w:sz w:val="24"/>
              <w:szCs w:val="24"/>
            </w:rPr>
          </w:pPr>
        </w:p>
        <w:p w14:paraId="7AF4C2A2" w14:textId="77777777" w:rsidR="006C237E" w:rsidRDefault="006C237E" w:rsidP="00CF6AEF">
          <w:pPr>
            <w:rPr>
              <w:rFonts w:ascii="Arial" w:hAnsi="Arial" w:cs="Arial"/>
              <w:sz w:val="24"/>
              <w:szCs w:val="24"/>
            </w:rPr>
          </w:pPr>
        </w:p>
        <w:p w14:paraId="11CC3495" w14:textId="77777777" w:rsidR="006C237E" w:rsidRDefault="006C237E" w:rsidP="00CF6AEF">
          <w:pPr>
            <w:rPr>
              <w:rFonts w:ascii="Arial" w:hAnsi="Arial" w:cs="Arial"/>
              <w:sz w:val="24"/>
              <w:szCs w:val="24"/>
            </w:rPr>
          </w:pPr>
        </w:p>
        <w:p w14:paraId="2F47428B" w14:textId="77777777" w:rsidR="006C237E" w:rsidRDefault="006C237E" w:rsidP="00CF6AEF">
          <w:pPr>
            <w:rPr>
              <w:rFonts w:ascii="Arial" w:hAnsi="Arial" w:cs="Arial"/>
              <w:sz w:val="24"/>
              <w:szCs w:val="24"/>
            </w:rPr>
          </w:pPr>
        </w:p>
        <w:p w14:paraId="6E719AEE" w14:textId="77777777" w:rsidR="006C237E" w:rsidRDefault="006C237E" w:rsidP="00CF6AEF">
          <w:pPr>
            <w:rPr>
              <w:rFonts w:ascii="Arial" w:hAnsi="Arial" w:cs="Arial"/>
              <w:sz w:val="24"/>
              <w:szCs w:val="24"/>
            </w:rPr>
          </w:pPr>
        </w:p>
        <w:p w14:paraId="78C276F4" w14:textId="77777777" w:rsidR="006C237E" w:rsidRDefault="006C237E" w:rsidP="00CF6AEF">
          <w:pPr>
            <w:rPr>
              <w:rFonts w:ascii="Arial" w:hAnsi="Arial" w:cs="Arial"/>
              <w:sz w:val="24"/>
              <w:szCs w:val="24"/>
            </w:rPr>
          </w:pPr>
        </w:p>
        <w:p w14:paraId="4824167F" w14:textId="77777777" w:rsidR="006C237E" w:rsidRDefault="006C237E" w:rsidP="00CF6AEF">
          <w:pPr>
            <w:rPr>
              <w:rFonts w:ascii="Arial" w:hAnsi="Arial" w:cs="Arial"/>
              <w:sz w:val="24"/>
              <w:szCs w:val="24"/>
            </w:rPr>
          </w:pPr>
        </w:p>
        <w:p w14:paraId="0CC94A30" w14:textId="77777777" w:rsidR="006C237E" w:rsidRDefault="006C237E" w:rsidP="00CF6AEF">
          <w:pPr>
            <w:rPr>
              <w:rFonts w:ascii="Arial" w:hAnsi="Arial" w:cs="Arial"/>
              <w:sz w:val="24"/>
              <w:szCs w:val="24"/>
            </w:rPr>
          </w:pPr>
        </w:p>
        <w:p w14:paraId="6D1171E0" w14:textId="77777777" w:rsidR="006C237E" w:rsidRDefault="006C237E" w:rsidP="00CF6AEF">
          <w:pPr>
            <w:rPr>
              <w:rFonts w:ascii="Arial" w:hAnsi="Arial" w:cs="Arial"/>
              <w:sz w:val="24"/>
              <w:szCs w:val="24"/>
            </w:rPr>
          </w:pPr>
        </w:p>
        <w:p w14:paraId="7F7D825A" w14:textId="77777777" w:rsidR="006C237E" w:rsidRDefault="006C237E" w:rsidP="00CF6AEF">
          <w:pPr>
            <w:rPr>
              <w:rFonts w:ascii="Arial" w:hAnsi="Arial" w:cs="Arial"/>
              <w:sz w:val="24"/>
              <w:szCs w:val="24"/>
            </w:rPr>
          </w:pPr>
        </w:p>
        <w:p w14:paraId="3F17E14F" w14:textId="77777777" w:rsidR="006C237E" w:rsidRDefault="006C237E" w:rsidP="00CF6AEF">
          <w:pPr>
            <w:rPr>
              <w:rFonts w:ascii="Arial" w:hAnsi="Arial" w:cs="Arial"/>
              <w:sz w:val="24"/>
              <w:szCs w:val="24"/>
            </w:rPr>
          </w:pPr>
        </w:p>
        <w:p w14:paraId="2EE64607" w14:textId="77777777" w:rsidR="006C237E" w:rsidRDefault="006C237E" w:rsidP="00CF6AEF">
          <w:pPr>
            <w:rPr>
              <w:rFonts w:ascii="Arial" w:hAnsi="Arial" w:cs="Arial"/>
              <w:sz w:val="24"/>
              <w:szCs w:val="24"/>
            </w:rPr>
          </w:pPr>
        </w:p>
        <w:p w14:paraId="0B6DF39F" w14:textId="77777777" w:rsidR="006C237E" w:rsidRDefault="006C237E" w:rsidP="00CF6AEF">
          <w:pPr>
            <w:rPr>
              <w:rFonts w:ascii="Arial" w:hAnsi="Arial" w:cs="Arial"/>
              <w:sz w:val="24"/>
              <w:szCs w:val="24"/>
            </w:rPr>
          </w:pPr>
        </w:p>
        <w:p w14:paraId="6FFC8AE2" w14:textId="77777777" w:rsidR="006C237E" w:rsidRDefault="006C237E" w:rsidP="00CF6AEF">
          <w:pPr>
            <w:rPr>
              <w:rFonts w:ascii="Arial" w:hAnsi="Arial" w:cs="Arial"/>
              <w:sz w:val="24"/>
              <w:szCs w:val="24"/>
            </w:rPr>
          </w:pPr>
        </w:p>
        <w:p w14:paraId="1CD0B992" w14:textId="77777777" w:rsidR="006C237E" w:rsidRDefault="006C237E" w:rsidP="00CF6AEF">
          <w:pPr>
            <w:rPr>
              <w:rFonts w:ascii="Arial" w:hAnsi="Arial" w:cs="Arial"/>
              <w:sz w:val="24"/>
              <w:szCs w:val="24"/>
            </w:rPr>
          </w:pPr>
        </w:p>
        <w:p w14:paraId="71B5CF00" w14:textId="77777777" w:rsidR="006C237E" w:rsidRPr="00811272" w:rsidRDefault="006C237E" w:rsidP="00CF6AEF">
          <w:pPr>
            <w:rPr>
              <w:rFonts w:ascii="Arial" w:hAnsi="Arial" w:cs="Arial"/>
              <w:sz w:val="24"/>
              <w:szCs w:val="24"/>
            </w:rPr>
          </w:pPr>
        </w:p>
        <w:p w14:paraId="2B307222" w14:textId="77777777" w:rsidR="006C237E" w:rsidRDefault="006C237E" w:rsidP="00CF6AEF">
          <w:pPr>
            <w:pStyle w:val="Heading1"/>
          </w:pPr>
          <w:bookmarkStart w:id="4" w:name="_Toc225538038"/>
        </w:p>
        <w:p w14:paraId="76B615CF" w14:textId="3D1008DA" w:rsidR="00CF6AEF" w:rsidRDefault="00AA2A91" w:rsidP="00CF6AEF">
          <w:pPr>
            <w:pStyle w:val="Heading1"/>
          </w:pPr>
          <w:r>
            <w:t>Conclusion</w:t>
          </w:r>
          <w:bookmarkEnd w:id="4"/>
          <w:r w:rsidR="00D854A5">
            <w:t xml:space="preserve"> </w:t>
          </w:r>
        </w:p>
        <w:p w14:paraId="0991C676" w14:textId="77777777" w:rsidR="00CF6AEF" w:rsidRP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In conclusion, Making Tax Digital (MTD) represents a profound change for the UK tax system, aiming to bring tax compliance into the modern digital age and significantly improve its efficiency. While this initiative offers clear advantages, such as enhanced accuracy through automated digital record-keeping, which reduces manual errors, and potentially easier compliance for those comfortable with technology, it also introduces critical challenges.</w:t>
          </w:r>
        </w:p>
        <w:p w14:paraId="387749FA" w14:textId="77777777" w:rsidR="00CF6AEF" w:rsidRPr="00CF6AEF" w:rsidRDefault="00CF6AEF" w:rsidP="00CF6AEF">
          <w:pPr>
            <w:spacing w:after="0" w:line="240" w:lineRule="auto"/>
            <w:rPr>
              <w:rFonts w:ascii="Arial" w:eastAsia="Aptos" w:hAnsi="Arial" w:cs="Arial"/>
              <w:kern w:val="2"/>
              <w:sz w:val="24"/>
              <w:szCs w:val="24"/>
              <w14:ligatures w14:val="standardContextual"/>
            </w:rPr>
          </w:pPr>
        </w:p>
        <w:p w14:paraId="535DD3A0" w14:textId="5E336032" w:rsidR="00CF6AEF" w:rsidRP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These challenges must be carefully addressed to ensure fair access for all taxpayers. A key concern is the potential for 'digital exclusion', where individuals or small businesses lacking digital literacy, reliable internet access, or the necessary equipment might struggle to comply. There</w:t>
          </w:r>
          <w:r w:rsidR="00943C63">
            <w:rPr>
              <w:rFonts w:ascii="Arial" w:eastAsia="Aptos" w:hAnsi="Arial" w:cs="Arial"/>
              <w:kern w:val="2"/>
              <w:sz w:val="24"/>
              <w:szCs w:val="24"/>
              <w14:ligatures w14:val="standardContextual"/>
            </w:rPr>
            <w:t xml:space="preserve"> i</w:t>
          </w:r>
          <w:r w:rsidRPr="00CF6AEF">
            <w:rPr>
              <w:rFonts w:ascii="Arial" w:eastAsia="Aptos" w:hAnsi="Arial" w:cs="Arial"/>
              <w:kern w:val="2"/>
              <w:sz w:val="24"/>
              <w:szCs w:val="24"/>
              <w14:ligatures w14:val="standardContextual"/>
            </w:rPr>
            <w:t>s also the risk of increased administrative burdens, particularly during the initial transition as taxpayers learn new software and adapt to more frequent reporting requirements. Furthermore, as sensitive financial data moves online, robust data security measures are paramount to protect against cyber threats.</w:t>
          </w:r>
        </w:p>
        <w:p w14:paraId="518C8D8C" w14:textId="77777777" w:rsidR="00CF6AEF" w:rsidRPr="00CF6AEF" w:rsidRDefault="00CF6AEF" w:rsidP="00CF6AEF">
          <w:pPr>
            <w:spacing w:after="0" w:line="240" w:lineRule="auto"/>
            <w:rPr>
              <w:rFonts w:ascii="Arial" w:eastAsia="Aptos" w:hAnsi="Arial" w:cs="Arial"/>
              <w:kern w:val="2"/>
              <w:sz w:val="24"/>
              <w:szCs w:val="24"/>
              <w14:ligatures w14:val="standardContextual"/>
            </w:rPr>
          </w:pPr>
        </w:p>
        <w:p w14:paraId="181F0755" w14:textId="18BCE9F8" w:rsidR="00CF6AEF" w:rsidRDefault="00CF6AEF" w:rsidP="00CF6AEF">
          <w:pPr>
            <w:spacing w:after="0"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As MTD continues to evolve, continuous evaluation and research are essential to assess its real-world effectiveness and to identify and resolve any emerging issues. By drawing upon relevant laws (statutes), legal precedents (case law), and academic studies, the report provides a thorough overview of MTD’s implications across all UK tax types, highlighting both its promising potential for a more efficient system and the significant challenges that lie ahead.</w:t>
          </w:r>
        </w:p>
        <w:p w14:paraId="1910791B" w14:textId="77777777" w:rsidR="005F6F6A" w:rsidRDefault="005F6F6A" w:rsidP="00CF6AEF">
          <w:pPr>
            <w:spacing w:after="0" w:line="240" w:lineRule="auto"/>
            <w:rPr>
              <w:rFonts w:ascii="Arial" w:eastAsia="Aptos" w:hAnsi="Arial" w:cs="Arial"/>
              <w:kern w:val="2"/>
              <w:sz w:val="24"/>
              <w:szCs w:val="24"/>
              <w14:ligatures w14:val="standardContextual"/>
            </w:rPr>
          </w:pPr>
        </w:p>
        <w:p w14:paraId="2FD966B6" w14:textId="77777777" w:rsidR="005F6F6A" w:rsidRDefault="005F6F6A" w:rsidP="00CF6AEF">
          <w:pPr>
            <w:spacing w:after="0" w:line="240" w:lineRule="auto"/>
            <w:rPr>
              <w:rFonts w:ascii="Arial" w:eastAsia="Aptos" w:hAnsi="Arial" w:cs="Arial"/>
              <w:kern w:val="2"/>
              <w:sz w:val="24"/>
              <w:szCs w:val="24"/>
              <w14:ligatures w14:val="standardContextual"/>
            </w:rPr>
          </w:pPr>
        </w:p>
        <w:p w14:paraId="167B22EA" w14:textId="77777777" w:rsidR="005F6F6A" w:rsidRDefault="005F6F6A" w:rsidP="00CF6AEF">
          <w:pPr>
            <w:spacing w:after="0" w:line="240" w:lineRule="auto"/>
            <w:rPr>
              <w:rFonts w:ascii="Arial" w:eastAsia="Aptos" w:hAnsi="Arial" w:cs="Arial"/>
              <w:kern w:val="2"/>
              <w:sz w:val="24"/>
              <w:szCs w:val="24"/>
              <w14:ligatures w14:val="standardContextual"/>
            </w:rPr>
          </w:pPr>
        </w:p>
        <w:p w14:paraId="02C60547" w14:textId="77777777" w:rsidR="005F6F6A" w:rsidRDefault="005F6F6A" w:rsidP="00CF6AEF">
          <w:pPr>
            <w:spacing w:after="0" w:line="240" w:lineRule="auto"/>
            <w:rPr>
              <w:rFonts w:ascii="Arial" w:eastAsia="Aptos" w:hAnsi="Arial" w:cs="Arial"/>
              <w:kern w:val="2"/>
              <w:sz w:val="24"/>
              <w:szCs w:val="24"/>
              <w14:ligatures w14:val="standardContextual"/>
            </w:rPr>
          </w:pPr>
        </w:p>
        <w:p w14:paraId="04F141DF" w14:textId="77777777" w:rsidR="005F6F6A" w:rsidRDefault="005F6F6A" w:rsidP="00CF6AEF">
          <w:pPr>
            <w:spacing w:after="0" w:line="240" w:lineRule="auto"/>
            <w:rPr>
              <w:rFonts w:ascii="Arial" w:eastAsia="Aptos" w:hAnsi="Arial" w:cs="Arial"/>
              <w:kern w:val="2"/>
              <w:sz w:val="24"/>
              <w:szCs w:val="24"/>
              <w14:ligatures w14:val="standardContextual"/>
            </w:rPr>
          </w:pPr>
        </w:p>
        <w:p w14:paraId="52163E92" w14:textId="77777777" w:rsidR="005F6F6A" w:rsidRDefault="005F6F6A" w:rsidP="00CF6AEF">
          <w:pPr>
            <w:spacing w:after="0" w:line="240" w:lineRule="auto"/>
            <w:rPr>
              <w:rFonts w:ascii="Arial" w:eastAsia="Aptos" w:hAnsi="Arial" w:cs="Arial"/>
              <w:kern w:val="2"/>
              <w:sz w:val="24"/>
              <w:szCs w:val="24"/>
              <w14:ligatures w14:val="standardContextual"/>
            </w:rPr>
          </w:pPr>
        </w:p>
        <w:p w14:paraId="40991E6B" w14:textId="77777777" w:rsidR="005F6F6A" w:rsidRDefault="005F6F6A" w:rsidP="00CF6AEF">
          <w:pPr>
            <w:spacing w:after="0" w:line="240" w:lineRule="auto"/>
            <w:rPr>
              <w:rFonts w:ascii="Arial" w:eastAsia="Aptos" w:hAnsi="Arial" w:cs="Arial"/>
              <w:kern w:val="2"/>
              <w:sz w:val="24"/>
              <w:szCs w:val="24"/>
              <w14:ligatures w14:val="standardContextual"/>
            </w:rPr>
          </w:pPr>
        </w:p>
        <w:p w14:paraId="62BEE93A" w14:textId="77777777" w:rsidR="005F6F6A" w:rsidRDefault="005F6F6A" w:rsidP="00CF6AEF">
          <w:pPr>
            <w:spacing w:after="0" w:line="240" w:lineRule="auto"/>
            <w:rPr>
              <w:rFonts w:ascii="Arial" w:eastAsia="Aptos" w:hAnsi="Arial" w:cs="Arial"/>
              <w:kern w:val="2"/>
              <w:sz w:val="24"/>
              <w:szCs w:val="24"/>
              <w14:ligatures w14:val="standardContextual"/>
            </w:rPr>
          </w:pPr>
        </w:p>
        <w:p w14:paraId="7A2E785A" w14:textId="77777777" w:rsidR="005F6F6A" w:rsidRDefault="005F6F6A" w:rsidP="00CF6AEF">
          <w:pPr>
            <w:spacing w:after="0" w:line="240" w:lineRule="auto"/>
            <w:rPr>
              <w:rFonts w:ascii="Arial" w:eastAsia="Aptos" w:hAnsi="Arial" w:cs="Arial"/>
              <w:kern w:val="2"/>
              <w:sz w:val="24"/>
              <w:szCs w:val="24"/>
              <w14:ligatures w14:val="standardContextual"/>
            </w:rPr>
          </w:pPr>
        </w:p>
        <w:p w14:paraId="2376597B" w14:textId="77777777" w:rsidR="005F6F6A" w:rsidRDefault="005F6F6A" w:rsidP="00CF6AEF">
          <w:pPr>
            <w:spacing w:after="0" w:line="240" w:lineRule="auto"/>
            <w:rPr>
              <w:rFonts w:ascii="Arial" w:eastAsia="Aptos" w:hAnsi="Arial" w:cs="Arial"/>
              <w:kern w:val="2"/>
              <w:sz w:val="24"/>
              <w:szCs w:val="24"/>
              <w14:ligatures w14:val="standardContextual"/>
            </w:rPr>
          </w:pPr>
        </w:p>
        <w:p w14:paraId="37B6193C" w14:textId="77777777" w:rsidR="00235593" w:rsidRDefault="00235593" w:rsidP="00790B05">
          <w:pPr>
            <w:pStyle w:val="Heading1"/>
          </w:pPr>
          <w:bookmarkStart w:id="5" w:name="_Toc225538039"/>
        </w:p>
        <w:p w14:paraId="43ED02B4" w14:textId="77777777" w:rsidR="00235593" w:rsidRDefault="00235593" w:rsidP="00235593"/>
        <w:p w14:paraId="2F30A4F4" w14:textId="77777777" w:rsidR="00235593" w:rsidRDefault="00235593" w:rsidP="00235593"/>
        <w:p w14:paraId="2059314B" w14:textId="77777777" w:rsidR="00235593" w:rsidRDefault="00235593" w:rsidP="00235593"/>
        <w:p w14:paraId="5275086D" w14:textId="77777777" w:rsidR="00235593" w:rsidRDefault="00235593" w:rsidP="00235593"/>
        <w:p w14:paraId="65E1BC57" w14:textId="77777777" w:rsidR="00235593" w:rsidRDefault="00235593" w:rsidP="00235593"/>
        <w:p w14:paraId="39C945D7" w14:textId="77777777" w:rsidR="00235593" w:rsidRPr="00235593" w:rsidRDefault="00235593" w:rsidP="00235593"/>
        <w:p w14:paraId="4F40356F" w14:textId="51D37180" w:rsidR="00790B05" w:rsidRPr="00790B05" w:rsidRDefault="00AA2A91" w:rsidP="00790B05">
          <w:pPr>
            <w:pStyle w:val="Heading1"/>
          </w:pPr>
          <w:r>
            <w:lastRenderedPageBreak/>
            <w:t>Bibliography</w:t>
          </w:r>
          <w:bookmarkEnd w:id="5"/>
        </w:p>
        <w:p w14:paraId="6D4EB704" w14:textId="26DB1862"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 xml:space="preserve">Abdul Rashid, S.F., Sanusi, S. and Abu Hassan, N.S. </w:t>
          </w:r>
          <w:r w:rsidR="0021322E">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2024</w:t>
          </w:r>
          <w:r w:rsidR="0021322E">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Digital transformation: Confronting governance, sustainability, and taxation challenges in an evolving digital landscape. In </w:t>
          </w:r>
          <w:r w:rsidRPr="00CF6AEF">
            <w:rPr>
              <w:rFonts w:ascii="Arial" w:eastAsia="Aptos" w:hAnsi="Arial" w:cs="Arial"/>
              <w:i/>
              <w:iCs/>
              <w:kern w:val="2"/>
              <w:sz w:val="24"/>
              <w:szCs w:val="24"/>
              <w:lang w:val="en-NZ"/>
              <w14:ligatures w14:val="standardContextual"/>
            </w:rPr>
            <w:t>Corporate Governance and Sustainability: Navigating Malaysia's Business Landscape</w:t>
          </w:r>
          <w:r w:rsidRPr="00CF6AEF">
            <w:rPr>
              <w:rFonts w:ascii="Arial" w:eastAsia="Aptos" w:hAnsi="Arial" w:cs="Arial"/>
              <w:kern w:val="2"/>
              <w:sz w:val="24"/>
              <w:szCs w:val="24"/>
              <w:lang w:val="en-NZ"/>
              <w14:ligatures w14:val="standardContextual"/>
            </w:rPr>
            <w:t> (pp. 125-144). Singapore: Springer Nature Singapore.</w:t>
          </w:r>
        </w:p>
        <w:p w14:paraId="7FD01088" w14:textId="3D215D4D"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Adams, D., Jenkins, C., De Mets, P. and Wilcox, S.</w:t>
          </w:r>
          <w:r w:rsidR="00B82275">
            <w:rPr>
              <w:rFonts w:ascii="Arial" w:eastAsia="Aptos" w:hAnsi="Arial" w:cs="Arial"/>
              <w:kern w:val="2"/>
              <w:sz w:val="24"/>
              <w:szCs w:val="24"/>
              <w:lang w:val="en-NZ"/>
              <w14:ligatures w14:val="standardContextual"/>
            </w:rPr>
            <w:t xml:space="preserve"> (</w:t>
          </w:r>
          <w:r w:rsidRPr="00CF6AEF">
            <w:rPr>
              <w:rFonts w:ascii="Arial" w:eastAsia="Aptos" w:hAnsi="Arial" w:cs="Arial"/>
              <w:kern w:val="2"/>
              <w:sz w:val="24"/>
              <w:szCs w:val="24"/>
              <w:lang w:val="en-NZ"/>
              <w14:ligatures w14:val="standardContextual"/>
            </w:rPr>
            <w:t>2018</w:t>
          </w:r>
          <w:r w:rsidR="00B82275">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Tax Administration Moderni</w:t>
          </w:r>
          <w:r>
            <w:rPr>
              <w:rFonts w:ascii="Arial" w:eastAsia="Aptos" w:hAnsi="Arial" w:cs="Arial"/>
              <w:kern w:val="2"/>
              <w:sz w:val="24"/>
              <w:szCs w:val="24"/>
              <w:lang w:val="en-NZ"/>
              <w14:ligatures w14:val="standardContextual"/>
            </w:rPr>
            <w:t>s</w:t>
          </w:r>
          <w:r w:rsidRPr="00CF6AEF">
            <w:rPr>
              <w:rFonts w:ascii="Arial" w:eastAsia="Aptos" w:hAnsi="Arial" w:cs="Arial"/>
              <w:kern w:val="2"/>
              <w:sz w:val="24"/>
              <w:szCs w:val="24"/>
              <w:lang w:val="en-NZ"/>
              <w14:ligatures w14:val="standardContextual"/>
            </w:rPr>
            <w:t>ation Priorities.</w:t>
          </w:r>
        </w:p>
        <w:p w14:paraId="6C1729D0" w14:textId="3E43324E"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Adebiyi, O.O.</w:t>
          </w:r>
          <w:r w:rsidR="00B82275">
            <w:rPr>
              <w:rFonts w:ascii="Arial" w:eastAsia="Aptos" w:hAnsi="Arial" w:cs="Arial"/>
              <w:kern w:val="2"/>
              <w:sz w:val="24"/>
              <w:szCs w:val="24"/>
              <w:lang w:val="en-NZ"/>
              <w14:ligatures w14:val="standardContextual"/>
            </w:rPr>
            <w:t xml:space="preserve"> </w:t>
          </w:r>
          <w:r w:rsidR="006279A4">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2023</w:t>
          </w:r>
          <w:r w:rsidR="006279A4">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Taxation in the digital age: an examination of the necessity, feasibility, and implications of taxing virtual infrastructures. </w:t>
          </w:r>
          <w:r w:rsidRPr="00CF6AEF">
            <w:rPr>
              <w:rFonts w:ascii="Arial" w:eastAsia="Aptos" w:hAnsi="Arial" w:cs="Arial"/>
              <w:i/>
              <w:iCs/>
              <w:kern w:val="2"/>
              <w:sz w:val="24"/>
              <w:szCs w:val="24"/>
              <w:lang w:val="en-NZ"/>
              <w14:ligatures w14:val="standardContextual"/>
            </w:rPr>
            <w:t>Asian Journal of Economics, Business and Accounting</w:t>
          </w:r>
          <w:r w:rsidRPr="00CF6AEF">
            <w:rPr>
              <w:rFonts w:ascii="Arial" w:eastAsia="Aptos" w:hAnsi="Arial" w:cs="Arial"/>
              <w:kern w:val="2"/>
              <w:sz w:val="24"/>
              <w:szCs w:val="24"/>
              <w:lang w:val="en-NZ"/>
              <w14:ligatures w14:val="standardContextual"/>
            </w:rPr>
            <w:t>, </w:t>
          </w:r>
          <w:r w:rsidRPr="00CF6AEF">
            <w:rPr>
              <w:rFonts w:ascii="Arial" w:eastAsia="Aptos" w:hAnsi="Arial" w:cs="Arial"/>
              <w:i/>
              <w:iCs/>
              <w:kern w:val="2"/>
              <w:sz w:val="24"/>
              <w:szCs w:val="24"/>
              <w:lang w:val="en-NZ"/>
              <w14:ligatures w14:val="standardContextual"/>
            </w:rPr>
            <w:t>23</w:t>
          </w:r>
          <w:r w:rsidRPr="00CF6AEF">
            <w:rPr>
              <w:rFonts w:ascii="Arial" w:eastAsia="Aptos" w:hAnsi="Arial" w:cs="Arial"/>
              <w:kern w:val="2"/>
              <w:sz w:val="24"/>
              <w:szCs w:val="24"/>
              <w:lang w:val="en-NZ"/>
              <w14:ligatures w14:val="standardContextual"/>
            </w:rPr>
            <w:t>(23), pp.13-35.</w:t>
          </w:r>
        </w:p>
        <w:p w14:paraId="4FAC0CDE" w14:textId="63A4FD76"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5A634C">
            <w:rPr>
              <w:rFonts w:ascii="Arial" w:eastAsia="Aptos" w:hAnsi="Arial" w:cs="Arial"/>
              <w:kern w:val="2"/>
              <w:sz w:val="24"/>
              <w:szCs w:val="24"/>
              <w:lang w:val="en-NZ"/>
              <w14:ligatures w14:val="standardContextual"/>
            </w:rPr>
            <w:t xml:space="preserve">Ashley v HMRC </w:t>
          </w:r>
          <w:r w:rsidR="0021322E">
            <w:rPr>
              <w:rFonts w:ascii="Arial" w:eastAsia="Aptos" w:hAnsi="Arial" w:cs="Arial"/>
              <w:kern w:val="2"/>
              <w:sz w:val="24"/>
              <w:szCs w:val="24"/>
              <w:lang w:val="en-NZ"/>
              <w14:ligatures w14:val="standardContextual"/>
            </w:rPr>
            <w:t>(</w:t>
          </w:r>
          <w:r w:rsidRPr="005A634C">
            <w:rPr>
              <w:rFonts w:ascii="Arial" w:eastAsia="Aptos" w:hAnsi="Arial" w:cs="Arial"/>
              <w:kern w:val="2"/>
              <w:sz w:val="24"/>
              <w:szCs w:val="24"/>
              <w:lang w:val="en-NZ"/>
              <w14:ligatures w14:val="standardContextual"/>
            </w:rPr>
            <w:t>2025</w:t>
          </w:r>
          <w:r w:rsidR="0021322E">
            <w:rPr>
              <w:rFonts w:ascii="Arial" w:eastAsia="Aptos" w:hAnsi="Arial" w:cs="Arial"/>
              <w:kern w:val="2"/>
              <w:sz w:val="24"/>
              <w:szCs w:val="24"/>
              <w:lang w:val="en-NZ"/>
              <w14:ligatures w14:val="standardContextual"/>
            </w:rPr>
            <w:t>)</w:t>
          </w:r>
          <w:r w:rsidRPr="005A634C">
            <w:rPr>
              <w:rFonts w:ascii="Arial" w:eastAsia="Aptos" w:hAnsi="Arial" w:cs="Arial"/>
              <w:kern w:val="2"/>
              <w:sz w:val="24"/>
              <w:szCs w:val="24"/>
              <w:lang w:val="en-NZ"/>
              <w14:ligatures w14:val="standardContextual"/>
            </w:rPr>
            <w:t xml:space="preserve"> EWHC 134 (KB). High Court, Available at: </w:t>
          </w:r>
          <w:hyperlink r:id="rId10" w:history="1">
            <w:r w:rsidRPr="00C13020">
              <w:rPr>
                <w:rStyle w:val="Hyperlink"/>
                <w:rFonts w:ascii="Arial" w:eastAsia="Aptos" w:hAnsi="Arial" w:cs="Arial"/>
                <w:kern w:val="2"/>
                <w:sz w:val="24"/>
                <w:szCs w:val="24"/>
                <w:lang w:val="en-NZ"/>
                <w14:ligatures w14:val="standardContextual"/>
              </w:rPr>
              <w:t>https://www.bailii.org/ew/cases/EWHC/2025/134.html</w:t>
            </w:r>
          </w:hyperlink>
          <w:r w:rsidRPr="005A634C">
            <w:rPr>
              <w:rFonts w:ascii="Arial" w:eastAsia="Aptos" w:hAnsi="Arial" w:cs="Arial"/>
              <w:kern w:val="2"/>
              <w:sz w:val="24"/>
              <w:szCs w:val="24"/>
              <w:lang w:val="en-NZ"/>
              <w14:ligatures w14:val="standardContextual"/>
            </w:rPr>
            <w:t xml:space="preserve"> </w:t>
          </w:r>
          <w:r w:rsidR="00E34EBB">
            <w:rPr>
              <w:rFonts w:ascii="Arial" w:eastAsia="Aptos" w:hAnsi="Arial" w:cs="Arial"/>
              <w:kern w:val="2"/>
              <w:sz w:val="24"/>
              <w:szCs w:val="24"/>
              <w:lang w:val="en-NZ"/>
              <w14:ligatures w14:val="standardContextual"/>
            </w:rPr>
            <w:t>(</w:t>
          </w:r>
          <w:r w:rsidRPr="005A634C">
            <w:rPr>
              <w:rFonts w:ascii="Arial" w:eastAsia="Aptos" w:hAnsi="Arial" w:cs="Arial"/>
              <w:kern w:val="2"/>
              <w:sz w:val="24"/>
              <w:szCs w:val="24"/>
              <w:lang w:val="en-NZ"/>
              <w14:ligatures w14:val="standardContextual"/>
            </w:rPr>
            <w:t xml:space="preserve">Accessed </w:t>
          </w:r>
          <w:r>
            <w:rPr>
              <w:rFonts w:ascii="Arial" w:eastAsia="Aptos" w:hAnsi="Arial" w:cs="Arial"/>
              <w:kern w:val="2"/>
              <w:sz w:val="24"/>
              <w:szCs w:val="24"/>
              <w:lang w:val="en-NZ"/>
              <w14:ligatures w14:val="standardContextual"/>
            </w:rPr>
            <w:t>0</w:t>
          </w:r>
          <w:r w:rsidR="00C1247D">
            <w:rPr>
              <w:rFonts w:ascii="Arial" w:eastAsia="Aptos" w:hAnsi="Arial" w:cs="Arial"/>
              <w:kern w:val="2"/>
              <w:sz w:val="24"/>
              <w:szCs w:val="24"/>
              <w:lang w:val="en-NZ"/>
              <w14:ligatures w14:val="standardContextual"/>
            </w:rPr>
            <w:t>9</w:t>
          </w:r>
          <w:r w:rsidRPr="005A634C">
            <w:rPr>
              <w:rFonts w:ascii="Arial" w:eastAsia="Aptos" w:hAnsi="Arial" w:cs="Arial"/>
              <w:kern w:val="2"/>
              <w:sz w:val="24"/>
              <w:szCs w:val="24"/>
              <w:lang w:val="en-NZ"/>
              <w14:ligatures w14:val="standardContextual"/>
            </w:rPr>
            <w:t xml:space="preserve"> March 2026</w:t>
          </w:r>
          <w:r w:rsidR="00C1247D">
            <w:rPr>
              <w:rFonts w:ascii="Arial" w:eastAsia="Aptos" w:hAnsi="Arial" w:cs="Arial"/>
              <w:kern w:val="2"/>
              <w:sz w:val="24"/>
              <w:szCs w:val="24"/>
              <w:lang w:val="en-NZ"/>
              <w14:ligatures w14:val="standardContextual"/>
            </w:rPr>
            <w:t>)</w:t>
          </w:r>
          <w:r w:rsidRPr="005A634C">
            <w:rPr>
              <w:rFonts w:ascii="Arial" w:eastAsia="Aptos" w:hAnsi="Arial" w:cs="Arial"/>
              <w:kern w:val="2"/>
              <w:sz w:val="24"/>
              <w:szCs w:val="24"/>
              <w:lang w:val="en-NZ"/>
              <w14:ligatures w14:val="standardContextual"/>
            </w:rPr>
            <w:t>.</w:t>
          </w:r>
        </w:p>
        <w:p w14:paraId="167687AD" w14:textId="5154BE48"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 xml:space="preserve">Bolanle, M. and Olabiyi, W. </w:t>
          </w:r>
          <w:r w:rsidR="006279A4">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2024</w:t>
          </w:r>
          <w:r w:rsidR="006279A4">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Reducing manual effort and errors in tax preparation. </w:t>
          </w:r>
          <w:r w:rsidRPr="00CF6AEF">
            <w:rPr>
              <w:rFonts w:ascii="Arial" w:eastAsia="Aptos" w:hAnsi="Arial" w:cs="Arial"/>
              <w:i/>
              <w:iCs/>
              <w:kern w:val="2"/>
              <w:sz w:val="24"/>
              <w:szCs w:val="24"/>
              <w:lang w:val="en-NZ"/>
              <w14:ligatures w14:val="standardContextual"/>
            </w:rPr>
            <w:t>Ladoke Akintola University of Technology</w:t>
          </w:r>
          <w:r w:rsidRPr="00CF6AEF">
            <w:rPr>
              <w:rFonts w:ascii="Arial" w:eastAsia="Aptos" w:hAnsi="Arial" w:cs="Arial"/>
              <w:kern w:val="2"/>
              <w:sz w:val="24"/>
              <w:szCs w:val="24"/>
              <w:lang w:val="en-NZ"/>
              <w14:ligatures w14:val="standardContextual"/>
            </w:rPr>
            <w:t>.</w:t>
          </w:r>
        </w:p>
        <w:p w14:paraId="5C3FC852" w14:textId="44D9C72A" w:rsidR="00790B05"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Chen, W. and Zhang, L.</w:t>
          </w:r>
          <w:r w:rsidR="00C1247D">
            <w:rPr>
              <w:rFonts w:ascii="Arial" w:eastAsia="Aptos" w:hAnsi="Arial" w:cs="Arial"/>
              <w:kern w:val="2"/>
              <w:sz w:val="24"/>
              <w:szCs w:val="24"/>
              <w:lang w:val="en-NZ"/>
              <w14:ligatures w14:val="standardContextual"/>
            </w:rPr>
            <w:t xml:space="preserve"> </w:t>
          </w:r>
          <w:r w:rsidR="006279A4">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2026</w:t>
          </w:r>
          <w:r w:rsidR="006279A4">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Corporate digital transformation and tax uncertainty: evidence from China. </w:t>
          </w:r>
          <w:r w:rsidRPr="00CF6AEF">
            <w:rPr>
              <w:rFonts w:ascii="Arial" w:eastAsia="Aptos" w:hAnsi="Arial" w:cs="Arial"/>
              <w:i/>
              <w:iCs/>
              <w:kern w:val="2"/>
              <w:sz w:val="24"/>
              <w:szCs w:val="24"/>
              <w:lang w:val="en-NZ"/>
              <w14:ligatures w14:val="standardContextual"/>
            </w:rPr>
            <w:t>International Journal of Emerging Markets</w:t>
          </w:r>
          <w:r w:rsidRPr="00CF6AEF">
            <w:rPr>
              <w:rFonts w:ascii="Arial" w:eastAsia="Aptos" w:hAnsi="Arial" w:cs="Arial"/>
              <w:kern w:val="2"/>
              <w:sz w:val="24"/>
              <w:szCs w:val="24"/>
              <w:lang w:val="en-NZ"/>
              <w14:ligatures w14:val="standardContextual"/>
            </w:rPr>
            <w:t>, </w:t>
          </w:r>
          <w:r w:rsidRPr="00CF6AEF">
            <w:rPr>
              <w:rFonts w:ascii="Arial" w:eastAsia="Aptos" w:hAnsi="Arial" w:cs="Arial"/>
              <w:i/>
              <w:iCs/>
              <w:kern w:val="2"/>
              <w:sz w:val="24"/>
              <w:szCs w:val="24"/>
              <w:lang w:val="en-NZ"/>
              <w14:ligatures w14:val="standardContextual"/>
            </w:rPr>
            <w:t>21</w:t>
          </w:r>
          <w:r w:rsidRPr="00CF6AEF">
            <w:rPr>
              <w:rFonts w:ascii="Arial" w:eastAsia="Aptos" w:hAnsi="Arial" w:cs="Arial"/>
              <w:kern w:val="2"/>
              <w:sz w:val="24"/>
              <w:szCs w:val="24"/>
              <w:lang w:val="en-NZ"/>
              <w14:ligatures w14:val="standardContextual"/>
            </w:rPr>
            <w:t>(2), pp.436-459.</w:t>
          </w:r>
        </w:p>
        <w:p w14:paraId="5B96089E" w14:textId="73026B34" w:rsidR="0023672A" w:rsidRPr="00CF6AEF" w:rsidRDefault="0023672A"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 xml:space="preserve">Finance Act </w:t>
          </w:r>
          <w:r w:rsidR="00937A44">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2018</w:t>
          </w:r>
          <w:r w:rsidR="00937A44">
            <w:rPr>
              <w:rFonts w:ascii="Arial" w:eastAsia="Aptos" w:hAnsi="Arial" w:cs="Arial"/>
              <w:kern w:val="2"/>
              <w:sz w:val="24"/>
              <w:szCs w:val="24"/>
              <w:lang w:val="en-NZ"/>
              <w14:ligatures w14:val="standardContextual"/>
            </w:rPr>
            <w:t>)</w:t>
          </w:r>
          <w:r w:rsidR="00DE5FE4">
            <w:rPr>
              <w:rFonts w:ascii="Arial" w:eastAsia="Aptos" w:hAnsi="Arial" w:cs="Arial"/>
              <w:kern w:val="2"/>
              <w:sz w:val="24"/>
              <w:szCs w:val="24"/>
              <w:lang w:val="en-NZ"/>
              <w14:ligatures w14:val="standardContextual"/>
            </w:rPr>
            <w:t xml:space="preserve"> Chapter 3. UK Public General Acts.</w:t>
          </w:r>
          <w:r w:rsidRPr="00CF6AEF">
            <w:rPr>
              <w:rFonts w:ascii="Arial" w:eastAsia="Aptos" w:hAnsi="Arial" w:cs="Arial"/>
              <w:kern w:val="2"/>
              <w:sz w:val="24"/>
              <w:szCs w:val="24"/>
              <w:lang w:val="en-NZ"/>
              <w14:ligatures w14:val="standardContextual"/>
            </w:rPr>
            <w:t xml:space="preserve"> Available at: </w:t>
          </w:r>
          <w:r w:rsidR="00E15325" w:rsidRPr="00E15325">
            <w:rPr>
              <w:rFonts w:ascii="Arial" w:eastAsia="Aptos" w:hAnsi="Arial" w:cs="Arial"/>
              <w:kern w:val="2"/>
              <w:sz w:val="24"/>
              <w:szCs w:val="24"/>
              <w:lang w:val="en-NZ"/>
              <w14:ligatures w14:val="standardContextual"/>
            </w:rPr>
            <w:t>https://www.legislation.gov.uk/ukpga/2018/3/contents</w:t>
          </w:r>
          <w:r w:rsidR="00E15325" w:rsidRPr="00E15325">
            <w:rPr>
              <w:rFonts w:ascii="Arial" w:eastAsia="Aptos" w:hAnsi="Arial" w:cs="Arial"/>
              <w:kern w:val="2"/>
              <w:sz w:val="24"/>
              <w:szCs w:val="24"/>
              <w:lang w:val="en-NZ"/>
              <w14:ligatures w14:val="standardContextual"/>
            </w:rPr>
            <w:t xml:space="preserve"> </w:t>
          </w:r>
          <w:r w:rsidR="000B2263">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Accessed 10</w:t>
          </w:r>
          <w:r w:rsidRPr="00CF6AEF">
            <w:rPr>
              <w:rFonts w:ascii="Arial" w:eastAsia="Aptos" w:hAnsi="Arial" w:cs="Arial"/>
              <w:kern w:val="2"/>
              <w:sz w:val="24"/>
              <w:szCs w:val="24"/>
              <w:vertAlign w:val="superscript"/>
              <w:lang w:val="en-NZ"/>
              <w14:ligatures w14:val="standardContextual"/>
            </w:rPr>
            <w:t>th</w:t>
          </w:r>
          <w:r w:rsidRPr="00CF6AEF">
            <w:rPr>
              <w:rFonts w:ascii="Arial" w:eastAsia="Aptos" w:hAnsi="Arial" w:cs="Arial"/>
              <w:kern w:val="2"/>
              <w:sz w:val="24"/>
              <w:szCs w:val="24"/>
              <w:lang w:val="en-NZ"/>
              <w14:ligatures w14:val="standardContextual"/>
            </w:rPr>
            <w:t xml:space="preserve"> March 2026</w:t>
          </w:r>
          <w:r w:rsidR="000B2263">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w:t>
          </w:r>
        </w:p>
        <w:p w14:paraId="15F4CEC7" w14:textId="695B7960"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 xml:space="preserve">Frecknall-Hughes, J., Monir, N., Summers, B. and James, S. </w:t>
          </w:r>
          <w:r w:rsidR="006279A4">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2020</w:t>
          </w:r>
          <w:r w:rsidR="006279A4">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Tax justice and older people: An examination through the lens of critical tax theory.</w:t>
          </w:r>
        </w:p>
        <w:p w14:paraId="6BAD6BBA" w14:textId="39B1301F"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Gallagher, S.</w:t>
          </w:r>
          <w:r w:rsidR="00C1247D">
            <w:rPr>
              <w:rFonts w:ascii="Arial" w:eastAsia="Aptos" w:hAnsi="Arial" w:cs="Arial"/>
              <w:kern w:val="2"/>
              <w:sz w:val="24"/>
              <w:szCs w:val="24"/>
              <w:lang w:val="en-NZ"/>
              <w14:ligatures w14:val="standardContextual"/>
            </w:rPr>
            <w:t xml:space="preserve"> </w:t>
          </w:r>
          <w:r w:rsidR="006279A4">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2025</w:t>
          </w:r>
          <w:r w:rsidR="006279A4">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MDT as the Employer of Choice for Talent: Evidence-Based Strategy Development.</w:t>
          </w:r>
        </w:p>
        <w:p w14:paraId="770AAAB0" w14:textId="2A594C28" w:rsidR="00790B05" w:rsidRDefault="00790B05" w:rsidP="00790B05">
          <w:pPr>
            <w:spacing w:line="240" w:lineRule="auto"/>
            <w:rPr>
              <w:rFonts w:ascii="Arial" w:eastAsia="Aptos" w:hAnsi="Arial" w:cs="Arial"/>
              <w:kern w:val="2"/>
              <w:sz w:val="24"/>
              <w:szCs w:val="24"/>
              <w14:ligatures w14:val="standardContextual"/>
            </w:rPr>
          </w:pPr>
          <w:r w:rsidRPr="003264E2">
            <w:rPr>
              <w:rFonts w:ascii="Arial" w:eastAsia="Aptos" w:hAnsi="Arial" w:cs="Arial"/>
              <w:kern w:val="2"/>
              <w:sz w:val="24"/>
              <w:szCs w:val="24"/>
              <w14:ligatures w14:val="standardContextual"/>
            </w:rPr>
            <w:t xml:space="preserve">Glen Lyn Generations Ltd and Exmoor Coast Boat Cruises Ltd v HMRC </w:t>
          </w:r>
          <w:r>
            <w:rPr>
              <w:rFonts w:ascii="Arial" w:eastAsia="Aptos" w:hAnsi="Arial" w:cs="Arial"/>
              <w:kern w:val="2"/>
              <w:sz w:val="24"/>
              <w:szCs w:val="24"/>
              <w14:ligatures w14:val="standardContextual"/>
            </w:rPr>
            <w:t>(</w:t>
          </w:r>
          <w:r w:rsidRPr="003264E2">
            <w:rPr>
              <w:rFonts w:ascii="Arial" w:eastAsia="Aptos" w:hAnsi="Arial" w:cs="Arial"/>
              <w:kern w:val="2"/>
              <w:sz w:val="24"/>
              <w:szCs w:val="24"/>
              <w14:ligatures w14:val="standardContextual"/>
            </w:rPr>
            <w:t>2018</w:t>
          </w:r>
          <w:r>
            <w:rPr>
              <w:rFonts w:ascii="Arial" w:eastAsia="Aptos" w:hAnsi="Arial" w:cs="Arial"/>
              <w:kern w:val="2"/>
              <w:sz w:val="24"/>
              <w:szCs w:val="24"/>
              <w14:ligatures w14:val="standardContextual"/>
            </w:rPr>
            <w:t>)</w:t>
          </w:r>
          <w:r w:rsidRPr="003264E2">
            <w:rPr>
              <w:rFonts w:ascii="Arial" w:eastAsia="Aptos" w:hAnsi="Arial" w:cs="Arial"/>
              <w:kern w:val="2"/>
              <w:sz w:val="24"/>
              <w:szCs w:val="24"/>
              <w14:ligatures w14:val="standardContextual"/>
            </w:rPr>
            <w:t xml:space="preserve"> UKFTT 0394. UK First-tier Tribunal, </w:t>
          </w:r>
          <w:r>
            <w:rPr>
              <w:rFonts w:ascii="Arial" w:eastAsia="Aptos" w:hAnsi="Arial" w:cs="Arial"/>
              <w:kern w:val="2"/>
              <w:sz w:val="24"/>
              <w:szCs w:val="24"/>
              <w14:ligatures w14:val="standardContextual"/>
            </w:rPr>
            <w:t xml:space="preserve">Taxation Web. </w:t>
          </w:r>
          <w:r w:rsidRPr="003264E2">
            <w:rPr>
              <w:rFonts w:ascii="Arial" w:eastAsia="Aptos" w:hAnsi="Arial" w:cs="Arial"/>
              <w:kern w:val="2"/>
              <w:sz w:val="24"/>
              <w:szCs w:val="24"/>
              <w14:ligatures w14:val="standardContextual"/>
            </w:rPr>
            <w:t xml:space="preserve">Available at: </w:t>
          </w:r>
          <w:hyperlink r:id="rId11" w:history="1">
            <w:r w:rsidRPr="00C13020">
              <w:rPr>
                <w:rStyle w:val="Hyperlink"/>
                <w:rFonts w:ascii="Arial" w:eastAsia="Aptos" w:hAnsi="Arial" w:cs="Arial"/>
                <w:kern w:val="2"/>
                <w:sz w:val="24"/>
                <w:szCs w:val="24"/>
                <w14:ligatures w14:val="standardContextual"/>
              </w:rPr>
              <w:t>https://www.taxationweb.co.uk/tax-articles/hmrc-administration-practice-methods/tax-cases-highlight-potential-problems-with-making-tax-digital.h</w:t>
            </w:r>
            <w:r w:rsidRPr="00C13020">
              <w:rPr>
                <w:rStyle w:val="Hyperlink"/>
                <w:rFonts w:ascii="Arial" w:eastAsia="Aptos" w:hAnsi="Arial" w:cs="Arial"/>
                <w:kern w:val="2"/>
                <w:sz w:val="24"/>
                <w:szCs w:val="24"/>
                <w14:ligatures w14:val="standardContextual"/>
              </w:rPr>
              <w:t>t</w:t>
            </w:r>
            <w:r w:rsidRPr="00C13020">
              <w:rPr>
                <w:rStyle w:val="Hyperlink"/>
                <w:rFonts w:ascii="Arial" w:eastAsia="Aptos" w:hAnsi="Arial" w:cs="Arial"/>
                <w:kern w:val="2"/>
                <w:sz w:val="24"/>
                <w:szCs w:val="24"/>
                <w14:ligatures w14:val="standardContextual"/>
              </w:rPr>
              <w:t>ml</w:t>
            </w:r>
          </w:hyperlink>
          <w:r>
            <w:rPr>
              <w:rFonts w:ascii="Arial" w:eastAsia="Aptos" w:hAnsi="Arial" w:cs="Arial"/>
              <w:kern w:val="2"/>
              <w:sz w:val="24"/>
              <w:szCs w:val="24"/>
              <w14:ligatures w14:val="standardContextual"/>
            </w:rPr>
            <w:t xml:space="preserve"> </w:t>
          </w:r>
          <w:r w:rsidR="00C1247D">
            <w:rPr>
              <w:rFonts w:ascii="Arial" w:eastAsia="Aptos" w:hAnsi="Arial" w:cs="Arial"/>
              <w:kern w:val="2"/>
              <w:sz w:val="24"/>
              <w:szCs w:val="24"/>
              <w14:ligatures w14:val="standardContextual"/>
            </w:rPr>
            <w:t xml:space="preserve"> (</w:t>
          </w:r>
          <w:r w:rsidRPr="003264E2">
            <w:rPr>
              <w:rFonts w:ascii="Arial" w:eastAsia="Aptos" w:hAnsi="Arial" w:cs="Arial"/>
              <w:kern w:val="2"/>
              <w:sz w:val="24"/>
              <w:szCs w:val="24"/>
              <w14:ligatures w14:val="standardContextual"/>
            </w:rPr>
            <w:t>Accessed</w:t>
          </w:r>
          <w:r>
            <w:rPr>
              <w:rFonts w:ascii="Arial" w:eastAsia="Aptos" w:hAnsi="Arial" w:cs="Arial"/>
              <w:kern w:val="2"/>
              <w:sz w:val="24"/>
              <w:szCs w:val="24"/>
              <w14:ligatures w14:val="standardContextual"/>
            </w:rPr>
            <w:t>:</w:t>
          </w:r>
          <w:r w:rsidRPr="003264E2">
            <w:rPr>
              <w:rFonts w:ascii="Arial" w:eastAsia="Aptos" w:hAnsi="Arial" w:cs="Arial"/>
              <w:kern w:val="2"/>
              <w:sz w:val="24"/>
              <w:szCs w:val="24"/>
              <w14:ligatures w14:val="standardContextual"/>
            </w:rPr>
            <w:t xml:space="preserve"> </w:t>
          </w:r>
          <w:r>
            <w:rPr>
              <w:rFonts w:ascii="Arial" w:eastAsia="Aptos" w:hAnsi="Arial" w:cs="Arial"/>
              <w:kern w:val="2"/>
              <w:sz w:val="24"/>
              <w:szCs w:val="24"/>
              <w14:ligatures w14:val="standardContextual"/>
            </w:rPr>
            <w:t>10</w:t>
          </w:r>
          <w:r w:rsidRPr="007D6F8A">
            <w:rPr>
              <w:rFonts w:ascii="Arial" w:eastAsia="Aptos" w:hAnsi="Arial" w:cs="Arial"/>
              <w:kern w:val="2"/>
              <w:sz w:val="24"/>
              <w:szCs w:val="24"/>
              <w:vertAlign w:val="superscript"/>
              <w14:ligatures w14:val="standardContextual"/>
            </w:rPr>
            <w:t>th</w:t>
          </w:r>
          <w:r w:rsidRPr="003264E2">
            <w:rPr>
              <w:rFonts w:ascii="Arial" w:eastAsia="Aptos" w:hAnsi="Arial" w:cs="Arial"/>
              <w:kern w:val="2"/>
              <w:sz w:val="24"/>
              <w:szCs w:val="24"/>
              <w14:ligatures w14:val="standardContextual"/>
            </w:rPr>
            <w:t xml:space="preserve"> March 2026</w:t>
          </w:r>
          <w:r w:rsidR="00C1247D">
            <w:rPr>
              <w:rFonts w:ascii="Arial" w:eastAsia="Aptos" w:hAnsi="Arial" w:cs="Arial"/>
              <w:kern w:val="2"/>
              <w:sz w:val="24"/>
              <w:szCs w:val="24"/>
              <w14:ligatures w14:val="standardContextual"/>
            </w:rPr>
            <w:t>)</w:t>
          </w:r>
          <w:r w:rsidRPr="003264E2">
            <w:rPr>
              <w:rFonts w:ascii="Arial" w:eastAsia="Aptos" w:hAnsi="Arial" w:cs="Arial"/>
              <w:kern w:val="2"/>
              <w:sz w:val="24"/>
              <w:szCs w:val="24"/>
              <w14:ligatures w14:val="standardContextual"/>
            </w:rPr>
            <w:t>.</w:t>
          </w:r>
        </w:p>
        <w:p w14:paraId="7E228994" w14:textId="77777777" w:rsidR="00790B05" w:rsidRPr="00CF6AEF" w:rsidRDefault="00790B05" w:rsidP="00790B05">
          <w:pPr>
            <w:spacing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 xml:space="preserve">HM Revenue and Customs (2019) Making Tax Digital: A New Era for Tax Administration. Available at: </w:t>
          </w:r>
          <w:hyperlink r:id="rId12" w:history="1">
            <w:r w:rsidRPr="00CF6AEF">
              <w:rPr>
                <w:rFonts w:ascii="Arial" w:eastAsia="Aptos" w:hAnsi="Arial" w:cs="Arial"/>
                <w:color w:val="00A3E0"/>
                <w:kern w:val="2"/>
                <w:sz w:val="24"/>
                <w:szCs w:val="24"/>
                <w:u w:val="single"/>
                <w:lang w:val="en-NZ"/>
                <w14:ligatures w14:val="standardContextual"/>
              </w:rPr>
              <w:t>Government announces phased mandation of Making Tax Digital for ITSA - GOV.UK</w:t>
            </w:r>
          </w:hyperlink>
          <w:r w:rsidRPr="00CF6AEF">
            <w:rPr>
              <w:rFonts w:ascii="Arial" w:eastAsia="Aptos" w:hAnsi="Arial" w:cs="Arial"/>
              <w:kern w:val="2"/>
              <w:sz w:val="24"/>
              <w:szCs w:val="24"/>
              <w14:ligatures w14:val="standardContextual"/>
            </w:rPr>
            <w:t xml:space="preserve"> </w:t>
          </w:r>
        </w:p>
        <w:p w14:paraId="6FCFDB7E" w14:textId="57E8C2AF"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HM</w:t>
          </w:r>
          <w:r w:rsidR="000A348B">
            <w:rPr>
              <w:rFonts w:ascii="Arial" w:eastAsia="Aptos" w:hAnsi="Arial" w:cs="Arial"/>
              <w:kern w:val="2"/>
              <w:sz w:val="24"/>
              <w:szCs w:val="24"/>
              <w:lang w:val="en-NZ"/>
              <w14:ligatures w14:val="standardContextual"/>
            </w:rPr>
            <w:t xml:space="preserve"> Revenue and Customs</w:t>
          </w:r>
          <w:r w:rsidRPr="00CF6AEF">
            <w:rPr>
              <w:rFonts w:ascii="Arial" w:eastAsia="Aptos" w:hAnsi="Arial" w:cs="Arial"/>
              <w:kern w:val="2"/>
              <w:sz w:val="24"/>
              <w:szCs w:val="24"/>
              <w:lang w:val="en-NZ"/>
              <w14:ligatures w14:val="standardContextual"/>
            </w:rPr>
            <w:t xml:space="preserve"> </w:t>
          </w:r>
          <w:r w:rsidR="009969A0">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2021</w:t>
          </w:r>
          <w:r w:rsidR="009969A0">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Making Tax Digital for VAT: Information for VAT-registered businesses. Available at: </w:t>
          </w:r>
          <w:hyperlink r:id="rId13" w:history="1">
            <w:r w:rsidR="00367440" w:rsidRPr="00CF6AEF">
              <w:rPr>
                <w:rStyle w:val="Hyperlink"/>
                <w:rFonts w:ascii="Arial" w:eastAsia="Aptos" w:hAnsi="Arial" w:cs="Arial"/>
                <w:kern w:val="2"/>
                <w:sz w:val="24"/>
                <w:szCs w:val="24"/>
                <w:lang w:val="en-NZ"/>
                <w14:ligatures w14:val="standardContextual"/>
              </w:rPr>
              <w:t>https://www.gov.uk/government/publications/making-tax-digital-for-vat-information-for-vat-registered-businesses</w:t>
            </w:r>
          </w:hyperlink>
          <w:r w:rsidR="00367440">
            <w:rPr>
              <w:rFonts w:ascii="Arial" w:eastAsia="Aptos" w:hAnsi="Arial" w:cs="Arial"/>
              <w:kern w:val="2"/>
              <w:sz w:val="24"/>
              <w:szCs w:val="24"/>
              <w:lang w:val="en-NZ"/>
              <w14:ligatures w14:val="standardContextual"/>
            </w:rPr>
            <w:t xml:space="preserve"> (</w:t>
          </w:r>
          <w:r w:rsidRPr="00CF6AEF">
            <w:rPr>
              <w:rFonts w:ascii="Arial" w:eastAsia="Aptos" w:hAnsi="Arial" w:cs="Arial"/>
              <w:kern w:val="2"/>
              <w:sz w:val="24"/>
              <w:szCs w:val="24"/>
              <w:lang w:val="en-NZ"/>
              <w14:ligatures w14:val="standardContextual"/>
            </w:rPr>
            <w:t>Accessed 10</w:t>
          </w:r>
          <w:r w:rsidRPr="00CF6AEF">
            <w:rPr>
              <w:rFonts w:ascii="Arial" w:eastAsia="Aptos" w:hAnsi="Arial" w:cs="Arial"/>
              <w:kern w:val="2"/>
              <w:sz w:val="24"/>
              <w:szCs w:val="24"/>
              <w:vertAlign w:val="superscript"/>
              <w:lang w:val="en-NZ"/>
              <w14:ligatures w14:val="standardContextual"/>
            </w:rPr>
            <w:t>th</w:t>
          </w:r>
          <w:r w:rsidRPr="00CF6AEF">
            <w:rPr>
              <w:rFonts w:ascii="Arial" w:eastAsia="Aptos" w:hAnsi="Arial" w:cs="Arial"/>
              <w:kern w:val="2"/>
              <w:sz w:val="24"/>
              <w:szCs w:val="24"/>
              <w:lang w:val="en-NZ"/>
              <w14:ligatures w14:val="standardContextual"/>
            </w:rPr>
            <w:t xml:space="preserve"> March 2026</w:t>
          </w:r>
          <w:r w:rsidR="00367440">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w:t>
          </w:r>
        </w:p>
        <w:p w14:paraId="142460B8" w14:textId="77777777" w:rsidR="00790B05" w:rsidRPr="00CF6AEF" w:rsidRDefault="00790B05" w:rsidP="00790B05">
          <w:pPr>
            <w:spacing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James, S. (2018) The Economics of Taxation, 18th Ed. London: Routledge.</w:t>
          </w:r>
        </w:p>
        <w:p w14:paraId="529F34B4" w14:textId="2003F744"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Joy, Z.H., Islam, S., Rahaman, M.A. and Haque, M.N.</w:t>
          </w:r>
          <w:r w:rsidR="00367440">
            <w:rPr>
              <w:rFonts w:ascii="Arial" w:eastAsia="Aptos" w:hAnsi="Arial" w:cs="Arial"/>
              <w:kern w:val="2"/>
              <w:sz w:val="24"/>
              <w:szCs w:val="24"/>
              <w:lang w:val="en-NZ"/>
              <w14:ligatures w14:val="standardContextual"/>
            </w:rPr>
            <w:t xml:space="preserve"> (</w:t>
          </w:r>
          <w:r w:rsidRPr="00CF6AEF">
            <w:rPr>
              <w:rFonts w:ascii="Arial" w:eastAsia="Aptos" w:hAnsi="Arial" w:cs="Arial"/>
              <w:kern w:val="2"/>
              <w:sz w:val="24"/>
              <w:szCs w:val="24"/>
              <w:lang w:val="en-NZ"/>
              <w14:ligatures w14:val="standardContextual"/>
            </w:rPr>
            <w:t>2024</w:t>
          </w:r>
          <w:r w:rsidR="00367440">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Advanced cybersecurity protocols for securing data management systems in industrial and healthcare environments. </w:t>
          </w:r>
          <w:r w:rsidRPr="00CF6AEF">
            <w:rPr>
              <w:rFonts w:ascii="Arial" w:eastAsia="Aptos" w:hAnsi="Arial" w:cs="Arial"/>
              <w:i/>
              <w:iCs/>
              <w:kern w:val="2"/>
              <w:sz w:val="24"/>
              <w:szCs w:val="24"/>
              <w:lang w:val="en-NZ"/>
              <w14:ligatures w14:val="standardContextual"/>
            </w:rPr>
            <w:t>Global Mainstream Journal of Business, Economics, Development &amp; Project Management</w:t>
          </w:r>
          <w:r w:rsidRPr="00CF6AEF">
            <w:rPr>
              <w:rFonts w:ascii="Arial" w:eastAsia="Aptos" w:hAnsi="Arial" w:cs="Arial"/>
              <w:kern w:val="2"/>
              <w:sz w:val="24"/>
              <w:szCs w:val="24"/>
              <w:lang w:val="en-NZ"/>
              <w14:ligatures w14:val="standardContextual"/>
            </w:rPr>
            <w:t>, </w:t>
          </w:r>
          <w:r w:rsidRPr="00CF6AEF">
            <w:rPr>
              <w:rFonts w:ascii="Arial" w:eastAsia="Aptos" w:hAnsi="Arial" w:cs="Arial"/>
              <w:i/>
              <w:iCs/>
              <w:kern w:val="2"/>
              <w:sz w:val="24"/>
              <w:szCs w:val="24"/>
              <w:lang w:val="en-NZ"/>
              <w14:ligatures w14:val="standardContextual"/>
            </w:rPr>
            <w:t>3</w:t>
          </w:r>
          <w:r w:rsidRPr="00CF6AEF">
            <w:rPr>
              <w:rFonts w:ascii="Arial" w:eastAsia="Aptos" w:hAnsi="Arial" w:cs="Arial"/>
              <w:kern w:val="2"/>
              <w:sz w:val="24"/>
              <w:szCs w:val="24"/>
              <w:lang w:val="en-NZ"/>
              <w14:ligatures w14:val="standardContextual"/>
            </w:rPr>
            <w:t>(4), pp.25-38.</w:t>
          </w:r>
        </w:p>
        <w:p w14:paraId="40B5D0A1" w14:textId="2F2DD45F"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lastRenderedPageBreak/>
            <w:t>Mandasari, N.</w:t>
          </w:r>
          <w:r w:rsidR="00367440">
            <w:rPr>
              <w:rFonts w:ascii="Arial" w:eastAsia="Aptos" w:hAnsi="Arial" w:cs="Arial"/>
              <w:kern w:val="2"/>
              <w:sz w:val="24"/>
              <w:szCs w:val="24"/>
              <w:lang w:val="en-NZ"/>
              <w14:ligatures w14:val="standardContextual"/>
            </w:rPr>
            <w:t xml:space="preserve"> (</w:t>
          </w:r>
          <w:r w:rsidRPr="00CF6AEF">
            <w:rPr>
              <w:rFonts w:ascii="Arial" w:eastAsia="Aptos" w:hAnsi="Arial" w:cs="Arial"/>
              <w:kern w:val="2"/>
              <w:sz w:val="24"/>
              <w:szCs w:val="24"/>
              <w:lang w:val="en-NZ"/>
              <w14:ligatures w14:val="standardContextual"/>
            </w:rPr>
            <w:t>2024</w:t>
          </w:r>
          <w:r w:rsidR="00367440">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The effect of taxation digitali</w:t>
          </w:r>
          <w:r>
            <w:rPr>
              <w:rFonts w:ascii="Arial" w:eastAsia="Aptos" w:hAnsi="Arial" w:cs="Arial"/>
              <w:kern w:val="2"/>
              <w:sz w:val="24"/>
              <w:szCs w:val="24"/>
              <w:lang w:val="en-NZ"/>
              <w14:ligatures w14:val="standardContextual"/>
            </w:rPr>
            <w:t>s</w:t>
          </w:r>
          <w:r w:rsidRPr="00CF6AEF">
            <w:rPr>
              <w:rFonts w:ascii="Arial" w:eastAsia="Aptos" w:hAnsi="Arial" w:cs="Arial"/>
              <w:kern w:val="2"/>
              <w:sz w:val="24"/>
              <w:szCs w:val="24"/>
              <w:lang w:val="en-NZ"/>
              <w14:ligatures w14:val="standardContextual"/>
            </w:rPr>
            <w:t>ation (electronic system) on increasing individual taxpayer compliance. </w:t>
          </w:r>
          <w:r w:rsidRPr="00CF6AEF">
            <w:rPr>
              <w:rFonts w:ascii="Arial" w:eastAsia="Aptos" w:hAnsi="Arial" w:cs="Arial"/>
              <w:i/>
              <w:iCs/>
              <w:kern w:val="2"/>
              <w:sz w:val="24"/>
              <w:szCs w:val="24"/>
              <w:lang w:val="en-NZ"/>
              <w14:ligatures w14:val="standardContextual"/>
            </w:rPr>
            <w:t>Advances in Taxation Research</w:t>
          </w:r>
          <w:r w:rsidRPr="00CF6AEF">
            <w:rPr>
              <w:rFonts w:ascii="Arial" w:eastAsia="Aptos" w:hAnsi="Arial" w:cs="Arial"/>
              <w:kern w:val="2"/>
              <w:sz w:val="24"/>
              <w:szCs w:val="24"/>
              <w:lang w:val="en-NZ"/>
              <w14:ligatures w14:val="standardContextual"/>
            </w:rPr>
            <w:t>, </w:t>
          </w:r>
          <w:r w:rsidRPr="00CF6AEF">
            <w:rPr>
              <w:rFonts w:ascii="Arial" w:eastAsia="Aptos" w:hAnsi="Arial" w:cs="Arial"/>
              <w:i/>
              <w:iCs/>
              <w:kern w:val="2"/>
              <w:sz w:val="24"/>
              <w:szCs w:val="24"/>
              <w:lang w:val="en-NZ"/>
              <w14:ligatures w14:val="standardContextual"/>
            </w:rPr>
            <w:t>2</w:t>
          </w:r>
          <w:r w:rsidRPr="00CF6AEF">
            <w:rPr>
              <w:rFonts w:ascii="Arial" w:eastAsia="Aptos" w:hAnsi="Arial" w:cs="Arial"/>
              <w:kern w:val="2"/>
              <w:sz w:val="24"/>
              <w:szCs w:val="24"/>
              <w:lang w:val="en-NZ"/>
              <w14:ligatures w14:val="standardContextual"/>
            </w:rPr>
            <w:t>(3), pp.153-167.</w:t>
          </w:r>
        </w:p>
        <w:p w14:paraId="1A119844" w14:textId="77777777" w:rsidR="00790B05" w:rsidRPr="00CF6AEF" w:rsidRDefault="00790B05" w:rsidP="00790B05">
          <w:pPr>
            <w:spacing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Melville, A. (2022) Taxation, 28th Ed. Oxford: Oxford University Press.</w:t>
          </w:r>
        </w:p>
        <w:p w14:paraId="300B3222" w14:textId="77777777" w:rsidR="00790B05" w:rsidRPr="00CF6AEF" w:rsidRDefault="00790B05" w:rsidP="00790B05">
          <w:pPr>
            <w:spacing w:line="240" w:lineRule="auto"/>
            <w:rPr>
              <w:rFonts w:ascii="Arial" w:eastAsia="Aptos" w:hAnsi="Arial" w:cs="Arial"/>
              <w:kern w:val="2"/>
              <w:sz w:val="24"/>
              <w:szCs w:val="24"/>
              <w14:ligatures w14:val="standardContextual"/>
            </w:rPr>
          </w:pPr>
          <w:r w:rsidRPr="00CF6AEF">
            <w:rPr>
              <w:rFonts w:ascii="Arial" w:eastAsia="Aptos" w:hAnsi="Arial" w:cs="Arial"/>
              <w:kern w:val="2"/>
              <w:sz w:val="24"/>
              <w:szCs w:val="24"/>
              <w14:ligatures w14:val="standardContextual"/>
            </w:rPr>
            <w:t>Morse, G. and Williams, D. (2020) Principles of Tax Law, 9th Ed. London: Sweet &amp; Maxwell.</w:t>
          </w:r>
        </w:p>
        <w:p w14:paraId="388F1C7E" w14:textId="7F271164"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 xml:space="preserve">Mupokosera, J. and Oguttu, A.W. </w:t>
          </w:r>
          <w:r w:rsidR="005B314F">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2026</w:t>
          </w:r>
          <w:r w:rsidR="005B314F">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Income Taxation of the Digital Economy: The Advantages and Disadvantages of Digital Services Taxes from an African Perspective. </w:t>
          </w:r>
          <w:r w:rsidRPr="00CF6AEF">
            <w:rPr>
              <w:rFonts w:ascii="Arial" w:eastAsia="Aptos" w:hAnsi="Arial" w:cs="Arial"/>
              <w:i/>
              <w:iCs/>
              <w:kern w:val="2"/>
              <w:sz w:val="24"/>
              <w:szCs w:val="24"/>
              <w:lang w:val="en-NZ"/>
              <w14:ligatures w14:val="standardContextual"/>
            </w:rPr>
            <w:t>Intertax</w:t>
          </w:r>
          <w:r w:rsidRPr="00CF6AEF">
            <w:rPr>
              <w:rFonts w:ascii="Arial" w:eastAsia="Aptos" w:hAnsi="Arial" w:cs="Arial"/>
              <w:kern w:val="2"/>
              <w:sz w:val="24"/>
              <w:szCs w:val="24"/>
              <w:lang w:val="en-NZ"/>
              <w14:ligatures w14:val="standardContextual"/>
            </w:rPr>
            <w:t>, </w:t>
          </w:r>
          <w:r w:rsidRPr="00CF6AEF">
            <w:rPr>
              <w:rFonts w:ascii="Arial" w:eastAsia="Aptos" w:hAnsi="Arial" w:cs="Arial"/>
              <w:i/>
              <w:iCs/>
              <w:kern w:val="2"/>
              <w:sz w:val="24"/>
              <w:szCs w:val="24"/>
              <w:lang w:val="en-NZ"/>
              <w14:ligatures w14:val="standardContextual"/>
            </w:rPr>
            <w:t>54</w:t>
          </w:r>
          <w:r w:rsidRPr="00CF6AEF">
            <w:rPr>
              <w:rFonts w:ascii="Arial" w:eastAsia="Aptos" w:hAnsi="Arial" w:cs="Arial"/>
              <w:kern w:val="2"/>
              <w:sz w:val="24"/>
              <w:szCs w:val="24"/>
              <w:lang w:val="en-NZ"/>
              <w14:ligatures w14:val="standardContextual"/>
            </w:rPr>
            <w:t>(2).</w:t>
          </w:r>
        </w:p>
        <w:p w14:paraId="6544D4F4" w14:textId="40289B6B"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 xml:space="preserve">Park, K.S. </w:t>
          </w:r>
          <w:r w:rsidR="005B314F">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2014</w:t>
          </w:r>
          <w:r w:rsidR="005B314F">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w:t>
          </w:r>
          <w:r w:rsidRPr="00CF6AEF">
            <w:rPr>
              <w:rFonts w:ascii="Arial" w:eastAsia="Aptos" w:hAnsi="Arial" w:cs="Arial"/>
              <w:i/>
              <w:iCs/>
              <w:kern w:val="2"/>
              <w:sz w:val="24"/>
              <w:szCs w:val="24"/>
              <w:lang w:val="en-NZ"/>
              <w14:ligatures w14:val="standardContextual"/>
            </w:rPr>
            <w:t>Human reliability: analysis, prediction, and prevention of human errors</w:t>
          </w:r>
          <w:r w:rsidRPr="00CF6AEF">
            <w:rPr>
              <w:rFonts w:ascii="Arial" w:eastAsia="Aptos" w:hAnsi="Arial" w:cs="Arial"/>
              <w:kern w:val="2"/>
              <w:sz w:val="24"/>
              <w:szCs w:val="24"/>
              <w:lang w:val="en-NZ"/>
              <w14:ligatures w14:val="standardContextual"/>
            </w:rPr>
            <w:t> (Vol. 7). Elsevier.</w:t>
          </w:r>
        </w:p>
        <w:p w14:paraId="1CAA83E9" w14:textId="4BF73BC5"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Reifer, D.J.</w:t>
          </w:r>
          <w:r w:rsidR="005B314F">
            <w:rPr>
              <w:rFonts w:ascii="Arial" w:eastAsia="Aptos" w:hAnsi="Arial" w:cs="Arial"/>
              <w:kern w:val="2"/>
              <w:sz w:val="24"/>
              <w:szCs w:val="24"/>
              <w:lang w:val="en-NZ"/>
              <w14:ligatures w14:val="standardContextual"/>
            </w:rPr>
            <w:t xml:space="preserve"> (</w:t>
          </w:r>
          <w:r w:rsidRPr="00CF6AEF">
            <w:rPr>
              <w:rFonts w:ascii="Arial" w:eastAsia="Aptos" w:hAnsi="Arial" w:cs="Arial"/>
              <w:kern w:val="2"/>
              <w:sz w:val="24"/>
              <w:szCs w:val="24"/>
              <w:lang w:val="en-NZ"/>
              <w14:ligatures w14:val="standardContextual"/>
            </w:rPr>
            <w:t>2001</w:t>
          </w:r>
          <w:r w:rsidR="005B314F">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w:t>
          </w:r>
          <w:r w:rsidRPr="00CF6AEF">
            <w:rPr>
              <w:rFonts w:ascii="Arial" w:eastAsia="Aptos" w:hAnsi="Arial" w:cs="Arial"/>
              <w:i/>
              <w:iCs/>
              <w:kern w:val="2"/>
              <w:sz w:val="24"/>
              <w:szCs w:val="24"/>
              <w:lang w:val="en-NZ"/>
              <w14:ligatures w14:val="standardContextual"/>
            </w:rPr>
            <w:t>Making the software business case: Improvement by the numbers</w:t>
          </w:r>
          <w:r w:rsidRPr="00CF6AEF">
            <w:rPr>
              <w:rFonts w:ascii="Arial" w:eastAsia="Aptos" w:hAnsi="Arial" w:cs="Arial"/>
              <w:kern w:val="2"/>
              <w:sz w:val="24"/>
              <w:szCs w:val="24"/>
              <w:lang w:val="en-NZ"/>
              <w14:ligatures w14:val="standardContextual"/>
            </w:rPr>
            <w:t>. Pearson Education.</w:t>
          </w:r>
        </w:p>
        <w:p w14:paraId="5493515E" w14:textId="485A213E"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Sadiq, M.</w:t>
          </w:r>
          <w:r w:rsidR="005B314F">
            <w:rPr>
              <w:rFonts w:ascii="Arial" w:eastAsia="Aptos" w:hAnsi="Arial" w:cs="Arial"/>
              <w:kern w:val="2"/>
              <w:sz w:val="24"/>
              <w:szCs w:val="24"/>
              <w:lang w:val="en-NZ"/>
              <w14:ligatures w14:val="standardContextual"/>
            </w:rPr>
            <w:t xml:space="preserve"> (</w:t>
          </w:r>
          <w:r w:rsidRPr="00CF6AEF">
            <w:rPr>
              <w:rFonts w:ascii="Arial" w:eastAsia="Aptos" w:hAnsi="Arial" w:cs="Arial"/>
              <w:kern w:val="2"/>
              <w:sz w:val="24"/>
              <w:szCs w:val="24"/>
              <w:lang w:val="en-NZ"/>
              <w14:ligatures w14:val="standardContextual"/>
            </w:rPr>
            <w:t>2021</w:t>
          </w:r>
          <w:r w:rsidR="005B314F">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Impact of making tax digital on small businesses. </w:t>
          </w:r>
          <w:r w:rsidRPr="00CF6AEF">
            <w:rPr>
              <w:rFonts w:ascii="Arial" w:eastAsia="Aptos" w:hAnsi="Arial" w:cs="Arial"/>
              <w:i/>
              <w:iCs/>
              <w:kern w:val="2"/>
              <w:sz w:val="24"/>
              <w:szCs w:val="24"/>
              <w:lang w:val="en-NZ"/>
              <w14:ligatures w14:val="standardContextual"/>
            </w:rPr>
            <w:t>International Journal of Accounting Research</w:t>
          </w:r>
          <w:r w:rsidRPr="00CF6AEF">
            <w:rPr>
              <w:rFonts w:ascii="Arial" w:eastAsia="Aptos" w:hAnsi="Arial" w:cs="Arial"/>
              <w:kern w:val="2"/>
              <w:sz w:val="24"/>
              <w:szCs w:val="24"/>
              <w:lang w:val="en-NZ"/>
              <w14:ligatures w14:val="standardContextual"/>
            </w:rPr>
            <w:t>, </w:t>
          </w:r>
          <w:r w:rsidRPr="00CF6AEF">
            <w:rPr>
              <w:rFonts w:ascii="Arial" w:eastAsia="Aptos" w:hAnsi="Arial" w:cs="Arial"/>
              <w:i/>
              <w:iCs/>
              <w:kern w:val="2"/>
              <w:sz w:val="24"/>
              <w:szCs w:val="24"/>
              <w:lang w:val="en-NZ"/>
              <w14:ligatures w14:val="standardContextual"/>
            </w:rPr>
            <w:t>9</w:t>
          </w:r>
          <w:r w:rsidRPr="00CF6AEF">
            <w:rPr>
              <w:rFonts w:ascii="Arial" w:eastAsia="Aptos" w:hAnsi="Arial" w:cs="Arial"/>
              <w:kern w:val="2"/>
              <w:sz w:val="24"/>
              <w:szCs w:val="24"/>
              <w:lang w:val="en-NZ"/>
              <w14:ligatures w14:val="standardContextual"/>
            </w:rPr>
            <w:t>(10).</w:t>
          </w:r>
        </w:p>
        <w:p w14:paraId="32A5672E" w14:textId="06C0AF57"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 xml:space="preserve">Sadiq, M. </w:t>
          </w:r>
          <w:r w:rsidR="005B314F">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2021</w:t>
          </w:r>
          <w:r w:rsidR="00B4335B">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w:t>
          </w:r>
          <w:r w:rsidR="00C32CC1">
            <w:rPr>
              <w:rFonts w:ascii="Arial" w:eastAsia="Aptos" w:hAnsi="Arial" w:cs="Arial"/>
              <w:kern w:val="2"/>
              <w:sz w:val="24"/>
              <w:szCs w:val="24"/>
              <w:lang w:val="en-NZ"/>
              <w14:ligatures w14:val="standardContextual"/>
            </w:rPr>
            <w:t>I</w:t>
          </w:r>
          <w:r w:rsidR="00CB4F56" w:rsidRPr="00CF6AEF">
            <w:rPr>
              <w:rFonts w:ascii="Arial" w:eastAsia="Aptos" w:hAnsi="Arial" w:cs="Arial"/>
              <w:kern w:val="2"/>
              <w:sz w:val="24"/>
              <w:szCs w:val="24"/>
              <w:lang w:val="en-NZ"/>
              <w14:ligatures w14:val="standardContextual"/>
            </w:rPr>
            <w:t xml:space="preserve">mpact of making tax digtal on small </w:t>
          </w:r>
          <w:r w:rsidR="00C32CC1" w:rsidRPr="00CF6AEF">
            <w:rPr>
              <w:rFonts w:ascii="Arial" w:eastAsia="Aptos" w:hAnsi="Arial" w:cs="Arial"/>
              <w:kern w:val="2"/>
              <w:sz w:val="24"/>
              <w:szCs w:val="24"/>
              <w:lang w:val="en-NZ"/>
              <w14:ligatures w14:val="standardContextual"/>
            </w:rPr>
            <w:t>businesses</w:t>
          </w:r>
          <w:r w:rsidRPr="00CF6AEF">
            <w:rPr>
              <w:rFonts w:ascii="Arial" w:eastAsia="Aptos" w:hAnsi="Arial" w:cs="Arial"/>
              <w:kern w:val="2"/>
              <w:sz w:val="24"/>
              <w:szCs w:val="24"/>
              <w:lang w:val="en-NZ"/>
              <w14:ligatures w14:val="standardContextual"/>
            </w:rPr>
            <w:t>. </w:t>
          </w:r>
          <w:r w:rsidRPr="00CF6AEF">
            <w:rPr>
              <w:rFonts w:ascii="Arial" w:eastAsia="Aptos" w:hAnsi="Arial" w:cs="Arial"/>
              <w:i/>
              <w:iCs/>
              <w:kern w:val="2"/>
              <w:sz w:val="24"/>
              <w:szCs w:val="24"/>
              <w:lang w:val="en-NZ"/>
              <w14:ligatures w14:val="standardContextual"/>
            </w:rPr>
            <w:t>Arabian Journal of Business and Management Review (Kuwait Chapter)</w:t>
          </w:r>
          <w:r w:rsidRPr="00CF6AEF">
            <w:rPr>
              <w:rFonts w:ascii="Arial" w:eastAsia="Aptos" w:hAnsi="Arial" w:cs="Arial"/>
              <w:kern w:val="2"/>
              <w:sz w:val="24"/>
              <w:szCs w:val="24"/>
              <w:lang w:val="en-NZ"/>
              <w14:ligatures w14:val="standardContextual"/>
            </w:rPr>
            <w:t>, </w:t>
          </w:r>
          <w:r w:rsidRPr="00CF6AEF">
            <w:rPr>
              <w:rFonts w:ascii="Arial" w:eastAsia="Aptos" w:hAnsi="Arial" w:cs="Arial"/>
              <w:i/>
              <w:iCs/>
              <w:kern w:val="2"/>
              <w:sz w:val="24"/>
              <w:szCs w:val="24"/>
              <w:lang w:val="en-NZ"/>
              <w14:ligatures w14:val="standardContextual"/>
            </w:rPr>
            <w:t>10</w:t>
          </w:r>
          <w:r w:rsidRPr="00CF6AEF">
            <w:rPr>
              <w:rFonts w:ascii="Arial" w:eastAsia="Aptos" w:hAnsi="Arial" w:cs="Arial"/>
              <w:kern w:val="2"/>
              <w:sz w:val="24"/>
              <w:szCs w:val="24"/>
              <w:lang w:val="en-NZ"/>
              <w14:ligatures w14:val="standardContextual"/>
            </w:rPr>
            <w:t>(3), pp.123-134.</w:t>
          </w:r>
        </w:p>
        <w:p w14:paraId="0E7415FF" w14:textId="00275124"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 xml:space="preserve">Sadiq, M. </w:t>
          </w:r>
          <w:r w:rsidR="00C32CC1">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2022</w:t>
          </w:r>
          <w:r w:rsidR="00C32CC1">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Examination of confidence levels of taxpayers transitioning to making tax digital by industry sector in the UK. </w:t>
          </w:r>
          <w:r w:rsidRPr="00CF6AEF">
            <w:rPr>
              <w:rFonts w:ascii="Arial" w:eastAsia="Aptos" w:hAnsi="Arial" w:cs="Arial"/>
              <w:i/>
              <w:iCs/>
              <w:kern w:val="2"/>
              <w:sz w:val="24"/>
              <w:szCs w:val="24"/>
              <w:lang w:val="en-NZ"/>
              <w14:ligatures w14:val="standardContextual"/>
            </w:rPr>
            <w:t>Journal of Accounting and Taxation</w:t>
          </w:r>
          <w:r w:rsidRPr="00CF6AEF">
            <w:rPr>
              <w:rFonts w:ascii="Arial" w:eastAsia="Aptos" w:hAnsi="Arial" w:cs="Arial"/>
              <w:kern w:val="2"/>
              <w:sz w:val="24"/>
              <w:szCs w:val="24"/>
              <w:lang w:val="en-NZ"/>
              <w14:ligatures w14:val="standardContextual"/>
            </w:rPr>
            <w:t>, (3), pp.282-290.</w:t>
          </w:r>
        </w:p>
        <w:p w14:paraId="167C99A7" w14:textId="0B39CA77"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Shidomi, V.L.R.Y. and Imoniana, J.O.</w:t>
          </w:r>
          <w:r w:rsidR="00C32CC1">
            <w:rPr>
              <w:rFonts w:ascii="Arial" w:eastAsia="Aptos" w:hAnsi="Arial" w:cs="Arial"/>
              <w:kern w:val="2"/>
              <w:sz w:val="24"/>
              <w:szCs w:val="24"/>
              <w:lang w:val="en-NZ"/>
              <w14:ligatures w14:val="standardContextual"/>
            </w:rPr>
            <w:t xml:space="preserve"> (</w:t>
          </w:r>
          <w:r w:rsidRPr="00CF6AEF">
            <w:rPr>
              <w:rFonts w:ascii="Arial" w:eastAsia="Aptos" w:hAnsi="Arial" w:cs="Arial"/>
              <w:kern w:val="2"/>
              <w:sz w:val="24"/>
              <w:szCs w:val="24"/>
              <w:lang w:val="en-NZ"/>
              <w14:ligatures w14:val="standardContextual"/>
            </w:rPr>
            <w:t>2025</w:t>
          </w:r>
          <w:r w:rsidR="0031485B">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Tax Compliance and Technological Innovation: Case Study on the Development of Tools to Assist Sales Tax Inspections to Curb Tax Fraud. </w:t>
          </w:r>
          <w:r w:rsidRPr="00CF6AEF">
            <w:rPr>
              <w:rFonts w:ascii="Arial" w:eastAsia="Aptos" w:hAnsi="Arial" w:cs="Arial"/>
              <w:i/>
              <w:iCs/>
              <w:kern w:val="2"/>
              <w:sz w:val="24"/>
              <w:szCs w:val="24"/>
              <w:lang w:val="en-NZ"/>
              <w14:ligatures w14:val="standardContextual"/>
            </w:rPr>
            <w:t>Technologies</w:t>
          </w:r>
          <w:r w:rsidRPr="00CF6AEF">
            <w:rPr>
              <w:rFonts w:ascii="Arial" w:eastAsia="Aptos" w:hAnsi="Arial" w:cs="Arial"/>
              <w:kern w:val="2"/>
              <w:sz w:val="24"/>
              <w:szCs w:val="24"/>
              <w:lang w:val="en-NZ"/>
              <w14:ligatures w14:val="standardContextual"/>
            </w:rPr>
            <w:t>, </w:t>
          </w:r>
          <w:r w:rsidRPr="00CF6AEF">
            <w:rPr>
              <w:rFonts w:ascii="Arial" w:eastAsia="Aptos" w:hAnsi="Arial" w:cs="Arial"/>
              <w:i/>
              <w:iCs/>
              <w:kern w:val="2"/>
              <w:sz w:val="24"/>
              <w:szCs w:val="24"/>
              <w:lang w:val="en-NZ"/>
              <w14:ligatures w14:val="standardContextual"/>
            </w:rPr>
            <w:t>13</w:t>
          </w:r>
          <w:r w:rsidRPr="00CF6AEF">
            <w:rPr>
              <w:rFonts w:ascii="Arial" w:eastAsia="Aptos" w:hAnsi="Arial" w:cs="Arial"/>
              <w:kern w:val="2"/>
              <w:sz w:val="24"/>
              <w:szCs w:val="24"/>
              <w:lang w:val="en-NZ"/>
              <w14:ligatures w14:val="standardContextual"/>
            </w:rPr>
            <w:t>(12), p.594.</w:t>
          </w:r>
        </w:p>
        <w:p w14:paraId="451F501E" w14:textId="797E023A"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Siregar, M.F. and Tarigan, E.J.</w:t>
          </w:r>
          <w:r w:rsidR="0031485B">
            <w:rPr>
              <w:rFonts w:ascii="Arial" w:eastAsia="Aptos" w:hAnsi="Arial" w:cs="Arial"/>
              <w:kern w:val="2"/>
              <w:sz w:val="24"/>
              <w:szCs w:val="24"/>
              <w:lang w:val="en-NZ"/>
              <w14:ligatures w14:val="standardContextual"/>
            </w:rPr>
            <w:t xml:space="preserve"> (</w:t>
          </w:r>
          <w:r w:rsidRPr="00CF6AEF">
            <w:rPr>
              <w:rFonts w:ascii="Arial" w:eastAsia="Aptos" w:hAnsi="Arial" w:cs="Arial"/>
              <w:kern w:val="2"/>
              <w:sz w:val="24"/>
              <w:szCs w:val="24"/>
              <w:lang w:val="en-NZ"/>
              <w14:ligatures w14:val="standardContextual"/>
            </w:rPr>
            <w:t>2026</w:t>
          </w:r>
          <w:r w:rsidR="0031485B">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Tax Compliance Behavior, Digital Tax Services, and Business Sustainability: The Role of Perceived Tax Fairness in SME Survival. </w:t>
          </w:r>
          <w:r w:rsidRPr="00CF6AEF">
            <w:rPr>
              <w:rFonts w:ascii="Arial" w:eastAsia="Aptos" w:hAnsi="Arial" w:cs="Arial"/>
              <w:i/>
              <w:iCs/>
              <w:kern w:val="2"/>
              <w:sz w:val="24"/>
              <w:szCs w:val="24"/>
              <w:lang w:val="en-NZ"/>
              <w14:ligatures w14:val="standardContextual"/>
            </w:rPr>
            <w:t>Golden Ratio of Taxation Studies</w:t>
          </w:r>
          <w:r w:rsidRPr="00CF6AEF">
            <w:rPr>
              <w:rFonts w:ascii="Arial" w:eastAsia="Aptos" w:hAnsi="Arial" w:cs="Arial"/>
              <w:kern w:val="2"/>
              <w:sz w:val="24"/>
              <w:szCs w:val="24"/>
              <w:lang w:val="en-NZ"/>
              <w14:ligatures w14:val="standardContextual"/>
            </w:rPr>
            <w:t>, </w:t>
          </w:r>
          <w:r w:rsidRPr="00CF6AEF">
            <w:rPr>
              <w:rFonts w:ascii="Arial" w:eastAsia="Aptos" w:hAnsi="Arial" w:cs="Arial"/>
              <w:i/>
              <w:iCs/>
              <w:kern w:val="2"/>
              <w:sz w:val="24"/>
              <w:szCs w:val="24"/>
              <w:lang w:val="en-NZ"/>
              <w14:ligatures w14:val="standardContextual"/>
            </w:rPr>
            <w:t>6</w:t>
          </w:r>
          <w:r w:rsidRPr="00CF6AEF">
            <w:rPr>
              <w:rFonts w:ascii="Arial" w:eastAsia="Aptos" w:hAnsi="Arial" w:cs="Arial"/>
              <w:kern w:val="2"/>
              <w:sz w:val="24"/>
              <w:szCs w:val="24"/>
              <w:lang w:val="en-NZ"/>
              <w14:ligatures w14:val="standardContextual"/>
            </w:rPr>
            <w:t>(1), pp.52-61.</w:t>
          </w:r>
        </w:p>
        <w:p w14:paraId="5D516E6E" w14:textId="603F25C3"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Skoumpopoulou, D. and Crisp, A.</w:t>
          </w:r>
          <w:r w:rsidR="0031485B">
            <w:rPr>
              <w:rFonts w:ascii="Arial" w:eastAsia="Aptos" w:hAnsi="Arial" w:cs="Arial"/>
              <w:kern w:val="2"/>
              <w:sz w:val="24"/>
              <w:szCs w:val="24"/>
              <w:lang w:val="en-NZ"/>
              <w14:ligatures w14:val="standardContextual"/>
            </w:rPr>
            <w:t xml:space="preserve"> (</w:t>
          </w:r>
          <w:r w:rsidRPr="00CF6AEF">
            <w:rPr>
              <w:rFonts w:ascii="Arial" w:eastAsia="Aptos" w:hAnsi="Arial" w:cs="Arial"/>
              <w:kern w:val="2"/>
              <w:sz w:val="24"/>
              <w:szCs w:val="24"/>
              <w:lang w:val="en-NZ"/>
              <w14:ligatures w14:val="standardContextual"/>
            </w:rPr>
            <w:t>2021</w:t>
          </w:r>
          <w:r w:rsidR="0031485B">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The Adoption and Usages of Technology in SMEs: The Case of Making Tax Digital. </w:t>
          </w:r>
          <w:r w:rsidRPr="00CF6AEF">
            <w:rPr>
              <w:rFonts w:ascii="Arial" w:eastAsia="Aptos" w:hAnsi="Arial" w:cs="Arial"/>
              <w:i/>
              <w:iCs/>
              <w:kern w:val="2"/>
              <w:sz w:val="24"/>
              <w:szCs w:val="24"/>
              <w:lang w:val="en-NZ"/>
              <w14:ligatures w14:val="standardContextual"/>
            </w:rPr>
            <w:t>Engineering Science &amp; Technology</w:t>
          </w:r>
          <w:r w:rsidRPr="00CF6AEF">
            <w:rPr>
              <w:rFonts w:ascii="Arial" w:eastAsia="Aptos" w:hAnsi="Arial" w:cs="Arial"/>
              <w:kern w:val="2"/>
              <w:sz w:val="24"/>
              <w:szCs w:val="24"/>
              <w:lang w:val="en-NZ"/>
              <w14:ligatures w14:val="standardContextual"/>
            </w:rPr>
            <w:t>, pp.22-30.</w:t>
          </w:r>
        </w:p>
        <w:p w14:paraId="18066282" w14:textId="7095ED85"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Stone, K., Graham, T., Ellis, N., Hudson, S., Perry, E., Armstrong, J. and John, B.</w:t>
          </w:r>
          <w:r w:rsidR="0031485B">
            <w:rPr>
              <w:rFonts w:ascii="Arial" w:eastAsia="Aptos" w:hAnsi="Arial" w:cs="Arial"/>
              <w:kern w:val="2"/>
              <w:sz w:val="24"/>
              <w:szCs w:val="24"/>
              <w:lang w:val="en-NZ"/>
              <w14:ligatures w14:val="standardContextual"/>
            </w:rPr>
            <w:t xml:space="preserve"> (</w:t>
          </w:r>
          <w:r w:rsidRPr="00CF6AEF">
            <w:rPr>
              <w:rFonts w:ascii="Arial" w:eastAsia="Aptos" w:hAnsi="Arial" w:cs="Arial"/>
              <w:kern w:val="2"/>
              <w:sz w:val="24"/>
              <w:szCs w:val="24"/>
              <w:lang w:val="en-NZ"/>
              <w14:ligatures w14:val="standardContextual"/>
            </w:rPr>
            <w:t>2025</w:t>
          </w:r>
          <w:r w:rsidR="0031485B">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Automated notifications and reminders for taxpayers.</w:t>
          </w:r>
        </w:p>
        <w:p w14:paraId="6D06BEB3" w14:textId="139F5FD7" w:rsidR="00790B05" w:rsidRPr="00CF6AEF" w:rsidRDefault="00790B05" w:rsidP="00790B05">
          <w:pPr>
            <w:spacing w:line="240" w:lineRule="auto"/>
            <w:rPr>
              <w:rFonts w:ascii="Arial" w:eastAsia="Aptos" w:hAnsi="Arial" w:cs="Arial"/>
              <w:kern w:val="2"/>
              <w:sz w:val="24"/>
              <w:szCs w:val="24"/>
              <w:lang w:val="en-NZ"/>
              <w14:ligatures w14:val="standardContextual"/>
            </w:rPr>
          </w:pPr>
          <w:r w:rsidRPr="00CF6AEF">
            <w:rPr>
              <w:rFonts w:ascii="Arial" w:eastAsia="Aptos" w:hAnsi="Arial" w:cs="Arial"/>
              <w:kern w:val="2"/>
              <w:sz w:val="24"/>
              <w:szCs w:val="24"/>
              <w:lang w:val="en-NZ"/>
              <w14:ligatures w14:val="standardContextual"/>
            </w:rPr>
            <w:t>Wilson-Menzfeld, G., Erfani, G., Young-Murphy, L., Charlton, W., De Luca, H., Brittain, K. and Steven, A.</w:t>
          </w:r>
          <w:r w:rsidR="001F6CB0">
            <w:rPr>
              <w:rFonts w:ascii="Arial" w:eastAsia="Aptos" w:hAnsi="Arial" w:cs="Arial"/>
              <w:kern w:val="2"/>
              <w:sz w:val="24"/>
              <w:szCs w:val="24"/>
              <w:lang w:val="en-NZ"/>
              <w14:ligatures w14:val="standardContextual"/>
            </w:rPr>
            <w:t xml:space="preserve"> (</w:t>
          </w:r>
          <w:r w:rsidRPr="00CF6AEF">
            <w:rPr>
              <w:rFonts w:ascii="Arial" w:eastAsia="Aptos" w:hAnsi="Arial" w:cs="Arial"/>
              <w:kern w:val="2"/>
              <w:sz w:val="24"/>
              <w:szCs w:val="24"/>
              <w:lang w:val="en-NZ"/>
              <w14:ligatures w14:val="standardContextual"/>
            </w:rPr>
            <w:t>2025</w:t>
          </w:r>
          <w:r w:rsidR="001F6CB0">
            <w:rPr>
              <w:rFonts w:ascii="Arial" w:eastAsia="Aptos" w:hAnsi="Arial" w:cs="Arial"/>
              <w:kern w:val="2"/>
              <w:sz w:val="24"/>
              <w:szCs w:val="24"/>
              <w:lang w:val="en-NZ"/>
              <w14:ligatures w14:val="standardContextual"/>
            </w:rPr>
            <w:t>)</w:t>
          </w:r>
          <w:r w:rsidRPr="00CF6AEF">
            <w:rPr>
              <w:rFonts w:ascii="Arial" w:eastAsia="Aptos" w:hAnsi="Arial" w:cs="Arial"/>
              <w:kern w:val="2"/>
              <w:sz w:val="24"/>
              <w:szCs w:val="24"/>
              <w:lang w:val="en-NZ"/>
              <w14:ligatures w14:val="standardContextual"/>
            </w:rPr>
            <w:t xml:space="preserve"> Identifying and understanding digital exclusion: a mixed-methods study. </w:t>
          </w:r>
          <w:r w:rsidRPr="00CF6AEF">
            <w:rPr>
              <w:rFonts w:ascii="Arial" w:eastAsia="Aptos" w:hAnsi="Arial" w:cs="Arial"/>
              <w:i/>
              <w:iCs/>
              <w:kern w:val="2"/>
              <w:sz w:val="24"/>
              <w:szCs w:val="24"/>
              <w:lang w:val="en-NZ"/>
              <w14:ligatures w14:val="standardContextual"/>
            </w:rPr>
            <w:t>Behaviour &amp; Information Technology</w:t>
          </w:r>
          <w:r w:rsidRPr="00CF6AEF">
            <w:rPr>
              <w:rFonts w:ascii="Arial" w:eastAsia="Aptos" w:hAnsi="Arial" w:cs="Arial"/>
              <w:kern w:val="2"/>
              <w:sz w:val="24"/>
              <w:szCs w:val="24"/>
              <w:lang w:val="en-NZ"/>
              <w14:ligatures w14:val="standardContextual"/>
            </w:rPr>
            <w:t>, </w:t>
          </w:r>
          <w:r w:rsidRPr="00CF6AEF">
            <w:rPr>
              <w:rFonts w:ascii="Arial" w:eastAsia="Aptos" w:hAnsi="Arial" w:cs="Arial"/>
              <w:i/>
              <w:iCs/>
              <w:kern w:val="2"/>
              <w:sz w:val="24"/>
              <w:szCs w:val="24"/>
              <w:lang w:val="en-NZ"/>
              <w14:ligatures w14:val="standardContextual"/>
            </w:rPr>
            <w:t>44</w:t>
          </w:r>
          <w:r w:rsidRPr="00CF6AEF">
            <w:rPr>
              <w:rFonts w:ascii="Arial" w:eastAsia="Aptos" w:hAnsi="Arial" w:cs="Arial"/>
              <w:kern w:val="2"/>
              <w:sz w:val="24"/>
              <w:szCs w:val="24"/>
              <w:lang w:val="en-NZ"/>
              <w14:ligatures w14:val="standardContextual"/>
            </w:rPr>
            <w:t>(8), pp.1649-1666.</w:t>
          </w:r>
        </w:p>
        <w:p w14:paraId="13EF29D6" w14:textId="77777777" w:rsidR="00CF6AEF" w:rsidRPr="00CF6AEF" w:rsidRDefault="00CF6AEF" w:rsidP="00CF6AEF">
          <w:pPr>
            <w:spacing w:after="0" w:line="240" w:lineRule="auto"/>
            <w:rPr>
              <w:rFonts w:ascii="Arial" w:eastAsia="Aptos" w:hAnsi="Arial" w:cs="Arial"/>
              <w:kern w:val="2"/>
              <w:sz w:val="24"/>
              <w:szCs w:val="24"/>
              <w:lang w:val="en-NZ"/>
              <w14:ligatures w14:val="standardContextual"/>
            </w:rPr>
          </w:pPr>
        </w:p>
        <w:p w14:paraId="7F890C1F" w14:textId="2244A14D" w:rsidR="00CA09F3" w:rsidRPr="002B3F7F" w:rsidRDefault="00000000" w:rsidP="002B3F7F">
          <w:pPr>
            <w:spacing w:after="0" w:line="240" w:lineRule="auto"/>
            <w:rPr>
              <w:rFonts w:ascii="Arial" w:eastAsia="Aptos" w:hAnsi="Arial" w:cs="Arial"/>
              <w:kern w:val="2"/>
              <w:sz w:val="24"/>
              <w:szCs w:val="24"/>
              <w:lang w:val="en-NZ"/>
              <w14:ligatures w14:val="standardContextual"/>
            </w:rPr>
          </w:pPr>
        </w:p>
      </w:sdtContent>
    </w:sdt>
    <w:p w14:paraId="1E418EE2" w14:textId="77777777" w:rsidR="00CF0E48" w:rsidRDefault="00CF0E48"/>
    <w:p w14:paraId="493C784B" w14:textId="77777777" w:rsidR="00CF0E48" w:rsidRDefault="00CF0E48"/>
    <w:p w14:paraId="35C7F415" w14:textId="77777777" w:rsidR="00CF0E48" w:rsidRDefault="00CF0E48"/>
    <w:p w14:paraId="365813D8" w14:textId="77777777" w:rsidR="00CF0E48" w:rsidRDefault="00CF0E48"/>
    <w:p w14:paraId="0B40F6B3" w14:textId="77777777" w:rsidR="00CF0E48" w:rsidRDefault="00CF0E48"/>
    <w:p w14:paraId="2BDC7C17" w14:textId="77777777" w:rsidR="00CF0E48" w:rsidRDefault="00CF0E48"/>
    <w:p w14:paraId="12C9B7B1" w14:textId="77777777" w:rsidR="00CF0E48" w:rsidRDefault="00CF0E48"/>
    <w:p w14:paraId="7ED5198D" w14:textId="77777777" w:rsidR="00CF0E48" w:rsidRDefault="00CF0E48"/>
    <w:p w14:paraId="14DE9FFD" w14:textId="77777777" w:rsidR="00CF0E48" w:rsidRDefault="00CF0E48"/>
    <w:p w14:paraId="60B253D9" w14:textId="77777777" w:rsidR="00CF0E48" w:rsidRDefault="00CF0E48"/>
    <w:p w14:paraId="3A0D648F" w14:textId="77777777" w:rsidR="00CF0E48" w:rsidRDefault="00CF0E48"/>
    <w:p w14:paraId="1E21E158" w14:textId="77777777" w:rsidR="00CF0E48" w:rsidRDefault="00CF0E48"/>
    <w:p w14:paraId="59B0FBC3" w14:textId="77777777" w:rsidR="00CF0E48" w:rsidRDefault="00CF0E48"/>
    <w:p w14:paraId="126261C2" w14:textId="77777777" w:rsidR="00CF0E48" w:rsidRDefault="00CF0E48"/>
    <w:p w14:paraId="1BCAA413" w14:textId="77777777" w:rsidR="00CF0E48" w:rsidRDefault="00CF0E48"/>
    <w:p w14:paraId="0A361E34" w14:textId="77777777" w:rsidR="00CF0E48" w:rsidRDefault="00CF0E48"/>
    <w:p w14:paraId="57B33282" w14:textId="77777777" w:rsidR="00CF0E48" w:rsidRDefault="00CF0E48"/>
    <w:p w14:paraId="397E3009" w14:textId="77777777" w:rsidR="00CF0E48" w:rsidRDefault="00CF0E48"/>
    <w:p w14:paraId="2871B94B" w14:textId="77777777" w:rsidR="00CF0E48" w:rsidRDefault="00CF0E48"/>
    <w:p w14:paraId="425F0D95" w14:textId="77777777" w:rsidR="00CF0E48" w:rsidRDefault="00CF0E48"/>
    <w:p w14:paraId="292FA8CE" w14:textId="77777777" w:rsidR="00CF0E48" w:rsidRDefault="00CF0E48"/>
    <w:p w14:paraId="53784DC7" w14:textId="77777777" w:rsidR="00CF0E48" w:rsidRDefault="00CF0E48"/>
    <w:p w14:paraId="20392F0E" w14:textId="77777777" w:rsidR="00CF0E48" w:rsidRDefault="00CF0E48"/>
    <w:sectPr w:rsidR="00CF0E48" w:rsidSect="007D194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CF7CF" w14:textId="77777777" w:rsidR="00E80656" w:rsidRDefault="00E80656" w:rsidP="00F33B24">
      <w:pPr>
        <w:spacing w:after="0" w:line="240" w:lineRule="auto"/>
      </w:pPr>
      <w:r>
        <w:separator/>
      </w:r>
    </w:p>
  </w:endnote>
  <w:endnote w:type="continuationSeparator" w:id="0">
    <w:p w14:paraId="4B200E7C" w14:textId="77777777" w:rsidR="00E80656" w:rsidRDefault="00E80656"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altName w:val="Century Gothic"/>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088306"/>
      <w:docPartObj>
        <w:docPartGallery w:val="Page Numbers (Bottom of Page)"/>
        <w:docPartUnique/>
      </w:docPartObj>
    </w:sdtPr>
    <w:sdtEndPr>
      <w:rPr>
        <w:noProof/>
      </w:rPr>
    </w:sdtEndPr>
    <w:sdtContent>
      <w:p w14:paraId="4C366E65" w14:textId="31925501" w:rsidR="00F33B24" w:rsidRDefault="00F33B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F5758" w14:textId="77777777" w:rsidR="00E80656" w:rsidRDefault="00E80656" w:rsidP="00F33B24">
      <w:pPr>
        <w:spacing w:after="0" w:line="240" w:lineRule="auto"/>
      </w:pPr>
      <w:r>
        <w:separator/>
      </w:r>
    </w:p>
  </w:footnote>
  <w:footnote w:type="continuationSeparator" w:id="0">
    <w:p w14:paraId="6BED8BFA" w14:textId="77777777" w:rsidR="00E80656" w:rsidRDefault="00E80656" w:rsidP="00F33B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335C1"/>
    <w:rsid w:val="0003427B"/>
    <w:rsid w:val="000650E1"/>
    <w:rsid w:val="00084AA8"/>
    <w:rsid w:val="00084E65"/>
    <w:rsid w:val="0008732A"/>
    <w:rsid w:val="00090D3D"/>
    <w:rsid w:val="000A348B"/>
    <w:rsid w:val="000B2263"/>
    <w:rsid w:val="000C6A1B"/>
    <w:rsid w:val="000D42C8"/>
    <w:rsid w:val="000D6576"/>
    <w:rsid w:val="00107936"/>
    <w:rsid w:val="00111D3B"/>
    <w:rsid w:val="00115B96"/>
    <w:rsid w:val="00141B08"/>
    <w:rsid w:val="00146C28"/>
    <w:rsid w:val="00152DFC"/>
    <w:rsid w:val="001842EA"/>
    <w:rsid w:val="001D149F"/>
    <w:rsid w:val="001F6CB0"/>
    <w:rsid w:val="0021322E"/>
    <w:rsid w:val="00235593"/>
    <w:rsid w:val="0023672A"/>
    <w:rsid w:val="0024089A"/>
    <w:rsid w:val="00247190"/>
    <w:rsid w:val="00252BEB"/>
    <w:rsid w:val="00284999"/>
    <w:rsid w:val="002976C9"/>
    <w:rsid w:val="002B1367"/>
    <w:rsid w:val="002B2315"/>
    <w:rsid w:val="002B3F7F"/>
    <w:rsid w:val="002B6570"/>
    <w:rsid w:val="002C2CF1"/>
    <w:rsid w:val="0031485B"/>
    <w:rsid w:val="00324CCD"/>
    <w:rsid w:val="003264E2"/>
    <w:rsid w:val="00367440"/>
    <w:rsid w:val="003C11E7"/>
    <w:rsid w:val="003D2154"/>
    <w:rsid w:val="003D4E4A"/>
    <w:rsid w:val="003D7759"/>
    <w:rsid w:val="00415497"/>
    <w:rsid w:val="00432663"/>
    <w:rsid w:val="00451FDF"/>
    <w:rsid w:val="00474C27"/>
    <w:rsid w:val="00480872"/>
    <w:rsid w:val="004A11F6"/>
    <w:rsid w:val="004C36A1"/>
    <w:rsid w:val="004C7A1D"/>
    <w:rsid w:val="004D519C"/>
    <w:rsid w:val="004E5312"/>
    <w:rsid w:val="00523EB6"/>
    <w:rsid w:val="00537CDC"/>
    <w:rsid w:val="00577E0A"/>
    <w:rsid w:val="0058302B"/>
    <w:rsid w:val="005A634C"/>
    <w:rsid w:val="005B164A"/>
    <w:rsid w:val="005B314F"/>
    <w:rsid w:val="005F6F6A"/>
    <w:rsid w:val="00600813"/>
    <w:rsid w:val="00602409"/>
    <w:rsid w:val="006125EE"/>
    <w:rsid w:val="00620994"/>
    <w:rsid w:val="006279A4"/>
    <w:rsid w:val="006443D8"/>
    <w:rsid w:val="00665ED8"/>
    <w:rsid w:val="0068296F"/>
    <w:rsid w:val="00697587"/>
    <w:rsid w:val="006A7730"/>
    <w:rsid w:val="006C237E"/>
    <w:rsid w:val="006C78C7"/>
    <w:rsid w:val="006E60AD"/>
    <w:rsid w:val="0071542B"/>
    <w:rsid w:val="00790B05"/>
    <w:rsid w:val="007D1947"/>
    <w:rsid w:val="007D6F8A"/>
    <w:rsid w:val="007D7CC4"/>
    <w:rsid w:val="00811272"/>
    <w:rsid w:val="00814AD5"/>
    <w:rsid w:val="0081714E"/>
    <w:rsid w:val="00824D6B"/>
    <w:rsid w:val="008514D4"/>
    <w:rsid w:val="008C6F78"/>
    <w:rsid w:val="009012E6"/>
    <w:rsid w:val="009073C0"/>
    <w:rsid w:val="0091302C"/>
    <w:rsid w:val="009233C5"/>
    <w:rsid w:val="00931CAA"/>
    <w:rsid w:val="00937A44"/>
    <w:rsid w:val="00943C63"/>
    <w:rsid w:val="00944333"/>
    <w:rsid w:val="009511C1"/>
    <w:rsid w:val="00972C90"/>
    <w:rsid w:val="009969A0"/>
    <w:rsid w:val="009A25DD"/>
    <w:rsid w:val="009D721C"/>
    <w:rsid w:val="009D7861"/>
    <w:rsid w:val="00A11633"/>
    <w:rsid w:val="00A12B58"/>
    <w:rsid w:val="00A30590"/>
    <w:rsid w:val="00A5599E"/>
    <w:rsid w:val="00A63A2D"/>
    <w:rsid w:val="00AA2A91"/>
    <w:rsid w:val="00AB046F"/>
    <w:rsid w:val="00B021BA"/>
    <w:rsid w:val="00B4335B"/>
    <w:rsid w:val="00B82275"/>
    <w:rsid w:val="00BF6601"/>
    <w:rsid w:val="00C0439E"/>
    <w:rsid w:val="00C06376"/>
    <w:rsid w:val="00C1247D"/>
    <w:rsid w:val="00C32CC1"/>
    <w:rsid w:val="00C44D05"/>
    <w:rsid w:val="00C7091E"/>
    <w:rsid w:val="00CA045D"/>
    <w:rsid w:val="00CA09F3"/>
    <w:rsid w:val="00CA6866"/>
    <w:rsid w:val="00CB4F56"/>
    <w:rsid w:val="00CC054B"/>
    <w:rsid w:val="00CC5FFA"/>
    <w:rsid w:val="00CE1F7F"/>
    <w:rsid w:val="00CF0E48"/>
    <w:rsid w:val="00CF440F"/>
    <w:rsid w:val="00CF6AEF"/>
    <w:rsid w:val="00D013DD"/>
    <w:rsid w:val="00D27F53"/>
    <w:rsid w:val="00D854A5"/>
    <w:rsid w:val="00DC1FD6"/>
    <w:rsid w:val="00DE5FE4"/>
    <w:rsid w:val="00DF4EEF"/>
    <w:rsid w:val="00DF682E"/>
    <w:rsid w:val="00E11F72"/>
    <w:rsid w:val="00E15325"/>
    <w:rsid w:val="00E31307"/>
    <w:rsid w:val="00E34EBB"/>
    <w:rsid w:val="00E66B19"/>
    <w:rsid w:val="00E80656"/>
    <w:rsid w:val="00E82305"/>
    <w:rsid w:val="00EA313B"/>
    <w:rsid w:val="00F33B24"/>
    <w:rsid w:val="00F45531"/>
    <w:rsid w:val="00F56798"/>
    <w:rsid w:val="00FB237D"/>
    <w:rsid w:val="00FD2C72"/>
    <w:rsid w:val="00FD4B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character" w:styleId="UnresolvedMention">
    <w:name w:val="Unresolved Mention"/>
    <w:basedOn w:val="DefaultParagraphFont"/>
    <w:uiPriority w:val="99"/>
    <w:semiHidden/>
    <w:unhideWhenUsed/>
    <w:rsid w:val="000650E1"/>
    <w:rPr>
      <w:color w:val="605E5C"/>
      <w:shd w:val="clear" w:color="auto" w:fill="E1DFDD"/>
    </w:rPr>
  </w:style>
  <w:style w:type="character" w:styleId="FollowedHyperlink">
    <w:name w:val="FollowedHyperlink"/>
    <w:basedOn w:val="DefaultParagraphFont"/>
    <w:uiPriority w:val="99"/>
    <w:semiHidden/>
    <w:unhideWhenUsed/>
    <w:rsid w:val="009443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23616">
      <w:bodyDiv w:val="1"/>
      <w:marLeft w:val="0"/>
      <w:marRight w:val="0"/>
      <w:marTop w:val="0"/>
      <w:marBottom w:val="0"/>
      <w:divBdr>
        <w:top w:val="none" w:sz="0" w:space="0" w:color="auto"/>
        <w:left w:val="none" w:sz="0" w:space="0" w:color="auto"/>
        <w:bottom w:val="none" w:sz="0" w:space="0" w:color="auto"/>
        <w:right w:val="none" w:sz="0" w:space="0" w:color="auto"/>
      </w:divBdr>
      <w:divsChild>
        <w:div w:id="1572423745">
          <w:marLeft w:val="0"/>
          <w:marRight w:val="0"/>
          <w:marTop w:val="0"/>
          <w:marBottom w:val="0"/>
          <w:divBdr>
            <w:top w:val="none" w:sz="0" w:space="0" w:color="auto"/>
            <w:left w:val="none" w:sz="0" w:space="0" w:color="auto"/>
            <w:bottom w:val="none" w:sz="0" w:space="0" w:color="auto"/>
            <w:right w:val="none" w:sz="0" w:space="0" w:color="auto"/>
          </w:divBdr>
        </w:div>
        <w:div w:id="55130415">
          <w:marLeft w:val="0"/>
          <w:marRight w:val="0"/>
          <w:marTop w:val="0"/>
          <w:marBottom w:val="0"/>
          <w:divBdr>
            <w:top w:val="none" w:sz="0" w:space="0" w:color="auto"/>
            <w:left w:val="none" w:sz="0" w:space="0" w:color="auto"/>
            <w:bottom w:val="none" w:sz="0" w:space="0" w:color="auto"/>
            <w:right w:val="none" w:sz="0" w:space="0" w:color="auto"/>
          </w:divBdr>
        </w:div>
        <w:div w:id="1337420060">
          <w:marLeft w:val="0"/>
          <w:marRight w:val="0"/>
          <w:marTop w:val="0"/>
          <w:marBottom w:val="0"/>
          <w:divBdr>
            <w:top w:val="none" w:sz="0" w:space="0" w:color="auto"/>
            <w:left w:val="none" w:sz="0" w:space="0" w:color="auto"/>
            <w:bottom w:val="none" w:sz="0" w:space="0" w:color="auto"/>
            <w:right w:val="none" w:sz="0" w:space="0" w:color="auto"/>
          </w:divBdr>
        </w:div>
        <w:div w:id="2070379001">
          <w:marLeft w:val="0"/>
          <w:marRight w:val="0"/>
          <w:marTop w:val="0"/>
          <w:marBottom w:val="0"/>
          <w:divBdr>
            <w:top w:val="none" w:sz="0" w:space="0" w:color="auto"/>
            <w:left w:val="none" w:sz="0" w:space="0" w:color="auto"/>
            <w:bottom w:val="none" w:sz="0" w:space="0" w:color="auto"/>
            <w:right w:val="none" w:sz="0" w:space="0" w:color="auto"/>
          </w:divBdr>
        </w:div>
        <w:div w:id="1938752902">
          <w:marLeft w:val="0"/>
          <w:marRight w:val="0"/>
          <w:marTop w:val="0"/>
          <w:marBottom w:val="0"/>
          <w:divBdr>
            <w:top w:val="none" w:sz="0" w:space="0" w:color="auto"/>
            <w:left w:val="none" w:sz="0" w:space="0" w:color="auto"/>
            <w:bottom w:val="none" w:sz="0" w:space="0" w:color="auto"/>
            <w:right w:val="none" w:sz="0" w:space="0" w:color="auto"/>
          </w:divBdr>
        </w:div>
      </w:divsChild>
    </w:div>
    <w:div w:id="78720986">
      <w:bodyDiv w:val="1"/>
      <w:marLeft w:val="0"/>
      <w:marRight w:val="0"/>
      <w:marTop w:val="0"/>
      <w:marBottom w:val="0"/>
      <w:divBdr>
        <w:top w:val="none" w:sz="0" w:space="0" w:color="auto"/>
        <w:left w:val="none" w:sz="0" w:space="0" w:color="auto"/>
        <w:bottom w:val="none" w:sz="0" w:space="0" w:color="auto"/>
        <w:right w:val="none" w:sz="0" w:space="0" w:color="auto"/>
      </w:divBdr>
      <w:divsChild>
        <w:div w:id="93792526">
          <w:marLeft w:val="0"/>
          <w:marRight w:val="0"/>
          <w:marTop w:val="0"/>
          <w:marBottom w:val="0"/>
          <w:divBdr>
            <w:top w:val="none" w:sz="0" w:space="0" w:color="auto"/>
            <w:left w:val="none" w:sz="0" w:space="0" w:color="auto"/>
            <w:bottom w:val="none" w:sz="0" w:space="0" w:color="auto"/>
            <w:right w:val="none" w:sz="0" w:space="0" w:color="auto"/>
          </w:divBdr>
        </w:div>
        <w:div w:id="125314776">
          <w:marLeft w:val="0"/>
          <w:marRight w:val="0"/>
          <w:marTop w:val="0"/>
          <w:marBottom w:val="0"/>
          <w:divBdr>
            <w:top w:val="none" w:sz="0" w:space="0" w:color="auto"/>
            <w:left w:val="none" w:sz="0" w:space="0" w:color="auto"/>
            <w:bottom w:val="none" w:sz="0" w:space="0" w:color="auto"/>
            <w:right w:val="none" w:sz="0" w:space="0" w:color="auto"/>
          </w:divBdr>
        </w:div>
        <w:div w:id="1155300846">
          <w:marLeft w:val="0"/>
          <w:marRight w:val="0"/>
          <w:marTop w:val="0"/>
          <w:marBottom w:val="0"/>
          <w:divBdr>
            <w:top w:val="none" w:sz="0" w:space="0" w:color="auto"/>
            <w:left w:val="none" w:sz="0" w:space="0" w:color="auto"/>
            <w:bottom w:val="none" w:sz="0" w:space="0" w:color="auto"/>
            <w:right w:val="none" w:sz="0" w:space="0" w:color="auto"/>
          </w:divBdr>
        </w:div>
        <w:div w:id="888495649">
          <w:marLeft w:val="0"/>
          <w:marRight w:val="0"/>
          <w:marTop w:val="0"/>
          <w:marBottom w:val="0"/>
          <w:divBdr>
            <w:top w:val="none" w:sz="0" w:space="0" w:color="auto"/>
            <w:left w:val="none" w:sz="0" w:space="0" w:color="auto"/>
            <w:bottom w:val="none" w:sz="0" w:space="0" w:color="auto"/>
            <w:right w:val="none" w:sz="0" w:space="0" w:color="auto"/>
          </w:divBdr>
        </w:div>
        <w:div w:id="1044595520">
          <w:marLeft w:val="0"/>
          <w:marRight w:val="0"/>
          <w:marTop w:val="0"/>
          <w:marBottom w:val="0"/>
          <w:divBdr>
            <w:top w:val="none" w:sz="0" w:space="0" w:color="auto"/>
            <w:left w:val="none" w:sz="0" w:space="0" w:color="auto"/>
            <w:bottom w:val="none" w:sz="0" w:space="0" w:color="auto"/>
            <w:right w:val="none" w:sz="0" w:space="0" w:color="auto"/>
          </w:divBdr>
        </w:div>
      </w:divsChild>
    </w:div>
    <w:div w:id="158427012">
      <w:bodyDiv w:val="1"/>
      <w:marLeft w:val="0"/>
      <w:marRight w:val="0"/>
      <w:marTop w:val="0"/>
      <w:marBottom w:val="0"/>
      <w:divBdr>
        <w:top w:val="none" w:sz="0" w:space="0" w:color="auto"/>
        <w:left w:val="none" w:sz="0" w:space="0" w:color="auto"/>
        <w:bottom w:val="none" w:sz="0" w:space="0" w:color="auto"/>
        <w:right w:val="none" w:sz="0" w:space="0" w:color="auto"/>
      </w:divBdr>
      <w:divsChild>
        <w:div w:id="901986381">
          <w:marLeft w:val="0"/>
          <w:marRight w:val="0"/>
          <w:marTop w:val="0"/>
          <w:marBottom w:val="0"/>
          <w:divBdr>
            <w:top w:val="none" w:sz="0" w:space="0" w:color="auto"/>
            <w:left w:val="none" w:sz="0" w:space="0" w:color="auto"/>
            <w:bottom w:val="none" w:sz="0" w:space="0" w:color="auto"/>
            <w:right w:val="none" w:sz="0" w:space="0" w:color="auto"/>
          </w:divBdr>
        </w:div>
        <w:div w:id="119497653">
          <w:marLeft w:val="0"/>
          <w:marRight w:val="0"/>
          <w:marTop w:val="0"/>
          <w:marBottom w:val="0"/>
          <w:divBdr>
            <w:top w:val="none" w:sz="0" w:space="0" w:color="auto"/>
            <w:left w:val="none" w:sz="0" w:space="0" w:color="auto"/>
            <w:bottom w:val="none" w:sz="0" w:space="0" w:color="auto"/>
            <w:right w:val="none" w:sz="0" w:space="0" w:color="auto"/>
          </w:divBdr>
        </w:div>
        <w:div w:id="1200704903">
          <w:marLeft w:val="0"/>
          <w:marRight w:val="0"/>
          <w:marTop w:val="0"/>
          <w:marBottom w:val="0"/>
          <w:divBdr>
            <w:top w:val="none" w:sz="0" w:space="0" w:color="auto"/>
            <w:left w:val="none" w:sz="0" w:space="0" w:color="auto"/>
            <w:bottom w:val="none" w:sz="0" w:space="0" w:color="auto"/>
            <w:right w:val="none" w:sz="0" w:space="0" w:color="auto"/>
          </w:divBdr>
        </w:div>
        <w:div w:id="1698462660">
          <w:marLeft w:val="0"/>
          <w:marRight w:val="0"/>
          <w:marTop w:val="0"/>
          <w:marBottom w:val="0"/>
          <w:divBdr>
            <w:top w:val="none" w:sz="0" w:space="0" w:color="auto"/>
            <w:left w:val="none" w:sz="0" w:space="0" w:color="auto"/>
            <w:bottom w:val="none" w:sz="0" w:space="0" w:color="auto"/>
            <w:right w:val="none" w:sz="0" w:space="0" w:color="auto"/>
          </w:divBdr>
        </w:div>
        <w:div w:id="1126849809">
          <w:marLeft w:val="0"/>
          <w:marRight w:val="0"/>
          <w:marTop w:val="0"/>
          <w:marBottom w:val="0"/>
          <w:divBdr>
            <w:top w:val="none" w:sz="0" w:space="0" w:color="auto"/>
            <w:left w:val="none" w:sz="0" w:space="0" w:color="auto"/>
            <w:bottom w:val="none" w:sz="0" w:space="0" w:color="auto"/>
            <w:right w:val="none" w:sz="0" w:space="0" w:color="auto"/>
          </w:divBdr>
        </w:div>
      </w:divsChild>
    </w:div>
    <w:div w:id="689374292">
      <w:bodyDiv w:val="1"/>
      <w:marLeft w:val="0"/>
      <w:marRight w:val="0"/>
      <w:marTop w:val="0"/>
      <w:marBottom w:val="0"/>
      <w:divBdr>
        <w:top w:val="none" w:sz="0" w:space="0" w:color="auto"/>
        <w:left w:val="none" w:sz="0" w:space="0" w:color="auto"/>
        <w:bottom w:val="none" w:sz="0" w:space="0" w:color="auto"/>
        <w:right w:val="none" w:sz="0" w:space="0" w:color="auto"/>
      </w:divBdr>
      <w:divsChild>
        <w:div w:id="344593803">
          <w:marLeft w:val="0"/>
          <w:marRight w:val="0"/>
          <w:marTop w:val="0"/>
          <w:marBottom w:val="0"/>
          <w:divBdr>
            <w:top w:val="none" w:sz="0" w:space="0" w:color="auto"/>
            <w:left w:val="none" w:sz="0" w:space="0" w:color="auto"/>
            <w:bottom w:val="none" w:sz="0" w:space="0" w:color="auto"/>
            <w:right w:val="none" w:sz="0" w:space="0" w:color="auto"/>
          </w:divBdr>
        </w:div>
        <w:div w:id="150603336">
          <w:marLeft w:val="0"/>
          <w:marRight w:val="0"/>
          <w:marTop w:val="0"/>
          <w:marBottom w:val="0"/>
          <w:divBdr>
            <w:top w:val="none" w:sz="0" w:space="0" w:color="auto"/>
            <w:left w:val="none" w:sz="0" w:space="0" w:color="auto"/>
            <w:bottom w:val="none" w:sz="0" w:space="0" w:color="auto"/>
            <w:right w:val="none" w:sz="0" w:space="0" w:color="auto"/>
          </w:divBdr>
        </w:div>
        <w:div w:id="102459060">
          <w:marLeft w:val="0"/>
          <w:marRight w:val="0"/>
          <w:marTop w:val="0"/>
          <w:marBottom w:val="0"/>
          <w:divBdr>
            <w:top w:val="none" w:sz="0" w:space="0" w:color="auto"/>
            <w:left w:val="none" w:sz="0" w:space="0" w:color="auto"/>
            <w:bottom w:val="none" w:sz="0" w:space="0" w:color="auto"/>
            <w:right w:val="none" w:sz="0" w:space="0" w:color="auto"/>
          </w:divBdr>
        </w:div>
      </w:divsChild>
    </w:div>
    <w:div w:id="691880775">
      <w:bodyDiv w:val="1"/>
      <w:marLeft w:val="0"/>
      <w:marRight w:val="0"/>
      <w:marTop w:val="0"/>
      <w:marBottom w:val="0"/>
      <w:divBdr>
        <w:top w:val="none" w:sz="0" w:space="0" w:color="auto"/>
        <w:left w:val="none" w:sz="0" w:space="0" w:color="auto"/>
        <w:bottom w:val="none" w:sz="0" w:space="0" w:color="auto"/>
        <w:right w:val="none" w:sz="0" w:space="0" w:color="auto"/>
      </w:divBdr>
      <w:divsChild>
        <w:div w:id="170612377">
          <w:marLeft w:val="0"/>
          <w:marRight w:val="0"/>
          <w:marTop w:val="0"/>
          <w:marBottom w:val="0"/>
          <w:divBdr>
            <w:top w:val="none" w:sz="0" w:space="0" w:color="auto"/>
            <w:left w:val="none" w:sz="0" w:space="0" w:color="auto"/>
            <w:bottom w:val="none" w:sz="0" w:space="0" w:color="auto"/>
            <w:right w:val="none" w:sz="0" w:space="0" w:color="auto"/>
          </w:divBdr>
        </w:div>
        <w:div w:id="1598173511">
          <w:marLeft w:val="0"/>
          <w:marRight w:val="0"/>
          <w:marTop w:val="0"/>
          <w:marBottom w:val="0"/>
          <w:divBdr>
            <w:top w:val="none" w:sz="0" w:space="0" w:color="auto"/>
            <w:left w:val="none" w:sz="0" w:space="0" w:color="auto"/>
            <w:bottom w:val="none" w:sz="0" w:space="0" w:color="auto"/>
            <w:right w:val="none" w:sz="0" w:space="0" w:color="auto"/>
          </w:divBdr>
        </w:div>
        <w:div w:id="238950396">
          <w:marLeft w:val="0"/>
          <w:marRight w:val="0"/>
          <w:marTop w:val="0"/>
          <w:marBottom w:val="0"/>
          <w:divBdr>
            <w:top w:val="none" w:sz="0" w:space="0" w:color="auto"/>
            <w:left w:val="none" w:sz="0" w:space="0" w:color="auto"/>
            <w:bottom w:val="none" w:sz="0" w:space="0" w:color="auto"/>
            <w:right w:val="none" w:sz="0" w:space="0" w:color="auto"/>
          </w:divBdr>
        </w:div>
      </w:divsChild>
    </w:div>
    <w:div w:id="770516759">
      <w:bodyDiv w:val="1"/>
      <w:marLeft w:val="0"/>
      <w:marRight w:val="0"/>
      <w:marTop w:val="0"/>
      <w:marBottom w:val="0"/>
      <w:divBdr>
        <w:top w:val="none" w:sz="0" w:space="0" w:color="auto"/>
        <w:left w:val="none" w:sz="0" w:space="0" w:color="auto"/>
        <w:bottom w:val="none" w:sz="0" w:space="0" w:color="auto"/>
        <w:right w:val="none" w:sz="0" w:space="0" w:color="auto"/>
      </w:divBdr>
      <w:divsChild>
        <w:div w:id="620452642">
          <w:marLeft w:val="0"/>
          <w:marRight w:val="0"/>
          <w:marTop w:val="0"/>
          <w:marBottom w:val="0"/>
          <w:divBdr>
            <w:top w:val="none" w:sz="0" w:space="0" w:color="auto"/>
            <w:left w:val="none" w:sz="0" w:space="0" w:color="auto"/>
            <w:bottom w:val="none" w:sz="0" w:space="0" w:color="auto"/>
            <w:right w:val="none" w:sz="0" w:space="0" w:color="auto"/>
          </w:divBdr>
        </w:div>
        <w:div w:id="1209491951">
          <w:marLeft w:val="0"/>
          <w:marRight w:val="0"/>
          <w:marTop w:val="0"/>
          <w:marBottom w:val="0"/>
          <w:divBdr>
            <w:top w:val="none" w:sz="0" w:space="0" w:color="auto"/>
            <w:left w:val="none" w:sz="0" w:space="0" w:color="auto"/>
            <w:bottom w:val="none" w:sz="0" w:space="0" w:color="auto"/>
            <w:right w:val="none" w:sz="0" w:space="0" w:color="auto"/>
          </w:divBdr>
        </w:div>
        <w:div w:id="644162280">
          <w:marLeft w:val="0"/>
          <w:marRight w:val="0"/>
          <w:marTop w:val="0"/>
          <w:marBottom w:val="0"/>
          <w:divBdr>
            <w:top w:val="none" w:sz="0" w:space="0" w:color="auto"/>
            <w:left w:val="none" w:sz="0" w:space="0" w:color="auto"/>
            <w:bottom w:val="none" w:sz="0" w:space="0" w:color="auto"/>
            <w:right w:val="none" w:sz="0" w:space="0" w:color="auto"/>
          </w:divBdr>
        </w:div>
      </w:divsChild>
    </w:div>
    <w:div w:id="880243153">
      <w:bodyDiv w:val="1"/>
      <w:marLeft w:val="0"/>
      <w:marRight w:val="0"/>
      <w:marTop w:val="0"/>
      <w:marBottom w:val="0"/>
      <w:divBdr>
        <w:top w:val="none" w:sz="0" w:space="0" w:color="auto"/>
        <w:left w:val="none" w:sz="0" w:space="0" w:color="auto"/>
        <w:bottom w:val="none" w:sz="0" w:space="0" w:color="auto"/>
        <w:right w:val="none" w:sz="0" w:space="0" w:color="auto"/>
      </w:divBdr>
      <w:divsChild>
        <w:div w:id="1689871353">
          <w:marLeft w:val="0"/>
          <w:marRight w:val="0"/>
          <w:marTop w:val="0"/>
          <w:marBottom w:val="0"/>
          <w:divBdr>
            <w:top w:val="none" w:sz="0" w:space="0" w:color="auto"/>
            <w:left w:val="none" w:sz="0" w:space="0" w:color="auto"/>
            <w:bottom w:val="none" w:sz="0" w:space="0" w:color="auto"/>
            <w:right w:val="none" w:sz="0" w:space="0" w:color="auto"/>
          </w:divBdr>
        </w:div>
        <w:div w:id="1914312062">
          <w:marLeft w:val="0"/>
          <w:marRight w:val="0"/>
          <w:marTop w:val="0"/>
          <w:marBottom w:val="0"/>
          <w:divBdr>
            <w:top w:val="none" w:sz="0" w:space="0" w:color="auto"/>
            <w:left w:val="none" w:sz="0" w:space="0" w:color="auto"/>
            <w:bottom w:val="none" w:sz="0" w:space="0" w:color="auto"/>
            <w:right w:val="none" w:sz="0" w:space="0" w:color="auto"/>
          </w:divBdr>
        </w:div>
        <w:div w:id="262344022">
          <w:marLeft w:val="0"/>
          <w:marRight w:val="0"/>
          <w:marTop w:val="0"/>
          <w:marBottom w:val="0"/>
          <w:divBdr>
            <w:top w:val="none" w:sz="0" w:space="0" w:color="auto"/>
            <w:left w:val="none" w:sz="0" w:space="0" w:color="auto"/>
            <w:bottom w:val="none" w:sz="0" w:space="0" w:color="auto"/>
            <w:right w:val="none" w:sz="0" w:space="0" w:color="auto"/>
          </w:divBdr>
        </w:div>
        <w:div w:id="518931370">
          <w:marLeft w:val="0"/>
          <w:marRight w:val="0"/>
          <w:marTop w:val="0"/>
          <w:marBottom w:val="0"/>
          <w:divBdr>
            <w:top w:val="none" w:sz="0" w:space="0" w:color="auto"/>
            <w:left w:val="none" w:sz="0" w:space="0" w:color="auto"/>
            <w:bottom w:val="none" w:sz="0" w:space="0" w:color="auto"/>
            <w:right w:val="none" w:sz="0" w:space="0" w:color="auto"/>
          </w:divBdr>
        </w:div>
        <w:div w:id="1846633100">
          <w:marLeft w:val="0"/>
          <w:marRight w:val="0"/>
          <w:marTop w:val="0"/>
          <w:marBottom w:val="0"/>
          <w:divBdr>
            <w:top w:val="none" w:sz="0" w:space="0" w:color="auto"/>
            <w:left w:val="none" w:sz="0" w:space="0" w:color="auto"/>
            <w:bottom w:val="none" w:sz="0" w:space="0" w:color="auto"/>
            <w:right w:val="none" w:sz="0" w:space="0" w:color="auto"/>
          </w:divBdr>
        </w:div>
      </w:divsChild>
    </w:div>
    <w:div w:id="1347096006">
      <w:bodyDiv w:val="1"/>
      <w:marLeft w:val="0"/>
      <w:marRight w:val="0"/>
      <w:marTop w:val="0"/>
      <w:marBottom w:val="0"/>
      <w:divBdr>
        <w:top w:val="none" w:sz="0" w:space="0" w:color="auto"/>
        <w:left w:val="none" w:sz="0" w:space="0" w:color="auto"/>
        <w:bottom w:val="none" w:sz="0" w:space="0" w:color="auto"/>
        <w:right w:val="none" w:sz="0" w:space="0" w:color="auto"/>
      </w:divBdr>
      <w:divsChild>
        <w:div w:id="58133356">
          <w:marLeft w:val="0"/>
          <w:marRight w:val="0"/>
          <w:marTop w:val="0"/>
          <w:marBottom w:val="0"/>
          <w:divBdr>
            <w:top w:val="none" w:sz="0" w:space="0" w:color="auto"/>
            <w:left w:val="none" w:sz="0" w:space="0" w:color="auto"/>
            <w:bottom w:val="none" w:sz="0" w:space="0" w:color="auto"/>
            <w:right w:val="none" w:sz="0" w:space="0" w:color="auto"/>
          </w:divBdr>
        </w:div>
        <w:div w:id="815296695">
          <w:marLeft w:val="0"/>
          <w:marRight w:val="0"/>
          <w:marTop w:val="0"/>
          <w:marBottom w:val="0"/>
          <w:divBdr>
            <w:top w:val="none" w:sz="0" w:space="0" w:color="auto"/>
            <w:left w:val="none" w:sz="0" w:space="0" w:color="auto"/>
            <w:bottom w:val="none" w:sz="0" w:space="0" w:color="auto"/>
            <w:right w:val="none" w:sz="0" w:space="0" w:color="auto"/>
          </w:divBdr>
        </w:div>
        <w:div w:id="937786592">
          <w:marLeft w:val="0"/>
          <w:marRight w:val="0"/>
          <w:marTop w:val="0"/>
          <w:marBottom w:val="0"/>
          <w:divBdr>
            <w:top w:val="none" w:sz="0" w:space="0" w:color="auto"/>
            <w:left w:val="none" w:sz="0" w:space="0" w:color="auto"/>
            <w:bottom w:val="none" w:sz="0" w:space="0" w:color="auto"/>
            <w:right w:val="none" w:sz="0" w:space="0" w:color="auto"/>
          </w:divBdr>
        </w:div>
      </w:divsChild>
    </w:div>
    <w:div w:id="1635864778">
      <w:bodyDiv w:val="1"/>
      <w:marLeft w:val="0"/>
      <w:marRight w:val="0"/>
      <w:marTop w:val="0"/>
      <w:marBottom w:val="0"/>
      <w:divBdr>
        <w:top w:val="none" w:sz="0" w:space="0" w:color="auto"/>
        <w:left w:val="none" w:sz="0" w:space="0" w:color="auto"/>
        <w:bottom w:val="none" w:sz="0" w:space="0" w:color="auto"/>
        <w:right w:val="none" w:sz="0" w:space="0" w:color="auto"/>
      </w:divBdr>
      <w:divsChild>
        <w:div w:id="420638424">
          <w:marLeft w:val="0"/>
          <w:marRight w:val="0"/>
          <w:marTop w:val="0"/>
          <w:marBottom w:val="0"/>
          <w:divBdr>
            <w:top w:val="none" w:sz="0" w:space="0" w:color="auto"/>
            <w:left w:val="none" w:sz="0" w:space="0" w:color="auto"/>
            <w:bottom w:val="none" w:sz="0" w:space="0" w:color="auto"/>
            <w:right w:val="none" w:sz="0" w:space="0" w:color="auto"/>
          </w:divBdr>
        </w:div>
        <w:div w:id="1786387144">
          <w:marLeft w:val="0"/>
          <w:marRight w:val="0"/>
          <w:marTop w:val="0"/>
          <w:marBottom w:val="0"/>
          <w:divBdr>
            <w:top w:val="none" w:sz="0" w:space="0" w:color="auto"/>
            <w:left w:val="none" w:sz="0" w:space="0" w:color="auto"/>
            <w:bottom w:val="none" w:sz="0" w:space="0" w:color="auto"/>
            <w:right w:val="none" w:sz="0" w:space="0" w:color="auto"/>
          </w:divBdr>
        </w:div>
        <w:div w:id="157156887">
          <w:marLeft w:val="0"/>
          <w:marRight w:val="0"/>
          <w:marTop w:val="0"/>
          <w:marBottom w:val="0"/>
          <w:divBdr>
            <w:top w:val="none" w:sz="0" w:space="0" w:color="auto"/>
            <w:left w:val="none" w:sz="0" w:space="0" w:color="auto"/>
            <w:bottom w:val="none" w:sz="0" w:space="0" w:color="auto"/>
            <w:right w:val="none" w:sz="0" w:space="0" w:color="auto"/>
          </w:divBdr>
        </w:div>
        <w:div w:id="845633464">
          <w:marLeft w:val="0"/>
          <w:marRight w:val="0"/>
          <w:marTop w:val="0"/>
          <w:marBottom w:val="0"/>
          <w:divBdr>
            <w:top w:val="none" w:sz="0" w:space="0" w:color="auto"/>
            <w:left w:val="none" w:sz="0" w:space="0" w:color="auto"/>
            <w:bottom w:val="none" w:sz="0" w:space="0" w:color="auto"/>
            <w:right w:val="none" w:sz="0" w:space="0" w:color="auto"/>
          </w:divBdr>
        </w:div>
        <w:div w:id="14296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making-tax-digital-for-vat-information-for-vat-registered-business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news/government-announces-phased-mandation-of-making-tax-digital-for-itsa"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xationweb.co.uk/tax-articles/hmrc-administration-practice-methods/tax-cases-highlight-potential-problems-with-making-tax-digital.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ailii.org/ew/cases/EWHC/2025/134.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Metadata/LabelInfo.xml><?xml version="1.0" encoding="utf-8"?>
<clbl:labelList xmlns:clbl="http://schemas.microsoft.com/office/2020/mipLabelMetadata">
  <clbl:label id="{ea60d57e-af5b-4752-ac57-3e4f28ca11dc}" enabled="1" method="Standard" siteId="{36da45f1-dd2c-4d1f-af13-5abe46b99921}" removed="0"/>
</clbl:labelList>
</file>

<file path=docProps/app.xml><?xml version="1.0" encoding="utf-8"?>
<Properties xmlns="http://schemas.openxmlformats.org/officeDocument/2006/extended-properties" xmlns:vt="http://schemas.openxmlformats.org/officeDocument/2006/docPropsVTypes">
  <Template>Normal.dotm</Template>
  <TotalTime>232</TotalTime>
  <Pages>13</Pages>
  <Words>3551</Words>
  <Characters>20244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Current Issues in taxation</dc:title>
  <dc:subject>Making Tax Digital for all Tax types</dc:subject>
  <dc:creator>Marie Pitson</dc:creator>
  <cp:keywords/>
  <dc:description/>
  <cp:lastModifiedBy>Jeng, Buhari</cp:lastModifiedBy>
  <cp:revision>128</cp:revision>
  <dcterms:created xsi:type="dcterms:W3CDTF">2026-03-27T18:19:00Z</dcterms:created>
  <dcterms:modified xsi:type="dcterms:W3CDTF">2026-03-27T22:28:00Z</dcterms:modified>
</cp:coreProperties>
</file>