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B42" w:rsidRPr="004E5203" w:rsidRDefault="00D40871" w:rsidP="004E5203">
      <w:pPr>
        <w:widowControl/>
        <w:shd w:val="clear" w:color="auto" w:fill="FFFFFF"/>
        <w:autoSpaceDE/>
        <w:autoSpaceDN/>
        <w:ind w:firstLine="0"/>
        <w:jc w:val="left"/>
        <w:rPr>
          <w:rFonts w:cs="Times New Roman"/>
          <w:color w:val="000000" w:themeColor="text1"/>
          <w:szCs w:val="24"/>
        </w:rPr>
      </w:pPr>
      <w:bookmarkStart w:id="0" w:name="_Toc116663952"/>
      <w:r w:rsidRPr="004E5203">
        <w:rPr>
          <w:rFonts w:eastAsia="Arial" w:cs="Times New Roman"/>
          <w:b/>
          <w:iCs/>
          <w:color w:val="000000" w:themeColor="text1"/>
          <w:szCs w:val="24"/>
        </w:rPr>
        <w:t xml:space="preserve">     </w:t>
      </w:r>
      <w:r w:rsidR="00A66F2D" w:rsidRPr="004E5203">
        <w:rPr>
          <w:rFonts w:eastAsia="Times New Roman" w:cs="Times New Roman"/>
          <w:bCs/>
          <w:color w:val="000000" w:themeColor="text1"/>
          <w:szCs w:val="24"/>
          <w:lang w:eastAsia="ru-RU"/>
        </w:rPr>
        <w:t xml:space="preserve">An easement is a right to do and continue doing something or to stop and continue preventing anything from being done, on or upon, or in relation to some other land that is not his own, that the owner or occupant of a particular piece of the property enjoys for the benefit and pleasure of that land. This privilege allows the owner or occupier of one piece of land to profit from the beneficial use of the adjacent property. Prescriptive easements are those gained by the adverse possession procedure known as an easement by prescription, which grants the right to use another's property in some way </w:t>
      </w:r>
      <w:r w:rsidR="00A66F2D" w:rsidRPr="004E5203">
        <w:rPr>
          <w:rFonts w:cs="Times New Roman"/>
          <w:color w:val="000000" w:themeColor="text1"/>
          <w:szCs w:val="24"/>
          <w:shd w:val="clear" w:color="auto" w:fill="FFFFFF"/>
        </w:rPr>
        <w:t>(Ward, 2017)</w:t>
      </w:r>
      <w:r w:rsidR="00A66F2D" w:rsidRPr="004E5203">
        <w:rPr>
          <w:rFonts w:eastAsia="Times New Roman" w:cs="Times New Roman"/>
          <w:bCs/>
          <w:color w:val="000000" w:themeColor="text1"/>
          <w:szCs w:val="24"/>
          <w:lang w:eastAsia="ru-RU"/>
        </w:rPr>
        <w:t xml:space="preserve">. An easement by prescription is created when someone uses another person's property without permission for a particular amount of time and in a way that the owner should have been aware </w:t>
      </w:r>
      <w:r w:rsidR="004C23D0" w:rsidRPr="004E5203">
        <w:rPr>
          <w:rFonts w:eastAsia="Times New Roman" w:cs="Times New Roman"/>
          <w:bCs/>
          <w:color w:val="000000" w:themeColor="text1"/>
          <w:szCs w:val="24"/>
          <w:lang w:eastAsia="ru-RU"/>
        </w:rPr>
        <w:t>it</w:t>
      </w:r>
      <w:r w:rsidR="00A66F2D" w:rsidRPr="004E5203">
        <w:rPr>
          <w:rFonts w:eastAsia="Times New Roman" w:cs="Times New Roman"/>
          <w:bCs/>
          <w:color w:val="000000" w:themeColor="text1"/>
          <w:szCs w:val="24"/>
          <w:lang w:eastAsia="ru-RU"/>
        </w:rPr>
        <w:t xml:space="preserve">. Each state determines the period of time that must pass before a person is awarded a prescriptive easement, which may range from a few months to more than twenty years. The claimant of the easement used the property over an extended period of time and expected to do so in the future. Due to the fact that the person used the land, the courts had little difficulty awarding prescriptive easements </w:t>
      </w:r>
      <w:r w:rsidR="00A66F2D" w:rsidRPr="004E5203">
        <w:rPr>
          <w:rFonts w:cs="Times New Roman"/>
          <w:color w:val="000000" w:themeColor="text1"/>
          <w:szCs w:val="24"/>
          <w:shd w:val="clear" w:color="auto" w:fill="FFFFFF"/>
        </w:rPr>
        <w:t>(</w:t>
      </w:r>
      <w:proofErr w:type="spellStart"/>
      <w:r w:rsidR="00A66F2D" w:rsidRPr="004E5203">
        <w:rPr>
          <w:rFonts w:cs="Times New Roman"/>
          <w:color w:val="000000" w:themeColor="text1"/>
          <w:szCs w:val="24"/>
          <w:shd w:val="clear" w:color="auto" w:fill="FFFFFF"/>
        </w:rPr>
        <w:t>Ghasemi</w:t>
      </w:r>
      <w:proofErr w:type="spellEnd"/>
      <w:r w:rsidR="00A66F2D" w:rsidRPr="004E5203">
        <w:rPr>
          <w:rFonts w:cs="Times New Roman"/>
          <w:color w:val="000000" w:themeColor="text1"/>
          <w:szCs w:val="24"/>
          <w:shd w:val="clear" w:color="auto" w:fill="FFFFFF"/>
        </w:rPr>
        <w:t>, 2016)</w:t>
      </w:r>
      <w:r w:rsidR="00A66F2D" w:rsidRPr="004E5203">
        <w:rPr>
          <w:rFonts w:cs="Times New Roman"/>
          <w:color w:val="000000" w:themeColor="text1"/>
          <w:szCs w:val="24"/>
        </w:rPr>
        <w:t>.</w:t>
      </w:r>
    </w:p>
    <w:p w:rsidR="00D40871" w:rsidRPr="004E5203" w:rsidRDefault="00D40871" w:rsidP="004E5203">
      <w:pPr>
        <w:widowControl/>
        <w:shd w:val="clear" w:color="auto" w:fill="FFFFFF"/>
        <w:autoSpaceDE/>
        <w:autoSpaceDN/>
        <w:ind w:firstLine="0"/>
        <w:jc w:val="left"/>
        <w:rPr>
          <w:rFonts w:cs="Times New Roman"/>
          <w:color w:val="000000" w:themeColor="text1"/>
          <w:szCs w:val="24"/>
        </w:rPr>
      </w:pPr>
    </w:p>
    <w:p w:rsidR="00B10B42" w:rsidRPr="004E5203" w:rsidRDefault="00D40871" w:rsidP="004E5203">
      <w:pPr>
        <w:widowControl/>
        <w:shd w:val="clear" w:color="auto" w:fill="FFFFFF"/>
        <w:autoSpaceDE/>
        <w:autoSpaceDN/>
        <w:ind w:firstLine="0"/>
        <w:jc w:val="left"/>
        <w:rPr>
          <w:rFonts w:cs="Times New Roman"/>
          <w:color w:val="000000" w:themeColor="text1"/>
          <w:szCs w:val="24"/>
        </w:rPr>
      </w:pPr>
      <w:r w:rsidRPr="004E5203">
        <w:rPr>
          <w:rFonts w:cs="Times New Roman"/>
          <w:color w:val="000000" w:themeColor="text1"/>
          <w:szCs w:val="24"/>
        </w:rPr>
        <w:t xml:space="preserve">    </w:t>
      </w:r>
      <w:r w:rsidR="00A66F2D" w:rsidRPr="004E5203">
        <w:rPr>
          <w:rFonts w:eastAsia="Times New Roman" w:cs="Times New Roman"/>
          <w:bCs/>
          <w:color w:val="000000" w:themeColor="text1"/>
          <w:szCs w:val="24"/>
          <w:lang w:eastAsia="ru-RU"/>
        </w:rPr>
        <w:t xml:space="preserve">The legal method known as "prescription" illustrates how a long-standing easement is recognised by the law as if it had been created via a formal grant just recently. This happens similarly to how a formal grant would have first established the easement. An easement is a kind of intangible legacy that signifies smaller ownership in real estate. The ownership of an easement is only a privilege that confers certain rights over the underlying property; it does not confer exclusive possession </w:t>
      </w:r>
      <w:r w:rsidR="00A66F2D" w:rsidRPr="004E5203">
        <w:rPr>
          <w:rFonts w:cs="Times New Roman"/>
          <w:color w:val="000000" w:themeColor="text1"/>
          <w:szCs w:val="24"/>
        </w:rPr>
        <w:t>(Duxbury, 2016)</w:t>
      </w:r>
      <w:r w:rsidR="00A66F2D" w:rsidRPr="004E5203">
        <w:rPr>
          <w:rFonts w:eastAsia="Times New Roman" w:cs="Times New Roman"/>
          <w:bCs/>
          <w:color w:val="000000" w:themeColor="text1"/>
          <w:szCs w:val="24"/>
          <w:lang w:eastAsia="ru-RU"/>
        </w:rPr>
        <w:t xml:space="preserve">. If they also own the relevant property, a landowner may use an easement to exercise rights over adjoining land. This category includes water, lighting, and rights of way. A common law easement is recognised as being enforceable by or against the original parties. Common law supports this acceptance. The following are many of the most important aspects of an easement: Someone must utilise the privilege; </w:t>
      </w:r>
      <w:proofErr w:type="gramStart"/>
      <w:r w:rsidR="00A66F2D" w:rsidRPr="004E5203">
        <w:rPr>
          <w:rFonts w:eastAsia="Times New Roman" w:cs="Times New Roman"/>
          <w:bCs/>
          <w:color w:val="000000" w:themeColor="text1"/>
          <w:szCs w:val="24"/>
          <w:lang w:eastAsia="ru-RU"/>
        </w:rPr>
        <w:t>For</w:t>
      </w:r>
      <w:proofErr w:type="gramEnd"/>
      <w:r w:rsidR="00A66F2D" w:rsidRPr="004E5203">
        <w:rPr>
          <w:rFonts w:eastAsia="Times New Roman" w:cs="Times New Roman"/>
          <w:bCs/>
          <w:color w:val="000000" w:themeColor="text1"/>
          <w:szCs w:val="24"/>
          <w:lang w:eastAsia="ru-RU"/>
        </w:rPr>
        <w:t xml:space="preserve"> a right to be genuine, it must be continuously exercised rather than sometimes, and it must be capable of generating a grant </w:t>
      </w:r>
      <w:r w:rsidR="00A66F2D" w:rsidRPr="004E5203">
        <w:rPr>
          <w:rFonts w:cs="Times New Roman"/>
          <w:color w:val="000000" w:themeColor="text1"/>
          <w:szCs w:val="24"/>
          <w:shd w:val="clear" w:color="auto" w:fill="FFFFFF"/>
        </w:rPr>
        <w:t>(Ian and Dunn, 2018).</w:t>
      </w:r>
      <w:r w:rsidR="00A66F2D" w:rsidRPr="004E5203">
        <w:rPr>
          <w:rFonts w:cs="Times New Roman"/>
          <w:color w:val="000000" w:themeColor="text1"/>
          <w:szCs w:val="24"/>
        </w:rPr>
        <w:t xml:space="preserve"> In order to generate an easement, four vital features must be present which includes:</w:t>
      </w:r>
    </w:p>
    <w:p w:rsidR="00171F79" w:rsidRPr="004E5203" w:rsidRDefault="00171F79" w:rsidP="004E5203">
      <w:pPr>
        <w:widowControl/>
        <w:shd w:val="clear" w:color="auto" w:fill="FFFFFF"/>
        <w:autoSpaceDE/>
        <w:autoSpaceDN/>
        <w:jc w:val="left"/>
        <w:rPr>
          <w:rFonts w:eastAsia="Times New Roman" w:cs="Times New Roman"/>
          <w:bCs/>
          <w:color w:val="000000" w:themeColor="text1"/>
          <w:szCs w:val="24"/>
          <w:lang w:eastAsia="ru-RU"/>
        </w:rPr>
      </w:pPr>
    </w:p>
    <w:p w:rsidR="00B10B42" w:rsidRPr="004E5203" w:rsidRDefault="00A66F2D" w:rsidP="004E5203">
      <w:pPr>
        <w:pStyle w:val="Heading2"/>
        <w:jc w:val="left"/>
        <w:rPr>
          <w:rFonts w:cs="Times New Roman"/>
        </w:rPr>
      </w:pPr>
      <w:bookmarkStart w:id="1" w:name="_Toc118846262"/>
      <w:r w:rsidRPr="004E5203">
        <w:rPr>
          <w:rFonts w:cs="Times New Roman"/>
        </w:rPr>
        <w:t xml:space="preserve">Dominant and </w:t>
      </w:r>
      <w:proofErr w:type="spellStart"/>
      <w:r w:rsidRPr="004E5203">
        <w:rPr>
          <w:rFonts w:cs="Times New Roman"/>
        </w:rPr>
        <w:t>Servient</w:t>
      </w:r>
      <w:proofErr w:type="spellEnd"/>
      <w:r w:rsidRPr="004E5203">
        <w:rPr>
          <w:rFonts w:cs="Times New Roman"/>
        </w:rPr>
        <w:t xml:space="preserve"> Tenement</w:t>
      </w:r>
      <w:bookmarkEnd w:id="1"/>
    </w:p>
    <w:p w:rsidR="00B10B42" w:rsidRPr="004E5203" w:rsidRDefault="00A66F2D" w:rsidP="004E5203">
      <w:pPr>
        <w:widowControl/>
        <w:shd w:val="clear" w:color="auto" w:fill="FFFFFF"/>
        <w:autoSpaceDE/>
        <w:autoSpaceDN/>
        <w:jc w:val="left"/>
        <w:rPr>
          <w:rFonts w:eastAsia="Times New Roman" w:cs="Times New Roman"/>
          <w:bCs/>
          <w:color w:val="000000" w:themeColor="text1"/>
          <w:szCs w:val="24"/>
          <w:lang w:eastAsia="ru-RU"/>
        </w:rPr>
      </w:pPr>
      <w:r w:rsidRPr="004E5203">
        <w:rPr>
          <w:rFonts w:eastAsia="Times New Roman" w:cs="Times New Roman"/>
          <w:bCs/>
          <w:color w:val="000000" w:themeColor="text1"/>
          <w:szCs w:val="24"/>
          <w:lang w:eastAsia="ru-RU"/>
        </w:rPr>
        <w:t xml:space="preserve">The easement is legitimate only if it is attached to a particular piece of land. It is intrinsically connected to the land that it benefits. It must also be connected to the land and </w:t>
      </w:r>
      <w:r w:rsidRPr="004E5203">
        <w:rPr>
          <w:rFonts w:eastAsia="Times New Roman" w:cs="Times New Roman"/>
          <w:bCs/>
          <w:color w:val="000000" w:themeColor="text1"/>
          <w:szCs w:val="24"/>
          <w:lang w:eastAsia="ru-RU"/>
        </w:rPr>
        <w:lastRenderedPageBreak/>
        <w:t xml:space="preserve">improve the amenities, services, or conveniences on the site. The existence of the dominant and servant tenements, or two parcels of property, is required for the establishment of an easement </w:t>
      </w:r>
      <w:r w:rsidRPr="004E5203">
        <w:rPr>
          <w:rFonts w:cs="Times New Roman"/>
          <w:color w:val="000000" w:themeColor="text1"/>
          <w:szCs w:val="24"/>
          <w:shd w:val="clear" w:color="auto" w:fill="FFFFFF"/>
        </w:rPr>
        <w:t>(Ward, 2017).</w:t>
      </w:r>
      <w:r w:rsidRPr="004E5203">
        <w:rPr>
          <w:rFonts w:eastAsia="Times New Roman" w:cs="Times New Roman"/>
          <w:bCs/>
          <w:color w:val="000000" w:themeColor="text1"/>
          <w:szCs w:val="24"/>
          <w:lang w:eastAsia="ru-RU"/>
        </w:rPr>
        <w:t xml:space="preserve"> The land over which the easement will be placed is referred to as the servant tenement, while the dominant tenement is the land that will benefit from the easement. An easement by prescription is created when someone uses another person's property without permission for a particular amount of time and in a way that the owner should have been aware of. Each state determines the period of time that must pass before a person is awarded a prescriptive easement, which may range from a few months to more than twenty years </w:t>
      </w:r>
      <w:r w:rsidRPr="004E5203">
        <w:rPr>
          <w:rFonts w:cs="Times New Roman"/>
          <w:color w:val="000000" w:themeColor="text1"/>
          <w:szCs w:val="24"/>
          <w:shd w:val="clear" w:color="auto" w:fill="FFFFFF"/>
        </w:rPr>
        <w:t>(Ian and Dunn, 2018).</w:t>
      </w:r>
    </w:p>
    <w:p w:rsidR="00B10B42" w:rsidRPr="004E5203" w:rsidRDefault="00B10B42" w:rsidP="004E5203">
      <w:pPr>
        <w:widowControl/>
        <w:shd w:val="clear" w:color="auto" w:fill="FFFFFF"/>
        <w:autoSpaceDE/>
        <w:autoSpaceDN/>
        <w:jc w:val="left"/>
        <w:rPr>
          <w:rFonts w:eastAsia="Times New Roman" w:cs="Times New Roman"/>
          <w:bCs/>
          <w:color w:val="000000" w:themeColor="text1"/>
          <w:szCs w:val="24"/>
          <w:lang w:eastAsia="ru-RU"/>
        </w:rPr>
      </w:pPr>
    </w:p>
    <w:p w:rsidR="00B10B42" w:rsidRPr="004E5203" w:rsidRDefault="00A66F2D" w:rsidP="004E5203">
      <w:pPr>
        <w:pStyle w:val="Heading2"/>
        <w:jc w:val="left"/>
        <w:rPr>
          <w:rFonts w:cs="Times New Roman"/>
        </w:rPr>
      </w:pPr>
      <w:bookmarkStart w:id="2" w:name="_Toc118846263"/>
      <w:r w:rsidRPr="004E5203">
        <w:rPr>
          <w:rFonts w:cs="Times New Roman"/>
        </w:rPr>
        <w:t>Accommodation of Dominant Tenement</w:t>
      </w:r>
      <w:bookmarkEnd w:id="2"/>
      <w:r w:rsidRPr="004E5203">
        <w:rPr>
          <w:rFonts w:cs="Times New Roman"/>
        </w:rPr>
        <w:t xml:space="preserve"> </w:t>
      </w:r>
    </w:p>
    <w:p w:rsidR="00B10B42" w:rsidRPr="004E5203" w:rsidRDefault="00A66F2D" w:rsidP="004E5203">
      <w:pPr>
        <w:widowControl/>
        <w:shd w:val="clear" w:color="auto" w:fill="FFFFFF"/>
        <w:autoSpaceDE/>
        <w:autoSpaceDN/>
        <w:jc w:val="left"/>
        <w:rPr>
          <w:rFonts w:eastAsia="Times New Roman" w:cs="Times New Roman"/>
          <w:bCs/>
          <w:color w:val="000000" w:themeColor="text1"/>
          <w:szCs w:val="24"/>
          <w:lang w:eastAsia="ru-RU"/>
        </w:rPr>
      </w:pPr>
      <w:r w:rsidRPr="004E5203">
        <w:rPr>
          <w:rFonts w:eastAsia="Times New Roman" w:cs="Times New Roman"/>
          <w:bCs/>
          <w:color w:val="000000" w:themeColor="text1"/>
          <w:szCs w:val="24"/>
          <w:lang w:eastAsia="ru-RU"/>
        </w:rPr>
        <w:t xml:space="preserve">The easement must assist the dominant landowner in some manner. Therefore, for the dominant lands to really </w:t>
      </w:r>
      <w:proofErr w:type="gramStart"/>
      <w:r w:rsidRPr="004E5203">
        <w:rPr>
          <w:rFonts w:eastAsia="Times New Roman" w:cs="Times New Roman"/>
          <w:bCs/>
          <w:color w:val="000000" w:themeColor="text1"/>
          <w:szCs w:val="24"/>
          <w:lang w:eastAsia="ru-RU"/>
        </w:rPr>
        <w:t>benefit,</w:t>
      </w:r>
      <w:proofErr w:type="gramEnd"/>
      <w:r w:rsidRPr="004E5203">
        <w:rPr>
          <w:rFonts w:eastAsia="Times New Roman" w:cs="Times New Roman"/>
          <w:bCs/>
          <w:color w:val="000000" w:themeColor="text1"/>
          <w:szCs w:val="24"/>
          <w:lang w:eastAsia="ru-RU"/>
        </w:rPr>
        <w:t xml:space="preserve"> there must be a certain degree of proximity between the dominant and servant tenements. The right is not regarded as an easement if it merely confers a personal benefit to the owner of the dominant tenement </w:t>
      </w:r>
      <w:r w:rsidRPr="004E5203">
        <w:rPr>
          <w:rFonts w:cs="Times New Roman"/>
          <w:color w:val="000000" w:themeColor="text1"/>
          <w:szCs w:val="24"/>
        </w:rPr>
        <w:t>(Duxbury, 2016).</w:t>
      </w:r>
    </w:p>
    <w:p w:rsidR="00B10B42" w:rsidRPr="004E5203" w:rsidRDefault="00B10B42" w:rsidP="004E5203">
      <w:pPr>
        <w:widowControl/>
        <w:shd w:val="clear" w:color="auto" w:fill="FFFFFF"/>
        <w:autoSpaceDE/>
        <w:autoSpaceDN/>
        <w:jc w:val="left"/>
        <w:rPr>
          <w:rFonts w:eastAsia="Times New Roman" w:cs="Times New Roman"/>
          <w:bCs/>
          <w:color w:val="000000" w:themeColor="text1"/>
          <w:szCs w:val="24"/>
          <w:lang w:eastAsia="ru-RU"/>
        </w:rPr>
      </w:pPr>
    </w:p>
    <w:p w:rsidR="00B10B42" w:rsidRPr="004E5203" w:rsidRDefault="00A66F2D" w:rsidP="004E5203">
      <w:pPr>
        <w:pStyle w:val="Heading2"/>
        <w:jc w:val="left"/>
        <w:rPr>
          <w:rFonts w:cs="Times New Roman"/>
        </w:rPr>
      </w:pPr>
      <w:bookmarkStart w:id="3" w:name="_Toc118846264"/>
      <w:r w:rsidRPr="004E5203">
        <w:rPr>
          <w:rFonts w:cs="Times New Roman"/>
        </w:rPr>
        <w:t>Ownership or Occupation by Different Persons</w:t>
      </w:r>
      <w:bookmarkEnd w:id="3"/>
    </w:p>
    <w:p w:rsidR="00B10B42" w:rsidRPr="004E5203" w:rsidRDefault="00A66F2D" w:rsidP="004E5203">
      <w:pPr>
        <w:widowControl/>
        <w:shd w:val="clear" w:color="auto" w:fill="FFFFFF"/>
        <w:autoSpaceDE/>
        <w:autoSpaceDN/>
        <w:jc w:val="left"/>
        <w:rPr>
          <w:rFonts w:eastAsia="Times New Roman" w:cs="Times New Roman"/>
          <w:bCs/>
          <w:color w:val="000000" w:themeColor="text1"/>
          <w:szCs w:val="24"/>
          <w:lang w:eastAsia="ru-RU"/>
        </w:rPr>
      </w:pPr>
      <w:r w:rsidRPr="004E5203">
        <w:rPr>
          <w:rFonts w:eastAsia="Times New Roman" w:cs="Times New Roman"/>
          <w:bCs/>
          <w:color w:val="000000" w:themeColor="text1"/>
          <w:szCs w:val="24"/>
          <w:lang w:eastAsia="ru-RU"/>
        </w:rPr>
        <w:t xml:space="preserve">The ownership of the dominant and subservient areas should remain distinct and separate. If both tenements have a single owner, even if the occupants do not belong to the same family, this general rule permitting the creation of an easement is the only exception. This is a common example of a circumstance in which one person owns adjacent property and leases out a piece of their assets to a lessee </w:t>
      </w:r>
      <w:r w:rsidRPr="004E5203">
        <w:rPr>
          <w:rFonts w:cs="Times New Roman"/>
          <w:color w:val="000000" w:themeColor="text1"/>
          <w:szCs w:val="24"/>
        </w:rPr>
        <w:t>(Briggs, 2017).</w:t>
      </w:r>
    </w:p>
    <w:p w:rsidR="00B10B42" w:rsidRPr="004E5203" w:rsidRDefault="00B10B42" w:rsidP="004E5203">
      <w:pPr>
        <w:widowControl/>
        <w:shd w:val="clear" w:color="auto" w:fill="FFFFFF"/>
        <w:autoSpaceDE/>
        <w:autoSpaceDN/>
        <w:jc w:val="left"/>
        <w:rPr>
          <w:rFonts w:eastAsia="Times New Roman" w:cs="Times New Roman"/>
          <w:bCs/>
          <w:color w:val="000000" w:themeColor="text1"/>
          <w:szCs w:val="24"/>
          <w:lang w:eastAsia="ru-RU"/>
        </w:rPr>
      </w:pPr>
    </w:p>
    <w:p w:rsidR="00B10B42" w:rsidRPr="004E5203" w:rsidRDefault="00A66F2D" w:rsidP="004E5203">
      <w:pPr>
        <w:pStyle w:val="Heading2"/>
        <w:jc w:val="left"/>
        <w:rPr>
          <w:rFonts w:cs="Times New Roman"/>
        </w:rPr>
      </w:pPr>
      <w:bookmarkStart w:id="4" w:name="_Toc118846265"/>
      <w:r w:rsidRPr="004E5203">
        <w:rPr>
          <w:rFonts w:cs="Times New Roman"/>
        </w:rPr>
        <w:t>Subject Matter of the Grant</w:t>
      </w:r>
      <w:bookmarkEnd w:id="4"/>
    </w:p>
    <w:p w:rsidR="00B10B42" w:rsidRPr="004E5203" w:rsidRDefault="00A66F2D" w:rsidP="004E5203">
      <w:pPr>
        <w:widowControl/>
        <w:shd w:val="clear" w:color="auto" w:fill="FFFFFF"/>
        <w:autoSpaceDE/>
        <w:autoSpaceDN/>
        <w:jc w:val="left"/>
        <w:rPr>
          <w:rFonts w:eastAsia="Times New Roman" w:cs="Times New Roman"/>
          <w:bCs/>
          <w:color w:val="000000" w:themeColor="text1"/>
          <w:szCs w:val="24"/>
          <w:lang w:eastAsia="ru-RU"/>
        </w:rPr>
      </w:pPr>
      <w:r w:rsidRPr="004E5203">
        <w:rPr>
          <w:rFonts w:eastAsia="Times New Roman" w:cs="Times New Roman"/>
          <w:bCs/>
          <w:color w:val="000000" w:themeColor="text1"/>
          <w:szCs w:val="24"/>
          <w:lang w:eastAsia="ru-RU"/>
        </w:rPr>
        <w:t xml:space="preserve">It is essential that the right indicated in an easement may become the subject of a grant. As a result, every easement must be memorialised as a deed and must pertain to categories of real land that have historically been considered transferable from one owner to another </w:t>
      </w:r>
      <w:r w:rsidRPr="004E5203">
        <w:rPr>
          <w:rFonts w:cs="Times New Roman"/>
          <w:color w:val="000000" w:themeColor="text1"/>
          <w:szCs w:val="24"/>
        </w:rPr>
        <w:t>(Briggs, 2017)</w:t>
      </w:r>
      <w:r w:rsidRPr="004E5203">
        <w:rPr>
          <w:rFonts w:eastAsia="Times New Roman" w:cs="Times New Roman"/>
          <w:bCs/>
          <w:color w:val="000000" w:themeColor="text1"/>
          <w:szCs w:val="24"/>
          <w:lang w:eastAsia="ru-RU"/>
        </w:rPr>
        <w:t xml:space="preserve">. In accordance with Section 6 of the </w:t>
      </w:r>
      <w:proofErr w:type="spellStart"/>
      <w:r w:rsidRPr="004E5203">
        <w:rPr>
          <w:rFonts w:eastAsia="Times New Roman" w:cs="Times New Roman"/>
          <w:bCs/>
          <w:color w:val="000000" w:themeColor="text1"/>
          <w:szCs w:val="24"/>
          <w:lang w:eastAsia="ru-RU"/>
        </w:rPr>
        <w:t>Conveyancing</w:t>
      </w:r>
      <w:proofErr w:type="spellEnd"/>
      <w:r w:rsidRPr="004E5203">
        <w:rPr>
          <w:rFonts w:eastAsia="Times New Roman" w:cs="Times New Roman"/>
          <w:bCs/>
          <w:color w:val="000000" w:themeColor="text1"/>
          <w:szCs w:val="24"/>
          <w:lang w:eastAsia="ru-RU"/>
        </w:rPr>
        <w:t xml:space="preserve"> Act of 1881, an easement is regarded to pass automatically upon a transfer if it already exists, regardless of how it was established. In the deed, the kind of granted or limited easement, as well as its nature and way of use, must be specified in detail. This is well shown by the idea of rights of way. Attaching a plan or map to </w:t>
      </w:r>
      <w:r w:rsidRPr="004E5203">
        <w:rPr>
          <w:rFonts w:eastAsia="Times New Roman" w:cs="Times New Roman"/>
          <w:bCs/>
          <w:color w:val="000000" w:themeColor="text1"/>
          <w:szCs w:val="24"/>
          <w:lang w:eastAsia="ru-RU"/>
        </w:rPr>
        <w:lastRenderedPageBreak/>
        <w:t>the deed so that the road or other area utilised to exercise the right of way may be clearly recognised is preferable.</w:t>
      </w:r>
    </w:p>
    <w:p w:rsidR="00B10B42" w:rsidRPr="004E5203" w:rsidRDefault="00B10B42" w:rsidP="004E5203">
      <w:pPr>
        <w:widowControl/>
        <w:shd w:val="clear" w:color="auto" w:fill="FFFFFF"/>
        <w:autoSpaceDE/>
        <w:autoSpaceDN/>
        <w:jc w:val="left"/>
        <w:rPr>
          <w:rFonts w:eastAsia="Times New Roman" w:cs="Times New Roman"/>
          <w:bCs/>
          <w:color w:val="000000" w:themeColor="text1"/>
          <w:szCs w:val="24"/>
          <w:lang w:eastAsia="ru-RU"/>
        </w:rPr>
      </w:pPr>
    </w:p>
    <w:p w:rsidR="00B10B42" w:rsidRPr="004E5203" w:rsidRDefault="00A66F2D" w:rsidP="004E5203">
      <w:pPr>
        <w:jc w:val="left"/>
        <w:rPr>
          <w:rFonts w:cs="Times New Roman"/>
          <w:color w:val="000000" w:themeColor="text1"/>
          <w:szCs w:val="24"/>
          <w:lang w:eastAsia="ru-RU"/>
        </w:rPr>
      </w:pPr>
      <w:r w:rsidRPr="004E5203">
        <w:rPr>
          <w:rFonts w:cs="Times New Roman"/>
          <w:color w:val="000000" w:themeColor="text1"/>
          <w:szCs w:val="24"/>
          <w:lang w:eastAsia="ru-RU"/>
        </w:rPr>
        <w:t xml:space="preserve">First, specify the kind of easement, the rights it confers or limits, and the quantity of real estate it burdens. Second, identify the parties if the easement is an easement in gross. This provision does not influence the substance of the easement that must be included on the authorised form. Moreover, if the easement in issue pertains to Service Infrastructure, the Registrar may accept an instrument for registration that provides just a general description of the site if pinpointing the specific locations is problematic </w:t>
      </w:r>
      <w:r w:rsidRPr="004E5203">
        <w:rPr>
          <w:rFonts w:cs="Times New Roman"/>
          <w:color w:val="000000" w:themeColor="text1"/>
          <w:szCs w:val="24"/>
          <w:shd w:val="clear" w:color="auto" w:fill="FFFFFF"/>
        </w:rPr>
        <w:t>(</w:t>
      </w:r>
      <w:proofErr w:type="spellStart"/>
      <w:r w:rsidRPr="004E5203">
        <w:rPr>
          <w:rFonts w:cs="Times New Roman"/>
          <w:color w:val="000000" w:themeColor="text1"/>
          <w:szCs w:val="24"/>
          <w:shd w:val="clear" w:color="auto" w:fill="FFFFFF"/>
        </w:rPr>
        <w:t>Getzler</w:t>
      </w:r>
      <w:proofErr w:type="spellEnd"/>
      <w:r w:rsidRPr="004E5203">
        <w:rPr>
          <w:rFonts w:cs="Times New Roman"/>
          <w:color w:val="000000" w:themeColor="text1"/>
          <w:szCs w:val="24"/>
          <w:shd w:val="clear" w:color="auto" w:fill="FFFFFF"/>
        </w:rPr>
        <w:t xml:space="preserve">, 2017). </w:t>
      </w:r>
    </w:p>
    <w:p w:rsidR="00B10B42" w:rsidRPr="004E5203" w:rsidRDefault="00D40871" w:rsidP="004E5203">
      <w:pPr>
        <w:widowControl/>
        <w:shd w:val="clear" w:color="auto" w:fill="FFFFFF"/>
        <w:autoSpaceDE/>
        <w:autoSpaceDN/>
        <w:ind w:firstLine="0"/>
        <w:jc w:val="left"/>
        <w:rPr>
          <w:rFonts w:cs="Times New Roman"/>
          <w:color w:val="000000" w:themeColor="text1"/>
          <w:szCs w:val="24"/>
        </w:rPr>
      </w:pPr>
      <w:r w:rsidRPr="004E5203">
        <w:rPr>
          <w:rFonts w:eastAsia="Arial" w:cs="Times New Roman"/>
          <w:b/>
          <w:iCs/>
          <w:color w:val="000000" w:themeColor="text1"/>
          <w:szCs w:val="24"/>
        </w:rPr>
        <w:t xml:space="preserve">           </w:t>
      </w:r>
      <w:r w:rsidR="00A66F2D" w:rsidRPr="004E5203">
        <w:rPr>
          <w:rFonts w:cs="Times New Roman"/>
          <w:color w:val="000000" w:themeColor="text1"/>
          <w:szCs w:val="24"/>
        </w:rPr>
        <w:t xml:space="preserve">There are three methods for granting easements which are described and mentioned below: </w:t>
      </w:r>
    </w:p>
    <w:p w:rsidR="00B10B42" w:rsidRPr="004E5203" w:rsidRDefault="00B10B42" w:rsidP="004E5203">
      <w:pPr>
        <w:widowControl/>
        <w:shd w:val="clear" w:color="auto" w:fill="FFFFFF"/>
        <w:autoSpaceDE/>
        <w:autoSpaceDN/>
        <w:ind w:firstLine="0"/>
        <w:jc w:val="left"/>
        <w:rPr>
          <w:rFonts w:cs="Times New Roman"/>
          <w:color w:val="000000" w:themeColor="text1"/>
          <w:szCs w:val="24"/>
        </w:rPr>
      </w:pPr>
    </w:p>
    <w:p w:rsidR="00B10B42" w:rsidRPr="004E5203" w:rsidRDefault="00A66F2D" w:rsidP="004E5203">
      <w:pPr>
        <w:pStyle w:val="Heading2"/>
        <w:jc w:val="left"/>
        <w:rPr>
          <w:rFonts w:cs="Times New Roman"/>
        </w:rPr>
      </w:pPr>
      <w:bookmarkStart w:id="5" w:name="_Toc118846268"/>
      <w:r w:rsidRPr="004E5203">
        <w:rPr>
          <w:rFonts w:cs="Times New Roman"/>
        </w:rPr>
        <w:t>Common Law</w:t>
      </w:r>
      <w:bookmarkEnd w:id="5"/>
      <w:r w:rsidRPr="004E5203">
        <w:rPr>
          <w:rFonts w:cs="Times New Roman"/>
        </w:rPr>
        <w:t xml:space="preserve"> </w:t>
      </w:r>
    </w:p>
    <w:p w:rsidR="00B10B42" w:rsidRPr="004E5203" w:rsidRDefault="00A66F2D" w:rsidP="004E5203">
      <w:pPr>
        <w:widowControl/>
        <w:shd w:val="clear" w:color="auto" w:fill="FFFFFF"/>
        <w:autoSpaceDE/>
        <w:autoSpaceDN/>
        <w:jc w:val="left"/>
        <w:rPr>
          <w:rFonts w:cs="Times New Roman"/>
          <w:color w:val="000000" w:themeColor="text1"/>
          <w:szCs w:val="24"/>
        </w:rPr>
      </w:pPr>
      <w:r w:rsidRPr="004E5203">
        <w:rPr>
          <w:rFonts w:cs="Times New Roman"/>
          <w:color w:val="000000" w:themeColor="text1"/>
          <w:szCs w:val="24"/>
        </w:rPr>
        <w:t xml:space="preserve">In order for an easement to be recognised, the claimant must present proof of use stretching all the way back to the beginning of time (Duxbury, 2016). The year 1189 has been set by the courts as the beginning of legal memory, and they are prepared to support this date if evidence of 20 years of continuous use is shown. While "adverse possession" refers to the exclusive control required for the common law prescriptive acquisition of full-fledged ownership, "prescription" is often used to refer to the prescriptive acquisition of easements </w:t>
      </w:r>
      <w:r w:rsidRPr="004E5203">
        <w:rPr>
          <w:rFonts w:cs="Times New Roman"/>
          <w:color w:val="000000" w:themeColor="text1"/>
          <w:szCs w:val="24"/>
          <w:shd w:val="clear" w:color="auto" w:fill="FFFFFF"/>
        </w:rPr>
        <w:t>(Dixon, 2018).</w:t>
      </w:r>
    </w:p>
    <w:p w:rsidR="00B10B42" w:rsidRPr="004E5203" w:rsidRDefault="00B10B42" w:rsidP="004E5203">
      <w:pPr>
        <w:widowControl/>
        <w:shd w:val="clear" w:color="auto" w:fill="FFFFFF"/>
        <w:autoSpaceDE/>
        <w:autoSpaceDN/>
        <w:jc w:val="left"/>
        <w:rPr>
          <w:rFonts w:cs="Times New Roman"/>
          <w:color w:val="000000" w:themeColor="text1"/>
          <w:szCs w:val="24"/>
        </w:rPr>
      </w:pPr>
    </w:p>
    <w:p w:rsidR="00B10B42" w:rsidRPr="004E5203" w:rsidRDefault="00A66F2D" w:rsidP="004E5203">
      <w:pPr>
        <w:pStyle w:val="Heading2"/>
        <w:jc w:val="left"/>
        <w:rPr>
          <w:rFonts w:cs="Times New Roman"/>
        </w:rPr>
      </w:pPr>
      <w:bookmarkStart w:id="6" w:name="_Toc118846269"/>
      <w:r w:rsidRPr="004E5203">
        <w:rPr>
          <w:rFonts w:cs="Times New Roman"/>
        </w:rPr>
        <w:t>Lost Modern Grant</w:t>
      </w:r>
      <w:bookmarkEnd w:id="6"/>
    </w:p>
    <w:p w:rsidR="00B10B42" w:rsidRPr="004E5203" w:rsidRDefault="00A66F2D" w:rsidP="004E5203">
      <w:pPr>
        <w:widowControl/>
        <w:shd w:val="clear" w:color="auto" w:fill="FFFFFF"/>
        <w:autoSpaceDE/>
        <w:autoSpaceDN/>
        <w:jc w:val="left"/>
        <w:rPr>
          <w:rFonts w:cs="Times New Roman"/>
          <w:color w:val="000000" w:themeColor="text1"/>
          <w:szCs w:val="24"/>
        </w:rPr>
      </w:pPr>
      <w:r w:rsidRPr="004E5203">
        <w:rPr>
          <w:rFonts w:cs="Times New Roman"/>
          <w:color w:val="000000" w:themeColor="text1"/>
          <w:szCs w:val="24"/>
        </w:rPr>
        <w:t xml:space="preserve">To prevent allegations based on common law from being readily challenged, judges adopted this notion. This school of thinking posits that the right was awarded properly by deed in the past but that the documentation was subsequently lost </w:t>
      </w:r>
      <w:r w:rsidRPr="004E5203">
        <w:rPr>
          <w:rFonts w:cs="Times New Roman"/>
          <w:color w:val="000000" w:themeColor="text1"/>
          <w:szCs w:val="24"/>
          <w:shd w:val="clear" w:color="auto" w:fill="FFFFFF"/>
        </w:rPr>
        <w:t>(Dixon, 2018)</w:t>
      </w:r>
      <w:r w:rsidRPr="004E5203">
        <w:rPr>
          <w:rFonts w:cs="Times New Roman"/>
          <w:color w:val="000000" w:themeColor="text1"/>
          <w:szCs w:val="24"/>
        </w:rPr>
        <w:t>. Due to this, it is not feasible to disprove a claim by demonstrating that the easement was only available after 1189. Courts have typically been reluctant to restore a lost grant if it can be shown that the surviving donor was incompetent at the time the grant was utilised or if it can be proven that no one could have lawfully made the gift for the whole period of use. The theory might be refuted by establishing the continuity of ownership after 1189 (Briggs, 2017).</w:t>
      </w:r>
    </w:p>
    <w:p w:rsidR="00B10B42" w:rsidRPr="004E5203" w:rsidRDefault="00B10B42" w:rsidP="004E5203">
      <w:pPr>
        <w:widowControl/>
        <w:shd w:val="clear" w:color="auto" w:fill="FFFFFF"/>
        <w:autoSpaceDE/>
        <w:autoSpaceDN/>
        <w:jc w:val="left"/>
        <w:rPr>
          <w:rFonts w:cs="Times New Roman"/>
          <w:color w:val="000000" w:themeColor="text1"/>
          <w:szCs w:val="24"/>
        </w:rPr>
      </w:pPr>
    </w:p>
    <w:p w:rsidR="00B10B42" w:rsidRPr="004E5203" w:rsidRDefault="00A66F2D" w:rsidP="004E5203">
      <w:pPr>
        <w:pStyle w:val="Heading2"/>
        <w:jc w:val="left"/>
        <w:rPr>
          <w:rFonts w:cs="Times New Roman"/>
        </w:rPr>
      </w:pPr>
      <w:bookmarkStart w:id="7" w:name="_Toc118846270"/>
      <w:r w:rsidRPr="004E5203">
        <w:rPr>
          <w:rFonts w:cs="Times New Roman"/>
        </w:rPr>
        <w:lastRenderedPageBreak/>
        <w:t>Prescription Act 1832</w:t>
      </w:r>
      <w:bookmarkEnd w:id="7"/>
    </w:p>
    <w:p w:rsidR="00B10B42" w:rsidRPr="004E5203" w:rsidRDefault="00A66F2D" w:rsidP="004E5203">
      <w:pPr>
        <w:widowControl/>
        <w:shd w:val="clear" w:color="auto" w:fill="FFFFFF"/>
        <w:autoSpaceDE/>
        <w:autoSpaceDN/>
        <w:jc w:val="left"/>
        <w:rPr>
          <w:rFonts w:cs="Times New Roman"/>
          <w:color w:val="000000" w:themeColor="text1"/>
          <w:szCs w:val="24"/>
        </w:rPr>
      </w:pPr>
      <w:r w:rsidRPr="004E5203">
        <w:rPr>
          <w:rFonts w:cs="Times New Roman"/>
          <w:color w:val="000000" w:themeColor="text1"/>
          <w:szCs w:val="24"/>
        </w:rPr>
        <w:t xml:space="preserve">The Prescription Act went into effect on January 1, 1859, in Ireland. </w:t>
      </w:r>
      <w:r w:rsidR="00F86805">
        <w:rPr>
          <w:rFonts w:cs="Times New Roman"/>
          <w:color w:val="000000" w:themeColor="text1"/>
          <w:szCs w:val="24"/>
        </w:rPr>
        <w:t>It</w:t>
      </w:r>
      <w:r w:rsidRPr="004E5203">
        <w:rPr>
          <w:rFonts w:cs="Times New Roman"/>
          <w:color w:val="000000" w:themeColor="text1"/>
          <w:szCs w:val="24"/>
        </w:rPr>
        <w:t xml:space="preserve"> was enacted to address the concerns presented by the two prescribing pra</w:t>
      </w:r>
      <w:r w:rsidR="00F86805">
        <w:rPr>
          <w:rFonts w:cs="Times New Roman"/>
          <w:color w:val="000000" w:themeColor="text1"/>
          <w:szCs w:val="24"/>
        </w:rPr>
        <w:t xml:space="preserve">ctices discussed above. The law </w:t>
      </w:r>
      <w:r w:rsidRPr="004E5203">
        <w:rPr>
          <w:rFonts w:cs="Times New Roman"/>
          <w:color w:val="000000" w:themeColor="text1"/>
          <w:szCs w:val="24"/>
        </w:rPr>
        <w:t>mandates a shorter easement length than the typical twenty years without interruption. It is hard to counter allegations by showing that the enjoyment of easements started after 1189</w:t>
      </w:r>
      <w:r w:rsidR="008E0462" w:rsidRPr="004E5203">
        <w:rPr>
          <w:rFonts w:cs="Times New Roman"/>
          <w:color w:val="000000" w:themeColor="text1"/>
          <w:szCs w:val="24"/>
        </w:rPr>
        <w:t xml:space="preserve"> (Duxbury, 2016)</w:t>
      </w:r>
      <w:r w:rsidRPr="004E5203">
        <w:rPr>
          <w:rFonts w:cs="Times New Roman"/>
          <w:color w:val="000000" w:themeColor="text1"/>
          <w:szCs w:val="24"/>
        </w:rPr>
        <w:t xml:space="preserve">. The Prescription Act of 1832, also referred to as "the Act," is </w:t>
      </w:r>
      <w:r w:rsidR="008E0462" w:rsidRPr="004E5203">
        <w:rPr>
          <w:rFonts w:cs="Times New Roman"/>
          <w:color w:val="000000" w:themeColor="text1"/>
          <w:szCs w:val="24"/>
        </w:rPr>
        <w:t>an</w:t>
      </w:r>
      <w:r w:rsidRPr="004E5203">
        <w:rPr>
          <w:rFonts w:cs="Times New Roman"/>
          <w:color w:val="000000" w:themeColor="text1"/>
          <w:szCs w:val="24"/>
        </w:rPr>
        <w:t xml:space="preserve"> "Act for regulating the term of prescription in certain circumstances" (</w:t>
      </w:r>
      <w:r w:rsidR="008E0462" w:rsidRPr="004E5203">
        <w:rPr>
          <w:rFonts w:cs="Times New Roman"/>
          <w:color w:val="000000" w:themeColor="text1"/>
          <w:szCs w:val="24"/>
        </w:rPr>
        <w:t>i.e.,</w:t>
      </w:r>
      <w:r w:rsidRPr="004E5203">
        <w:rPr>
          <w:rFonts w:cs="Times New Roman"/>
          <w:color w:val="000000" w:themeColor="text1"/>
          <w:szCs w:val="24"/>
        </w:rPr>
        <w:t xml:space="preserve"> for shortening the length of time that an easement must be used or enjoyed before the legal right to that easement is established by such use). It included rights to common and other profits a </w:t>
      </w:r>
      <w:proofErr w:type="spellStart"/>
      <w:r w:rsidRPr="004E5203">
        <w:rPr>
          <w:rFonts w:cs="Times New Roman"/>
          <w:color w:val="000000" w:themeColor="text1"/>
          <w:szCs w:val="24"/>
        </w:rPr>
        <w:t>prendre</w:t>
      </w:r>
      <w:proofErr w:type="spellEnd"/>
      <w:r w:rsidRPr="004E5203">
        <w:rPr>
          <w:rFonts w:cs="Times New Roman"/>
          <w:color w:val="000000" w:themeColor="text1"/>
          <w:szCs w:val="24"/>
        </w:rPr>
        <w:t>, which could not be lost after thirty years of enjoyment simply by showing the beginning; after sixty years of enjoyment, the right was to become absolute, unless gained by agreement or consent</w:t>
      </w:r>
      <w:r w:rsidR="008E0462" w:rsidRPr="004E5203">
        <w:rPr>
          <w:rFonts w:cs="Times New Roman"/>
          <w:color w:val="000000" w:themeColor="text1"/>
          <w:szCs w:val="24"/>
        </w:rPr>
        <w:t xml:space="preserve"> </w:t>
      </w:r>
      <w:r w:rsidR="008E0462" w:rsidRPr="004E5203">
        <w:rPr>
          <w:rFonts w:cs="Times New Roman"/>
          <w:color w:val="000000" w:themeColor="text1"/>
          <w:szCs w:val="24"/>
          <w:shd w:val="clear" w:color="auto" w:fill="FFFFFF"/>
        </w:rPr>
        <w:t>(Briggs, 2017)</w:t>
      </w:r>
      <w:r w:rsidRPr="004E5203">
        <w:rPr>
          <w:rFonts w:cs="Times New Roman"/>
          <w:color w:val="000000" w:themeColor="text1"/>
          <w:szCs w:val="24"/>
        </w:rPr>
        <w:t>.</w:t>
      </w:r>
    </w:p>
    <w:bookmarkEnd w:id="0"/>
    <w:p w:rsidR="00C04596" w:rsidRPr="004E5203" w:rsidRDefault="00A66F2D" w:rsidP="004E5203">
      <w:pPr>
        <w:jc w:val="left"/>
        <w:rPr>
          <w:rFonts w:cs="Times New Roman"/>
          <w:color w:val="000000" w:themeColor="text1"/>
          <w:szCs w:val="24"/>
        </w:rPr>
      </w:pPr>
      <w:r w:rsidRPr="004E5203">
        <w:rPr>
          <w:rFonts w:cs="Times New Roman"/>
          <w:color w:val="000000" w:themeColor="text1"/>
          <w:szCs w:val="24"/>
        </w:rPr>
        <w:t>One way that someone might get the right to use someone else's property is by the process of adverse possession, generally known as an easement by prescription and also fami</w:t>
      </w:r>
      <w:r w:rsidR="003035CD" w:rsidRPr="004E5203">
        <w:rPr>
          <w:rFonts w:cs="Times New Roman"/>
          <w:color w:val="000000" w:themeColor="text1"/>
          <w:szCs w:val="24"/>
        </w:rPr>
        <w:t xml:space="preserve">liar as “prescriptive easement” </w:t>
      </w:r>
      <w:r w:rsidR="003035CD" w:rsidRPr="004E5203">
        <w:rPr>
          <w:rFonts w:cs="Times New Roman"/>
          <w:color w:val="000000" w:themeColor="text1"/>
          <w:szCs w:val="24"/>
          <w:shd w:val="clear" w:color="auto" w:fill="FFFFFF"/>
        </w:rPr>
        <w:t>(Bevan, 2022).</w:t>
      </w:r>
      <w:r w:rsidRPr="004E5203">
        <w:rPr>
          <w:rFonts w:cs="Times New Roman"/>
          <w:color w:val="000000" w:themeColor="text1"/>
          <w:szCs w:val="24"/>
        </w:rPr>
        <w:t xml:space="preserve"> An easement by prescription arises when unauthorised use of another's property continues for a long time in a way that the owner ought to know about that. The law of limitations for securing a prescriptive easement is set by each individual state and may range from a few years to well over twenty.</w:t>
      </w:r>
      <w:r w:rsidR="00B95221" w:rsidRPr="004E5203">
        <w:rPr>
          <w:rFonts w:cs="Times New Roman"/>
          <w:color w:val="000000" w:themeColor="text1"/>
          <w:szCs w:val="24"/>
          <w:shd w:val="clear" w:color="auto" w:fill="FFFFFF"/>
        </w:rPr>
        <w:t xml:space="preserve"> </w:t>
      </w:r>
      <w:r w:rsidRPr="004E5203">
        <w:rPr>
          <w:rFonts w:cs="Times New Roman"/>
          <w:color w:val="000000" w:themeColor="text1"/>
          <w:szCs w:val="24"/>
        </w:rPr>
        <w:t>Courts recognise prescriptive easements because the person claiming the easement used the property for a long time relies on being able to use the land for a long time</w:t>
      </w:r>
      <w:r w:rsidR="008E0462" w:rsidRPr="004E5203">
        <w:rPr>
          <w:rFonts w:cs="Times New Roman"/>
          <w:color w:val="000000" w:themeColor="text1"/>
          <w:szCs w:val="24"/>
        </w:rPr>
        <w:t xml:space="preserve"> </w:t>
      </w:r>
      <w:r w:rsidR="008E0462" w:rsidRPr="004E5203">
        <w:rPr>
          <w:rFonts w:cs="Times New Roman"/>
          <w:color w:val="000000" w:themeColor="text1"/>
          <w:szCs w:val="24"/>
          <w:shd w:val="clear" w:color="auto" w:fill="FFFFFF"/>
        </w:rPr>
        <w:t>(Ian and Dunn, 2018)</w:t>
      </w:r>
      <w:r w:rsidRPr="004E5203">
        <w:rPr>
          <w:rFonts w:cs="Times New Roman"/>
          <w:color w:val="000000" w:themeColor="text1"/>
          <w:szCs w:val="24"/>
        </w:rPr>
        <w:t xml:space="preserve">. </w:t>
      </w:r>
    </w:p>
    <w:p w:rsidR="00426125" w:rsidRPr="004E5203" w:rsidRDefault="00426125" w:rsidP="004E5203">
      <w:pPr>
        <w:jc w:val="left"/>
        <w:rPr>
          <w:rFonts w:cs="Times New Roman"/>
          <w:color w:val="000000" w:themeColor="text1"/>
          <w:szCs w:val="24"/>
          <w:shd w:val="clear" w:color="auto" w:fill="FFFFFF"/>
        </w:rPr>
      </w:pPr>
    </w:p>
    <w:p w:rsidR="00797E09" w:rsidRPr="004E5203" w:rsidRDefault="00A66F2D" w:rsidP="004E5203">
      <w:pPr>
        <w:jc w:val="left"/>
        <w:rPr>
          <w:rFonts w:cs="Times New Roman"/>
          <w:color w:val="000000" w:themeColor="text1"/>
          <w:szCs w:val="24"/>
          <w:shd w:val="clear" w:color="auto" w:fill="FFFFFF"/>
        </w:rPr>
      </w:pPr>
      <w:r w:rsidRPr="004E5203">
        <w:rPr>
          <w:rFonts w:cs="Times New Roman"/>
          <w:color w:val="000000" w:themeColor="text1"/>
          <w:szCs w:val="24"/>
        </w:rPr>
        <w:t>An easement may be c</w:t>
      </w:r>
      <w:r w:rsidR="00473C1B" w:rsidRPr="004E5203">
        <w:rPr>
          <w:rFonts w:cs="Times New Roman"/>
          <w:color w:val="000000" w:themeColor="text1"/>
          <w:szCs w:val="24"/>
        </w:rPr>
        <w:t>reated by prescription using three</w:t>
      </w:r>
      <w:r w:rsidRPr="004E5203">
        <w:rPr>
          <w:rFonts w:cs="Times New Roman"/>
          <w:color w:val="000000" w:themeColor="text1"/>
          <w:szCs w:val="24"/>
        </w:rPr>
        <w:t xml:space="preserve"> methods, </w:t>
      </w:r>
      <w:r w:rsidR="00F8130A" w:rsidRPr="004E5203">
        <w:rPr>
          <w:rFonts w:cs="Times New Roman"/>
          <w:color w:val="000000" w:themeColor="text1"/>
          <w:szCs w:val="24"/>
        </w:rPr>
        <w:t>i.e.,</w:t>
      </w:r>
      <w:r w:rsidRPr="004E5203">
        <w:rPr>
          <w:rFonts w:cs="Times New Roman"/>
          <w:color w:val="000000" w:themeColor="text1"/>
          <w:szCs w:val="24"/>
        </w:rPr>
        <w:t xml:space="preserve"> Time immemorial, the doctrine of a lost modern grant</w:t>
      </w:r>
      <w:r w:rsidR="003213D1" w:rsidRPr="004E5203">
        <w:rPr>
          <w:rFonts w:cs="Times New Roman"/>
          <w:color w:val="000000" w:themeColor="text1"/>
          <w:szCs w:val="24"/>
        </w:rPr>
        <w:t xml:space="preserve">, and </w:t>
      </w:r>
      <w:r w:rsidR="00242EAD" w:rsidRPr="004E5203">
        <w:rPr>
          <w:rFonts w:cs="Times New Roman"/>
          <w:color w:val="000000" w:themeColor="text1"/>
          <w:szCs w:val="24"/>
        </w:rPr>
        <w:t>“</w:t>
      </w:r>
      <w:r w:rsidR="003213D1" w:rsidRPr="004E5203">
        <w:rPr>
          <w:rFonts w:cs="Times New Roman"/>
          <w:color w:val="000000" w:themeColor="text1"/>
          <w:szCs w:val="24"/>
        </w:rPr>
        <w:t>Prescription Act 1832</w:t>
      </w:r>
      <w:r w:rsidR="00242EAD" w:rsidRPr="004E5203">
        <w:rPr>
          <w:rFonts w:cs="Times New Roman"/>
          <w:color w:val="000000" w:themeColor="text1"/>
          <w:szCs w:val="24"/>
        </w:rPr>
        <w:t>”</w:t>
      </w:r>
      <w:r w:rsidR="00CD63D6" w:rsidRPr="004E5203">
        <w:rPr>
          <w:rFonts w:cs="Times New Roman"/>
          <w:color w:val="000000" w:themeColor="text1"/>
          <w:szCs w:val="24"/>
        </w:rPr>
        <w:t xml:space="preserve"> </w:t>
      </w:r>
      <w:r w:rsidR="003035CD" w:rsidRPr="004E5203">
        <w:rPr>
          <w:rFonts w:cs="Times New Roman"/>
          <w:color w:val="000000" w:themeColor="text1"/>
          <w:szCs w:val="24"/>
          <w:shd w:val="clear" w:color="auto" w:fill="FFFFFF"/>
        </w:rPr>
        <w:t>(Clarke and Greer, 2020).</w:t>
      </w:r>
      <w:r w:rsidRPr="004E5203">
        <w:rPr>
          <w:rFonts w:cs="Times New Roman"/>
          <w:color w:val="000000" w:themeColor="text1"/>
          <w:szCs w:val="24"/>
        </w:rPr>
        <w:t xml:space="preserve"> </w:t>
      </w:r>
      <w:r w:rsidR="003A69B6" w:rsidRPr="004E5203">
        <w:rPr>
          <w:rFonts w:cs="Times New Roman"/>
          <w:color w:val="000000" w:themeColor="text1"/>
          <w:szCs w:val="24"/>
        </w:rPr>
        <w:t xml:space="preserve">The first method of easement by prescription is prescription at common law. This method entails that 20 years of the continuous use of </w:t>
      </w:r>
      <w:r w:rsidR="005554FA" w:rsidRPr="004E5203">
        <w:rPr>
          <w:rFonts w:cs="Times New Roman"/>
          <w:color w:val="000000" w:themeColor="text1"/>
          <w:szCs w:val="24"/>
        </w:rPr>
        <w:t xml:space="preserve">a </w:t>
      </w:r>
      <w:r w:rsidR="003A69B6" w:rsidRPr="004E5203">
        <w:rPr>
          <w:rFonts w:cs="Times New Roman"/>
          <w:color w:val="000000" w:themeColor="text1"/>
          <w:szCs w:val="24"/>
        </w:rPr>
        <w:t xml:space="preserve">property can raise the presumption </w:t>
      </w:r>
      <w:r w:rsidR="005554FA" w:rsidRPr="004E5203">
        <w:rPr>
          <w:rFonts w:cs="Times New Roman"/>
          <w:color w:val="000000" w:themeColor="text1"/>
          <w:szCs w:val="24"/>
        </w:rPr>
        <w:t xml:space="preserve">to use the property since time immemorial, </w:t>
      </w:r>
      <w:r w:rsidR="00D27C7A" w:rsidRPr="004E5203">
        <w:rPr>
          <w:rFonts w:cs="Times New Roman"/>
          <w:color w:val="000000" w:themeColor="text1"/>
          <w:szCs w:val="24"/>
        </w:rPr>
        <w:t>i.e.,</w:t>
      </w:r>
      <w:r w:rsidR="005554FA" w:rsidRPr="004E5203">
        <w:rPr>
          <w:rFonts w:cs="Times New Roman"/>
          <w:color w:val="000000" w:themeColor="text1"/>
          <w:szCs w:val="24"/>
        </w:rPr>
        <w:t xml:space="preserve"> 1189</w:t>
      </w:r>
      <w:r w:rsidR="008E0462" w:rsidRPr="004E5203">
        <w:rPr>
          <w:rFonts w:cs="Times New Roman"/>
          <w:color w:val="000000" w:themeColor="text1"/>
          <w:szCs w:val="24"/>
        </w:rPr>
        <w:t xml:space="preserve"> </w:t>
      </w:r>
      <w:r w:rsidR="008E0462" w:rsidRPr="004E5203">
        <w:rPr>
          <w:rFonts w:cs="Times New Roman"/>
          <w:color w:val="000000" w:themeColor="text1"/>
          <w:szCs w:val="24"/>
          <w:shd w:val="clear" w:color="auto" w:fill="FFFFFF"/>
        </w:rPr>
        <w:t>(Briggs, 2017)</w:t>
      </w:r>
      <w:r w:rsidR="005554FA" w:rsidRPr="004E5203">
        <w:rPr>
          <w:rFonts w:cs="Times New Roman"/>
          <w:color w:val="000000" w:themeColor="text1"/>
          <w:szCs w:val="24"/>
        </w:rPr>
        <w:t xml:space="preserve">. </w:t>
      </w:r>
      <w:r w:rsidR="00FF6773" w:rsidRPr="004E5203">
        <w:rPr>
          <w:rFonts w:cs="Times New Roman"/>
          <w:color w:val="000000" w:themeColor="text1"/>
          <w:szCs w:val="24"/>
        </w:rPr>
        <w:t>Thus</w:t>
      </w:r>
      <w:r w:rsidR="005554FA" w:rsidRPr="004E5203">
        <w:rPr>
          <w:rFonts w:cs="Times New Roman"/>
          <w:color w:val="000000" w:themeColor="text1"/>
          <w:szCs w:val="24"/>
        </w:rPr>
        <w:t xml:space="preserve">, </w:t>
      </w:r>
      <w:r w:rsidR="00B10B42" w:rsidRPr="004E5203">
        <w:rPr>
          <w:rFonts w:cs="Times New Roman"/>
          <w:color w:val="000000" w:themeColor="text1"/>
          <w:szCs w:val="24"/>
        </w:rPr>
        <w:t>verifying</w:t>
      </w:r>
      <w:r w:rsidR="005554FA" w:rsidRPr="004E5203">
        <w:rPr>
          <w:rFonts w:cs="Times New Roman"/>
          <w:color w:val="000000" w:themeColor="text1"/>
          <w:szCs w:val="24"/>
        </w:rPr>
        <w:t xml:space="preserve"> use as far back as 1189 is not compulsory as long as the previous 20 years of use are reported. </w:t>
      </w:r>
      <w:r w:rsidR="00547D96" w:rsidRPr="004E5203">
        <w:rPr>
          <w:rFonts w:cs="Times New Roman"/>
          <w:color w:val="000000" w:themeColor="text1"/>
          <w:szCs w:val="24"/>
        </w:rPr>
        <w:t xml:space="preserve">However, </w:t>
      </w:r>
      <w:r w:rsidR="006632D9" w:rsidRPr="004E5203">
        <w:rPr>
          <w:rFonts w:cs="Times New Roman"/>
          <w:color w:val="000000" w:themeColor="text1"/>
          <w:szCs w:val="24"/>
        </w:rPr>
        <w:t>t</w:t>
      </w:r>
      <w:r w:rsidR="00547D96" w:rsidRPr="004E5203">
        <w:rPr>
          <w:rFonts w:cs="Times New Roman"/>
          <w:color w:val="000000" w:themeColor="text1"/>
          <w:szCs w:val="24"/>
        </w:rPr>
        <w:t xml:space="preserve">his presumption might be challenged by showing that the right in question has never been exercised or was never exercisable. </w:t>
      </w:r>
      <w:r w:rsidR="006632D9" w:rsidRPr="004E5203">
        <w:rPr>
          <w:rFonts w:cs="Times New Roman"/>
          <w:color w:val="000000" w:themeColor="text1"/>
          <w:szCs w:val="24"/>
        </w:rPr>
        <w:t xml:space="preserve">The presumption might be rebutted if it is shown that the owner of both the dominant and subordinate tenements was the same person. These factors explain and describe that these are the reason why common law prescriptions seldom work. </w:t>
      </w:r>
      <w:r w:rsidRPr="004E5203">
        <w:rPr>
          <w:rFonts w:cs="Times New Roman"/>
          <w:color w:val="000000" w:themeColor="text1"/>
          <w:szCs w:val="24"/>
        </w:rPr>
        <w:t xml:space="preserve">Hence, the implementation of common law has been criticised </w:t>
      </w:r>
      <w:r w:rsidR="003035CD" w:rsidRPr="004E5203">
        <w:rPr>
          <w:rFonts w:cs="Times New Roman"/>
          <w:color w:val="000000" w:themeColor="text1"/>
          <w:szCs w:val="24"/>
        </w:rPr>
        <w:t xml:space="preserve">for being too severe and unjust </w:t>
      </w:r>
      <w:r w:rsidR="003035CD" w:rsidRPr="004E5203">
        <w:rPr>
          <w:rFonts w:cs="Times New Roman"/>
          <w:color w:val="000000" w:themeColor="text1"/>
          <w:szCs w:val="24"/>
          <w:shd w:val="clear" w:color="auto" w:fill="FFFFFF"/>
        </w:rPr>
        <w:t xml:space="preserve">(Briggs, </w:t>
      </w:r>
      <w:r w:rsidR="003035CD" w:rsidRPr="004E5203">
        <w:rPr>
          <w:rFonts w:cs="Times New Roman"/>
          <w:color w:val="000000" w:themeColor="text1"/>
          <w:szCs w:val="24"/>
          <w:shd w:val="clear" w:color="auto" w:fill="FFFFFF"/>
        </w:rPr>
        <w:lastRenderedPageBreak/>
        <w:t>2017).</w:t>
      </w:r>
    </w:p>
    <w:p w:rsidR="00C55B3E" w:rsidRPr="004E5203" w:rsidRDefault="00A66F2D" w:rsidP="004E5203">
      <w:pPr>
        <w:jc w:val="left"/>
        <w:rPr>
          <w:rFonts w:cs="Times New Roman"/>
          <w:color w:val="000000" w:themeColor="text1"/>
          <w:szCs w:val="24"/>
          <w:shd w:val="clear" w:color="auto" w:fill="FFFFFF"/>
        </w:rPr>
      </w:pPr>
      <w:r w:rsidRPr="004E5203">
        <w:rPr>
          <w:rFonts w:cs="Times New Roman"/>
          <w:color w:val="000000" w:themeColor="text1"/>
          <w:szCs w:val="24"/>
        </w:rPr>
        <w:t xml:space="preserve">The idea of lost contemporary grants is the alternative means of acquiring an easement through prescription. If a "user as of right" can show continuous use for 20 years after the modern period began in 1189, the easement can be awarded to them under the doctrine of prescription. Because a user cannot prove "user as of right" back to 1189, the arguments in favour of this concept are speculative and cannot be taken seriously. It presumes the deed was lost but permits the prescription of a contemporaneous grant by evidence. </w:t>
      </w:r>
      <w:r w:rsidR="006F2AE5" w:rsidRPr="004E5203">
        <w:rPr>
          <w:rFonts w:cs="Times New Roman"/>
          <w:color w:val="000000" w:themeColor="text1"/>
          <w:szCs w:val="24"/>
        </w:rPr>
        <w:t xml:space="preserve">This is the reason that has made the lost modern grant advantageous over common law prescription. The phenomenon is that a lost modern grant has an advantage over common law prescription because it assumes usage from "modern times" rather than use </w:t>
      </w:r>
      <w:r w:rsidR="003035CD" w:rsidRPr="004E5203">
        <w:rPr>
          <w:rFonts w:cs="Times New Roman"/>
          <w:color w:val="000000" w:themeColor="text1"/>
          <w:szCs w:val="24"/>
        </w:rPr>
        <w:t xml:space="preserve">from the very beginning of time </w:t>
      </w:r>
      <w:r w:rsidR="003035CD" w:rsidRPr="004E5203">
        <w:rPr>
          <w:rFonts w:cs="Times New Roman"/>
          <w:color w:val="000000" w:themeColor="text1"/>
          <w:szCs w:val="24"/>
          <w:shd w:val="clear" w:color="auto" w:fill="FFFFFF"/>
        </w:rPr>
        <w:t>(Clarke and Greer, 2020). </w:t>
      </w:r>
    </w:p>
    <w:p w:rsidR="006F2AE5" w:rsidRPr="004E5203" w:rsidRDefault="00A66F2D" w:rsidP="004E5203">
      <w:pPr>
        <w:jc w:val="left"/>
        <w:rPr>
          <w:rFonts w:cs="Times New Roman"/>
          <w:color w:val="000000" w:themeColor="text1"/>
          <w:szCs w:val="24"/>
          <w:shd w:val="clear" w:color="auto" w:fill="FFFFFF"/>
        </w:rPr>
      </w:pPr>
      <w:proofErr w:type="spellStart"/>
      <w:r w:rsidRPr="004E5203">
        <w:rPr>
          <w:rFonts w:cs="Times New Roman"/>
          <w:color w:val="000000" w:themeColor="text1"/>
          <w:szCs w:val="24"/>
        </w:rPr>
        <w:t>Tehidy</w:t>
      </w:r>
      <w:proofErr w:type="spellEnd"/>
      <w:r w:rsidRPr="004E5203">
        <w:rPr>
          <w:rFonts w:cs="Times New Roman"/>
          <w:color w:val="000000" w:themeColor="text1"/>
          <w:szCs w:val="24"/>
        </w:rPr>
        <w:t xml:space="preserve"> Minerals v Norman [1971] and Dalton v Angus [1981] upheld the idea of lost contemporary grants and established that 20-year evidence supports it. </w:t>
      </w:r>
      <w:r w:rsidR="00CA21AD" w:rsidRPr="004E5203">
        <w:rPr>
          <w:rFonts w:cs="Times New Roman"/>
          <w:color w:val="000000" w:themeColor="text1"/>
          <w:szCs w:val="24"/>
        </w:rPr>
        <w:t xml:space="preserve">According to the </w:t>
      </w:r>
      <w:proofErr w:type="spellStart"/>
      <w:r w:rsidR="00CA21AD" w:rsidRPr="004E5203">
        <w:rPr>
          <w:rFonts w:cs="Times New Roman"/>
          <w:color w:val="000000" w:themeColor="text1"/>
          <w:szCs w:val="24"/>
        </w:rPr>
        <w:t>Tehidy</w:t>
      </w:r>
      <w:proofErr w:type="spellEnd"/>
      <w:r w:rsidR="00CA21AD" w:rsidRPr="004E5203">
        <w:rPr>
          <w:rFonts w:cs="Times New Roman"/>
          <w:color w:val="000000" w:themeColor="text1"/>
          <w:szCs w:val="24"/>
        </w:rPr>
        <w:t xml:space="preserve"> decision by Buckley I.J., an easement is presumed to be valid after 20 years of continuous use. If the conditions of the prescription are met, the law will treat the circumstances as if a grant had been granted, even if there is no direct evidence to support such a claim. </w:t>
      </w:r>
      <w:proofErr w:type="gramStart"/>
      <w:r w:rsidRPr="004E5203">
        <w:rPr>
          <w:rFonts w:cs="Times New Roman"/>
          <w:color w:val="000000" w:themeColor="text1"/>
          <w:szCs w:val="24"/>
        </w:rPr>
        <w:t>" It</w:t>
      </w:r>
      <w:proofErr w:type="gramEnd"/>
      <w:r w:rsidRPr="004E5203">
        <w:rPr>
          <w:rFonts w:cs="Times New Roman"/>
          <w:color w:val="000000" w:themeColor="text1"/>
          <w:szCs w:val="24"/>
        </w:rPr>
        <w:t xml:space="preserve"> would be surprising if circumstantial proof that no gift was made could modify this legal "action." Buckley </w:t>
      </w:r>
      <w:r w:rsidR="00426125" w:rsidRPr="004E5203">
        <w:rPr>
          <w:rFonts w:cs="Times New Roman"/>
          <w:color w:val="000000" w:themeColor="text1"/>
          <w:szCs w:val="24"/>
        </w:rPr>
        <w:t xml:space="preserve">(2018) </w:t>
      </w:r>
      <w:r w:rsidRPr="004E5203">
        <w:rPr>
          <w:rFonts w:cs="Times New Roman"/>
          <w:color w:val="000000" w:themeColor="text1"/>
          <w:szCs w:val="24"/>
        </w:rPr>
        <w:t xml:space="preserve">believes circumstantial evidence pointing to a lack of a grant (but no evidence showing it's impossible) should not change the "action." </w:t>
      </w:r>
      <w:r w:rsidR="005470F0" w:rsidRPr="004E5203">
        <w:rPr>
          <w:rFonts w:cs="Times New Roman"/>
          <w:color w:val="000000" w:themeColor="text1"/>
          <w:szCs w:val="24"/>
        </w:rPr>
        <w:t xml:space="preserve">Thus, it seems that proving that no grant has been given is not sufficient to prove the presumption. </w:t>
      </w:r>
      <w:r w:rsidR="00EA2CC1" w:rsidRPr="004E5203">
        <w:rPr>
          <w:rFonts w:cs="Times New Roman"/>
          <w:color w:val="000000" w:themeColor="text1"/>
          <w:szCs w:val="24"/>
        </w:rPr>
        <w:t xml:space="preserve">In sum, the assumption is that the presumption of the lost modern grant can be rebutted if it has been proved that throughout the period, the grant </w:t>
      </w:r>
      <w:r w:rsidR="00D27C7A" w:rsidRPr="004E5203">
        <w:rPr>
          <w:rFonts w:cs="Times New Roman"/>
          <w:color w:val="000000" w:themeColor="text1"/>
          <w:szCs w:val="24"/>
        </w:rPr>
        <w:t>existed,</w:t>
      </w:r>
      <w:r w:rsidR="00EA2CC1" w:rsidRPr="004E5203">
        <w:rPr>
          <w:rFonts w:cs="Times New Roman"/>
          <w:color w:val="000000" w:themeColor="text1"/>
          <w:szCs w:val="24"/>
        </w:rPr>
        <w:t xml:space="preserve"> and no one was eligible to make a contributi</w:t>
      </w:r>
      <w:r w:rsidR="003035CD" w:rsidRPr="004E5203">
        <w:rPr>
          <w:rFonts w:cs="Times New Roman"/>
          <w:color w:val="000000" w:themeColor="text1"/>
          <w:szCs w:val="24"/>
        </w:rPr>
        <w:t xml:space="preserve">on during the grant's existence </w:t>
      </w:r>
      <w:r w:rsidR="003035CD" w:rsidRPr="004E5203">
        <w:rPr>
          <w:rFonts w:cs="Times New Roman"/>
          <w:color w:val="000000" w:themeColor="text1"/>
          <w:szCs w:val="24"/>
          <w:shd w:val="clear" w:color="auto" w:fill="FFFFFF"/>
        </w:rPr>
        <w:t>(Duxbury, 2017).</w:t>
      </w:r>
    </w:p>
    <w:p w:rsidR="00DE15EC" w:rsidRPr="004E5203" w:rsidRDefault="00A66F2D" w:rsidP="004E5203">
      <w:pPr>
        <w:jc w:val="left"/>
        <w:rPr>
          <w:rFonts w:cs="Times New Roman"/>
          <w:color w:val="000000" w:themeColor="text1"/>
          <w:szCs w:val="24"/>
        </w:rPr>
      </w:pPr>
      <w:r w:rsidRPr="004E5203">
        <w:rPr>
          <w:rFonts w:cs="Times New Roman"/>
          <w:color w:val="000000" w:themeColor="text1"/>
          <w:szCs w:val="24"/>
        </w:rPr>
        <w:t>The final mean for acquiring prescriptive easement is prescription under the Prescription Act of 1832</w:t>
      </w:r>
      <w:r w:rsidR="003035CD" w:rsidRPr="004E5203">
        <w:rPr>
          <w:rFonts w:cs="Times New Roman"/>
          <w:color w:val="000000" w:themeColor="text1"/>
          <w:szCs w:val="24"/>
        </w:rPr>
        <w:t xml:space="preserve"> </w:t>
      </w:r>
      <w:r w:rsidR="003035CD" w:rsidRPr="004E5203">
        <w:rPr>
          <w:rFonts w:cs="Times New Roman"/>
          <w:color w:val="000000" w:themeColor="text1"/>
          <w:szCs w:val="24"/>
          <w:shd w:val="clear" w:color="auto" w:fill="FFFFFF"/>
        </w:rPr>
        <w:t>(French, 2016)</w:t>
      </w:r>
      <w:r w:rsidRPr="004E5203">
        <w:rPr>
          <w:rFonts w:cs="Times New Roman"/>
          <w:color w:val="000000" w:themeColor="text1"/>
          <w:szCs w:val="24"/>
        </w:rPr>
        <w:t xml:space="preserve">. The base of this act aims to remove absurdity and the complications from the other two approaches of prescription. The requirements are poorly written and fraught with complexities. All three approaches coexist at the present time. What makes this act special is that it extends protection to instances where the other two options have fallen short. The easement granted under the Act recognises that the right has been in continuous use for the last 20 years. The easement is mandated during this time but can be challenged afterwards. A long-time of "user as of right," say 40 years, also makes the right absolute and unchallengeable. </w:t>
      </w:r>
      <w:r w:rsidRPr="004E5203">
        <w:rPr>
          <w:rFonts w:cs="Times New Roman"/>
          <w:color w:val="000000" w:themeColor="text1"/>
          <w:szCs w:val="24"/>
        </w:rPr>
        <w:lastRenderedPageBreak/>
        <w:t>Notably, the act does not do away with the prerequisites for the other two approaches (</w:t>
      </w:r>
      <w:proofErr w:type="spellStart"/>
      <w:r w:rsidRPr="004E5203">
        <w:rPr>
          <w:rFonts w:cs="Times New Roman"/>
          <w:color w:val="000000" w:themeColor="text1"/>
          <w:szCs w:val="24"/>
        </w:rPr>
        <w:t>Getzler</w:t>
      </w:r>
      <w:proofErr w:type="spellEnd"/>
      <w:r w:rsidRPr="004E5203">
        <w:rPr>
          <w:rFonts w:cs="Times New Roman"/>
          <w:color w:val="000000" w:themeColor="text1"/>
          <w:szCs w:val="24"/>
        </w:rPr>
        <w:t>, 2017).</w:t>
      </w:r>
    </w:p>
    <w:p w:rsidR="00DE15EC" w:rsidRPr="004E5203" w:rsidRDefault="00A66F2D" w:rsidP="004E5203">
      <w:pPr>
        <w:jc w:val="left"/>
        <w:rPr>
          <w:rFonts w:cs="Times New Roman"/>
          <w:color w:val="000000" w:themeColor="text1"/>
          <w:szCs w:val="24"/>
        </w:rPr>
      </w:pPr>
      <w:r w:rsidRPr="004E5203">
        <w:rPr>
          <w:rFonts w:cs="Times New Roman"/>
          <w:color w:val="000000" w:themeColor="text1"/>
          <w:szCs w:val="24"/>
        </w:rPr>
        <w:t xml:space="preserve">The “Prescription Act of 1832” has several unusual stipulations compared to the other two approaches. For each scenario, the "next before action" period specified in Section 4 of this Act applies. In accordance with the prescription act, no absolute right is acquired prior to its establishment by action, regardless of how long the time of 'user as of right' may be. Since the act will not be sanctioned under these circumstances, either of the other two options will do. Second, the user must be 'without interruption' in order for the act to apply. </w:t>
      </w:r>
      <w:proofErr w:type="gramStart"/>
      <w:r w:rsidRPr="004E5203">
        <w:rPr>
          <w:rFonts w:cs="Times New Roman"/>
          <w:color w:val="000000" w:themeColor="text1"/>
          <w:szCs w:val="24"/>
        </w:rPr>
        <w:t>Anything more than a year is considered a break in service (</w:t>
      </w:r>
      <w:proofErr w:type="spellStart"/>
      <w:r w:rsidRPr="004E5203">
        <w:rPr>
          <w:rFonts w:cs="Times New Roman"/>
          <w:color w:val="000000" w:themeColor="text1"/>
          <w:szCs w:val="24"/>
        </w:rPr>
        <w:t>Ghasemi</w:t>
      </w:r>
      <w:proofErr w:type="spellEnd"/>
      <w:r w:rsidRPr="004E5203">
        <w:rPr>
          <w:rFonts w:cs="Times New Roman"/>
          <w:color w:val="000000" w:themeColor="text1"/>
          <w:szCs w:val="24"/>
        </w:rPr>
        <w:t>, 2016).</w:t>
      </w:r>
      <w:proofErr w:type="gramEnd"/>
    </w:p>
    <w:p w:rsidR="00B83896" w:rsidRPr="004E5203" w:rsidRDefault="00A66F2D" w:rsidP="004E5203">
      <w:pPr>
        <w:jc w:val="left"/>
        <w:rPr>
          <w:rFonts w:cs="Times New Roman"/>
          <w:color w:val="000000" w:themeColor="text1"/>
          <w:szCs w:val="24"/>
          <w:shd w:val="clear" w:color="auto" w:fill="FFFFFF"/>
        </w:rPr>
      </w:pPr>
      <w:r w:rsidRPr="004E5203">
        <w:rPr>
          <w:rFonts w:cs="Times New Roman"/>
          <w:color w:val="000000" w:themeColor="text1"/>
          <w:szCs w:val="24"/>
        </w:rPr>
        <w:t xml:space="preserve">In the court of appeal, the case </w:t>
      </w:r>
      <w:r w:rsidR="00DE15EC" w:rsidRPr="004E5203">
        <w:rPr>
          <w:rFonts w:cs="Times New Roman"/>
          <w:color w:val="000000" w:themeColor="text1"/>
          <w:szCs w:val="24"/>
        </w:rPr>
        <w:t>“</w:t>
      </w:r>
      <w:proofErr w:type="spellStart"/>
      <w:r w:rsidRPr="004E5203">
        <w:rPr>
          <w:rFonts w:cs="Times New Roman"/>
          <w:color w:val="000000" w:themeColor="text1"/>
          <w:szCs w:val="24"/>
        </w:rPr>
        <w:t>Tehidy</w:t>
      </w:r>
      <w:proofErr w:type="spellEnd"/>
      <w:r w:rsidRPr="004E5203">
        <w:rPr>
          <w:rFonts w:cs="Times New Roman"/>
          <w:color w:val="000000" w:themeColor="text1"/>
          <w:szCs w:val="24"/>
        </w:rPr>
        <w:t>, Buckley LJ</w:t>
      </w:r>
      <w:r w:rsidR="00DE15EC" w:rsidRPr="004E5203">
        <w:rPr>
          <w:rFonts w:cs="Times New Roman"/>
          <w:color w:val="000000" w:themeColor="text1"/>
          <w:szCs w:val="24"/>
        </w:rPr>
        <w:t>”</w:t>
      </w:r>
      <w:r w:rsidRPr="004E5203">
        <w:rPr>
          <w:rFonts w:cs="Times New Roman"/>
          <w:color w:val="000000" w:themeColor="text1"/>
          <w:szCs w:val="24"/>
        </w:rPr>
        <w:t xml:space="preserve"> specified that three separate methods of prescription, in their view, are undesirable as well as anomalous. </w:t>
      </w:r>
      <w:proofErr w:type="gramStart"/>
      <w:r w:rsidRPr="004E5203">
        <w:rPr>
          <w:rFonts w:cs="Times New Roman"/>
          <w:color w:val="000000" w:themeColor="text1"/>
          <w:szCs w:val="24"/>
        </w:rPr>
        <w:t>Which, as a result, brings unnecessary confusion and complication as well.</w:t>
      </w:r>
      <w:proofErr w:type="gramEnd"/>
      <w:r w:rsidRPr="004E5203">
        <w:rPr>
          <w:rFonts w:cs="Times New Roman"/>
          <w:color w:val="000000" w:themeColor="text1"/>
          <w:szCs w:val="24"/>
        </w:rPr>
        <w:t xml:space="preserve"> Buckley LJ appealed the possibility of long-overdue simplification in this branch of the law. As an outcome of this statement, the need for updates and reform had been considered in the long run, but no action had been undertaken. The reason was that the common law prescription got outdated, ineffective and bizarre in the application</w:t>
      </w:r>
      <w:r w:rsidR="003035CD" w:rsidRPr="004E5203">
        <w:rPr>
          <w:rFonts w:cs="Times New Roman"/>
          <w:color w:val="000000" w:themeColor="text1"/>
          <w:szCs w:val="24"/>
        </w:rPr>
        <w:t xml:space="preserve"> </w:t>
      </w:r>
      <w:r w:rsidR="003035CD" w:rsidRPr="004E5203">
        <w:rPr>
          <w:rFonts w:cs="Times New Roman"/>
          <w:color w:val="000000" w:themeColor="text1"/>
          <w:szCs w:val="24"/>
          <w:shd w:val="clear" w:color="auto" w:fill="FFFFFF"/>
        </w:rPr>
        <w:t>(</w:t>
      </w:r>
      <w:proofErr w:type="spellStart"/>
      <w:r w:rsidR="003035CD" w:rsidRPr="004E5203">
        <w:rPr>
          <w:rFonts w:cs="Times New Roman"/>
          <w:color w:val="000000" w:themeColor="text1"/>
          <w:szCs w:val="24"/>
          <w:shd w:val="clear" w:color="auto" w:fill="FFFFFF"/>
        </w:rPr>
        <w:t>Ghasemi</w:t>
      </w:r>
      <w:proofErr w:type="spellEnd"/>
      <w:r w:rsidR="003035CD" w:rsidRPr="004E5203">
        <w:rPr>
          <w:rFonts w:cs="Times New Roman"/>
          <w:color w:val="000000" w:themeColor="text1"/>
          <w:szCs w:val="24"/>
          <w:shd w:val="clear" w:color="auto" w:fill="FFFFFF"/>
        </w:rPr>
        <w:t>, 2016)</w:t>
      </w:r>
      <w:r w:rsidRPr="004E5203">
        <w:rPr>
          <w:rFonts w:cs="Times New Roman"/>
          <w:color w:val="000000" w:themeColor="text1"/>
          <w:szCs w:val="24"/>
        </w:rPr>
        <w:t>. On the contrary, the lost modern grant undoubtedly provides some stable prescription, but it is based on legal fiction. As a result, the court announced to bring it, in case it totally relied on the other prescriptions to be filed and considered this method as a last option to attain. Whilst Prescription Act of 1832 was introduced in order to facilitate the prescription of easements and to bring vital structure as well. Though, this act would create more pr</w:t>
      </w:r>
      <w:r w:rsidR="003035CD" w:rsidRPr="004E5203">
        <w:rPr>
          <w:rFonts w:cs="Times New Roman"/>
          <w:color w:val="000000" w:themeColor="text1"/>
          <w:szCs w:val="24"/>
        </w:rPr>
        <w:t xml:space="preserve">oblems and complexities as well </w:t>
      </w:r>
      <w:r w:rsidR="003035CD" w:rsidRPr="004E5203">
        <w:rPr>
          <w:rFonts w:cs="Times New Roman"/>
          <w:color w:val="000000" w:themeColor="text1"/>
          <w:szCs w:val="24"/>
          <w:shd w:val="clear" w:color="auto" w:fill="FFFFFF"/>
        </w:rPr>
        <w:t>(Ward, 2017).</w:t>
      </w:r>
    </w:p>
    <w:p w:rsidR="00605695" w:rsidRPr="004E5203" w:rsidRDefault="00A66F2D" w:rsidP="004E5203">
      <w:pPr>
        <w:jc w:val="left"/>
        <w:rPr>
          <w:rFonts w:cs="Times New Roman"/>
          <w:color w:val="000000" w:themeColor="text1"/>
          <w:szCs w:val="24"/>
        </w:rPr>
      </w:pPr>
      <w:r w:rsidRPr="004E5203">
        <w:rPr>
          <w:rFonts w:cs="Times New Roman"/>
          <w:color w:val="000000" w:themeColor="text1"/>
          <w:szCs w:val="24"/>
        </w:rPr>
        <w:t>In the critical evaluation</w:t>
      </w:r>
      <w:r w:rsidR="009F48C8" w:rsidRPr="004E5203">
        <w:rPr>
          <w:rFonts w:cs="Times New Roman"/>
          <w:color w:val="000000" w:themeColor="text1"/>
          <w:szCs w:val="24"/>
        </w:rPr>
        <w:t xml:space="preserve"> of all these three methods</w:t>
      </w:r>
      <w:r w:rsidRPr="004E5203">
        <w:rPr>
          <w:rFonts w:cs="Times New Roman"/>
          <w:color w:val="000000" w:themeColor="text1"/>
          <w:szCs w:val="24"/>
        </w:rPr>
        <w:t xml:space="preserve">, </w:t>
      </w:r>
      <w:r w:rsidR="006B3815" w:rsidRPr="004E5203">
        <w:rPr>
          <w:rFonts w:cs="Times New Roman"/>
          <w:color w:val="000000" w:themeColor="text1"/>
          <w:szCs w:val="24"/>
        </w:rPr>
        <w:t xml:space="preserve">it can seem that a single important point can become the removal of the method of prescription to implicate and can be replaced with the single statutory method. </w:t>
      </w:r>
      <w:r w:rsidR="00C07A73" w:rsidRPr="004E5203">
        <w:rPr>
          <w:rFonts w:cs="Times New Roman"/>
          <w:color w:val="000000" w:themeColor="text1"/>
          <w:szCs w:val="24"/>
        </w:rPr>
        <w:t xml:space="preserve">By selecting predetermined ideas, such as a qualifying time of 20 years for the prescription, this uniform statutory system serves as a springboard for further change (Ian and Dunn, 2018). </w:t>
      </w:r>
      <w:r w:rsidRPr="004E5203">
        <w:rPr>
          <w:rFonts w:cs="Times New Roman"/>
          <w:color w:val="000000" w:themeColor="text1"/>
          <w:szCs w:val="24"/>
        </w:rPr>
        <w:t xml:space="preserve">These were the mechanics that have been described </w:t>
      </w:r>
      <w:r w:rsidR="006F2E54" w:rsidRPr="004E5203">
        <w:rPr>
          <w:rFonts w:cs="Times New Roman"/>
          <w:color w:val="000000" w:themeColor="text1"/>
          <w:szCs w:val="24"/>
        </w:rPr>
        <w:t>above; however, there have four kinds of implied easements. Implied easement involves the implication of acts on the arrival of circumstances of a particular configuration of land. These implied easements are not written down; however, they can be applied in case required, where there is no requirement for the property owner to provide acces</w:t>
      </w:r>
      <w:r w:rsidRPr="004E5203">
        <w:rPr>
          <w:rFonts w:cs="Times New Roman"/>
          <w:color w:val="000000" w:themeColor="text1"/>
          <w:szCs w:val="24"/>
        </w:rPr>
        <w:t xml:space="preserve">s rights to his land to others </w:t>
      </w:r>
      <w:r w:rsidRPr="004E5203">
        <w:rPr>
          <w:rFonts w:cs="Times New Roman"/>
          <w:color w:val="000000" w:themeColor="text1"/>
          <w:szCs w:val="24"/>
          <w:shd w:val="clear" w:color="auto" w:fill="FFFFFF"/>
        </w:rPr>
        <w:t xml:space="preserve">(Ian and Dunn, 2018). </w:t>
      </w:r>
      <w:r w:rsidR="00325C6E" w:rsidRPr="004E5203">
        <w:rPr>
          <w:rFonts w:cs="Times New Roman"/>
          <w:color w:val="000000" w:themeColor="text1"/>
          <w:szCs w:val="24"/>
        </w:rPr>
        <w:t xml:space="preserve">Out of these four implied easements, the first one is easements of necessity. This </w:t>
      </w:r>
      <w:r w:rsidR="00325C6E" w:rsidRPr="004E5203">
        <w:rPr>
          <w:rFonts w:cs="Times New Roman"/>
          <w:color w:val="000000" w:themeColor="text1"/>
          <w:szCs w:val="24"/>
        </w:rPr>
        <w:lastRenderedPageBreak/>
        <w:t xml:space="preserve">easement comes in when there would be no way for the owner of the dominating tenement to exert control over the dominant land in the absence of an easement. </w:t>
      </w:r>
      <w:r w:rsidRPr="004E5203">
        <w:rPr>
          <w:rFonts w:cs="Times New Roman"/>
          <w:color w:val="000000" w:themeColor="text1"/>
          <w:szCs w:val="24"/>
        </w:rPr>
        <w:t>Even if a court decides that an easement is required for a dominating property's use, it's not automatically granted (“</w:t>
      </w:r>
      <w:proofErr w:type="spellStart"/>
      <w:r w:rsidRPr="004E5203">
        <w:rPr>
          <w:rFonts w:cs="Times New Roman"/>
          <w:color w:val="000000" w:themeColor="text1"/>
          <w:szCs w:val="24"/>
        </w:rPr>
        <w:t>Adealon</w:t>
      </w:r>
      <w:proofErr w:type="spellEnd"/>
      <w:r w:rsidRPr="004E5203">
        <w:rPr>
          <w:rFonts w:cs="Times New Roman"/>
          <w:color w:val="000000" w:themeColor="text1"/>
          <w:szCs w:val="24"/>
        </w:rPr>
        <w:t xml:space="preserve"> International Corporation Pty Ltd v Merton LBC [2007] EWCA </w:t>
      </w:r>
      <w:proofErr w:type="spellStart"/>
      <w:r w:rsidRPr="004E5203">
        <w:rPr>
          <w:rFonts w:cs="Times New Roman"/>
          <w:color w:val="000000" w:themeColor="text1"/>
          <w:szCs w:val="24"/>
        </w:rPr>
        <w:t>Civ</w:t>
      </w:r>
      <w:proofErr w:type="spellEnd"/>
      <w:r w:rsidRPr="004E5203">
        <w:rPr>
          <w:rFonts w:cs="Times New Roman"/>
          <w:color w:val="000000" w:themeColor="text1"/>
          <w:szCs w:val="24"/>
        </w:rPr>
        <w:t xml:space="preserve"> 362”). Second, easements of shared intention can be inferred in conditions giving effect to prior parties' understanding. “Nickerson v </w:t>
      </w:r>
      <w:proofErr w:type="spellStart"/>
      <w:r w:rsidRPr="004E5203">
        <w:rPr>
          <w:rFonts w:cs="Times New Roman"/>
          <w:color w:val="000000" w:themeColor="text1"/>
          <w:szCs w:val="24"/>
        </w:rPr>
        <w:t>Barraclough</w:t>
      </w:r>
      <w:proofErr w:type="spellEnd"/>
      <w:r w:rsidRPr="004E5203">
        <w:rPr>
          <w:rFonts w:cs="Times New Roman"/>
          <w:color w:val="000000" w:themeColor="text1"/>
          <w:szCs w:val="24"/>
        </w:rPr>
        <w:t xml:space="preserve"> [1981] Ch 426”, CA ruled that a common-intention easement can be required (Duxbury, 2016).</w:t>
      </w:r>
    </w:p>
    <w:p w:rsidR="00D542C8" w:rsidRPr="004E5203" w:rsidRDefault="00A66F2D" w:rsidP="004E5203">
      <w:pPr>
        <w:jc w:val="left"/>
        <w:rPr>
          <w:rFonts w:cs="Times New Roman"/>
          <w:color w:val="000000" w:themeColor="text1"/>
          <w:szCs w:val="24"/>
          <w:shd w:val="clear" w:color="auto" w:fill="FFFFFF"/>
        </w:rPr>
      </w:pPr>
      <w:r w:rsidRPr="004E5203">
        <w:rPr>
          <w:rFonts w:cs="Times New Roman"/>
          <w:color w:val="000000" w:themeColor="text1"/>
          <w:szCs w:val="24"/>
        </w:rPr>
        <w:t xml:space="preserve">Thus, in the case of Nickerson v </w:t>
      </w:r>
      <w:proofErr w:type="spellStart"/>
      <w:r w:rsidRPr="004E5203">
        <w:rPr>
          <w:rFonts w:cs="Times New Roman"/>
          <w:color w:val="000000" w:themeColor="text1"/>
          <w:szCs w:val="24"/>
        </w:rPr>
        <w:t>Barraclough</w:t>
      </w:r>
      <w:proofErr w:type="spellEnd"/>
      <w:r w:rsidRPr="004E5203">
        <w:rPr>
          <w:rFonts w:cs="Times New Roman"/>
          <w:color w:val="000000" w:themeColor="text1"/>
          <w:szCs w:val="24"/>
        </w:rPr>
        <w:t xml:space="preserve">, </w:t>
      </w:r>
      <w:proofErr w:type="spellStart"/>
      <w:r w:rsidRPr="004E5203">
        <w:rPr>
          <w:rFonts w:cs="Times New Roman"/>
          <w:color w:val="000000" w:themeColor="text1"/>
          <w:szCs w:val="24"/>
        </w:rPr>
        <w:t>Barraclough's</w:t>
      </w:r>
      <w:proofErr w:type="spellEnd"/>
      <w:r w:rsidRPr="004E5203">
        <w:rPr>
          <w:rFonts w:cs="Times New Roman"/>
          <w:color w:val="000000" w:themeColor="text1"/>
          <w:szCs w:val="24"/>
        </w:rPr>
        <w:t xml:space="preserve"> appeal was accepted. </w:t>
      </w:r>
      <w:r w:rsidR="00145281" w:rsidRPr="004E5203">
        <w:rPr>
          <w:rFonts w:cs="Times New Roman"/>
          <w:color w:val="000000" w:themeColor="text1"/>
          <w:szCs w:val="24"/>
        </w:rPr>
        <w:t xml:space="preserve">A path of need only </w:t>
      </w:r>
      <w:r w:rsidR="00B10B42" w:rsidRPr="004E5203">
        <w:rPr>
          <w:rFonts w:cs="Times New Roman"/>
          <w:color w:val="000000" w:themeColor="text1"/>
          <w:szCs w:val="24"/>
        </w:rPr>
        <w:t>existed</w:t>
      </w:r>
      <w:r w:rsidR="00145281" w:rsidRPr="004E5203">
        <w:rPr>
          <w:rFonts w:cs="Times New Roman"/>
          <w:color w:val="000000" w:themeColor="text1"/>
          <w:szCs w:val="24"/>
        </w:rPr>
        <w:t xml:space="preserve"> when </w:t>
      </w:r>
      <w:r w:rsidR="00E62D8A" w:rsidRPr="004E5203">
        <w:rPr>
          <w:rFonts w:cs="Times New Roman"/>
          <w:color w:val="000000" w:themeColor="text1"/>
          <w:szCs w:val="24"/>
        </w:rPr>
        <w:t>necessary,</w:t>
      </w:r>
      <w:r w:rsidR="00145281" w:rsidRPr="004E5203">
        <w:rPr>
          <w:rFonts w:cs="Times New Roman"/>
          <w:color w:val="000000" w:themeColor="text1"/>
          <w:szCs w:val="24"/>
        </w:rPr>
        <w:t xml:space="preserve"> by necessity or implication, </w:t>
      </w:r>
      <w:r w:rsidR="00B10B42" w:rsidRPr="004E5203">
        <w:rPr>
          <w:rFonts w:cs="Times New Roman"/>
          <w:color w:val="000000" w:themeColor="text1"/>
          <w:szCs w:val="24"/>
        </w:rPr>
        <w:t>i.e.,</w:t>
      </w:r>
      <w:r w:rsidR="00145281" w:rsidRPr="004E5203">
        <w:rPr>
          <w:rFonts w:cs="Times New Roman"/>
          <w:color w:val="000000" w:themeColor="text1"/>
          <w:szCs w:val="24"/>
        </w:rPr>
        <w:t xml:space="preserve"> when land couldn't be accessed without it. People argued public policy didn't matter and could only help if limiting access was against the public's best interests. Nickerson's farm wasn't landlocked because of the road. The law of necessity couldn't be applied. Section 62 only covered rights at the time of conveyance. </w:t>
      </w:r>
      <w:r w:rsidRPr="004E5203">
        <w:rPr>
          <w:rFonts w:cs="Times New Roman"/>
          <w:color w:val="000000" w:themeColor="text1"/>
          <w:szCs w:val="24"/>
        </w:rPr>
        <w:t>It did not cover rights t</w:t>
      </w:r>
      <w:r w:rsidR="003035CD" w:rsidRPr="004E5203">
        <w:rPr>
          <w:rFonts w:cs="Times New Roman"/>
          <w:color w:val="000000" w:themeColor="text1"/>
          <w:szCs w:val="24"/>
        </w:rPr>
        <w:t xml:space="preserve">hat might come up in the future </w:t>
      </w:r>
      <w:r w:rsidR="003035CD" w:rsidRPr="004E5203">
        <w:rPr>
          <w:rFonts w:cs="Times New Roman"/>
          <w:color w:val="000000" w:themeColor="text1"/>
          <w:szCs w:val="24"/>
          <w:shd w:val="clear" w:color="auto" w:fill="FFFFFF"/>
        </w:rPr>
        <w:t>(Dixon, 2018). </w:t>
      </w:r>
      <w:r w:rsidRPr="004E5203">
        <w:rPr>
          <w:rFonts w:cs="Times New Roman"/>
          <w:color w:val="000000" w:themeColor="text1"/>
          <w:szCs w:val="24"/>
        </w:rPr>
        <w:t xml:space="preserve">Section 62 involves when there has been some 'diversity of occupation or ownership of the quasi-servant and quasi-dominant tenements preceding to the conveyance'. Hence, two separate tenements must be present, and in case of absence, it will be deployed as </w:t>
      </w:r>
      <w:proofErr w:type="spellStart"/>
      <w:r w:rsidRPr="004E5203">
        <w:rPr>
          <w:rFonts w:cs="Times New Roman"/>
          <w:color w:val="000000" w:themeColor="text1"/>
          <w:szCs w:val="24"/>
        </w:rPr>
        <w:t>fetal</w:t>
      </w:r>
      <w:proofErr w:type="spellEnd"/>
      <w:r w:rsidRPr="004E5203">
        <w:rPr>
          <w:rFonts w:cs="Times New Roman"/>
          <w:color w:val="000000" w:themeColor="text1"/>
          <w:szCs w:val="24"/>
        </w:rPr>
        <w:t xml:space="preserve"> to </w:t>
      </w:r>
      <w:r w:rsidR="00124F2C" w:rsidRPr="004E5203">
        <w:rPr>
          <w:rFonts w:cs="Times New Roman"/>
          <w:color w:val="000000" w:themeColor="text1"/>
          <w:szCs w:val="24"/>
        </w:rPr>
        <w:t>implement</w:t>
      </w:r>
      <w:r w:rsidRPr="004E5203">
        <w:rPr>
          <w:rFonts w:cs="Times New Roman"/>
          <w:color w:val="000000" w:themeColor="text1"/>
          <w:szCs w:val="24"/>
        </w:rPr>
        <w:t xml:space="preserve"> </w:t>
      </w:r>
      <w:r w:rsidR="00145281" w:rsidRPr="004E5203">
        <w:rPr>
          <w:rFonts w:cs="Times New Roman"/>
          <w:color w:val="000000" w:themeColor="text1"/>
          <w:szCs w:val="24"/>
        </w:rPr>
        <w:t>“</w:t>
      </w:r>
      <w:r w:rsidRPr="004E5203">
        <w:rPr>
          <w:rFonts w:cs="Times New Roman"/>
          <w:color w:val="000000" w:themeColor="text1"/>
          <w:szCs w:val="24"/>
        </w:rPr>
        <w:t xml:space="preserve">section 62 of </w:t>
      </w:r>
      <w:r w:rsidR="00124F2C" w:rsidRPr="004E5203">
        <w:rPr>
          <w:rFonts w:cs="Times New Roman"/>
          <w:color w:val="000000" w:themeColor="text1"/>
          <w:szCs w:val="24"/>
        </w:rPr>
        <w:t>the Law of Property Act 1925</w:t>
      </w:r>
      <w:r w:rsidR="00145281" w:rsidRPr="004E5203">
        <w:rPr>
          <w:rFonts w:cs="Times New Roman"/>
          <w:color w:val="000000" w:themeColor="text1"/>
          <w:szCs w:val="24"/>
        </w:rPr>
        <w:t>”</w:t>
      </w:r>
      <w:r w:rsidR="00124F2C" w:rsidRPr="004E5203">
        <w:rPr>
          <w:rFonts w:cs="Times New Roman"/>
          <w:color w:val="000000" w:themeColor="text1"/>
          <w:szCs w:val="24"/>
        </w:rPr>
        <w:t xml:space="preserve">. In case of common occupation of both the land, the rights under section 62 will be considered invalid. </w:t>
      </w:r>
      <w:proofErr w:type="gramStart"/>
      <w:r w:rsidR="00124F2C" w:rsidRPr="004E5203">
        <w:rPr>
          <w:rFonts w:cs="Times New Roman"/>
          <w:color w:val="000000" w:themeColor="text1"/>
          <w:szCs w:val="24"/>
        </w:rPr>
        <w:t>For example, the case of</w:t>
      </w:r>
      <w:r w:rsidRPr="004E5203">
        <w:rPr>
          <w:rFonts w:cs="Times New Roman"/>
          <w:color w:val="000000" w:themeColor="text1"/>
          <w:szCs w:val="24"/>
        </w:rPr>
        <w:t xml:space="preserve"> </w:t>
      </w:r>
      <w:r w:rsidR="00145281" w:rsidRPr="004E5203">
        <w:rPr>
          <w:rFonts w:cs="Times New Roman"/>
          <w:color w:val="000000" w:themeColor="text1"/>
          <w:szCs w:val="24"/>
        </w:rPr>
        <w:t>“</w:t>
      </w:r>
      <w:r w:rsidR="00124F2C" w:rsidRPr="004E5203">
        <w:rPr>
          <w:rFonts w:cs="Times New Roman"/>
          <w:color w:val="000000" w:themeColor="text1"/>
          <w:szCs w:val="24"/>
        </w:rPr>
        <w:t>Payn</w:t>
      </w:r>
      <w:r w:rsidR="003035CD" w:rsidRPr="004E5203">
        <w:rPr>
          <w:rFonts w:cs="Times New Roman"/>
          <w:color w:val="000000" w:themeColor="text1"/>
          <w:szCs w:val="24"/>
        </w:rPr>
        <w:t xml:space="preserve">e v </w:t>
      </w:r>
      <w:proofErr w:type="spellStart"/>
      <w:r w:rsidR="003035CD" w:rsidRPr="004E5203">
        <w:rPr>
          <w:rFonts w:cs="Times New Roman"/>
          <w:color w:val="000000" w:themeColor="text1"/>
          <w:szCs w:val="24"/>
        </w:rPr>
        <w:t>Inwood</w:t>
      </w:r>
      <w:proofErr w:type="spellEnd"/>
      <w:r w:rsidR="003035CD" w:rsidRPr="004E5203">
        <w:rPr>
          <w:rFonts w:cs="Times New Roman"/>
          <w:color w:val="000000" w:themeColor="text1"/>
          <w:szCs w:val="24"/>
        </w:rPr>
        <w:t xml:space="preserve"> (1996) 74 P &amp; CR 42)</w:t>
      </w:r>
      <w:r w:rsidR="00145281" w:rsidRPr="004E5203">
        <w:rPr>
          <w:rFonts w:cs="Times New Roman"/>
          <w:color w:val="000000" w:themeColor="text1"/>
          <w:szCs w:val="24"/>
        </w:rPr>
        <w:t>”</w:t>
      </w:r>
      <w:r w:rsidR="003035CD" w:rsidRPr="004E5203">
        <w:rPr>
          <w:rFonts w:cs="Times New Roman"/>
          <w:color w:val="000000" w:themeColor="text1"/>
          <w:szCs w:val="24"/>
        </w:rPr>
        <w:t xml:space="preserve"> </w:t>
      </w:r>
      <w:r w:rsidR="003035CD" w:rsidRPr="004E5203">
        <w:rPr>
          <w:rFonts w:cs="Times New Roman"/>
          <w:color w:val="000000" w:themeColor="text1"/>
          <w:szCs w:val="24"/>
          <w:shd w:val="clear" w:color="auto" w:fill="FFFFFF"/>
        </w:rPr>
        <w:t>(Briggs, 2017).</w:t>
      </w:r>
      <w:proofErr w:type="gramEnd"/>
    </w:p>
    <w:p w:rsidR="00925E93" w:rsidRPr="004E5203" w:rsidRDefault="00A66F2D" w:rsidP="004E5203">
      <w:pPr>
        <w:jc w:val="left"/>
        <w:rPr>
          <w:rFonts w:cs="Times New Roman"/>
          <w:color w:val="000000" w:themeColor="text1"/>
          <w:szCs w:val="24"/>
          <w:shd w:val="clear" w:color="auto" w:fill="FFFFFF"/>
        </w:rPr>
      </w:pPr>
      <w:proofErr w:type="spellStart"/>
      <w:r w:rsidRPr="004E5203">
        <w:rPr>
          <w:rFonts w:cs="Times New Roman"/>
          <w:color w:val="000000" w:themeColor="text1"/>
          <w:szCs w:val="24"/>
        </w:rPr>
        <w:t>Bakewell</w:t>
      </w:r>
      <w:proofErr w:type="spellEnd"/>
      <w:r w:rsidRPr="004E5203">
        <w:rPr>
          <w:rFonts w:cs="Times New Roman"/>
          <w:color w:val="000000" w:themeColor="text1"/>
          <w:szCs w:val="24"/>
        </w:rPr>
        <w:t xml:space="preserve"> Management v </w:t>
      </w:r>
      <w:proofErr w:type="spellStart"/>
      <w:r w:rsidRPr="004E5203">
        <w:rPr>
          <w:rFonts w:cs="Times New Roman"/>
          <w:color w:val="000000" w:themeColor="text1"/>
          <w:szCs w:val="24"/>
        </w:rPr>
        <w:t>Brandwood</w:t>
      </w:r>
      <w:proofErr w:type="spellEnd"/>
      <w:r w:rsidRPr="004E5203">
        <w:rPr>
          <w:rFonts w:cs="Times New Roman"/>
          <w:color w:val="000000" w:themeColor="text1"/>
          <w:szCs w:val="24"/>
        </w:rPr>
        <w:t xml:space="preserve"> (2004) case </w:t>
      </w:r>
      <w:r w:rsidR="00D50A77" w:rsidRPr="004E5203">
        <w:rPr>
          <w:rFonts w:cs="Times New Roman"/>
          <w:color w:val="000000" w:themeColor="text1"/>
          <w:szCs w:val="24"/>
        </w:rPr>
        <w:t xml:space="preserve">entailed that in section 193(2) of 1927, </w:t>
      </w:r>
      <w:r w:rsidR="00B5147E" w:rsidRPr="004E5203">
        <w:rPr>
          <w:rFonts w:cs="Times New Roman"/>
          <w:color w:val="000000" w:themeColor="text1"/>
          <w:szCs w:val="24"/>
        </w:rPr>
        <w:t xml:space="preserve">as per the </w:t>
      </w:r>
      <w:r w:rsidR="00145281" w:rsidRPr="004E5203">
        <w:rPr>
          <w:rFonts w:cs="Times New Roman"/>
          <w:color w:val="000000" w:themeColor="text1"/>
          <w:szCs w:val="24"/>
        </w:rPr>
        <w:t>“</w:t>
      </w:r>
      <w:r w:rsidR="00B5147E" w:rsidRPr="004E5203">
        <w:rPr>
          <w:rFonts w:cs="Times New Roman"/>
          <w:color w:val="000000" w:themeColor="text1"/>
          <w:szCs w:val="24"/>
        </w:rPr>
        <w:t>Law of Property Act 1925</w:t>
      </w:r>
      <w:r w:rsidR="00145281" w:rsidRPr="004E5203">
        <w:rPr>
          <w:rFonts w:cs="Times New Roman"/>
          <w:color w:val="000000" w:themeColor="text1"/>
          <w:szCs w:val="24"/>
        </w:rPr>
        <w:t>”</w:t>
      </w:r>
      <w:r w:rsidR="00B5147E" w:rsidRPr="004E5203">
        <w:rPr>
          <w:rFonts w:cs="Times New Roman"/>
          <w:color w:val="000000" w:themeColor="text1"/>
          <w:szCs w:val="24"/>
        </w:rPr>
        <w:t xml:space="preserve">, public access to common law was allowed. </w:t>
      </w:r>
      <w:r w:rsidR="000D79BD" w:rsidRPr="004E5203">
        <w:rPr>
          <w:rFonts w:cs="Times New Roman"/>
          <w:color w:val="000000" w:themeColor="text1"/>
          <w:szCs w:val="24"/>
        </w:rPr>
        <w:t>The surround</w:t>
      </w:r>
      <w:r w:rsidR="000266D6" w:rsidRPr="004E5203">
        <w:rPr>
          <w:rFonts w:cs="Times New Roman"/>
          <w:color w:val="000000" w:themeColor="text1"/>
          <w:szCs w:val="24"/>
        </w:rPr>
        <w:t>ing landowners attained access and used the land for driving the vehicles over the land on the grant of the deed.</w:t>
      </w:r>
      <w:r w:rsidR="004D6F44" w:rsidRPr="004E5203">
        <w:rPr>
          <w:rFonts w:cs="Times New Roman"/>
          <w:color w:val="000000" w:themeColor="text1"/>
          <w:szCs w:val="24"/>
        </w:rPr>
        <w:t xml:space="preserve"> It was done without </w:t>
      </w:r>
      <w:proofErr w:type="spellStart"/>
      <w:r w:rsidR="00EC70ED" w:rsidRPr="004E5203">
        <w:rPr>
          <w:rFonts w:cs="Times New Roman"/>
          <w:color w:val="000000" w:themeColor="text1"/>
          <w:szCs w:val="24"/>
        </w:rPr>
        <w:t>Bakewell’s</w:t>
      </w:r>
      <w:proofErr w:type="spellEnd"/>
      <w:r w:rsidR="004D6F44" w:rsidRPr="004E5203">
        <w:rPr>
          <w:rFonts w:cs="Times New Roman"/>
          <w:color w:val="000000" w:themeColor="text1"/>
          <w:szCs w:val="24"/>
        </w:rPr>
        <w:t xml:space="preserve"> consent</w:t>
      </w:r>
      <w:r w:rsidR="00EC70ED" w:rsidRPr="004E5203">
        <w:rPr>
          <w:rFonts w:cs="Times New Roman"/>
          <w:color w:val="000000" w:themeColor="text1"/>
          <w:szCs w:val="24"/>
        </w:rPr>
        <w:t xml:space="preserve">, although it was a regular breach of </w:t>
      </w:r>
      <w:r w:rsidR="003035CD" w:rsidRPr="004E5203">
        <w:rPr>
          <w:rFonts w:cs="Times New Roman"/>
          <w:color w:val="000000" w:themeColor="text1"/>
          <w:szCs w:val="24"/>
        </w:rPr>
        <w:t xml:space="preserve">193(4) of the </w:t>
      </w:r>
      <w:r w:rsidR="009D77F5" w:rsidRPr="004E5203">
        <w:rPr>
          <w:rFonts w:cs="Times New Roman"/>
          <w:color w:val="000000" w:themeColor="text1"/>
          <w:szCs w:val="24"/>
        </w:rPr>
        <w:t xml:space="preserve">Act </w:t>
      </w:r>
      <w:r w:rsidR="003035CD" w:rsidRPr="004E5203">
        <w:rPr>
          <w:rFonts w:cs="Times New Roman"/>
          <w:color w:val="000000" w:themeColor="text1"/>
          <w:szCs w:val="24"/>
        </w:rPr>
        <w:t xml:space="preserve">as an offence </w:t>
      </w:r>
      <w:r w:rsidR="003035CD" w:rsidRPr="004E5203">
        <w:rPr>
          <w:rFonts w:cs="Times New Roman"/>
          <w:color w:val="000000" w:themeColor="text1"/>
          <w:szCs w:val="24"/>
          <w:shd w:val="clear" w:color="auto" w:fill="FFFFFF"/>
        </w:rPr>
        <w:t>(French, 2016).</w:t>
      </w:r>
      <w:r w:rsidR="00EC70ED" w:rsidRPr="004E5203">
        <w:rPr>
          <w:rFonts w:cs="Times New Roman"/>
          <w:color w:val="000000" w:themeColor="text1"/>
          <w:szCs w:val="24"/>
        </w:rPr>
        <w:t xml:space="preserve"> Moreover, on the selling of common law to </w:t>
      </w:r>
      <w:proofErr w:type="spellStart"/>
      <w:r w:rsidR="00EC70ED" w:rsidRPr="004E5203">
        <w:rPr>
          <w:rFonts w:cs="Times New Roman"/>
          <w:color w:val="000000" w:themeColor="text1"/>
          <w:szCs w:val="24"/>
        </w:rPr>
        <w:t>Bakewell</w:t>
      </w:r>
      <w:proofErr w:type="spellEnd"/>
      <w:r w:rsidR="00EC70ED" w:rsidRPr="004E5203">
        <w:rPr>
          <w:rFonts w:cs="Times New Roman"/>
          <w:color w:val="000000" w:themeColor="text1"/>
          <w:szCs w:val="24"/>
        </w:rPr>
        <w:t>, the declaration and injunction had been granted against the law owners of the surroundings to restrain them from use of the land.</w:t>
      </w:r>
      <w:r w:rsidR="003F666A" w:rsidRPr="004E5203">
        <w:rPr>
          <w:rFonts w:cs="Times New Roman"/>
          <w:color w:val="000000" w:themeColor="text1"/>
          <w:szCs w:val="24"/>
        </w:rPr>
        <w:t xml:space="preserve"> Thus, </w:t>
      </w:r>
      <w:proofErr w:type="spellStart"/>
      <w:r w:rsidR="003F666A" w:rsidRPr="004E5203">
        <w:rPr>
          <w:rFonts w:cs="Times New Roman"/>
          <w:color w:val="000000" w:themeColor="text1"/>
          <w:szCs w:val="24"/>
        </w:rPr>
        <w:t>Brandwood</w:t>
      </w:r>
      <w:proofErr w:type="spellEnd"/>
      <w:r w:rsidR="003F666A" w:rsidRPr="004E5203">
        <w:rPr>
          <w:rFonts w:cs="Times New Roman"/>
          <w:color w:val="000000" w:themeColor="text1"/>
          <w:szCs w:val="24"/>
        </w:rPr>
        <w:t xml:space="preserve"> and the land</w:t>
      </w:r>
      <w:r w:rsidR="003035CD" w:rsidRPr="004E5203">
        <w:rPr>
          <w:rFonts w:cs="Times New Roman"/>
          <w:color w:val="000000" w:themeColor="text1"/>
          <w:szCs w:val="24"/>
        </w:rPr>
        <w:t xml:space="preserve">owners of the surrounding appealed </w:t>
      </w:r>
      <w:r w:rsidR="003035CD" w:rsidRPr="004E5203">
        <w:rPr>
          <w:rFonts w:cs="Times New Roman"/>
          <w:color w:val="000000" w:themeColor="text1"/>
          <w:szCs w:val="24"/>
          <w:shd w:val="clear" w:color="auto" w:fill="FFFFFF"/>
        </w:rPr>
        <w:t xml:space="preserve">(Dixon, 2018). </w:t>
      </w:r>
      <w:r w:rsidR="001D5A3C" w:rsidRPr="004E5203">
        <w:rPr>
          <w:rFonts w:cs="Times New Roman"/>
          <w:color w:val="000000" w:themeColor="text1"/>
          <w:szCs w:val="24"/>
          <w:shd w:val="clear" w:color="auto" w:fill="FFFFFF"/>
        </w:rPr>
        <w:t>“</w:t>
      </w:r>
      <w:r w:rsidR="001D5A3C" w:rsidRPr="004E5203">
        <w:rPr>
          <w:rFonts w:cs="Times New Roman"/>
          <w:color w:val="000000" w:themeColor="text1"/>
          <w:szCs w:val="24"/>
        </w:rPr>
        <w:t>Section 193 of the Law of Property Act 1925” stated that it's illegal to drive a vehicle on common land without permission. The House of Lords accepted the Court of Appeal's claim that the access was permissible due to the prior right of way provided to them under section 193(4) of the “Law of Property Act 1925” (Briggs, 2017).</w:t>
      </w:r>
    </w:p>
    <w:p w:rsidR="003F666A" w:rsidRPr="004E5203" w:rsidRDefault="00A66F2D" w:rsidP="004E5203">
      <w:pPr>
        <w:jc w:val="left"/>
        <w:rPr>
          <w:rFonts w:cs="Times New Roman"/>
          <w:color w:val="000000" w:themeColor="text1"/>
          <w:szCs w:val="24"/>
          <w:shd w:val="clear" w:color="auto" w:fill="FFFFFF"/>
        </w:rPr>
      </w:pPr>
      <w:r w:rsidRPr="004E5203">
        <w:rPr>
          <w:rFonts w:cs="Times New Roman"/>
          <w:color w:val="000000" w:themeColor="text1"/>
          <w:szCs w:val="24"/>
        </w:rPr>
        <w:t xml:space="preserve">The case Duke of Norfolk v Arbuthnot (1880) entailed some facts, which include that the </w:t>
      </w:r>
      <w:r w:rsidRPr="004E5203">
        <w:rPr>
          <w:rFonts w:cs="Times New Roman"/>
          <w:color w:val="000000" w:themeColor="text1"/>
          <w:szCs w:val="24"/>
        </w:rPr>
        <w:lastRenderedPageBreak/>
        <w:t xml:space="preserve">parish church, St. Nicholas Arundel, was a cruciform church that contained a central tower. Instead of this, </w:t>
      </w:r>
      <w:proofErr w:type="spellStart"/>
      <w:r w:rsidRPr="004E5203">
        <w:rPr>
          <w:rFonts w:cs="Times New Roman"/>
          <w:color w:val="000000" w:themeColor="text1"/>
          <w:szCs w:val="24"/>
        </w:rPr>
        <w:t>Fitzalan</w:t>
      </w:r>
      <w:proofErr w:type="spellEnd"/>
      <w:r w:rsidRPr="004E5203">
        <w:rPr>
          <w:rFonts w:cs="Times New Roman"/>
          <w:color w:val="000000" w:themeColor="text1"/>
          <w:szCs w:val="24"/>
        </w:rPr>
        <w:t xml:space="preserve"> Chapel (located to the east of the tower) was the belonging of the plaintiff. </w:t>
      </w:r>
      <w:r w:rsidR="00277E16" w:rsidRPr="004E5203">
        <w:rPr>
          <w:rFonts w:cs="Times New Roman"/>
          <w:color w:val="000000" w:themeColor="text1"/>
          <w:szCs w:val="24"/>
        </w:rPr>
        <w:t xml:space="preserve">Containing the fact that </w:t>
      </w:r>
      <w:proofErr w:type="spellStart"/>
      <w:r w:rsidR="00277E16" w:rsidRPr="004E5203">
        <w:rPr>
          <w:rFonts w:cs="Times New Roman"/>
          <w:color w:val="000000" w:themeColor="text1"/>
          <w:szCs w:val="24"/>
        </w:rPr>
        <w:t>Fitzalan</w:t>
      </w:r>
      <w:proofErr w:type="spellEnd"/>
      <w:r w:rsidR="00277E16" w:rsidRPr="004E5203">
        <w:rPr>
          <w:rFonts w:cs="Times New Roman"/>
          <w:color w:val="000000" w:themeColor="text1"/>
          <w:szCs w:val="24"/>
        </w:rPr>
        <w:t xml:space="preserve"> Chapel tenanted the place commonly </w:t>
      </w:r>
      <w:r w:rsidR="00F14C0C" w:rsidRPr="004E5203">
        <w:rPr>
          <w:rFonts w:cs="Times New Roman"/>
          <w:color w:val="000000" w:themeColor="text1"/>
          <w:szCs w:val="24"/>
        </w:rPr>
        <w:t>oc</w:t>
      </w:r>
      <w:r w:rsidR="003035CD" w:rsidRPr="004E5203">
        <w:rPr>
          <w:rFonts w:cs="Times New Roman"/>
          <w:color w:val="000000" w:themeColor="text1"/>
          <w:szCs w:val="24"/>
        </w:rPr>
        <w:t xml:space="preserve">cupied by the chancel in the church </w:t>
      </w:r>
      <w:r w:rsidR="003035CD" w:rsidRPr="004E5203">
        <w:rPr>
          <w:rFonts w:cs="Times New Roman"/>
          <w:color w:val="000000" w:themeColor="text1"/>
          <w:szCs w:val="24"/>
          <w:shd w:val="clear" w:color="auto" w:fill="FFFFFF"/>
        </w:rPr>
        <w:t>(Clarke and Greer, 2020).</w:t>
      </w:r>
      <w:r w:rsidR="00F14C0C" w:rsidRPr="004E5203">
        <w:rPr>
          <w:rFonts w:cs="Times New Roman"/>
          <w:color w:val="000000" w:themeColor="text1"/>
          <w:szCs w:val="24"/>
        </w:rPr>
        <w:t xml:space="preserve"> The </w:t>
      </w:r>
      <w:r w:rsidR="003035CD" w:rsidRPr="004E5203">
        <w:rPr>
          <w:rFonts w:cs="Times New Roman"/>
          <w:color w:val="000000" w:themeColor="text1"/>
          <w:szCs w:val="24"/>
        </w:rPr>
        <w:t>plaintiff</w:t>
      </w:r>
      <w:r w:rsidR="00F14C0C" w:rsidRPr="004E5203">
        <w:rPr>
          <w:rFonts w:cs="Times New Roman"/>
          <w:color w:val="000000" w:themeColor="text1"/>
          <w:szCs w:val="24"/>
        </w:rPr>
        <w:t xml:space="preserve"> constructed a wall at the west of </w:t>
      </w:r>
      <w:proofErr w:type="spellStart"/>
      <w:r w:rsidR="00F14C0C" w:rsidRPr="004E5203">
        <w:rPr>
          <w:rFonts w:cs="Times New Roman"/>
          <w:color w:val="000000" w:themeColor="text1"/>
          <w:szCs w:val="24"/>
        </w:rPr>
        <w:t>Fitzalan</w:t>
      </w:r>
      <w:proofErr w:type="spellEnd"/>
      <w:r w:rsidR="00F14C0C" w:rsidRPr="004E5203">
        <w:rPr>
          <w:rFonts w:cs="Times New Roman"/>
          <w:color w:val="000000" w:themeColor="text1"/>
          <w:szCs w:val="24"/>
        </w:rPr>
        <w:t xml:space="preserve"> Chapel in order to separate the </w:t>
      </w:r>
      <w:r w:rsidR="003035CD" w:rsidRPr="004E5203">
        <w:rPr>
          <w:rFonts w:cs="Times New Roman"/>
          <w:color w:val="000000" w:themeColor="text1"/>
          <w:szCs w:val="24"/>
        </w:rPr>
        <w:t>plaintiff</w:t>
      </w:r>
      <w:r w:rsidR="00F14C0C" w:rsidRPr="004E5203">
        <w:rPr>
          <w:rFonts w:cs="Times New Roman"/>
          <w:color w:val="000000" w:themeColor="text1"/>
          <w:szCs w:val="24"/>
        </w:rPr>
        <w:t xml:space="preserve"> from the church. In </w:t>
      </w:r>
      <w:r w:rsidR="003035CD" w:rsidRPr="004E5203">
        <w:rPr>
          <w:rFonts w:cs="Times New Roman"/>
          <w:color w:val="000000" w:themeColor="text1"/>
          <w:szCs w:val="24"/>
        </w:rPr>
        <w:t>defence</w:t>
      </w:r>
      <w:r w:rsidR="00F14C0C" w:rsidRPr="004E5203">
        <w:rPr>
          <w:rFonts w:cs="Times New Roman"/>
          <w:color w:val="000000" w:themeColor="text1"/>
          <w:szCs w:val="24"/>
        </w:rPr>
        <w:t xml:space="preserve">, the </w:t>
      </w:r>
      <w:proofErr w:type="spellStart"/>
      <w:r w:rsidR="00F14C0C" w:rsidRPr="004E5203">
        <w:rPr>
          <w:rFonts w:cs="Times New Roman"/>
          <w:color w:val="000000" w:themeColor="text1"/>
          <w:szCs w:val="24"/>
        </w:rPr>
        <w:t>Fitzalan</w:t>
      </w:r>
      <w:proofErr w:type="spellEnd"/>
      <w:r w:rsidR="00F14C0C" w:rsidRPr="004E5203">
        <w:rPr>
          <w:rFonts w:cs="Times New Roman"/>
          <w:color w:val="000000" w:themeColor="text1"/>
          <w:szCs w:val="24"/>
        </w:rPr>
        <w:t xml:space="preserve"> Chapel </w:t>
      </w:r>
      <w:proofErr w:type="spellStart"/>
      <w:r w:rsidR="00F14C0C" w:rsidRPr="004E5203">
        <w:rPr>
          <w:rFonts w:cs="Times New Roman"/>
          <w:color w:val="000000" w:themeColor="text1"/>
          <w:szCs w:val="24"/>
        </w:rPr>
        <w:t>belongers</w:t>
      </w:r>
      <w:proofErr w:type="spellEnd"/>
      <w:r w:rsidR="00F14C0C" w:rsidRPr="004E5203">
        <w:rPr>
          <w:rFonts w:cs="Times New Roman"/>
          <w:color w:val="000000" w:themeColor="text1"/>
          <w:szCs w:val="24"/>
        </w:rPr>
        <w:t xml:space="preserve"> pulled down the part of the wall by claiming that the property (</w:t>
      </w:r>
      <w:proofErr w:type="spellStart"/>
      <w:r w:rsidR="00F14C0C" w:rsidRPr="004E5203">
        <w:rPr>
          <w:rFonts w:cs="Times New Roman"/>
          <w:color w:val="000000" w:themeColor="text1"/>
          <w:szCs w:val="24"/>
        </w:rPr>
        <w:t>Fitzalan</w:t>
      </w:r>
      <w:proofErr w:type="spellEnd"/>
      <w:r w:rsidR="00F14C0C" w:rsidRPr="004E5203">
        <w:rPr>
          <w:rFonts w:cs="Times New Roman"/>
          <w:color w:val="000000" w:themeColor="text1"/>
          <w:szCs w:val="24"/>
        </w:rPr>
        <w:t xml:space="preserve"> Chapel) wa</w:t>
      </w:r>
      <w:r w:rsidR="003035CD" w:rsidRPr="004E5203">
        <w:rPr>
          <w:rFonts w:cs="Times New Roman"/>
          <w:color w:val="000000" w:themeColor="text1"/>
          <w:szCs w:val="24"/>
        </w:rPr>
        <w:t xml:space="preserve">s the chancel of the parish church </w:t>
      </w:r>
      <w:r w:rsidR="003035CD" w:rsidRPr="004E5203">
        <w:rPr>
          <w:rFonts w:cs="Times New Roman"/>
          <w:color w:val="000000" w:themeColor="text1"/>
          <w:szCs w:val="24"/>
          <w:shd w:val="clear" w:color="auto" w:fill="FFFFFF"/>
        </w:rPr>
        <w:t>(Bray, 2019). </w:t>
      </w:r>
      <w:r w:rsidR="00F14C0C" w:rsidRPr="004E5203">
        <w:rPr>
          <w:rFonts w:cs="Times New Roman"/>
          <w:color w:val="000000" w:themeColor="text1"/>
          <w:szCs w:val="24"/>
        </w:rPr>
        <w:t>In case it is not true, then as per the lost grant, common law or section 71 Prescription Act 1832, the parishioners are entitled to the ligh</w:t>
      </w:r>
      <w:r w:rsidR="003035CD" w:rsidRPr="004E5203">
        <w:rPr>
          <w:rFonts w:cs="Times New Roman"/>
          <w:color w:val="000000" w:themeColor="text1"/>
          <w:szCs w:val="24"/>
        </w:rPr>
        <w:t xml:space="preserve">t from it by virtue </w:t>
      </w:r>
      <w:r w:rsidR="003035CD" w:rsidRPr="004E5203">
        <w:rPr>
          <w:rFonts w:cs="Times New Roman"/>
          <w:color w:val="000000" w:themeColor="text1"/>
          <w:szCs w:val="24"/>
          <w:shd w:val="clear" w:color="auto" w:fill="FFFFFF"/>
        </w:rPr>
        <w:t>(Bray, 2019). </w:t>
      </w:r>
      <w:r w:rsidR="00294FD8" w:rsidRPr="004E5203">
        <w:rPr>
          <w:rFonts w:cs="Times New Roman"/>
          <w:color w:val="000000" w:themeColor="text1"/>
          <w:szCs w:val="24"/>
        </w:rPr>
        <w:t xml:space="preserve">The Duke of Norfolk (plaintiff) and his ancestors claimed against the defenders who owed </w:t>
      </w:r>
      <w:proofErr w:type="spellStart"/>
      <w:r w:rsidR="00294FD8" w:rsidRPr="004E5203">
        <w:rPr>
          <w:rFonts w:cs="Times New Roman"/>
          <w:color w:val="000000" w:themeColor="text1"/>
          <w:szCs w:val="24"/>
        </w:rPr>
        <w:t>Fitzalan</w:t>
      </w:r>
      <w:proofErr w:type="spellEnd"/>
      <w:r w:rsidR="00294FD8" w:rsidRPr="004E5203">
        <w:rPr>
          <w:rFonts w:cs="Times New Roman"/>
          <w:color w:val="000000" w:themeColor="text1"/>
          <w:szCs w:val="24"/>
        </w:rPr>
        <w:t xml:space="preserve"> Chapel fo</w:t>
      </w:r>
      <w:r w:rsidR="003035CD" w:rsidRPr="004E5203">
        <w:rPr>
          <w:rFonts w:cs="Times New Roman"/>
          <w:color w:val="000000" w:themeColor="text1"/>
          <w:szCs w:val="24"/>
        </w:rPr>
        <w:t xml:space="preserve">r more than three hundred years </w:t>
      </w:r>
      <w:r w:rsidR="003035CD" w:rsidRPr="004E5203">
        <w:rPr>
          <w:rFonts w:cs="Times New Roman"/>
          <w:color w:val="000000" w:themeColor="text1"/>
          <w:szCs w:val="24"/>
          <w:shd w:val="clear" w:color="auto" w:fill="FFFFFF"/>
        </w:rPr>
        <w:t>(Briggs, 2017).</w:t>
      </w:r>
      <w:r w:rsidR="00294FD8" w:rsidRPr="004E5203">
        <w:rPr>
          <w:rFonts w:cs="Times New Roman"/>
          <w:color w:val="000000" w:themeColor="text1"/>
          <w:szCs w:val="24"/>
          <w:shd w:val="clear" w:color="auto" w:fill="FFFFFF"/>
        </w:rPr>
        <w:t xml:space="preserve"> </w:t>
      </w:r>
    </w:p>
    <w:p w:rsidR="003035CD" w:rsidRPr="004E5203" w:rsidRDefault="00A66F2D" w:rsidP="004E5203">
      <w:pPr>
        <w:jc w:val="left"/>
        <w:rPr>
          <w:rFonts w:cs="Times New Roman"/>
          <w:color w:val="000000" w:themeColor="text1"/>
          <w:szCs w:val="24"/>
          <w:shd w:val="clear" w:color="auto" w:fill="FFFFFF"/>
        </w:rPr>
      </w:pPr>
      <w:r w:rsidRPr="004E5203">
        <w:rPr>
          <w:rFonts w:cs="Times New Roman"/>
          <w:color w:val="000000" w:themeColor="text1"/>
          <w:szCs w:val="24"/>
        </w:rPr>
        <w:t xml:space="preserve">In the court of appeal, the plaintiff was right, and thus the decision was made in their favour. </w:t>
      </w:r>
      <w:r w:rsidR="004509CF" w:rsidRPr="004E5203">
        <w:rPr>
          <w:rFonts w:cs="Times New Roman"/>
          <w:color w:val="000000" w:themeColor="text1"/>
          <w:szCs w:val="24"/>
        </w:rPr>
        <w:t xml:space="preserve">The protestors of </w:t>
      </w:r>
      <w:proofErr w:type="spellStart"/>
      <w:r w:rsidR="004509CF" w:rsidRPr="004E5203">
        <w:rPr>
          <w:rFonts w:cs="Times New Roman"/>
          <w:color w:val="000000" w:themeColor="text1"/>
          <w:szCs w:val="24"/>
        </w:rPr>
        <w:t>Fitzalan</w:t>
      </w:r>
      <w:proofErr w:type="spellEnd"/>
      <w:r w:rsidR="004509CF" w:rsidRPr="004E5203">
        <w:rPr>
          <w:rFonts w:cs="Times New Roman"/>
          <w:color w:val="000000" w:themeColor="text1"/>
          <w:szCs w:val="24"/>
        </w:rPr>
        <w:t xml:space="preserve"> Chapel were not the </w:t>
      </w:r>
      <w:proofErr w:type="spellStart"/>
      <w:r w:rsidR="004509CF" w:rsidRPr="004E5203">
        <w:rPr>
          <w:rFonts w:cs="Times New Roman"/>
          <w:color w:val="000000" w:themeColor="text1"/>
          <w:szCs w:val="24"/>
        </w:rPr>
        <w:t>chancel</w:t>
      </w:r>
      <w:proofErr w:type="spellEnd"/>
      <w:r w:rsidR="004509CF" w:rsidRPr="004E5203">
        <w:rPr>
          <w:rFonts w:cs="Times New Roman"/>
          <w:color w:val="000000" w:themeColor="text1"/>
          <w:szCs w:val="24"/>
        </w:rPr>
        <w:t xml:space="preserve"> of St. Nicholas Arundel Church as per the pieces of evidence; thus, it was the ownership of the Duke of Norfolk and his family. </w:t>
      </w:r>
      <w:r w:rsidR="0053392E" w:rsidRPr="004E5203">
        <w:rPr>
          <w:rFonts w:cs="Times New Roman"/>
          <w:color w:val="000000" w:themeColor="text1"/>
          <w:szCs w:val="24"/>
        </w:rPr>
        <w:t xml:space="preserve">Furthermore, </w:t>
      </w:r>
      <w:r w:rsidR="00E4038C" w:rsidRPr="004E5203">
        <w:rPr>
          <w:rFonts w:cs="Times New Roman"/>
          <w:color w:val="000000" w:themeColor="text1"/>
          <w:szCs w:val="24"/>
        </w:rPr>
        <w:t>even</w:t>
      </w:r>
      <w:r w:rsidR="00EB4B58" w:rsidRPr="004E5203">
        <w:rPr>
          <w:rFonts w:cs="Times New Roman"/>
          <w:color w:val="000000" w:themeColor="text1"/>
          <w:szCs w:val="24"/>
        </w:rPr>
        <w:t xml:space="preserve"> though the defendant claimed that the church did not have the right to use the light from </w:t>
      </w:r>
      <w:proofErr w:type="spellStart"/>
      <w:r w:rsidR="00EB4B58" w:rsidRPr="004E5203">
        <w:rPr>
          <w:rFonts w:cs="Times New Roman"/>
          <w:color w:val="000000" w:themeColor="text1"/>
          <w:szCs w:val="24"/>
        </w:rPr>
        <w:t>Fitzalan</w:t>
      </w:r>
      <w:proofErr w:type="spellEnd"/>
      <w:r w:rsidR="00EB4B58" w:rsidRPr="004E5203">
        <w:rPr>
          <w:rFonts w:cs="Times New Roman"/>
          <w:color w:val="000000" w:themeColor="text1"/>
          <w:szCs w:val="24"/>
        </w:rPr>
        <w:t xml:space="preserve"> Chapel due to prescription at common law, lost grant, or section 71 of the Prescription Act of 1871, none of these theories could ac</w:t>
      </w:r>
      <w:r w:rsidRPr="004E5203">
        <w:rPr>
          <w:rFonts w:cs="Times New Roman"/>
          <w:color w:val="000000" w:themeColor="text1"/>
          <w:szCs w:val="24"/>
        </w:rPr>
        <w:t xml:space="preserve">count for the wall's demolition </w:t>
      </w:r>
      <w:r w:rsidRPr="004E5203">
        <w:rPr>
          <w:rFonts w:cs="Times New Roman"/>
          <w:color w:val="000000" w:themeColor="text1"/>
          <w:szCs w:val="24"/>
          <w:shd w:val="clear" w:color="auto" w:fill="FFFFFF"/>
        </w:rPr>
        <w:t>(</w:t>
      </w:r>
      <w:proofErr w:type="spellStart"/>
      <w:r w:rsidRPr="004E5203">
        <w:rPr>
          <w:rFonts w:cs="Times New Roman"/>
          <w:color w:val="000000" w:themeColor="text1"/>
          <w:szCs w:val="24"/>
          <w:shd w:val="clear" w:color="auto" w:fill="FFFFFF"/>
        </w:rPr>
        <w:t>Getzler</w:t>
      </w:r>
      <w:proofErr w:type="spellEnd"/>
      <w:r w:rsidRPr="004E5203">
        <w:rPr>
          <w:rFonts w:cs="Times New Roman"/>
          <w:color w:val="000000" w:themeColor="text1"/>
          <w:szCs w:val="24"/>
          <w:shd w:val="clear" w:color="auto" w:fill="FFFFFF"/>
        </w:rPr>
        <w:t>, 2017).</w:t>
      </w:r>
      <w:r w:rsidR="00CD63D6" w:rsidRPr="004E5203">
        <w:rPr>
          <w:rFonts w:cs="Times New Roman"/>
          <w:color w:val="000000" w:themeColor="text1"/>
          <w:szCs w:val="24"/>
          <w:shd w:val="clear" w:color="auto" w:fill="FFFFFF"/>
        </w:rPr>
        <w:t xml:space="preserve">  </w:t>
      </w:r>
    </w:p>
    <w:p w:rsidR="00D40871" w:rsidRPr="004E5203" w:rsidRDefault="00D40871" w:rsidP="004E5203">
      <w:pPr>
        <w:jc w:val="left"/>
        <w:rPr>
          <w:rFonts w:cs="Times New Roman"/>
          <w:color w:val="000000" w:themeColor="text1"/>
          <w:szCs w:val="24"/>
          <w:shd w:val="clear" w:color="auto" w:fill="FFFFFF"/>
        </w:rPr>
      </w:pPr>
    </w:p>
    <w:p w:rsidR="00C73BB3" w:rsidRPr="004E5203" w:rsidRDefault="00D40871" w:rsidP="004E5203">
      <w:pPr>
        <w:ind w:firstLine="0"/>
        <w:jc w:val="left"/>
        <w:rPr>
          <w:rFonts w:cs="Times New Roman"/>
          <w:color w:val="000000" w:themeColor="text1"/>
          <w:szCs w:val="24"/>
          <w:shd w:val="clear" w:color="auto" w:fill="FFFFFF"/>
        </w:rPr>
      </w:pPr>
      <w:r w:rsidRPr="004E5203">
        <w:rPr>
          <w:rFonts w:cs="Times New Roman"/>
          <w:color w:val="000000" w:themeColor="text1"/>
          <w:szCs w:val="24"/>
          <w:shd w:val="clear" w:color="auto" w:fill="FFFFFF"/>
        </w:rPr>
        <w:t xml:space="preserve">    </w:t>
      </w:r>
      <w:r w:rsidR="00A66F2D" w:rsidRPr="004E5203">
        <w:rPr>
          <w:rFonts w:cs="Times New Roman"/>
          <w:color w:val="000000" w:themeColor="text1"/>
          <w:szCs w:val="24"/>
        </w:rPr>
        <w:t xml:space="preserve">It can be concluded that prescription at common law 20 years of the continuous use of a property can raise the presumption to use the property since time immemorial. Common law prescription seldom works because it demands showing that the right in question has never been exercised or was never exercisable. The doctrine of lost modern grant easement by prescribed to those who can prove 20 years of continuous use as "user as of right". This method is considered advantageous as compared to common law prescription because it embraces "modern times" instead of using the property from the very beginning of time. One more method for an easement by prescription is the Prescription Act 1832, which claims that instead of the user as of right,' no one contains absolute rights until the establishment of action has been made. Implied easement embraces the Law of Property Act 1925, which entails "general words" in regard to being part of conveyance. </w:t>
      </w:r>
    </w:p>
    <w:p w:rsidR="00D4072E" w:rsidRPr="004E5203" w:rsidRDefault="00D4072E" w:rsidP="004E5203">
      <w:pPr>
        <w:jc w:val="left"/>
        <w:rPr>
          <w:rFonts w:cs="Times New Roman"/>
          <w:color w:val="000000" w:themeColor="text1"/>
          <w:szCs w:val="24"/>
        </w:rPr>
      </w:pPr>
    </w:p>
    <w:p w:rsidR="0035639D" w:rsidRPr="004E5203" w:rsidRDefault="00A66F2D" w:rsidP="004E5203">
      <w:pPr>
        <w:widowControl/>
        <w:autoSpaceDE/>
        <w:autoSpaceDN/>
        <w:ind w:firstLine="0"/>
        <w:jc w:val="left"/>
        <w:rPr>
          <w:rFonts w:cs="Times New Roman"/>
          <w:color w:val="000000" w:themeColor="text1"/>
          <w:szCs w:val="24"/>
        </w:rPr>
      </w:pPr>
      <w:r w:rsidRPr="004E5203">
        <w:rPr>
          <w:rFonts w:cs="Times New Roman"/>
          <w:color w:val="000000" w:themeColor="text1"/>
          <w:szCs w:val="24"/>
        </w:rPr>
        <w:br w:type="page"/>
      </w:r>
    </w:p>
    <w:p w:rsidR="004509CF" w:rsidRPr="004E5203" w:rsidRDefault="00A66F2D" w:rsidP="004E5203">
      <w:pPr>
        <w:pStyle w:val="Heading1"/>
        <w:jc w:val="left"/>
      </w:pPr>
      <w:bookmarkStart w:id="8" w:name="_Toc116663955"/>
      <w:bookmarkStart w:id="9" w:name="_Toc118846273"/>
      <w:r w:rsidRPr="004E5203">
        <w:lastRenderedPageBreak/>
        <w:t>Bibliography</w:t>
      </w:r>
      <w:bookmarkEnd w:id="8"/>
      <w:bookmarkEnd w:id="9"/>
    </w:p>
    <w:p w:rsidR="00D40871" w:rsidRPr="004E5203" w:rsidRDefault="00D40871" w:rsidP="004E5203">
      <w:pPr>
        <w:pStyle w:val="NoSpacing"/>
        <w:jc w:val="left"/>
        <w:rPr>
          <w:rFonts w:cs="Times New Roman"/>
          <w:color w:val="000000" w:themeColor="text1"/>
          <w:szCs w:val="24"/>
          <w:lang w:val="en-GB"/>
        </w:rPr>
      </w:pPr>
      <w:proofErr w:type="spellStart"/>
      <w:proofErr w:type="gramStart"/>
      <w:r w:rsidRPr="004E5203">
        <w:rPr>
          <w:rFonts w:cs="Times New Roman"/>
          <w:color w:val="000000" w:themeColor="text1"/>
          <w:szCs w:val="24"/>
          <w:lang w:val="en-GB"/>
        </w:rPr>
        <w:t>Adealon</w:t>
      </w:r>
      <w:proofErr w:type="spellEnd"/>
      <w:r w:rsidRPr="004E5203">
        <w:rPr>
          <w:rFonts w:cs="Times New Roman"/>
          <w:color w:val="000000" w:themeColor="text1"/>
          <w:szCs w:val="24"/>
          <w:lang w:val="en-GB"/>
        </w:rPr>
        <w:t xml:space="preserve"> International Corporation Pty Ltd v Merton LBC [2007] EWCA </w:t>
      </w:r>
      <w:proofErr w:type="spellStart"/>
      <w:r w:rsidRPr="004E5203">
        <w:rPr>
          <w:rFonts w:cs="Times New Roman"/>
          <w:color w:val="000000" w:themeColor="text1"/>
          <w:szCs w:val="24"/>
          <w:lang w:val="en-GB"/>
        </w:rPr>
        <w:t>Civ</w:t>
      </w:r>
      <w:proofErr w:type="spellEnd"/>
      <w:r w:rsidRPr="004E5203">
        <w:rPr>
          <w:rFonts w:cs="Times New Roman"/>
          <w:color w:val="000000" w:themeColor="text1"/>
          <w:szCs w:val="24"/>
          <w:lang w:val="en-GB"/>
        </w:rPr>
        <w:t xml:space="preserve"> 362.</w:t>
      </w:r>
      <w:proofErr w:type="gramEnd"/>
    </w:p>
    <w:p w:rsidR="00D40871" w:rsidRPr="004E5203" w:rsidRDefault="00D40871" w:rsidP="004E5203">
      <w:pPr>
        <w:pStyle w:val="NoSpacing"/>
        <w:jc w:val="left"/>
        <w:rPr>
          <w:rFonts w:cs="Times New Roman"/>
          <w:color w:val="000000" w:themeColor="text1"/>
          <w:szCs w:val="24"/>
          <w:lang w:val="en-GB"/>
        </w:rPr>
      </w:pPr>
      <w:proofErr w:type="spellStart"/>
      <w:proofErr w:type="gramStart"/>
      <w:r w:rsidRPr="004E5203">
        <w:rPr>
          <w:rFonts w:cs="Times New Roman"/>
          <w:color w:val="000000" w:themeColor="text1"/>
          <w:szCs w:val="24"/>
          <w:lang w:val="en-GB"/>
        </w:rPr>
        <w:t>Bakewell</w:t>
      </w:r>
      <w:proofErr w:type="spellEnd"/>
      <w:r w:rsidRPr="004E5203">
        <w:rPr>
          <w:rFonts w:cs="Times New Roman"/>
          <w:color w:val="000000" w:themeColor="text1"/>
          <w:szCs w:val="24"/>
          <w:lang w:val="en-GB"/>
        </w:rPr>
        <w:t xml:space="preserve"> Management v </w:t>
      </w:r>
      <w:proofErr w:type="spellStart"/>
      <w:r w:rsidRPr="004E5203">
        <w:rPr>
          <w:rFonts w:cs="Times New Roman"/>
          <w:color w:val="000000" w:themeColor="text1"/>
          <w:szCs w:val="24"/>
          <w:lang w:val="en-GB"/>
        </w:rPr>
        <w:t>Brand</w:t>
      </w:r>
      <w:r w:rsidR="00271C7D" w:rsidRPr="004E5203">
        <w:rPr>
          <w:rFonts w:cs="Times New Roman"/>
          <w:color w:val="000000" w:themeColor="text1"/>
          <w:szCs w:val="24"/>
          <w:lang w:val="en-GB"/>
        </w:rPr>
        <w:t>wood</w:t>
      </w:r>
      <w:proofErr w:type="spellEnd"/>
      <w:r w:rsidR="00271C7D" w:rsidRPr="004E5203">
        <w:rPr>
          <w:rFonts w:cs="Times New Roman"/>
          <w:color w:val="000000" w:themeColor="text1"/>
          <w:szCs w:val="24"/>
          <w:lang w:val="en-GB"/>
        </w:rPr>
        <w:t xml:space="preserve"> [2004]</w:t>
      </w:r>
      <w:r w:rsidRPr="004E5203">
        <w:rPr>
          <w:rFonts w:cs="Times New Roman"/>
          <w:color w:val="000000" w:themeColor="text1"/>
          <w:szCs w:val="24"/>
          <w:lang w:val="en-GB"/>
        </w:rPr>
        <w:t xml:space="preserve"> UKHL 14.</w:t>
      </w:r>
      <w:proofErr w:type="gramEnd"/>
      <w:r w:rsidRPr="004E5203">
        <w:rPr>
          <w:rFonts w:cs="Times New Roman"/>
          <w:color w:val="000000" w:themeColor="text1"/>
          <w:szCs w:val="24"/>
          <w:lang w:val="en-GB"/>
        </w:rPr>
        <w:t xml:space="preserve"> </w:t>
      </w:r>
    </w:p>
    <w:p w:rsidR="00D40871" w:rsidRPr="004E5203" w:rsidRDefault="00D40871" w:rsidP="004E5203">
      <w:pPr>
        <w:pStyle w:val="NoSpacing"/>
        <w:jc w:val="left"/>
        <w:rPr>
          <w:rFonts w:cs="Times New Roman"/>
          <w:color w:val="000000" w:themeColor="text1"/>
          <w:szCs w:val="24"/>
          <w:lang w:val="en-GB"/>
        </w:rPr>
      </w:pPr>
      <w:proofErr w:type="gramStart"/>
      <w:r w:rsidRPr="004E5203">
        <w:rPr>
          <w:rFonts w:cs="Times New Roman"/>
          <w:color w:val="000000" w:themeColor="text1"/>
          <w:szCs w:val="24"/>
          <w:lang w:val="en-GB"/>
        </w:rPr>
        <w:t>Duk</w:t>
      </w:r>
      <w:r w:rsidR="00271C7D" w:rsidRPr="004E5203">
        <w:rPr>
          <w:rFonts w:cs="Times New Roman"/>
          <w:color w:val="000000" w:themeColor="text1"/>
          <w:szCs w:val="24"/>
          <w:lang w:val="en-GB"/>
        </w:rPr>
        <w:t>e of Norfolk v Arbuthnot [1880]</w:t>
      </w:r>
      <w:r w:rsidRPr="004E5203">
        <w:rPr>
          <w:rFonts w:cs="Times New Roman"/>
          <w:color w:val="000000" w:themeColor="text1"/>
          <w:szCs w:val="24"/>
          <w:lang w:val="en-GB"/>
        </w:rPr>
        <w:t xml:space="preserve"> </w:t>
      </w:r>
      <w:r w:rsidRPr="004E5203">
        <w:rPr>
          <w:rFonts w:cs="Times New Roman"/>
          <w:bCs/>
          <w:color w:val="000000" w:themeColor="text1"/>
          <w:szCs w:val="24"/>
          <w:lang w:val="en-GB"/>
        </w:rPr>
        <w:t>5 CPD 390.</w:t>
      </w:r>
      <w:proofErr w:type="gramEnd"/>
    </w:p>
    <w:p w:rsidR="00D40871" w:rsidRPr="004E5203" w:rsidRDefault="00D40871" w:rsidP="004E5203">
      <w:pPr>
        <w:pStyle w:val="NoSpacing"/>
        <w:jc w:val="left"/>
        <w:rPr>
          <w:rFonts w:cs="Times New Roman"/>
          <w:color w:val="000000" w:themeColor="text1"/>
          <w:szCs w:val="24"/>
          <w:lang w:val="en-GB"/>
        </w:rPr>
      </w:pPr>
      <w:proofErr w:type="gramStart"/>
      <w:r w:rsidRPr="004E5203">
        <w:rPr>
          <w:rFonts w:cs="Times New Roman"/>
          <w:color w:val="000000" w:themeColor="text1"/>
          <w:szCs w:val="24"/>
          <w:lang w:val="en-GB"/>
        </w:rPr>
        <w:t xml:space="preserve">Nickerson v </w:t>
      </w:r>
      <w:proofErr w:type="spellStart"/>
      <w:r w:rsidRPr="004E5203">
        <w:rPr>
          <w:rFonts w:cs="Times New Roman"/>
          <w:color w:val="000000" w:themeColor="text1"/>
          <w:szCs w:val="24"/>
          <w:lang w:val="en-GB"/>
        </w:rPr>
        <w:t>Barraclough</w:t>
      </w:r>
      <w:proofErr w:type="spellEnd"/>
      <w:r w:rsidRPr="004E5203">
        <w:rPr>
          <w:rFonts w:cs="Times New Roman"/>
          <w:color w:val="000000" w:themeColor="text1"/>
          <w:szCs w:val="24"/>
          <w:lang w:val="en-GB"/>
        </w:rPr>
        <w:t xml:space="preserve"> [1981] Ch 426.</w:t>
      </w:r>
      <w:proofErr w:type="gramEnd"/>
    </w:p>
    <w:p w:rsidR="00D40871" w:rsidRPr="004E5203" w:rsidRDefault="00D40871" w:rsidP="004E5203">
      <w:pPr>
        <w:pStyle w:val="NoSpacing"/>
        <w:jc w:val="left"/>
        <w:rPr>
          <w:rFonts w:cs="Times New Roman"/>
          <w:color w:val="000000" w:themeColor="text1"/>
          <w:szCs w:val="24"/>
          <w:lang w:val="en-GB"/>
        </w:rPr>
      </w:pPr>
      <w:proofErr w:type="spellStart"/>
      <w:proofErr w:type="gramStart"/>
      <w:r w:rsidRPr="004E5203">
        <w:rPr>
          <w:rFonts w:cs="Times New Roman"/>
          <w:color w:val="000000" w:themeColor="text1"/>
          <w:szCs w:val="24"/>
          <w:lang w:val="en-GB"/>
        </w:rPr>
        <w:t>Tehidy</w:t>
      </w:r>
      <w:proofErr w:type="spellEnd"/>
      <w:r w:rsidRPr="004E5203">
        <w:rPr>
          <w:rFonts w:cs="Times New Roman"/>
          <w:color w:val="000000" w:themeColor="text1"/>
          <w:szCs w:val="24"/>
          <w:lang w:val="en-GB"/>
        </w:rPr>
        <w:t xml:space="preserve"> Minerals v Norman [1971] 2 Q.B. 528.</w:t>
      </w:r>
      <w:proofErr w:type="gramEnd"/>
    </w:p>
    <w:p w:rsidR="00D40871" w:rsidRPr="004E5203" w:rsidRDefault="00271C7D" w:rsidP="004E5203">
      <w:pPr>
        <w:pStyle w:val="NoSpacing"/>
        <w:jc w:val="left"/>
        <w:rPr>
          <w:rFonts w:cs="Times New Roman"/>
          <w:bCs/>
          <w:color w:val="000000" w:themeColor="text1"/>
          <w:szCs w:val="24"/>
          <w:lang w:val="en-GB"/>
        </w:rPr>
      </w:pPr>
      <w:proofErr w:type="spellStart"/>
      <w:r w:rsidRPr="004E5203">
        <w:rPr>
          <w:rFonts w:cs="Times New Roman"/>
          <w:color w:val="000000" w:themeColor="text1"/>
          <w:szCs w:val="24"/>
          <w:lang w:val="en-GB"/>
        </w:rPr>
        <w:t>Wheeldon</w:t>
      </w:r>
      <w:proofErr w:type="spellEnd"/>
      <w:r w:rsidRPr="004E5203">
        <w:rPr>
          <w:rFonts w:cs="Times New Roman"/>
          <w:color w:val="000000" w:themeColor="text1"/>
          <w:szCs w:val="24"/>
          <w:lang w:val="en-GB"/>
        </w:rPr>
        <w:t xml:space="preserve"> v Burrows [</w:t>
      </w:r>
      <w:r w:rsidR="00D40871" w:rsidRPr="004E5203">
        <w:rPr>
          <w:rFonts w:cs="Times New Roman"/>
          <w:color w:val="000000" w:themeColor="text1"/>
          <w:szCs w:val="24"/>
          <w:lang w:val="en-GB"/>
        </w:rPr>
        <w:t>1879</w:t>
      </w:r>
      <w:r w:rsidRPr="004E5203">
        <w:rPr>
          <w:rFonts w:cs="Times New Roman"/>
          <w:color w:val="000000" w:themeColor="text1"/>
          <w:szCs w:val="24"/>
          <w:lang w:val="en-GB"/>
        </w:rPr>
        <w:t xml:space="preserve">] </w:t>
      </w:r>
      <w:r w:rsidR="00D40871" w:rsidRPr="004E5203">
        <w:rPr>
          <w:rFonts w:cs="Times New Roman"/>
          <w:bCs/>
          <w:color w:val="000000" w:themeColor="text1"/>
          <w:szCs w:val="24"/>
          <w:lang w:val="en-GB"/>
        </w:rPr>
        <w:t>LR 12 Ch D 31.</w:t>
      </w:r>
    </w:p>
    <w:p w:rsidR="00A767A3" w:rsidRPr="004E5203" w:rsidRDefault="00A767A3" w:rsidP="004E5203">
      <w:pPr>
        <w:pStyle w:val="NoSpacing"/>
        <w:jc w:val="left"/>
        <w:rPr>
          <w:rFonts w:cs="Times New Roman"/>
          <w:bCs/>
          <w:color w:val="000000" w:themeColor="text1"/>
          <w:szCs w:val="24"/>
          <w:lang w:val="en-GB"/>
        </w:rPr>
      </w:pPr>
    </w:p>
    <w:p w:rsidR="00A767A3" w:rsidRPr="004E5203" w:rsidRDefault="00A767A3" w:rsidP="004E5203">
      <w:pPr>
        <w:pStyle w:val="NoSpacing"/>
        <w:jc w:val="left"/>
        <w:rPr>
          <w:rFonts w:cs="Times New Roman"/>
          <w:color w:val="000000" w:themeColor="text1"/>
          <w:szCs w:val="24"/>
        </w:rPr>
      </w:pPr>
      <w:r w:rsidRPr="004E5203">
        <w:rPr>
          <w:rFonts w:cs="Times New Roman"/>
          <w:color w:val="000000" w:themeColor="text1"/>
          <w:szCs w:val="24"/>
        </w:rPr>
        <w:t>Law of Property Act 1925</w:t>
      </w:r>
    </w:p>
    <w:p w:rsidR="00A767A3" w:rsidRPr="004E5203" w:rsidRDefault="00A767A3" w:rsidP="004E5203">
      <w:pPr>
        <w:pStyle w:val="NoSpacing"/>
        <w:jc w:val="left"/>
        <w:rPr>
          <w:rFonts w:cs="Times New Roman"/>
          <w:color w:val="000000" w:themeColor="text1"/>
          <w:szCs w:val="24"/>
        </w:rPr>
      </w:pPr>
      <w:r w:rsidRPr="004E5203">
        <w:rPr>
          <w:rFonts w:cs="Times New Roman"/>
          <w:color w:val="000000" w:themeColor="text1"/>
          <w:szCs w:val="24"/>
        </w:rPr>
        <w:t>Prescription Act 1832</w:t>
      </w:r>
    </w:p>
    <w:p w:rsidR="00D40871" w:rsidRPr="004E5203" w:rsidRDefault="00D40871" w:rsidP="004E5203">
      <w:pPr>
        <w:pStyle w:val="NoSpacing"/>
        <w:ind w:left="0" w:firstLine="0"/>
        <w:jc w:val="left"/>
        <w:rPr>
          <w:rFonts w:cs="Times New Roman"/>
          <w:color w:val="000000" w:themeColor="text1"/>
          <w:szCs w:val="24"/>
          <w:lang w:val="en-GB"/>
        </w:rPr>
      </w:pPr>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Bevan, C., 2022. </w:t>
      </w:r>
      <w:r w:rsidRPr="00F86805">
        <w:rPr>
          <w:rFonts w:cs="Times New Roman"/>
          <w:i/>
          <w:color w:val="000000" w:themeColor="text1"/>
          <w:szCs w:val="24"/>
          <w:lang w:val="en-GB"/>
        </w:rPr>
        <w:t>Land Law.</w:t>
      </w:r>
      <w:r w:rsidRPr="004E5203">
        <w:rPr>
          <w:rFonts w:cs="Times New Roman"/>
          <w:color w:val="000000" w:themeColor="text1"/>
          <w:szCs w:val="24"/>
          <w:lang w:val="en-GB"/>
        </w:rPr>
        <w:t xml:space="preserve"> </w:t>
      </w:r>
      <w:proofErr w:type="gramStart"/>
      <w:r w:rsidRPr="004E5203">
        <w:rPr>
          <w:rFonts w:cs="Times New Roman"/>
          <w:color w:val="000000" w:themeColor="text1"/>
          <w:szCs w:val="24"/>
          <w:lang w:val="en-GB"/>
        </w:rPr>
        <w:t>Oxford University Press.</w:t>
      </w:r>
      <w:proofErr w:type="gramEnd"/>
      <w:r w:rsidR="004E5203" w:rsidRPr="004E5203">
        <w:rPr>
          <w:rFonts w:cs="Times New Roman"/>
          <w:color w:val="000000" w:themeColor="text1"/>
          <w:szCs w:val="24"/>
          <w:lang w:val="en-GB"/>
        </w:rPr>
        <w:t xml:space="preserve"> </w:t>
      </w:r>
      <w:hyperlink r:id="rId8" w:anchor="v=onepage&amp;q&amp;f=false" w:history="1">
        <w:r w:rsidR="004E5203" w:rsidRPr="004E5203">
          <w:rPr>
            <w:rStyle w:val="Hyperlink"/>
            <w:rFonts w:cs="Times New Roman"/>
            <w:szCs w:val="24"/>
            <w:lang w:val="en-GB"/>
          </w:rPr>
          <w:t>https://books.google.co.uk/books?id=zz5MDwAAQBAJ&amp;printsec=frontcover#v=onepage&amp;q&amp;f=false</w:t>
        </w:r>
      </w:hyperlink>
      <w:r w:rsidR="004E5203" w:rsidRPr="004E5203">
        <w:rPr>
          <w:rFonts w:cs="Times New Roman"/>
          <w:color w:val="000000" w:themeColor="text1"/>
          <w:szCs w:val="24"/>
          <w:lang w:val="en-GB"/>
        </w:rPr>
        <w:t xml:space="preserve"> (Accessed 30 October 2022).</w:t>
      </w:r>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Bray, J., 2019. </w:t>
      </w:r>
      <w:proofErr w:type="gramStart"/>
      <w:r w:rsidRPr="00F86805">
        <w:rPr>
          <w:rFonts w:cs="Times New Roman"/>
          <w:i/>
          <w:color w:val="000000" w:themeColor="text1"/>
          <w:szCs w:val="24"/>
          <w:lang w:val="en-GB"/>
        </w:rPr>
        <w:t>Unlocking land law</w:t>
      </w:r>
      <w:r w:rsidRPr="004E5203">
        <w:rPr>
          <w:rFonts w:cs="Times New Roman"/>
          <w:color w:val="000000" w:themeColor="text1"/>
          <w:szCs w:val="24"/>
          <w:lang w:val="en-GB"/>
        </w:rPr>
        <w:t>.</w:t>
      </w:r>
      <w:proofErr w:type="gramEnd"/>
      <w:r w:rsidRPr="004E5203">
        <w:rPr>
          <w:rFonts w:cs="Times New Roman"/>
          <w:color w:val="000000" w:themeColor="text1"/>
          <w:szCs w:val="24"/>
          <w:lang w:val="en-GB"/>
        </w:rPr>
        <w:t xml:space="preserve"> </w:t>
      </w:r>
      <w:proofErr w:type="spellStart"/>
      <w:proofErr w:type="gramStart"/>
      <w:r w:rsidRPr="004E5203">
        <w:rPr>
          <w:rFonts w:cs="Times New Roman"/>
          <w:color w:val="000000" w:themeColor="text1"/>
          <w:szCs w:val="24"/>
          <w:lang w:val="en-GB"/>
        </w:rPr>
        <w:t>Routledge</w:t>
      </w:r>
      <w:proofErr w:type="spellEnd"/>
      <w:r w:rsidRPr="004E5203">
        <w:rPr>
          <w:rFonts w:cs="Times New Roman"/>
          <w:color w:val="000000" w:themeColor="text1"/>
          <w:szCs w:val="24"/>
          <w:lang w:val="en-GB"/>
        </w:rPr>
        <w:t>.</w:t>
      </w:r>
      <w:proofErr w:type="gramEnd"/>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 xml:space="preserve">Briggs, A., 2017. </w:t>
      </w:r>
      <w:r w:rsidRPr="00F86805">
        <w:rPr>
          <w:rFonts w:cs="Times New Roman"/>
          <w:i/>
          <w:color w:val="000000" w:themeColor="text1"/>
          <w:szCs w:val="24"/>
          <w:lang w:val="en-GB"/>
        </w:rPr>
        <w:t>Law Commission consultation on reform to the law of wil</w:t>
      </w:r>
      <w:r w:rsidR="00D40871" w:rsidRPr="00F86805">
        <w:rPr>
          <w:rFonts w:cs="Times New Roman"/>
          <w:i/>
          <w:color w:val="000000" w:themeColor="text1"/>
          <w:szCs w:val="24"/>
          <w:lang w:val="en-GB"/>
        </w:rPr>
        <w:t>ls. </w:t>
      </w:r>
      <w:proofErr w:type="gramStart"/>
      <w:r w:rsidR="00D40871" w:rsidRPr="00F86805">
        <w:rPr>
          <w:rFonts w:cs="Times New Roman"/>
          <w:i/>
          <w:color w:val="000000" w:themeColor="text1"/>
          <w:szCs w:val="24"/>
          <w:lang w:val="en-GB"/>
        </w:rPr>
        <w:t>Trusts &amp; Trustees, </w:t>
      </w:r>
      <w:r w:rsidR="00D40871" w:rsidRPr="004E5203">
        <w:rPr>
          <w:rFonts w:cs="Times New Roman"/>
          <w:color w:val="000000" w:themeColor="text1"/>
          <w:szCs w:val="24"/>
          <w:lang w:val="en-GB"/>
        </w:rPr>
        <w:t>23(9).</w:t>
      </w:r>
      <w:proofErr w:type="gramEnd"/>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Clarke, S. and Greer, S., 2020. </w:t>
      </w:r>
      <w:r w:rsidRPr="00F86805">
        <w:rPr>
          <w:rFonts w:cs="Times New Roman"/>
          <w:i/>
          <w:color w:val="000000" w:themeColor="text1"/>
          <w:szCs w:val="24"/>
          <w:lang w:val="en-GB"/>
        </w:rPr>
        <w:t>Land Law Directions</w:t>
      </w:r>
      <w:r w:rsidRPr="004E5203">
        <w:rPr>
          <w:rFonts w:cs="Times New Roman"/>
          <w:color w:val="000000" w:themeColor="text1"/>
          <w:szCs w:val="24"/>
          <w:lang w:val="en-GB"/>
        </w:rPr>
        <w:t xml:space="preserve">. </w:t>
      </w:r>
      <w:proofErr w:type="gramStart"/>
      <w:r w:rsidRPr="004E5203">
        <w:rPr>
          <w:rFonts w:cs="Times New Roman"/>
          <w:color w:val="000000" w:themeColor="text1"/>
          <w:szCs w:val="24"/>
          <w:lang w:val="en-GB"/>
        </w:rPr>
        <w:t>Directions.</w:t>
      </w:r>
      <w:proofErr w:type="gramEnd"/>
    </w:p>
    <w:p w:rsidR="00CC220C" w:rsidRPr="004E5203" w:rsidRDefault="00A66F2D" w:rsidP="004E5203">
      <w:pPr>
        <w:pStyle w:val="NoSpacing"/>
        <w:jc w:val="left"/>
        <w:rPr>
          <w:rFonts w:cs="Times New Roman"/>
          <w:color w:val="000000" w:themeColor="text1"/>
          <w:szCs w:val="24"/>
          <w:lang w:val="en-GB"/>
        </w:rPr>
      </w:pPr>
      <w:proofErr w:type="gramStart"/>
      <w:r w:rsidRPr="004E5203">
        <w:rPr>
          <w:rFonts w:cs="Times New Roman"/>
          <w:color w:val="000000" w:themeColor="text1"/>
          <w:szCs w:val="24"/>
          <w:lang w:val="en-GB"/>
        </w:rPr>
        <w:t>Dixon, M., 2018.</w:t>
      </w:r>
      <w:proofErr w:type="gramEnd"/>
      <w:r w:rsidRPr="004E5203">
        <w:rPr>
          <w:rFonts w:cs="Times New Roman"/>
          <w:color w:val="000000" w:themeColor="text1"/>
          <w:szCs w:val="24"/>
          <w:lang w:val="en-GB"/>
        </w:rPr>
        <w:t> </w:t>
      </w:r>
      <w:proofErr w:type="gramStart"/>
      <w:r w:rsidRPr="00F86805">
        <w:rPr>
          <w:rFonts w:cs="Times New Roman"/>
          <w:i/>
          <w:color w:val="000000" w:themeColor="text1"/>
          <w:szCs w:val="24"/>
          <w:lang w:val="en-GB"/>
        </w:rPr>
        <w:t>Modern land law</w:t>
      </w:r>
      <w:r w:rsidRPr="004E5203">
        <w:rPr>
          <w:rFonts w:cs="Times New Roman"/>
          <w:color w:val="000000" w:themeColor="text1"/>
          <w:szCs w:val="24"/>
          <w:lang w:val="en-GB"/>
        </w:rPr>
        <w:t>.</w:t>
      </w:r>
      <w:proofErr w:type="gramEnd"/>
      <w:r w:rsidRPr="004E5203">
        <w:rPr>
          <w:rFonts w:cs="Times New Roman"/>
          <w:color w:val="000000" w:themeColor="text1"/>
          <w:szCs w:val="24"/>
          <w:lang w:val="en-GB"/>
        </w:rPr>
        <w:t xml:space="preserve"> </w:t>
      </w:r>
      <w:proofErr w:type="spellStart"/>
      <w:proofErr w:type="gramStart"/>
      <w:r w:rsidRPr="004E5203">
        <w:rPr>
          <w:rFonts w:cs="Times New Roman"/>
          <w:color w:val="000000" w:themeColor="text1"/>
          <w:szCs w:val="24"/>
          <w:lang w:val="en-GB"/>
        </w:rPr>
        <w:t>Routledge</w:t>
      </w:r>
      <w:proofErr w:type="spellEnd"/>
      <w:r w:rsidRPr="004E5203">
        <w:rPr>
          <w:rFonts w:cs="Times New Roman"/>
          <w:color w:val="000000" w:themeColor="text1"/>
          <w:szCs w:val="24"/>
          <w:lang w:val="en-GB"/>
        </w:rPr>
        <w:t>.</w:t>
      </w:r>
      <w:proofErr w:type="gramEnd"/>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Duxbury, N., 2016</w:t>
      </w:r>
      <w:r w:rsidRPr="00F86805">
        <w:rPr>
          <w:rFonts w:cs="Times New Roman"/>
          <w:i/>
          <w:color w:val="000000" w:themeColor="text1"/>
          <w:szCs w:val="24"/>
          <w:lang w:val="en-GB"/>
        </w:rPr>
        <w:t xml:space="preserve">. </w:t>
      </w:r>
      <w:proofErr w:type="gramStart"/>
      <w:r w:rsidRPr="00F86805">
        <w:rPr>
          <w:rFonts w:cs="Times New Roman"/>
          <w:i/>
          <w:color w:val="000000" w:themeColor="text1"/>
          <w:szCs w:val="24"/>
          <w:lang w:val="en-GB"/>
        </w:rPr>
        <w:t>Acquisitive prescription and fundamental rights</w:t>
      </w:r>
      <w:r w:rsidRPr="004E5203">
        <w:rPr>
          <w:rFonts w:cs="Times New Roman"/>
          <w:color w:val="000000" w:themeColor="text1"/>
          <w:szCs w:val="24"/>
          <w:lang w:val="en-GB"/>
        </w:rPr>
        <w:t>.</w:t>
      </w:r>
      <w:proofErr w:type="gramEnd"/>
      <w:r w:rsidRPr="004E5203">
        <w:rPr>
          <w:rFonts w:cs="Times New Roman"/>
          <w:color w:val="000000" w:themeColor="text1"/>
          <w:szCs w:val="24"/>
          <w:lang w:val="en-GB"/>
        </w:rPr>
        <w:t> </w:t>
      </w:r>
      <w:proofErr w:type="gramStart"/>
      <w:r w:rsidRPr="004E5203">
        <w:rPr>
          <w:rFonts w:cs="Times New Roman"/>
          <w:color w:val="000000" w:themeColor="text1"/>
          <w:szCs w:val="24"/>
          <w:lang w:val="en-GB"/>
        </w:rPr>
        <w:t>University</w:t>
      </w:r>
      <w:r w:rsidR="00D40871" w:rsidRPr="004E5203">
        <w:rPr>
          <w:rFonts w:cs="Times New Roman"/>
          <w:color w:val="000000" w:themeColor="text1"/>
          <w:szCs w:val="24"/>
          <w:lang w:val="en-GB"/>
        </w:rPr>
        <w:t xml:space="preserve"> of Toronto Law Journal, 66(4).</w:t>
      </w:r>
      <w:proofErr w:type="gramEnd"/>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 xml:space="preserve">Duxbury, N., 2017. </w:t>
      </w:r>
      <w:proofErr w:type="gramStart"/>
      <w:r w:rsidRPr="00F86805">
        <w:rPr>
          <w:rFonts w:cs="Times New Roman"/>
          <w:i/>
          <w:color w:val="000000" w:themeColor="text1"/>
          <w:szCs w:val="24"/>
          <w:lang w:val="en-GB"/>
        </w:rPr>
        <w:t>Custom as law in English law</w:t>
      </w:r>
      <w:r w:rsidRPr="004E5203">
        <w:rPr>
          <w:rFonts w:cs="Times New Roman"/>
          <w:color w:val="000000" w:themeColor="text1"/>
          <w:szCs w:val="24"/>
          <w:lang w:val="en-GB"/>
        </w:rPr>
        <w:t>.</w:t>
      </w:r>
      <w:proofErr w:type="gramEnd"/>
      <w:r w:rsidRPr="004E5203">
        <w:rPr>
          <w:rFonts w:cs="Times New Roman"/>
          <w:color w:val="000000" w:themeColor="text1"/>
          <w:szCs w:val="24"/>
          <w:lang w:val="en-GB"/>
        </w:rPr>
        <w:t> </w:t>
      </w:r>
      <w:proofErr w:type="gramStart"/>
      <w:r w:rsidRPr="004E5203">
        <w:rPr>
          <w:rFonts w:cs="Times New Roman"/>
          <w:color w:val="000000" w:themeColor="text1"/>
          <w:szCs w:val="24"/>
          <w:lang w:val="en-GB"/>
        </w:rPr>
        <w:t>The Cambridge</w:t>
      </w:r>
      <w:r w:rsidR="00D40871" w:rsidRPr="004E5203">
        <w:rPr>
          <w:rFonts w:cs="Times New Roman"/>
          <w:color w:val="000000" w:themeColor="text1"/>
          <w:szCs w:val="24"/>
          <w:lang w:val="en-GB"/>
        </w:rPr>
        <w:t xml:space="preserve"> Law Journal, 76(2).</w:t>
      </w:r>
      <w:proofErr w:type="gramEnd"/>
    </w:p>
    <w:p w:rsidR="00D40871"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 xml:space="preserve">French, G., 2016. </w:t>
      </w:r>
      <w:proofErr w:type="gramStart"/>
      <w:r w:rsidRPr="00F86805">
        <w:rPr>
          <w:rFonts w:cs="Times New Roman"/>
          <w:i/>
          <w:color w:val="000000" w:themeColor="text1"/>
          <w:szCs w:val="24"/>
          <w:lang w:val="en-GB"/>
        </w:rPr>
        <w:t>The Doctrine of Lost Modern Grant and Prescriptive Easements in Newfou</w:t>
      </w:r>
      <w:r w:rsidR="00D40871" w:rsidRPr="00F86805">
        <w:rPr>
          <w:rFonts w:cs="Times New Roman"/>
          <w:i/>
          <w:color w:val="000000" w:themeColor="text1"/>
          <w:szCs w:val="24"/>
          <w:lang w:val="en-GB"/>
        </w:rPr>
        <w:t>ndland.</w:t>
      </w:r>
      <w:proofErr w:type="gramEnd"/>
      <w:r w:rsidR="00D40871" w:rsidRPr="004E5203">
        <w:rPr>
          <w:rFonts w:cs="Times New Roman"/>
          <w:color w:val="000000" w:themeColor="text1"/>
          <w:szCs w:val="24"/>
          <w:lang w:val="en-GB"/>
        </w:rPr>
        <w:t> Dalhousie LJ, 39.</w:t>
      </w:r>
    </w:p>
    <w:p w:rsidR="00CC220C" w:rsidRPr="004E5203" w:rsidRDefault="00A66F2D" w:rsidP="004E5203">
      <w:pPr>
        <w:pStyle w:val="NoSpacing"/>
        <w:jc w:val="left"/>
        <w:rPr>
          <w:rFonts w:cs="Times New Roman"/>
          <w:color w:val="000000" w:themeColor="text1"/>
          <w:szCs w:val="24"/>
          <w:lang w:val="en-GB"/>
        </w:rPr>
      </w:pPr>
      <w:proofErr w:type="spellStart"/>
      <w:r w:rsidRPr="004E5203">
        <w:rPr>
          <w:rFonts w:cs="Times New Roman"/>
          <w:color w:val="000000" w:themeColor="text1"/>
          <w:szCs w:val="24"/>
          <w:lang w:val="en-GB"/>
        </w:rPr>
        <w:t>Getzler</w:t>
      </w:r>
      <w:proofErr w:type="spellEnd"/>
      <w:r w:rsidRPr="004E5203">
        <w:rPr>
          <w:rFonts w:cs="Times New Roman"/>
          <w:color w:val="000000" w:themeColor="text1"/>
          <w:szCs w:val="24"/>
          <w:lang w:val="en-GB"/>
        </w:rPr>
        <w:t xml:space="preserve">, J., 2017. </w:t>
      </w:r>
      <w:r w:rsidRPr="00F86805">
        <w:rPr>
          <w:rFonts w:cs="Times New Roman"/>
          <w:i/>
          <w:color w:val="000000" w:themeColor="text1"/>
          <w:szCs w:val="24"/>
          <w:lang w:val="en-GB"/>
        </w:rPr>
        <w:t xml:space="preserve">Lord </w:t>
      </w:r>
      <w:proofErr w:type="spellStart"/>
      <w:r w:rsidRPr="00F86805">
        <w:rPr>
          <w:rFonts w:cs="Times New Roman"/>
          <w:i/>
          <w:color w:val="000000" w:themeColor="text1"/>
          <w:szCs w:val="24"/>
          <w:lang w:val="en-GB"/>
        </w:rPr>
        <w:t>Tenterden's</w:t>
      </w:r>
      <w:proofErr w:type="spellEnd"/>
      <w:r w:rsidRPr="00F86805">
        <w:rPr>
          <w:rFonts w:cs="Times New Roman"/>
          <w:i/>
          <w:color w:val="000000" w:themeColor="text1"/>
          <w:szCs w:val="24"/>
          <w:lang w:val="en-GB"/>
        </w:rPr>
        <w:t xml:space="preserve"> 1832 prescription act: why was it passed, and was it a failure</w:t>
      </w:r>
      <w:proofErr w:type="gramStart"/>
      <w:r w:rsidRPr="004E5203">
        <w:rPr>
          <w:rFonts w:cs="Times New Roman"/>
          <w:color w:val="000000" w:themeColor="text1"/>
          <w:szCs w:val="24"/>
          <w:lang w:val="en-GB"/>
        </w:rPr>
        <w:t>?.</w:t>
      </w:r>
      <w:proofErr w:type="gramEnd"/>
    </w:p>
    <w:p w:rsidR="00CC220C" w:rsidRPr="004E5203" w:rsidRDefault="00A66F2D" w:rsidP="004E5203">
      <w:pPr>
        <w:pStyle w:val="NoSpacing"/>
        <w:jc w:val="left"/>
        <w:rPr>
          <w:rFonts w:cs="Times New Roman"/>
          <w:color w:val="000000" w:themeColor="text1"/>
          <w:szCs w:val="24"/>
          <w:lang w:val="en-GB"/>
        </w:rPr>
      </w:pPr>
      <w:proofErr w:type="spellStart"/>
      <w:r w:rsidRPr="004E5203">
        <w:rPr>
          <w:rFonts w:cs="Times New Roman"/>
          <w:color w:val="000000" w:themeColor="text1"/>
          <w:szCs w:val="24"/>
          <w:lang w:val="en-GB"/>
        </w:rPr>
        <w:t>Ghasemi</w:t>
      </w:r>
      <w:proofErr w:type="spellEnd"/>
      <w:r w:rsidRPr="004E5203">
        <w:rPr>
          <w:rFonts w:cs="Times New Roman"/>
          <w:color w:val="000000" w:themeColor="text1"/>
          <w:szCs w:val="24"/>
          <w:lang w:val="en-GB"/>
        </w:rPr>
        <w:t xml:space="preserve">, P., 2016. </w:t>
      </w:r>
      <w:r w:rsidRPr="00F86805">
        <w:rPr>
          <w:rFonts w:cs="Times New Roman"/>
          <w:i/>
          <w:color w:val="000000" w:themeColor="text1"/>
          <w:szCs w:val="24"/>
          <w:lang w:val="en-GB"/>
        </w:rPr>
        <w:t>Easement of support and the Party Wall Act: Misnomers and misunderstandings</w:t>
      </w:r>
      <w:r w:rsidRPr="004E5203">
        <w:rPr>
          <w:rFonts w:cs="Times New Roman"/>
          <w:color w:val="000000" w:themeColor="text1"/>
          <w:szCs w:val="24"/>
          <w:lang w:val="en-GB"/>
        </w:rPr>
        <w:t>. </w:t>
      </w:r>
      <w:proofErr w:type="gramStart"/>
      <w:r w:rsidRPr="004E5203">
        <w:rPr>
          <w:rFonts w:cs="Times New Roman"/>
          <w:color w:val="000000" w:themeColor="text1"/>
          <w:szCs w:val="24"/>
          <w:lang w:val="en-GB"/>
        </w:rPr>
        <w:t>Journal of Building Survey,</w:t>
      </w:r>
      <w:r w:rsidR="00D40871" w:rsidRPr="004E5203">
        <w:rPr>
          <w:rFonts w:cs="Times New Roman"/>
          <w:color w:val="000000" w:themeColor="text1"/>
          <w:szCs w:val="24"/>
          <w:lang w:val="en-GB"/>
        </w:rPr>
        <w:t xml:space="preserve"> Appraisal &amp; Valuation, 4(4).</w:t>
      </w:r>
      <w:proofErr w:type="gramEnd"/>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 xml:space="preserve">Ian, D. and Dunn, A., 2018. </w:t>
      </w:r>
      <w:proofErr w:type="gramStart"/>
      <w:r w:rsidRPr="004E5203">
        <w:rPr>
          <w:rFonts w:cs="Times New Roman"/>
          <w:color w:val="000000" w:themeColor="text1"/>
          <w:szCs w:val="24"/>
          <w:lang w:val="en-GB"/>
        </w:rPr>
        <w:t>Acquiring a Prescriptive Right to Commit a Nuisance</w:t>
      </w:r>
      <w:r w:rsidR="00D40871" w:rsidRPr="004E5203">
        <w:rPr>
          <w:rFonts w:cs="Times New Roman"/>
          <w:color w:val="000000" w:themeColor="text1"/>
          <w:szCs w:val="24"/>
          <w:lang w:val="en-GB"/>
        </w:rPr>
        <w:t>.</w:t>
      </w:r>
      <w:proofErr w:type="gramEnd"/>
      <w:r w:rsidR="00D40871" w:rsidRPr="004E5203">
        <w:rPr>
          <w:rFonts w:cs="Times New Roman"/>
          <w:color w:val="000000" w:themeColor="text1"/>
          <w:szCs w:val="24"/>
          <w:lang w:val="en-GB"/>
        </w:rPr>
        <w:t xml:space="preserve"> </w:t>
      </w:r>
      <w:proofErr w:type="gramStart"/>
      <w:r w:rsidR="00D40871" w:rsidRPr="004E5203">
        <w:rPr>
          <w:rFonts w:cs="Times New Roman"/>
          <w:color w:val="000000" w:themeColor="text1"/>
          <w:szCs w:val="24"/>
          <w:lang w:val="en-GB"/>
        </w:rPr>
        <w:t>In Contemporary Property Law.</w:t>
      </w:r>
      <w:proofErr w:type="gramEnd"/>
      <w:r w:rsidR="00D40871" w:rsidRPr="004E5203">
        <w:rPr>
          <w:rFonts w:cs="Times New Roman"/>
          <w:color w:val="000000" w:themeColor="text1"/>
          <w:szCs w:val="24"/>
          <w:lang w:val="en-GB"/>
        </w:rPr>
        <w:t xml:space="preserve"> </w:t>
      </w:r>
      <w:proofErr w:type="spellStart"/>
      <w:proofErr w:type="gramStart"/>
      <w:r w:rsidRPr="004E5203">
        <w:rPr>
          <w:rFonts w:cs="Times New Roman"/>
          <w:color w:val="000000" w:themeColor="text1"/>
          <w:szCs w:val="24"/>
          <w:lang w:val="en-GB"/>
        </w:rPr>
        <w:t>Routledge</w:t>
      </w:r>
      <w:proofErr w:type="spellEnd"/>
      <w:r w:rsidRPr="004E5203">
        <w:rPr>
          <w:rFonts w:cs="Times New Roman"/>
          <w:color w:val="000000" w:themeColor="text1"/>
          <w:szCs w:val="24"/>
          <w:lang w:val="en-GB"/>
        </w:rPr>
        <w:t>.</w:t>
      </w:r>
      <w:proofErr w:type="gramEnd"/>
    </w:p>
    <w:p w:rsidR="00CC220C" w:rsidRPr="004E5203" w:rsidRDefault="00A66F2D" w:rsidP="004E5203">
      <w:pPr>
        <w:pStyle w:val="NoSpacing"/>
        <w:jc w:val="left"/>
        <w:rPr>
          <w:rFonts w:cs="Times New Roman"/>
          <w:color w:val="000000" w:themeColor="text1"/>
          <w:szCs w:val="24"/>
          <w:lang w:val="en-GB"/>
        </w:rPr>
      </w:pPr>
      <w:r w:rsidRPr="004E5203">
        <w:rPr>
          <w:rFonts w:cs="Times New Roman"/>
          <w:color w:val="000000" w:themeColor="text1"/>
          <w:szCs w:val="24"/>
          <w:lang w:val="en-GB"/>
        </w:rPr>
        <w:t xml:space="preserve">Ward, T., 2017. </w:t>
      </w:r>
      <w:r w:rsidRPr="00F86805">
        <w:rPr>
          <w:rFonts w:cs="Times New Roman"/>
          <w:i/>
          <w:color w:val="000000" w:themeColor="text1"/>
          <w:szCs w:val="24"/>
          <w:lang w:val="en-GB"/>
        </w:rPr>
        <w:t>Expert evidence and the Law Commission: implementation without legislation</w:t>
      </w:r>
      <w:proofErr w:type="gramStart"/>
      <w:r w:rsidRPr="00F86805">
        <w:rPr>
          <w:rFonts w:cs="Times New Roman"/>
          <w:i/>
          <w:color w:val="000000" w:themeColor="text1"/>
          <w:szCs w:val="24"/>
          <w:lang w:val="en-GB"/>
        </w:rPr>
        <w:t>?.</w:t>
      </w:r>
      <w:proofErr w:type="gramEnd"/>
      <w:r w:rsidRPr="00F86805">
        <w:rPr>
          <w:rFonts w:cs="Times New Roman"/>
          <w:i/>
          <w:color w:val="000000" w:themeColor="text1"/>
          <w:szCs w:val="24"/>
          <w:lang w:val="en-GB"/>
        </w:rPr>
        <w:t xml:space="preserve"> </w:t>
      </w:r>
      <w:proofErr w:type="gramStart"/>
      <w:r w:rsidRPr="00F86805">
        <w:rPr>
          <w:rFonts w:cs="Times New Roman"/>
          <w:i/>
          <w:color w:val="000000" w:themeColor="text1"/>
          <w:szCs w:val="24"/>
          <w:lang w:val="en-GB"/>
        </w:rPr>
        <w:lastRenderedPageBreak/>
        <w:t>In Expert Evidence and Scien</w:t>
      </w:r>
      <w:r w:rsidR="00D40871" w:rsidRPr="00F86805">
        <w:rPr>
          <w:rFonts w:cs="Times New Roman"/>
          <w:i/>
          <w:color w:val="000000" w:themeColor="text1"/>
          <w:szCs w:val="24"/>
          <w:lang w:val="en-GB"/>
        </w:rPr>
        <w:t>tific Proof in Criminal Trials.</w:t>
      </w:r>
      <w:proofErr w:type="gramEnd"/>
      <w:r w:rsidR="00D40871" w:rsidRPr="004E5203">
        <w:rPr>
          <w:rFonts w:cs="Times New Roman"/>
          <w:color w:val="000000" w:themeColor="text1"/>
          <w:szCs w:val="24"/>
          <w:lang w:val="en-GB"/>
        </w:rPr>
        <w:t xml:space="preserve"> </w:t>
      </w:r>
      <w:proofErr w:type="spellStart"/>
      <w:proofErr w:type="gramStart"/>
      <w:r w:rsidRPr="004E5203">
        <w:rPr>
          <w:rFonts w:cs="Times New Roman"/>
          <w:color w:val="000000" w:themeColor="text1"/>
          <w:szCs w:val="24"/>
          <w:lang w:val="en-GB"/>
        </w:rPr>
        <w:t>Routledge</w:t>
      </w:r>
      <w:proofErr w:type="spellEnd"/>
      <w:r w:rsidRPr="004E5203">
        <w:rPr>
          <w:rFonts w:cs="Times New Roman"/>
          <w:color w:val="000000" w:themeColor="text1"/>
          <w:szCs w:val="24"/>
          <w:lang w:val="en-GB"/>
        </w:rPr>
        <w:t>.</w:t>
      </w:r>
      <w:proofErr w:type="gramEnd"/>
    </w:p>
    <w:p w:rsidR="0035639D" w:rsidRPr="004E5203" w:rsidRDefault="0035639D" w:rsidP="004E5203">
      <w:pPr>
        <w:jc w:val="left"/>
        <w:rPr>
          <w:rFonts w:cs="Times New Roman"/>
          <w:color w:val="000000" w:themeColor="text1"/>
          <w:szCs w:val="24"/>
        </w:rPr>
      </w:pPr>
    </w:p>
    <w:p w:rsidR="0035639D" w:rsidRPr="004E5203" w:rsidRDefault="0035639D" w:rsidP="004E5203">
      <w:pPr>
        <w:ind w:firstLine="0"/>
        <w:jc w:val="left"/>
        <w:rPr>
          <w:rFonts w:cs="Times New Roman"/>
          <w:color w:val="000000" w:themeColor="text1"/>
          <w:szCs w:val="24"/>
        </w:rPr>
      </w:pPr>
    </w:p>
    <w:p w:rsidR="00194579" w:rsidRPr="004E5203" w:rsidRDefault="00194579" w:rsidP="004E5203">
      <w:pPr>
        <w:jc w:val="left"/>
        <w:rPr>
          <w:rFonts w:cs="Times New Roman"/>
          <w:color w:val="000000" w:themeColor="text1"/>
          <w:szCs w:val="24"/>
        </w:rPr>
      </w:pPr>
    </w:p>
    <w:p w:rsidR="00194579" w:rsidRPr="004E5203" w:rsidRDefault="00194579" w:rsidP="004E5203">
      <w:pPr>
        <w:jc w:val="left"/>
        <w:rPr>
          <w:rFonts w:cs="Times New Roman"/>
          <w:color w:val="000000" w:themeColor="text1"/>
          <w:szCs w:val="24"/>
        </w:rPr>
      </w:pPr>
    </w:p>
    <w:sectPr w:rsidR="00194579" w:rsidRPr="004E5203" w:rsidSect="00EB6773">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5BA" w:rsidRDefault="00E825BA">
      <w:pPr>
        <w:spacing w:line="240" w:lineRule="auto"/>
      </w:pPr>
      <w:r>
        <w:separator/>
      </w:r>
    </w:p>
  </w:endnote>
  <w:endnote w:type="continuationSeparator" w:id="0">
    <w:p w:rsidR="00E825BA" w:rsidRDefault="00E825B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F6E" w:rsidRDefault="00D32F6E">
    <w:pPr>
      <w:pStyle w:val="Footer"/>
      <w:jc w:val="right"/>
    </w:pPr>
  </w:p>
  <w:p w:rsidR="00D32F6E" w:rsidRDefault="00D32F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5BA" w:rsidRDefault="00E825BA">
      <w:pPr>
        <w:spacing w:line="240" w:lineRule="auto"/>
      </w:pPr>
      <w:r>
        <w:separator/>
      </w:r>
    </w:p>
  </w:footnote>
  <w:footnote w:type="continuationSeparator" w:id="0">
    <w:p w:rsidR="00E825BA" w:rsidRDefault="00E825B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773" w:rsidRDefault="00EB677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55408"/>
    <w:multiLevelType w:val="hybridMultilevel"/>
    <w:tmpl w:val="EF401B88"/>
    <w:lvl w:ilvl="0" w:tplc="835CE640">
      <w:start w:val="1"/>
      <w:numFmt w:val="bullet"/>
      <w:lvlText w:val=""/>
      <w:lvlJc w:val="left"/>
      <w:pPr>
        <w:ind w:left="720" w:hanging="360"/>
      </w:pPr>
      <w:rPr>
        <w:rFonts w:ascii="Symbol" w:hAnsi="Symbol" w:hint="default"/>
      </w:rPr>
    </w:lvl>
    <w:lvl w:ilvl="1" w:tplc="EB1C54F0" w:tentative="1">
      <w:start w:val="1"/>
      <w:numFmt w:val="bullet"/>
      <w:lvlText w:val="o"/>
      <w:lvlJc w:val="left"/>
      <w:pPr>
        <w:ind w:left="1440" w:hanging="360"/>
      </w:pPr>
      <w:rPr>
        <w:rFonts w:ascii="Courier New" w:hAnsi="Courier New" w:cs="Courier New" w:hint="default"/>
      </w:rPr>
    </w:lvl>
    <w:lvl w:ilvl="2" w:tplc="120A89A8" w:tentative="1">
      <w:start w:val="1"/>
      <w:numFmt w:val="bullet"/>
      <w:lvlText w:val=""/>
      <w:lvlJc w:val="left"/>
      <w:pPr>
        <w:ind w:left="2160" w:hanging="360"/>
      </w:pPr>
      <w:rPr>
        <w:rFonts w:ascii="Wingdings" w:hAnsi="Wingdings" w:hint="default"/>
      </w:rPr>
    </w:lvl>
    <w:lvl w:ilvl="3" w:tplc="5FAA88DA" w:tentative="1">
      <w:start w:val="1"/>
      <w:numFmt w:val="bullet"/>
      <w:lvlText w:val=""/>
      <w:lvlJc w:val="left"/>
      <w:pPr>
        <w:ind w:left="2880" w:hanging="360"/>
      </w:pPr>
      <w:rPr>
        <w:rFonts w:ascii="Symbol" w:hAnsi="Symbol" w:hint="default"/>
      </w:rPr>
    </w:lvl>
    <w:lvl w:ilvl="4" w:tplc="73C6CF86" w:tentative="1">
      <w:start w:val="1"/>
      <w:numFmt w:val="bullet"/>
      <w:lvlText w:val="o"/>
      <w:lvlJc w:val="left"/>
      <w:pPr>
        <w:ind w:left="3600" w:hanging="360"/>
      </w:pPr>
      <w:rPr>
        <w:rFonts w:ascii="Courier New" w:hAnsi="Courier New" w:cs="Courier New" w:hint="default"/>
      </w:rPr>
    </w:lvl>
    <w:lvl w:ilvl="5" w:tplc="F1A4D574" w:tentative="1">
      <w:start w:val="1"/>
      <w:numFmt w:val="bullet"/>
      <w:lvlText w:val=""/>
      <w:lvlJc w:val="left"/>
      <w:pPr>
        <w:ind w:left="4320" w:hanging="360"/>
      </w:pPr>
      <w:rPr>
        <w:rFonts w:ascii="Wingdings" w:hAnsi="Wingdings" w:hint="default"/>
      </w:rPr>
    </w:lvl>
    <w:lvl w:ilvl="6" w:tplc="45FE8070" w:tentative="1">
      <w:start w:val="1"/>
      <w:numFmt w:val="bullet"/>
      <w:lvlText w:val=""/>
      <w:lvlJc w:val="left"/>
      <w:pPr>
        <w:ind w:left="5040" w:hanging="360"/>
      </w:pPr>
      <w:rPr>
        <w:rFonts w:ascii="Symbol" w:hAnsi="Symbol" w:hint="default"/>
      </w:rPr>
    </w:lvl>
    <w:lvl w:ilvl="7" w:tplc="CC5A27EA" w:tentative="1">
      <w:start w:val="1"/>
      <w:numFmt w:val="bullet"/>
      <w:lvlText w:val="o"/>
      <w:lvlJc w:val="left"/>
      <w:pPr>
        <w:ind w:left="5760" w:hanging="360"/>
      </w:pPr>
      <w:rPr>
        <w:rFonts w:ascii="Courier New" w:hAnsi="Courier New" w:cs="Courier New" w:hint="default"/>
      </w:rPr>
    </w:lvl>
    <w:lvl w:ilvl="8" w:tplc="7FA8C002" w:tentative="1">
      <w:start w:val="1"/>
      <w:numFmt w:val="bullet"/>
      <w:lvlText w:val=""/>
      <w:lvlJc w:val="left"/>
      <w:pPr>
        <w:ind w:left="6480" w:hanging="360"/>
      </w:pPr>
      <w:rPr>
        <w:rFonts w:ascii="Wingdings" w:hAnsi="Wingdings" w:hint="default"/>
      </w:rPr>
    </w:lvl>
  </w:abstractNum>
  <w:abstractNum w:abstractNumId="1">
    <w:nsid w:val="1B5B31CF"/>
    <w:multiLevelType w:val="multilevel"/>
    <w:tmpl w:val="44025E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E73F51"/>
    <w:multiLevelType w:val="multilevel"/>
    <w:tmpl w:val="81925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163E54"/>
    <w:multiLevelType w:val="hybridMultilevel"/>
    <w:tmpl w:val="D4EE5E74"/>
    <w:lvl w:ilvl="0" w:tplc="6E72A0C4">
      <w:start w:val="1"/>
      <w:numFmt w:val="bullet"/>
      <w:lvlText w:val=""/>
      <w:lvlJc w:val="left"/>
      <w:pPr>
        <w:ind w:left="1080" w:hanging="360"/>
      </w:pPr>
      <w:rPr>
        <w:rFonts w:ascii="Symbol" w:hAnsi="Symbol" w:hint="default"/>
      </w:rPr>
    </w:lvl>
    <w:lvl w:ilvl="1" w:tplc="14E27EC6" w:tentative="1">
      <w:start w:val="1"/>
      <w:numFmt w:val="bullet"/>
      <w:lvlText w:val="o"/>
      <w:lvlJc w:val="left"/>
      <w:pPr>
        <w:ind w:left="1800" w:hanging="360"/>
      </w:pPr>
      <w:rPr>
        <w:rFonts w:ascii="Courier New" w:hAnsi="Courier New" w:cs="Courier New" w:hint="default"/>
      </w:rPr>
    </w:lvl>
    <w:lvl w:ilvl="2" w:tplc="14D82936" w:tentative="1">
      <w:start w:val="1"/>
      <w:numFmt w:val="bullet"/>
      <w:lvlText w:val=""/>
      <w:lvlJc w:val="left"/>
      <w:pPr>
        <w:ind w:left="2520" w:hanging="360"/>
      </w:pPr>
      <w:rPr>
        <w:rFonts w:ascii="Wingdings" w:hAnsi="Wingdings" w:hint="default"/>
      </w:rPr>
    </w:lvl>
    <w:lvl w:ilvl="3" w:tplc="505430DC" w:tentative="1">
      <w:start w:val="1"/>
      <w:numFmt w:val="bullet"/>
      <w:lvlText w:val=""/>
      <w:lvlJc w:val="left"/>
      <w:pPr>
        <w:ind w:left="3240" w:hanging="360"/>
      </w:pPr>
      <w:rPr>
        <w:rFonts w:ascii="Symbol" w:hAnsi="Symbol" w:hint="default"/>
      </w:rPr>
    </w:lvl>
    <w:lvl w:ilvl="4" w:tplc="AD041B18" w:tentative="1">
      <w:start w:val="1"/>
      <w:numFmt w:val="bullet"/>
      <w:lvlText w:val="o"/>
      <w:lvlJc w:val="left"/>
      <w:pPr>
        <w:ind w:left="3960" w:hanging="360"/>
      </w:pPr>
      <w:rPr>
        <w:rFonts w:ascii="Courier New" w:hAnsi="Courier New" w:cs="Courier New" w:hint="default"/>
      </w:rPr>
    </w:lvl>
    <w:lvl w:ilvl="5" w:tplc="CBF04336" w:tentative="1">
      <w:start w:val="1"/>
      <w:numFmt w:val="bullet"/>
      <w:lvlText w:val=""/>
      <w:lvlJc w:val="left"/>
      <w:pPr>
        <w:ind w:left="4680" w:hanging="360"/>
      </w:pPr>
      <w:rPr>
        <w:rFonts w:ascii="Wingdings" w:hAnsi="Wingdings" w:hint="default"/>
      </w:rPr>
    </w:lvl>
    <w:lvl w:ilvl="6" w:tplc="D34A5520" w:tentative="1">
      <w:start w:val="1"/>
      <w:numFmt w:val="bullet"/>
      <w:lvlText w:val=""/>
      <w:lvlJc w:val="left"/>
      <w:pPr>
        <w:ind w:left="5400" w:hanging="360"/>
      </w:pPr>
      <w:rPr>
        <w:rFonts w:ascii="Symbol" w:hAnsi="Symbol" w:hint="default"/>
      </w:rPr>
    </w:lvl>
    <w:lvl w:ilvl="7" w:tplc="30F0D330" w:tentative="1">
      <w:start w:val="1"/>
      <w:numFmt w:val="bullet"/>
      <w:lvlText w:val="o"/>
      <w:lvlJc w:val="left"/>
      <w:pPr>
        <w:ind w:left="6120" w:hanging="360"/>
      </w:pPr>
      <w:rPr>
        <w:rFonts w:ascii="Courier New" w:hAnsi="Courier New" w:cs="Courier New" w:hint="default"/>
      </w:rPr>
    </w:lvl>
    <w:lvl w:ilvl="8" w:tplc="7EA29562" w:tentative="1">
      <w:start w:val="1"/>
      <w:numFmt w:val="bullet"/>
      <w:lvlText w:val=""/>
      <w:lvlJc w:val="left"/>
      <w:pPr>
        <w:ind w:left="6840" w:hanging="360"/>
      </w:pPr>
      <w:rPr>
        <w:rFonts w:ascii="Wingdings" w:hAnsi="Wingdings" w:hint="default"/>
      </w:rPr>
    </w:lvl>
  </w:abstractNum>
  <w:abstractNum w:abstractNumId="4">
    <w:nsid w:val="5849366E"/>
    <w:multiLevelType w:val="multilevel"/>
    <w:tmpl w:val="C622B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8040891"/>
    <w:multiLevelType w:val="hybridMultilevel"/>
    <w:tmpl w:val="F2846B34"/>
    <w:lvl w:ilvl="0" w:tplc="5798E048">
      <w:start w:val="1"/>
      <w:numFmt w:val="decimal"/>
      <w:lvlText w:val="%1."/>
      <w:lvlJc w:val="left"/>
      <w:pPr>
        <w:ind w:left="720" w:hanging="360"/>
      </w:pPr>
      <w:rPr>
        <w:rFonts w:hint="default"/>
      </w:rPr>
    </w:lvl>
    <w:lvl w:ilvl="1" w:tplc="AA262168" w:tentative="1">
      <w:start w:val="1"/>
      <w:numFmt w:val="lowerLetter"/>
      <w:lvlText w:val="%2."/>
      <w:lvlJc w:val="left"/>
      <w:pPr>
        <w:ind w:left="1440" w:hanging="360"/>
      </w:pPr>
    </w:lvl>
    <w:lvl w:ilvl="2" w:tplc="090208BA" w:tentative="1">
      <w:start w:val="1"/>
      <w:numFmt w:val="lowerRoman"/>
      <w:lvlText w:val="%3."/>
      <w:lvlJc w:val="right"/>
      <w:pPr>
        <w:ind w:left="2160" w:hanging="180"/>
      </w:pPr>
    </w:lvl>
    <w:lvl w:ilvl="3" w:tplc="15549304" w:tentative="1">
      <w:start w:val="1"/>
      <w:numFmt w:val="decimal"/>
      <w:lvlText w:val="%4."/>
      <w:lvlJc w:val="left"/>
      <w:pPr>
        <w:ind w:left="2880" w:hanging="360"/>
      </w:pPr>
    </w:lvl>
    <w:lvl w:ilvl="4" w:tplc="9CCA7228" w:tentative="1">
      <w:start w:val="1"/>
      <w:numFmt w:val="lowerLetter"/>
      <w:lvlText w:val="%5."/>
      <w:lvlJc w:val="left"/>
      <w:pPr>
        <w:ind w:left="3600" w:hanging="360"/>
      </w:pPr>
    </w:lvl>
    <w:lvl w:ilvl="5" w:tplc="F968A15A" w:tentative="1">
      <w:start w:val="1"/>
      <w:numFmt w:val="lowerRoman"/>
      <w:lvlText w:val="%6."/>
      <w:lvlJc w:val="right"/>
      <w:pPr>
        <w:ind w:left="4320" w:hanging="180"/>
      </w:pPr>
    </w:lvl>
    <w:lvl w:ilvl="6" w:tplc="A1302F1E" w:tentative="1">
      <w:start w:val="1"/>
      <w:numFmt w:val="decimal"/>
      <w:lvlText w:val="%7."/>
      <w:lvlJc w:val="left"/>
      <w:pPr>
        <w:ind w:left="5040" w:hanging="360"/>
      </w:pPr>
    </w:lvl>
    <w:lvl w:ilvl="7" w:tplc="0860A29A" w:tentative="1">
      <w:start w:val="1"/>
      <w:numFmt w:val="lowerLetter"/>
      <w:lvlText w:val="%8."/>
      <w:lvlJc w:val="left"/>
      <w:pPr>
        <w:ind w:left="5760" w:hanging="360"/>
      </w:pPr>
    </w:lvl>
    <w:lvl w:ilvl="8" w:tplc="8FD43194"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94579"/>
    <w:rsid w:val="000019E2"/>
    <w:rsid w:val="000266D6"/>
    <w:rsid w:val="000501FD"/>
    <w:rsid w:val="00063D9E"/>
    <w:rsid w:val="00092C74"/>
    <w:rsid w:val="000D79BD"/>
    <w:rsid w:val="001119FB"/>
    <w:rsid w:val="00124F2C"/>
    <w:rsid w:val="00127732"/>
    <w:rsid w:val="00145281"/>
    <w:rsid w:val="00154C60"/>
    <w:rsid w:val="0016192D"/>
    <w:rsid w:val="00171F79"/>
    <w:rsid w:val="00173498"/>
    <w:rsid w:val="00194579"/>
    <w:rsid w:val="001A4AB1"/>
    <w:rsid w:val="001D5A3C"/>
    <w:rsid w:val="002242D7"/>
    <w:rsid w:val="00231E05"/>
    <w:rsid w:val="00242EAD"/>
    <w:rsid w:val="00251C2D"/>
    <w:rsid w:val="00260047"/>
    <w:rsid w:val="00260A5E"/>
    <w:rsid w:val="00271C7D"/>
    <w:rsid w:val="00275353"/>
    <w:rsid w:val="00277E16"/>
    <w:rsid w:val="00282EB3"/>
    <w:rsid w:val="00294FD8"/>
    <w:rsid w:val="002B2636"/>
    <w:rsid w:val="002C213D"/>
    <w:rsid w:val="003035CD"/>
    <w:rsid w:val="00314C5C"/>
    <w:rsid w:val="00314EA9"/>
    <w:rsid w:val="003213D1"/>
    <w:rsid w:val="00325C6E"/>
    <w:rsid w:val="0035639D"/>
    <w:rsid w:val="003A0B7B"/>
    <w:rsid w:val="003A69B6"/>
    <w:rsid w:val="003F4012"/>
    <w:rsid w:val="003F666A"/>
    <w:rsid w:val="00426125"/>
    <w:rsid w:val="004270BF"/>
    <w:rsid w:val="004509CF"/>
    <w:rsid w:val="00473C1B"/>
    <w:rsid w:val="00482ADD"/>
    <w:rsid w:val="00484718"/>
    <w:rsid w:val="00484D25"/>
    <w:rsid w:val="004B0B4F"/>
    <w:rsid w:val="004C23D0"/>
    <w:rsid w:val="004C2CE2"/>
    <w:rsid w:val="004D6F44"/>
    <w:rsid w:val="004E5203"/>
    <w:rsid w:val="0050588F"/>
    <w:rsid w:val="00517AF2"/>
    <w:rsid w:val="0052302A"/>
    <w:rsid w:val="0052360A"/>
    <w:rsid w:val="0053334D"/>
    <w:rsid w:val="0053392E"/>
    <w:rsid w:val="00541248"/>
    <w:rsid w:val="00543E44"/>
    <w:rsid w:val="005470F0"/>
    <w:rsid w:val="00547D96"/>
    <w:rsid w:val="00551E77"/>
    <w:rsid w:val="005554FA"/>
    <w:rsid w:val="00570E5B"/>
    <w:rsid w:val="005914F7"/>
    <w:rsid w:val="005961CD"/>
    <w:rsid w:val="005A5DE8"/>
    <w:rsid w:val="005B0A27"/>
    <w:rsid w:val="00605695"/>
    <w:rsid w:val="00610A94"/>
    <w:rsid w:val="0064376E"/>
    <w:rsid w:val="006632D9"/>
    <w:rsid w:val="00685874"/>
    <w:rsid w:val="00692E1A"/>
    <w:rsid w:val="006A009A"/>
    <w:rsid w:val="006B3815"/>
    <w:rsid w:val="006C68C4"/>
    <w:rsid w:val="006F2AE5"/>
    <w:rsid w:val="006F2E54"/>
    <w:rsid w:val="00722F30"/>
    <w:rsid w:val="00727234"/>
    <w:rsid w:val="0073279B"/>
    <w:rsid w:val="0076657E"/>
    <w:rsid w:val="00797E09"/>
    <w:rsid w:val="007A5E47"/>
    <w:rsid w:val="007D7653"/>
    <w:rsid w:val="007E64AE"/>
    <w:rsid w:val="00834589"/>
    <w:rsid w:val="008A1CD8"/>
    <w:rsid w:val="008E0462"/>
    <w:rsid w:val="008F41D9"/>
    <w:rsid w:val="00911F67"/>
    <w:rsid w:val="00925E93"/>
    <w:rsid w:val="00944EC5"/>
    <w:rsid w:val="00967BBC"/>
    <w:rsid w:val="00980D68"/>
    <w:rsid w:val="009954A3"/>
    <w:rsid w:val="009B7F38"/>
    <w:rsid w:val="009D77F5"/>
    <w:rsid w:val="009F48C8"/>
    <w:rsid w:val="00A06DD5"/>
    <w:rsid w:val="00A21DC9"/>
    <w:rsid w:val="00A30D07"/>
    <w:rsid w:val="00A4552E"/>
    <w:rsid w:val="00A51F1B"/>
    <w:rsid w:val="00A53E90"/>
    <w:rsid w:val="00A64C23"/>
    <w:rsid w:val="00A65077"/>
    <w:rsid w:val="00A66F2D"/>
    <w:rsid w:val="00A708D5"/>
    <w:rsid w:val="00A767A3"/>
    <w:rsid w:val="00AA6273"/>
    <w:rsid w:val="00AE74A8"/>
    <w:rsid w:val="00B10B42"/>
    <w:rsid w:val="00B20CBF"/>
    <w:rsid w:val="00B413EF"/>
    <w:rsid w:val="00B4380C"/>
    <w:rsid w:val="00B5147E"/>
    <w:rsid w:val="00B83374"/>
    <w:rsid w:val="00B83896"/>
    <w:rsid w:val="00B90580"/>
    <w:rsid w:val="00B95221"/>
    <w:rsid w:val="00BA1DD1"/>
    <w:rsid w:val="00BB6B3E"/>
    <w:rsid w:val="00BE6CEF"/>
    <w:rsid w:val="00C003C7"/>
    <w:rsid w:val="00C04596"/>
    <w:rsid w:val="00C07A73"/>
    <w:rsid w:val="00C17AA7"/>
    <w:rsid w:val="00C55B3E"/>
    <w:rsid w:val="00C67ABF"/>
    <w:rsid w:val="00C73BB3"/>
    <w:rsid w:val="00CA21AD"/>
    <w:rsid w:val="00CA7496"/>
    <w:rsid w:val="00CB72AD"/>
    <w:rsid w:val="00CC220C"/>
    <w:rsid w:val="00CC3B72"/>
    <w:rsid w:val="00CD63D6"/>
    <w:rsid w:val="00CE2CDE"/>
    <w:rsid w:val="00D22CFB"/>
    <w:rsid w:val="00D27C7A"/>
    <w:rsid w:val="00D32F6E"/>
    <w:rsid w:val="00D4072E"/>
    <w:rsid w:val="00D40871"/>
    <w:rsid w:val="00D441D0"/>
    <w:rsid w:val="00D50A77"/>
    <w:rsid w:val="00D542C8"/>
    <w:rsid w:val="00D77453"/>
    <w:rsid w:val="00DB46DB"/>
    <w:rsid w:val="00DC68E3"/>
    <w:rsid w:val="00DE15EC"/>
    <w:rsid w:val="00E00D33"/>
    <w:rsid w:val="00E4038C"/>
    <w:rsid w:val="00E50A7F"/>
    <w:rsid w:val="00E52D03"/>
    <w:rsid w:val="00E62D8A"/>
    <w:rsid w:val="00E73D5D"/>
    <w:rsid w:val="00E825BA"/>
    <w:rsid w:val="00E86263"/>
    <w:rsid w:val="00EA2CC1"/>
    <w:rsid w:val="00EA5174"/>
    <w:rsid w:val="00EB4B58"/>
    <w:rsid w:val="00EB6773"/>
    <w:rsid w:val="00EC345B"/>
    <w:rsid w:val="00EC5E75"/>
    <w:rsid w:val="00EC70ED"/>
    <w:rsid w:val="00F14C0C"/>
    <w:rsid w:val="00F33919"/>
    <w:rsid w:val="00F520EC"/>
    <w:rsid w:val="00F6127E"/>
    <w:rsid w:val="00F8130A"/>
    <w:rsid w:val="00F86805"/>
    <w:rsid w:val="00FB7C85"/>
    <w:rsid w:val="00FD4608"/>
    <w:rsid w:val="00FD4FE7"/>
    <w:rsid w:val="00FF67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MT"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4552E"/>
    <w:pPr>
      <w:widowControl w:val="0"/>
      <w:autoSpaceDE w:val="0"/>
      <w:autoSpaceDN w:val="0"/>
      <w:spacing w:after="0" w:line="360" w:lineRule="auto"/>
      <w:ind w:firstLine="720"/>
      <w:jc w:val="both"/>
    </w:pPr>
    <w:rPr>
      <w:rFonts w:ascii="Times New Roman" w:hAnsi="Times New Roman" w:cs="Arial MT"/>
      <w:sz w:val="24"/>
      <w:lang w:val="en-GB"/>
    </w:rPr>
  </w:style>
  <w:style w:type="paragraph" w:styleId="Heading1">
    <w:name w:val="heading 1"/>
    <w:basedOn w:val="Heading2"/>
    <w:next w:val="Normal"/>
    <w:link w:val="Heading1Char"/>
    <w:autoRedefine/>
    <w:uiPriority w:val="9"/>
    <w:unhideWhenUsed/>
    <w:qFormat/>
    <w:rsid w:val="00A51F1B"/>
    <w:pPr>
      <w:outlineLvl w:val="0"/>
    </w:pPr>
    <w:rPr>
      <w:rFonts w:eastAsia="Arial" w:cs="Times New Roman"/>
      <w:bCs w:val="0"/>
      <w:i w:val="0"/>
      <w:iCs/>
    </w:rPr>
  </w:style>
  <w:style w:type="paragraph" w:styleId="Heading2">
    <w:name w:val="heading 2"/>
    <w:basedOn w:val="Normal"/>
    <w:next w:val="Normal"/>
    <w:link w:val="Heading2Char"/>
    <w:uiPriority w:val="1"/>
    <w:unhideWhenUsed/>
    <w:qFormat/>
    <w:rsid w:val="007A5E47"/>
    <w:pPr>
      <w:ind w:firstLine="0"/>
      <w:outlineLvl w:val="1"/>
    </w:pPr>
    <w:rPr>
      <w:rFonts w:eastAsiaTheme="majorEastAsia" w:cs="Arial"/>
      <w:b/>
      <w:bCs/>
      <w:i/>
      <w:color w:val="000000" w:themeColor="text1"/>
      <w:szCs w:val="24"/>
    </w:rPr>
  </w:style>
  <w:style w:type="paragraph" w:styleId="Heading3">
    <w:name w:val="heading 3"/>
    <w:basedOn w:val="Heading2"/>
    <w:next w:val="Normal"/>
    <w:link w:val="Heading3Char"/>
    <w:uiPriority w:val="9"/>
    <w:unhideWhenUsed/>
    <w:qFormat/>
    <w:rsid w:val="00A4552E"/>
    <w:pPr>
      <w:jc w:val="center"/>
      <w:outlineLvl w:val="2"/>
    </w:pPr>
    <w:rPr>
      <w:i w:val="0"/>
    </w:rPr>
  </w:style>
  <w:style w:type="paragraph" w:styleId="Heading4">
    <w:name w:val="heading 4"/>
    <w:basedOn w:val="Normal"/>
    <w:next w:val="Normal"/>
    <w:link w:val="Heading4Char"/>
    <w:uiPriority w:val="9"/>
    <w:unhideWhenUsed/>
    <w:qFormat/>
    <w:rsid w:val="00A4552E"/>
    <w:pPr>
      <w:keepNext/>
      <w:keepLines/>
      <w:ind w:firstLine="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51F1B"/>
    <w:rPr>
      <w:rFonts w:ascii="Times New Roman" w:eastAsia="Arial" w:hAnsi="Times New Roman" w:cs="Times New Roman"/>
      <w:b/>
      <w:iCs/>
      <w:color w:val="000000" w:themeColor="text1"/>
      <w:sz w:val="24"/>
      <w:szCs w:val="24"/>
      <w:lang w:val="en-GB"/>
    </w:rPr>
  </w:style>
  <w:style w:type="character" w:customStyle="1" w:styleId="Heading3Char">
    <w:name w:val="Heading 3 Char"/>
    <w:basedOn w:val="DefaultParagraphFont"/>
    <w:link w:val="Heading3"/>
    <w:uiPriority w:val="9"/>
    <w:rsid w:val="00A4552E"/>
    <w:rPr>
      <w:rFonts w:ascii="Times New Roman" w:eastAsiaTheme="majorEastAsia" w:hAnsi="Times New Roman" w:cs="Arial"/>
      <w:color w:val="000000" w:themeColor="text1"/>
      <w:sz w:val="24"/>
      <w:szCs w:val="24"/>
    </w:rPr>
  </w:style>
  <w:style w:type="character" w:customStyle="1" w:styleId="Heading2Char">
    <w:name w:val="Heading 2 Char"/>
    <w:basedOn w:val="DefaultParagraphFont"/>
    <w:link w:val="Heading2"/>
    <w:uiPriority w:val="1"/>
    <w:rsid w:val="007A5E47"/>
    <w:rPr>
      <w:rFonts w:ascii="Times New Roman" w:eastAsiaTheme="majorEastAsia" w:hAnsi="Times New Roman" w:cs="Arial"/>
      <w:b/>
      <w:bCs/>
      <w:i/>
      <w:color w:val="000000" w:themeColor="text1"/>
      <w:sz w:val="24"/>
      <w:szCs w:val="24"/>
      <w:lang w:val="en-GB"/>
    </w:rPr>
  </w:style>
  <w:style w:type="character" w:customStyle="1" w:styleId="Heading4Char">
    <w:name w:val="Heading 4 Char"/>
    <w:basedOn w:val="DefaultParagraphFont"/>
    <w:link w:val="Heading4"/>
    <w:uiPriority w:val="9"/>
    <w:rsid w:val="00A4552E"/>
    <w:rPr>
      <w:rFonts w:ascii="Times New Roman" w:eastAsiaTheme="majorEastAsia" w:hAnsi="Times New Roman" w:cstheme="majorBidi"/>
      <w:i/>
      <w:iCs/>
      <w:sz w:val="24"/>
    </w:rPr>
  </w:style>
  <w:style w:type="paragraph" w:styleId="NoSpacing">
    <w:name w:val="No Spacing"/>
    <w:aliases w:val="reference"/>
    <w:uiPriority w:val="1"/>
    <w:qFormat/>
    <w:rsid w:val="00A4552E"/>
    <w:pPr>
      <w:widowControl w:val="0"/>
      <w:autoSpaceDE w:val="0"/>
      <w:autoSpaceDN w:val="0"/>
      <w:spacing w:after="0" w:line="360" w:lineRule="auto"/>
      <w:ind w:left="720" w:hanging="720"/>
      <w:jc w:val="both"/>
    </w:pPr>
    <w:rPr>
      <w:rFonts w:ascii="Times New Roman" w:hAnsi="Times New Roman" w:cs="Arial MT"/>
      <w:color w:val="0D0D0D" w:themeColor="text1" w:themeTint="F2"/>
      <w:sz w:val="24"/>
    </w:rPr>
  </w:style>
  <w:style w:type="character" w:styleId="Hyperlink">
    <w:name w:val="Hyperlink"/>
    <w:basedOn w:val="DefaultParagraphFont"/>
    <w:uiPriority w:val="99"/>
    <w:unhideWhenUsed/>
    <w:rsid w:val="00194579"/>
    <w:rPr>
      <w:color w:val="0000FF"/>
      <w:u w:val="single"/>
    </w:rPr>
  </w:style>
  <w:style w:type="paragraph" w:styleId="NormalWeb">
    <w:name w:val="Normal (Web)"/>
    <w:basedOn w:val="Normal"/>
    <w:uiPriority w:val="99"/>
    <w:unhideWhenUsed/>
    <w:rsid w:val="00C55B3E"/>
    <w:pPr>
      <w:widowControl/>
      <w:autoSpaceDE/>
      <w:autoSpaceDN/>
      <w:spacing w:before="100" w:beforeAutospacing="1" w:after="100" w:afterAutospacing="1" w:line="240" w:lineRule="auto"/>
      <w:ind w:firstLine="0"/>
      <w:jc w:val="left"/>
    </w:pPr>
    <w:rPr>
      <w:rFonts w:eastAsia="Times New Roman" w:cs="Times New Roman"/>
      <w:szCs w:val="24"/>
    </w:rPr>
  </w:style>
  <w:style w:type="character" w:customStyle="1" w:styleId="essayfootnotecitation">
    <w:name w:val="essay_footnotecitation"/>
    <w:basedOn w:val="DefaultParagraphFont"/>
    <w:rsid w:val="00C55B3E"/>
  </w:style>
  <w:style w:type="paragraph" w:customStyle="1" w:styleId="cpe2">
    <w:name w:val="cpe2"/>
    <w:basedOn w:val="Normal"/>
    <w:rsid w:val="003213D1"/>
    <w:pPr>
      <w:widowControl/>
      <w:autoSpaceDE/>
      <w:autoSpaceDN/>
      <w:spacing w:line="240" w:lineRule="auto"/>
      <w:ind w:firstLine="0"/>
      <w:jc w:val="left"/>
    </w:pPr>
    <w:rPr>
      <w:rFonts w:eastAsia="Times New Roman" w:cs="Times New Roman"/>
      <w:b/>
      <w:sz w:val="28"/>
      <w:szCs w:val="20"/>
      <w:lang w:eastAsia="en-GB"/>
    </w:rPr>
  </w:style>
  <w:style w:type="character" w:styleId="Emphasis">
    <w:name w:val="Emphasis"/>
    <w:basedOn w:val="DefaultParagraphFont"/>
    <w:uiPriority w:val="20"/>
    <w:qFormat/>
    <w:rsid w:val="00325C6E"/>
    <w:rPr>
      <w:i/>
      <w:iCs/>
    </w:rPr>
  </w:style>
  <w:style w:type="character" w:styleId="Strong">
    <w:name w:val="Strong"/>
    <w:basedOn w:val="DefaultParagraphFont"/>
    <w:uiPriority w:val="22"/>
    <w:qFormat/>
    <w:rsid w:val="00A65077"/>
    <w:rPr>
      <w:b/>
      <w:bCs/>
    </w:rPr>
  </w:style>
  <w:style w:type="paragraph" w:styleId="Header">
    <w:name w:val="header"/>
    <w:basedOn w:val="Normal"/>
    <w:link w:val="HeaderChar"/>
    <w:uiPriority w:val="99"/>
    <w:unhideWhenUsed/>
    <w:rsid w:val="00D32F6E"/>
    <w:pPr>
      <w:tabs>
        <w:tab w:val="center" w:pos="4680"/>
        <w:tab w:val="right" w:pos="9360"/>
      </w:tabs>
      <w:spacing w:line="240" w:lineRule="auto"/>
    </w:pPr>
  </w:style>
  <w:style w:type="character" w:customStyle="1" w:styleId="HeaderChar">
    <w:name w:val="Header Char"/>
    <w:basedOn w:val="DefaultParagraphFont"/>
    <w:link w:val="Header"/>
    <w:uiPriority w:val="99"/>
    <w:rsid w:val="00D32F6E"/>
    <w:rPr>
      <w:rFonts w:ascii="Times New Roman" w:hAnsi="Times New Roman" w:cs="Arial MT"/>
      <w:sz w:val="24"/>
    </w:rPr>
  </w:style>
  <w:style w:type="paragraph" w:styleId="Footer">
    <w:name w:val="footer"/>
    <w:basedOn w:val="Normal"/>
    <w:link w:val="FooterChar"/>
    <w:uiPriority w:val="99"/>
    <w:unhideWhenUsed/>
    <w:rsid w:val="00D32F6E"/>
    <w:pPr>
      <w:tabs>
        <w:tab w:val="center" w:pos="4680"/>
        <w:tab w:val="right" w:pos="9360"/>
      </w:tabs>
      <w:spacing w:line="240" w:lineRule="auto"/>
    </w:pPr>
  </w:style>
  <w:style w:type="character" w:customStyle="1" w:styleId="FooterChar">
    <w:name w:val="Footer Char"/>
    <w:basedOn w:val="DefaultParagraphFont"/>
    <w:link w:val="Footer"/>
    <w:uiPriority w:val="99"/>
    <w:rsid w:val="00D32F6E"/>
    <w:rPr>
      <w:rFonts w:ascii="Times New Roman" w:hAnsi="Times New Roman" w:cs="Arial MT"/>
      <w:sz w:val="24"/>
    </w:rPr>
  </w:style>
  <w:style w:type="paragraph" w:styleId="TOCHeading">
    <w:name w:val="TOC Heading"/>
    <w:basedOn w:val="Heading1"/>
    <w:next w:val="Normal"/>
    <w:uiPriority w:val="39"/>
    <w:unhideWhenUsed/>
    <w:qFormat/>
    <w:rsid w:val="00D32F6E"/>
    <w:pPr>
      <w:keepNext/>
      <w:keepLines/>
      <w:widowControl/>
      <w:autoSpaceDE/>
      <w:autoSpaceDN/>
      <w:spacing w:before="240" w:line="259" w:lineRule="auto"/>
      <w:jc w:val="left"/>
      <w:outlineLvl w:val="9"/>
    </w:pPr>
    <w:rPr>
      <w:rFonts w:asciiTheme="majorHAnsi" w:eastAsiaTheme="majorEastAsia" w:hAnsiTheme="majorHAnsi" w:cstheme="majorBidi"/>
      <w:b w:val="0"/>
      <w:i/>
      <w:color w:val="2E74B5" w:themeColor="accent1" w:themeShade="BF"/>
      <w:sz w:val="32"/>
      <w:szCs w:val="32"/>
    </w:rPr>
  </w:style>
  <w:style w:type="paragraph" w:styleId="TOC1">
    <w:name w:val="toc 1"/>
    <w:basedOn w:val="Normal"/>
    <w:next w:val="Normal"/>
    <w:autoRedefine/>
    <w:uiPriority w:val="39"/>
    <w:unhideWhenUsed/>
    <w:rsid w:val="00D32F6E"/>
    <w:pPr>
      <w:spacing w:after="100"/>
    </w:pPr>
  </w:style>
  <w:style w:type="paragraph" w:styleId="ListParagraph">
    <w:name w:val="List Paragraph"/>
    <w:basedOn w:val="Normal"/>
    <w:uiPriority w:val="34"/>
    <w:qFormat/>
    <w:rsid w:val="00F6127E"/>
    <w:pPr>
      <w:ind w:left="720"/>
      <w:contextualSpacing/>
    </w:pPr>
  </w:style>
  <w:style w:type="paragraph" w:styleId="TOC2">
    <w:name w:val="toc 2"/>
    <w:basedOn w:val="Normal"/>
    <w:next w:val="Normal"/>
    <w:autoRedefine/>
    <w:uiPriority w:val="39"/>
    <w:unhideWhenUsed/>
    <w:rsid w:val="002242D7"/>
    <w:pPr>
      <w:spacing w:after="100"/>
      <w:ind w:left="240"/>
    </w:pPr>
  </w:style>
  <w:style w:type="paragraph" w:styleId="BalloonText">
    <w:name w:val="Balloon Text"/>
    <w:basedOn w:val="Normal"/>
    <w:link w:val="BalloonTextChar"/>
    <w:uiPriority w:val="99"/>
    <w:semiHidden/>
    <w:unhideWhenUsed/>
    <w:rsid w:val="00D408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871"/>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07554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zz5MDwAAQBAJ&amp;printsec=frontcov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079C2-97F2-41FC-941A-D4A5B9500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3287</Words>
  <Characters>18737</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dc:creator>
  <cp:lastModifiedBy>agheo</cp:lastModifiedBy>
  <cp:revision>8</cp:revision>
  <dcterms:created xsi:type="dcterms:W3CDTF">2022-11-09T22:37:00Z</dcterms:created>
  <dcterms:modified xsi:type="dcterms:W3CDTF">2022-11-10T17:33:00Z</dcterms:modified>
</cp:coreProperties>
</file>