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4AD65F" w14:textId="77777777" w:rsidR="00D508EE" w:rsidRDefault="00435E7D">
      <w:r>
        <w:rPr>
          <w:rFonts w:ascii="Times New Roman"/>
          <w:noProof/>
          <w:sz w:val="20"/>
        </w:rPr>
        <w:drawing>
          <wp:inline distT="0" distB="0" distL="0" distR="0" wp14:anchorId="68B16EE6" wp14:editId="79F8527B">
            <wp:extent cx="1822565" cy="594074"/>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7" cstate="print"/>
                    <a:stretch>
                      <a:fillRect/>
                    </a:stretch>
                  </pic:blipFill>
                  <pic:spPr>
                    <a:xfrm>
                      <a:off x="0" y="0"/>
                      <a:ext cx="1822565" cy="594074"/>
                    </a:xfrm>
                    <a:prstGeom prst="rect">
                      <a:avLst/>
                    </a:prstGeom>
                  </pic:spPr>
                </pic:pic>
              </a:graphicData>
            </a:graphic>
          </wp:inline>
        </w:drawing>
      </w:r>
    </w:p>
    <w:p w14:paraId="250EECDB" w14:textId="77777777" w:rsidR="00EA1BED" w:rsidRDefault="00EA1BED"/>
    <w:tbl>
      <w:tblPr>
        <w:tblW w:w="0" w:type="auto"/>
        <w:tblInd w:w="87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52"/>
        <w:gridCol w:w="2768"/>
        <w:gridCol w:w="1896"/>
        <w:gridCol w:w="1904"/>
      </w:tblGrid>
      <w:tr w:rsidR="00435E7D" w14:paraId="7692F771" w14:textId="77777777" w:rsidTr="00435E7D">
        <w:trPr>
          <w:trHeight w:val="514"/>
        </w:trPr>
        <w:tc>
          <w:tcPr>
            <w:tcW w:w="1752" w:type="dxa"/>
          </w:tcPr>
          <w:p w14:paraId="48A1483A" w14:textId="77777777" w:rsidR="00435E7D" w:rsidRDefault="00435E7D" w:rsidP="00D942D0">
            <w:pPr>
              <w:pStyle w:val="TableParagraph"/>
              <w:spacing w:before="144"/>
              <w:ind w:left="122"/>
              <w:rPr>
                <w:rFonts w:ascii="Arial"/>
                <w:b/>
              </w:rPr>
            </w:pPr>
            <w:r>
              <w:rPr>
                <w:rFonts w:ascii="Arial"/>
                <w:b/>
                <w:spacing w:val="-2"/>
              </w:rPr>
              <w:t>Programme:</w:t>
            </w:r>
          </w:p>
        </w:tc>
        <w:tc>
          <w:tcPr>
            <w:tcW w:w="6568" w:type="dxa"/>
            <w:gridSpan w:val="3"/>
          </w:tcPr>
          <w:p w14:paraId="6E5CBB86" w14:textId="77777777" w:rsidR="00435E7D" w:rsidRDefault="00435E7D" w:rsidP="00D942D0">
            <w:pPr>
              <w:pStyle w:val="TableParagraph"/>
              <w:spacing w:before="144"/>
              <w:ind w:left="124"/>
              <w:rPr>
                <w:rFonts w:ascii="Arial"/>
                <w:b/>
              </w:rPr>
            </w:pPr>
            <w:r>
              <w:rPr>
                <w:rFonts w:ascii="Arial"/>
                <w:b/>
              </w:rPr>
              <w:t>Certificate</w:t>
            </w:r>
            <w:r>
              <w:rPr>
                <w:rFonts w:ascii="Arial"/>
                <w:b/>
                <w:spacing w:val="-8"/>
              </w:rPr>
              <w:t xml:space="preserve"> </w:t>
            </w:r>
            <w:r>
              <w:rPr>
                <w:rFonts w:ascii="Arial"/>
                <w:b/>
              </w:rPr>
              <w:t>of</w:t>
            </w:r>
            <w:r>
              <w:rPr>
                <w:rFonts w:ascii="Arial"/>
                <w:b/>
                <w:spacing w:val="-7"/>
              </w:rPr>
              <w:t xml:space="preserve"> </w:t>
            </w:r>
            <w:r>
              <w:rPr>
                <w:rFonts w:ascii="Arial"/>
                <w:b/>
              </w:rPr>
              <w:t>Higher</w:t>
            </w:r>
            <w:r>
              <w:rPr>
                <w:rFonts w:ascii="Arial"/>
                <w:b/>
                <w:spacing w:val="-8"/>
              </w:rPr>
              <w:t xml:space="preserve"> </w:t>
            </w:r>
            <w:r>
              <w:rPr>
                <w:rFonts w:ascii="Arial"/>
                <w:b/>
              </w:rPr>
              <w:t>Education</w:t>
            </w:r>
            <w:r>
              <w:rPr>
                <w:rFonts w:ascii="Arial"/>
                <w:b/>
                <w:spacing w:val="-13"/>
              </w:rPr>
              <w:t xml:space="preserve"> </w:t>
            </w:r>
            <w:r>
              <w:rPr>
                <w:rFonts w:ascii="Arial"/>
                <w:b/>
              </w:rPr>
              <w:t>in</w:t>
            </w:r>
            <w:r>
              <w:rPr>
                <w:rFonts w:ascii="Arial"/>
                <w:b/>
                <w:spacing w:val="-11"/>
              </w:rPr>
              <w:t xml:space="preserve"> </w:t>
            </w:r>
            <w:r>
              <w:rPr>
                <w:rFonts w:ascii="Arial"/>
                <w:b/>
              </w:rPr>
              <w:t>Health</w:t>
            </w:r>
            <w:r>
              <w:rPr>
                <w:rFonts w:ascii="Arial"/>
                <w:b/>
                <w:spacing w:val="-11"/>
              </w:rPr>
              <w:t xml:space="preserve"> </w:t>
            </w:r>
            <w:r>
              <w:rPr>
                <w:rFonts w:ascii="Arial"/>
                <w:b/>
              </w:rPr>
              <w:t>and</w:t>
            </w:r>
            <w:r>
              <w:rPr>
                <w:rFonts w:ascii="Arial"/>
                <w:b/>
                <w:spacing w:val="-10"/>
              </w:rPr>
              <w:t xml:space="preserve"> </w:t>
            </w:r>
            <w:r>
              <w:rPr>
                <w:rFonts w:ascii="Arial"/>
                <w:b/>
              </w:rPr>
              <w:t>Social</w:t>
            </w:r>
            <w:r>
              <w:rPr>
                <w:rFonts w:ascii="Arial"/>
                <w:b/>
                <w:spacing w:val="-9"/>
              </w:rPr>
              <w:t xml:space="preserve"> </w:t>
            </w:r>
            <w:r>
              <w:rPr>
                <w:rFonts w:ascii="Arial"/>
                <w:b/>
                <w:spacing w:val="-4"/>
              </w:rPr>
              <w:t>Care</w:t>
            </w:r>
          </w:p>
        </w:tc>
      </w:tr>
      <w:tr w:rsidR="00435E7D" w14:paraId="18282732" w14:textId="77777777" w:rsidTr="00435E7D">
        <w:trPr>
          <w:trHeight w:val="509"/>
        </w:trPr>
        <w:tc>
          <w:tcPr>
            <w:tcW w:w="1752" w:type="dxa"/>
          </w:tcPr>
          <w:p w14:paraId="7F2B9C50" w14:textId="77777777" w:rsidR="00435E7D" w:rsidRDefault="00435E7D" w:rsidP="00D942D0">
            <w:pPr>
              <w:pStyle w:val="TableParagraph"/>
              <w:spacing w:before="139"/>
              <w:ind w:left="122"/>
              <w:rPr>
                <w:rFonts w:ascii="Arial"/>
                <w:b/>
              </w:rPr>
            </w:pPr>
            <w:r>
              <w:rPr>
                <w:rFonts w:ascii="Arial"/>
                <w:b/>
                <w:spacing w:val="-2"/>
              </w:rPr>
              <w:t>Module:</w:t>
            </w:r>
          </w:p>
        </w:tc>
        <w:tc>
          <w:tcPr>
            <w:tcW w:w="6568" w:type="dxa"/>
            <w:gridSpan w:val="3"/>
          </w:tcPr>
          <w:p w14:paraId="4718A96A" w14:textId="77777777" w:rsidR="00435E7D" w:rsidRDefault="00435E7D" w:rsidP="00D942D0">
            <w:pPr>
              <w:pStyle w:val="TableParagraph"/>
              <w:spacing w:before="139"/>
              <w:ind w:left="124"/>
              <w:rPr>
                <w:rFonts w:ascii="Arial"/>
                <w:b/>
              </w:rPr>
            </w:pPr>
            <w:r>
              <w:rPr>
                <w:rFonts w:ascii="Arial"/>
                <w:b/>
              </w:rPr>
              <w:t>Psychology</w:t>
            </w:r>
            <w:r>
              <w:rPr>
                <w:rFonts w:ascii="Arial"/>
                <w:b/>
                <w:spacing w:val="-11"/>
              </w:rPr>
              <w:t xml:space="preserve"> </w:t>
            </w:r>
            <w:r>
              <w:rPr>
                <w:rFonts w:ascii="Arial"/>
                <w:b/>
              </w:rPr>
              <w:t>in</w:t>
            </w:r>
            <w:r>
              <w:rPr>
                <w:rFonts w:ascii="Arial"/>
                <w:b/>
                <w:spacing w:val="-8"/>
              </w:rPr>
              <w:t xml:space="preserve"> </w:t>
            </w:r>
            <w:r>
              <w:rPr>
                <w:rFonts w:ascii="Arial"/>
                <w:b/>
              </w:rPr>
              <w:t>Health</w:t>
            </w:r>
            <w:r>
              <w:rPr>
                <w:rFonts w:ascii="Arial"/>
                <w:b/>
                <w:spacing w:val="-8"/>
              </w:rPr>
              <w:t xml:space="preserve"> </w:t>
            </w:r>
            <w:r>
              <w:rPr>
                <w:rFonts w:ascii="Arial"/>
                <w:b/>
              </w:rPr>
              <w:t>and</w:t>
            </w:r>
            <w:r>
              <w:rPr>
                <w:rFonts w:ascii="Arial"/>
                <w:b/>
                <w:spacing w:val="-8"/>
              </w:rPr>
              <w:t xml:space="preserve"> </w:t>
            </w:r>
            <w:r>
              <w:rPr>
                <w:rFonts w:ascii="Arial"/>
                <w:b/>
              </w:rPr>
              <w:t>Social</w:t>
            </w:r>
            <w:r>
              <w:rPr>
                <w:rFonts w:ascii="Arial"/>
                <w:b/>
                <w:spacing w:val="-7"/>
              </w:rPr>
              <w:t xml:space="preserve"> </w:t>
            </w:r>
            <w:r>
              <w:rPr>
                <w:rFonts w:ascii="Arial"/>
                <w:b/>
                <w:spacing w:val="-4"/>
              </w:rPr>
              <w:t>Care</w:t>
            </w:r>
          </w:p>
        </w:tc>
      </w:tr>
      <w:tr w:rsidR="00435E7D" w14:paraId="626625FC" w14:textId="77777777" w:rsidTr="00435E7D">
        <w:trPr>
          <w:trHeight w:val="807"/>
        </w:trPr>
        <w:tc>
          <w:tcPr>
            <w:tcW w:w="1752" w:type="dxa"/>
          </w:tcPr>
          <w:p w14:paraId="57745AEA" w14:textId="77777777" w:rsidR="00435E7D" w:rsidRDefault="00435E7D" w:rsidP="00435E7D">
            <w:pPr>
              <w:pStyle w:val="TableParagraph"/>
              <w:spacing w:before="14"/>
              <w:ind w:left="122"/>
              <w:rPr>
                <w:rFonts w:ascii="Arial"/>
                <w:b/>
              </w:rPr>
            </w:pPr>
            <w:r>
              <w:rPr>
                <w:rFonts w:ascii="Arial"/>
                <w:b/>
              </w:rPr>
              <w:t>Module</w:t>
            </w:r>
            <w:r>
              <w:rPr>
                <w:rFonts w:ascii="Arial"/>
                <w:b/>
                <w:spacing w:val="-12"/>
              </w:rPr>
              <w:t xml:space="preserve"> </w:t>
            </w:r>
            <w:r>
              <w:rPr>
                <w:rFonts w:ascii="Arial"/>
                <w:b/>
                <w:spacing w:val="-2"/>
              </w:rPr>
              <w:t>code:</w:t>
            </w:r>
          </w:p>
        </w:tc>
        <w:tc>
          <w:tcPr>
            <w:tcW w:w="2768" w:type="dxa"/>
          </w:tcPr>
          <w:p w14:paraId="25D0B43A" w14:textId="77777777" w:rsidR="00435E7D" w:rsidRDefault="00435E7D" w:rsidP="00435E7D">
            <w:pPr>
              <w:pStyle w:val="TableParagraph"/>
              <w:spacing w:before="14"/>
              <w:ind w:left="124"/>
              <w:rPr>
                <w:rFonts w:ascii="Arial"/>
                <w:b/>
              </w:rPr>
            </w:pPr>
            <w:r>
              <w:rPr>
                <w:rFonts w:ascii="Arial"/>
                <w:b/>
                <w:spacing w:val="-2"/>
              </w:rPr>
              <w:t>LCHS4010</w:t>
            </w:r>
          </w:p>
        </w:tc>
        <w:tc>
          <w:tcPr>
            <w:tcW w:w="1896" w:type="dxa"/>
            <w:shd w:val="clear" w:color="auto" w:fill="D9D9D9"/>
          </w:tcPr>
          <w:p w14:paraId="529EDA27" w14:textId="77777777" w:rsidR="00435E7D" w:rsidRDefault="00435E7D" w:rsidP="00435E7D">
            <w:pPr>
              <w:pStyle w:val="TableParagraph"/>
              <w:spacing w:before="138"/>
              <w:rPr>
                <w:rFonts w:ascii="Arial"/>
                <w:b/>
              </w:rPr>
            </w:pPr>
          </w:p>
          <w:p w14:paraId="3323F624" w14:textId="77777777" w:rsidR="00435E7D" w:rsidRDefault="00435E7D" w:rsidP="00435E7D">
            <w:pPr>
              <w:pStyle w:val="TableParagraph"/>
              <w:ind w:left="121"/>
              <w:rPr>
                <w:rFonts w:ascii="Arial"/>
                <w:b/>
              </w:rPr>
            </w:pPr>
            <w:r>
              <w:rPr>
                <w:rFonts w:ascii="Arial"/>
                <w:b/>
              </w:rPr>
              <w:t>Internal</w:t>
            </w:r>
            <w:r>
              <w:rPr>
                <w:rFonts w:ascii="Arial"/>
                <w:b/>
                <w:spacing w:val="-15"/>
              </w:rPr>
              <w:t xml:space="preserve"> </w:t>
            </w:r>
            <w:r>
              <w:rPr>
                <w:rFonts w:ascii="Arial"/>
                <w:b/>
                <w:spacing w:val="-2"/>
              </w:rPr>
              <w:t>Verifier:</w:t>
            </w:r>
          </w:p>
        </w:tc>
        <w:tc>
          <w:tcPr>
            <w:tcW w:w="1904" w:type="dxa"/>
          </w:tcPr>
          <w:p w14:paraId="05A6931B" w14:textId="77777777" w:rsidR="00435E7D" w:rsidRDefault="00435E7D" w:rsidP="00435E7D">
            <w:pPr>
              <w:pStyle w:val="TableParagraph"/>
              <w:spacing w:before="252"/>
              <w:ind w:left="66"/>
              <w:rPr>
                <w:rFonts w:ascii="Arial"/>
                <w:b/>
              </w:rPr>
            </w:pPr>
            <w:r>
              <w:rPr>
                <w:rFonts w:ascii="Arial"/>
                <w:b/>
              </w:rPr>
              <w:t>Dr</w:t>
            </w:r>
            <w:r>
              <w:rPr>
                <w:rFonts w:ascii="Arial"/>
                <w:b/>
                <w:spacing w:val="-8"/>
              </w:rPr>
              <w:t xml:space="preserve"> </w:t>
            </w:r>
            <w:r>
              <w:rPr>
                <w:rFonts w:ascii="Arial"/>
                <w:b/>
              </w:rPr>
              <w:t>Patronella</w:t>
            </w:r>
            <w:r>
              <w:rPr>
                <w:rFonts w:ascii="Arial"/>
                <w:b/>
                <w:spacing w:val="-7"/>
              </w:rPr>
              <w:t xml:space="preserve"> </w:t>
            </w:r>
            <w:r>
              <w:rPr>
                <w:rFonts w:ascii="Arial"/>
                <w:b/>
                <w:spacing w:val="-2"/>
              </w:rPr>
              <w:t>Ganza</w:t>
            </w:r>
          </w:p>
        </w:tc>
      </w:tr>
      <w:tr w:rsidR="00BE2F7E" w14:paraId="670FF709" w14:textId="77777777" w:rsidTr="00435E7D">
        <w:trPr>
          <w:trHeight w:val="807"/>
        </w:trPr>
        <w:tc>
          <w:tcPr>
            <w:tcW w:w="1752" w:type="dxa"/>
          </w:tcPr>
          <w:p w14:paraId="03CC10B6" w14:textId="77777777" w:rsidR="00BE2F7E" w:rsidRDefault="00BE2F7E" w:rsidP="00435E7D">
            <w:pPr>
              <w:pStyle w:val="TableParagraph"/>
              <w:spacing w:before="14"/>
              <w:ind w:left="122"/>
              <w:rPr>
                <w:rFonts w:ascii="Arial"/>
                <w:b/>
              </w:rPr>
            </w:pPr>
            <w:r>
              <w:rPr>
                <w:rFonts w:ascii="Arial"/>
                <w:b/>
              </w:rPr>
              <w:t>Student name</w:t>
            </w:r>
          </w:p>
        </w:tc>
        <w:tc>
          <w:tcPr>
            <w:tcW w:w="2768" w:type="dxa"/>
          </w:tcPr>
          <w:p w14:paraId="46A9D9A1" w14:textId="77777777" w:rsidR="00BE2F7E" w:rsidRDefault="00022959" w:rsidP="00435E7D">
            <w:pPr>
              <w:pStyle w:val="TableParagraph"/>
              <w:spacing w:before="14"/>
              <w:ind w:left="124"/>
              <w:rPr>
                <w:rFonts w:ascii="Arial"/>
                <w:b/>
                <w:spacing w:val="-2"/>
              </w:rPr>
            </w:pPr>
            <w:r>
              <w:rPr>
                <w:rFonts w:ascii="Arial"/>
                <w:b/>
                <w:spacing w:val="-2"/>
              </w:rPr>
              <w:t>Mohammed Jahangir Alam</w:t>
            </w:r>
          </w:p>
        </w:tc>
        <w:tc>
          <w:tcPr>
            <w:tcW w:w="1896" w:type="dxa"/>
            <w:shd w:val="clear" w:color="auto" w:fill="D9D9D9"/>
          </w:tcPr>
          <w:p w14:paraId="7D0EC236" w14:textId="77777777" w:rsidR="00BE2F7E" w:rsidRDefault="00BE2F7E" w:rsidP="00435E7D">
            <w:pPr>
              <w:pStyle w:val="TableParagraph"/>
              <w:spacing w:before="138"/>
              <w:rPr>
                <w:rFonts w:ascii="Arial"/>
                <w:b/>
              </w:rPr>
            </w:pPr>
            <w:r>
              <w:rPr>
                <w:rFonts w:ascii="Arial"/>
                <w:b/>
              </w:rPr>
              <w:t>Student ID:</w:t>
            </w:r>
          </w:p>
        </w:tc>
        <w:tc>
          <w:tcPr>
            <w:tcW w:w="1904" w:type="dxa"/>
          </w:tcPr>
          <w:p w14:paraId="3A3D91D2" w14:textId="77777777" w:rsidR="00BE2F7E" w:rsidRDefault="00022959" w:rsidP="00435E7D">
            <w:pPr>
              <w:pStyle w:val="TableParagraph"/>
              <w:spacing w:before="252"/>
              <w:ind w:left="66"/>
              <w:rPr>
                <w:rFonts w:ascii="Arial"/>
                <w:b/>
              </w:rPr>
            </w:pPr>
            <w:r>
              <w:rPr>
                <w:rFonts w:ascii="Arial"/>
                <w:b/>
              </w:rPr>
              <w:t>2430566</w:t>
            </w:r>
          </w:p>
        </w:tc>
      </w:tr>
      <w:tr w:rsidR="00435E7D" w14:paraId="2711B1F0" w14:textId="77777777" w:rsidTr="00435E7D">
        <w:trPr>
          <w:trHeight w:val="1650"/>
        </w:trPr>
        <w:tc>
          <w:tcPr>
            <w:tcW w:w="1752" w:type="dxa"/>
          </w:tcPr>
          <w:p w14:paraId="6A84F4A0" w14:textId="77777777" w:rsidR="00435E7D" w:rsidRDefault="00435E7D" w:rsidP="00435E7D">
            <w:pPr>
              <w:pStyle w:val="TableParagraph"/>
              <w:spacing w:before="14"/>
              <w:ind w:left="122"/>
              <w:rPr>
                <w:rFonts w:ascii="Arial"/>
                <w:b/>
              </w:rPr>
            </w:pPr>
            <w:r>
              <w:rPr>
                <w:rFonts w:ascii="Arial"/>
                <w:b/>
                <w:spacing w:val="-2"/>
              </w:rPr>
              <w:t>Assignment</w:t>
            </w:r>
            <w:r>
              <w:rPr>
                <w:rFonts w:ascii="Arial"/>
                <w:b/>
                <w:spacing w:val="2"/>
              </w:rPr>
              <w:t xml:space="preserve"> </w:t>
            </w:r>
            <w:r>
              <w:rPr>
                <w:rFonts w:ascii="Arial"/>
                <w:b/>
                <w:spacing w:val="-2"/>
              </w:rPr>
              <w:t>Title:</w:t>
            </w:r>
          </w:p>
        </w:tc>
        <w:tc>
          <w:tcPr>
            <w:tcW w:w="2768" w:type="dxa"/>
          </w:tcPr>
          <w:p w14:paraId="09A98E99" w14:textId="77777777" w:rsidR="00435E7D" w:rsidRDefault="00435E7D" w:rsidP="00435E7D">
            <w:pPr>
              <w:pStyle w:val="TableParagraph"/>
              <w:spacing w:before="139" w:line="254" w:lineRule="auto"/>
              <w:ind w:left="124" w:right="1650"/>
              <w:rPr>
                <w:rFonts w:ascii="Arial"/>
                <w:b/>
              </w:rPr>
            </w:pPr>
            <w:r>
              <w:rPr>
                <w:rFonts w:ascii="Arial"/>
                <w:b/>
              </w:rPr>
              <w:t>Assignment</w:t>
            </w:r>
            <w:r>
              <w:rPr>
                <w:rFonts w:ascii="Arial"/>
                <w:b/>
                <w:spacing w:val="-16"/>
              </w:rPr>
              <w:t xml:space="preserve"> </w:t>
            </w:r>
            <w:r>
              <w:rPr>
                <w:rFonts w:ascii="Arial"/>
                <w:b/>
              </w:rPr>
              <w:t>2</w:t>
            </w:r>
          </w:p>
          <w:p w14:paraId="48D02958" w14:textId="77777777" w:rsidR="00435E7D" w:rsidRDefault="00435E7D" w:rsidP="00435E7D">
            <w:pPr>
              <w:pStyle w:val="TableParagraph"/>
              <w:spacing w:before="1" w:line="246" w:lineRule="exact"/>
              <w:ind w:left="124"/>
              <w:rPr>
                <w:rFonts w:ascii="Arial"/>
                <w:b/>
              </w:rPr>
            </w:pPr>
          </w:p>
        </w:tc>
        <w:tc>
          <w:tcPr>
            <w:tcW w:w="1896" w:type="dxa"/>
          </w:tcPr>
          <w:p w14:paraId="74CF03C9" w14:textId="77777777" w:rsidR="00435E7D" w:rsidRDefault="00435E7D" w:rsidP="00435E7D">
            <w:pPr>
              <w:pStyle w:val="TableParagraph"/>
              <w:spacing w:before="16" w:line="259" w:lineRule="auto"/>
              <w:ind w:left="121" w:right="582"/>
              <w:rPr>
                <w:rFonts w:ascii="Arial"/>
                <w:b/>
              </w:rPr>
            </w:pPr>
            <w:r>
              <w:rPr>
                <w:rFonts w:ascii="Arial"/>
                <w:b/>
                <w:spacing w:val="-2"/>
              </w:rPr>
              <w:t>Word</w:t>
            </w:r>
            <w:r>
              <w:rPr>
                <w:rFonts w:ascii="Arial"/>
                <w:b/>
                <w:spacing w:val="-16"/>
              </w:rPr>
              <w:t xml:space="preserve"> </w:t>
            </w:r>
            <w:r>
              <w:rPr>
                <w:rFonts w:ascii="Arial"/>
                <w:b/>
                <w:spacing w:val="-2"/>
              </w:rPr>
              <w:t>count:</w:t>
            </w:r>
          </w:p>
        </w:tc>
        <w:tc>
          <w:tcPr>
            <w:tcW w:w="1904" w:type="dxa"/>
          </w:tcPr>
          <w:p w14:paraId="44D128A9" w14:textId="77777777" w:rsidR="00435E7D" w:rsidRDefault="00435E7D" w:rsidP="00435E7D">
            <w:pPr>
              <w:pStyle w:val="TableParagraph"/>
              <w:spacing w:before="16"/>
              <w:ind w:left="128"/>
              <w:rPr>
                <w:rFonts w:ascii="Arial"/>
                <w:b/>
              </w:rPr>
            </w:pPr>
            <w:r>
              <w:rPr>
                <w:rFonts w:ascii="Arial"/>
                <w:b/>
              </w:rPr>
              <w:t>1500</w:t>
            </w:r>
            <w:r>
              <w:rPr>
                <w:rFonts w:ascii="Arial"/>
                <w:b/>
                <w:spacing w:val="-5"/>
              </w:rPr>
              <w:t xml:space="preserve"> </w:t>
            </w:r>
            <w:r>
              <w:rPr>
                <w:rFonts w:ascii="Arial"/>
                <w:b/>
                <w:spacing w:val="-2"/>
              </w:rPr>
              <w:t>words</w:t>
            </w:r>
          </w:p>
        </w:tc>
      </w:tr>
      <w:tr w:rsidR="00435E7D" w14:paraId="7153B78E" w14:textId="77777777" w:rsidTr="00435E7D">
        <w:trPr>
          <w:trHeight w:val="984"/>
        </w:trPr>
        <w:tc>
          <w:tcPr>
            <w:tcW w:w="1752" w:type="dxa"/>
          </w:tcPr>
          <w:p w14:paraId="6CE41628" w14:textId="77777777" w:rsidR="00435E7D" w:rsidRDefault="00435E7D" w:rsidP="00435E7D">
            <w:pPr>
              <w:pStyle w:val="TableParagraph"/>
              <w:spacing w:before="7"/>
              <w:ind w:left="122"/>
              <w:rPr>
                <w:rFonts w:ascii="Arial"/>
                <w:b/>
              </w:rPr>
            </w:pPr>
            <w:r>
              <w:rPr>
                <w:rFonts w:ascii="Arial"/>
                <w:b/>
                <w:spacing w:val="-2"/>
              </w:rPr>
              <w:t>Submission</w:t>
            </w:r>
            <w:r>
              <w:rPr>
                <w:rFonts w:ascii="Arial"/>
                <w:b/>
              </w:rPr>
              <w:t xml:space="preserve"> date:</w:t>
            </w:r>
          </w:p>
        </w:tc>
        <w:tc>
          <w:tcPr>
            <w:tcW w:w="2768" w:type="dxa"/>
          </w:tcPr>
          <w:p w14:paraId="0532F1CC" w14:textId="7915B0D7" w:rsidR="00435E7D" w:rsidRDefault="00435E7D" w:rsidP="00435E7D">
            <w:pPr>
              <w:pStyle w:val="TableParagraph"/>
              <w:rPr>
                <w:rFonts w:ascii="Arial"/>
                <w:b/>
              </w:rPr>
            </w:pPr>
            <w:r>
              <w:rPr>
                <w:rFonts w:ascii="Arial"/>
                <w:b/>
                <w:color w:val="FF0000"/>
                <w:spacing w:val="-6"/>
              </w:rPr>
              <w:t xml:space="preserve"> </w:t>
            </w:r>
            <w:r w:rsidRPr="00435E7D">
              <w:rPr>
                <w:rFonts w:ascii="Arial"/>
                <w:b/>
              </w:rPr>
              <w:t>1</w:t>
            </w:r>
            <w:r w:rsidR="00641026">
              <w:rPr>
                <w:rFonts w:ascii="Arial"/>
                <w:b/>
              </w:rPr>
              <w:t>9</w:t>
            </w:r>
            <w:r w:rsidRPr="00435E7D">
              <w:rPr>
                <w:rFonts w:ascii="Arial"/>
                <w:b/>
              </w:rPr>
              <w:t>th</w:t>
            </w:r>
            <w:r w:rsidRPr="00435E7D">
              <w:rPr>
                <w:rFonts w:ascii="Arial"/>
                <w:b/>
                <w:spacing w:val="-6"/>
              </w:rPr>
              <w:t xml:space="preserve"> </w:t>
            </w:r>
            <w:r w:rsidRPr="00435E7D">
              <w:rPr>
                <w:rFonts w:ascii="Arial"/>
                <w:b/>
              </w:rPr>
              <w:t>December</w:t>
            </w:r>
            <w:r w:rsidRPr="00435E7D">
              <w:rPr>
                <w:rFonts w:ascii="Arial"/>
                <w:b/>
                <w:spacing w:val="-11"/>
              </w:rPr>
              <w:t xml:space="preserve"> </w:t>
            </w:r>
            <w:r w:rsidRPr="00435E7D">
              <w:rPr>
                <w:rFonts w:ascii="Arial"/>
                <w:b/>
              </w:rPr>
              <w:t>2025</w:t>
            </w:r>
            <w:r w:rsidRPr="00435E7D">
              <w:rPr>
                <w:rFonts w:ascii="Arial"/>
                <w:b/>
                <w:spacing w:val="40"/>
              </w:rPr>
              <w:t xml:space="preserve"> </w:t>
            </w:r>
          </w:p>
        </w:tc>
        <w:tc>
          <w:tcPr>
            <w:tcW w:w="1896" w:type="dxa"/>
          </w:tcPr>
          <w:p w14:paraId="0E72DCEE" w14:textId="77777777" w:rsidR="00435E7D" w:rsidRDefault="00435E7D" w:rsidP="00435E7D">
            <w:pPr>
              <w:pStyle w:val="TableParagraph"/>
              <w:spacing w:before="13" w:line="232" w:lineRule="auto"/>
              <w:ind w:left="121"/>
              <w:rPr>
                <w:rFonts w:ascii="Arial"/>
                <w:b/>
              </w:rPr>
            </w:pPr>
          </w:p>
        </w:tc>
        <w:tc>
          <w:tcPr>
            <w:tcW w:w="1904" w:type="dxa"/>
          </w:tcPr>
          <w:p w14:paraId="67924451" w14:textId="77777777" w:rsidR="00435E7D" w:rsidRDefault="00435E7D" w:rsidP="00435E7D">
            <w:pPr>
              <w:pStyle w:val="TableParagraph"/>
              <w:ind w:left="3"/>
              <w:rPr>
                <w:rFonts w:ascii="Arial"/>
                <w:b/>
              </w:rPr>
            </w:pPr>
          </w:p>
        </w:tc>
      </w:tr>
    </w:tbl>
    <w:p w14:paraId="33B5C483" w14:textId="77777777" w:rsidR="00435E7D" w:rsidRDefault="00435E7D"/>
    <w:p w14:paraId="5F40AE3A" w14:textId="77777777" w:rsidR="00B00318" w:rsidRDefault="00B00318"/>
    <w:p w14:paraId="4F68E2B4" w14:textId="77777777" w:rsidR="00B00318" w:rsidRDefault="00B00318"/>
    <w:p w14:paraId="05CDE1FF" w14:textId="77777777" w:rsidR="00B00318" w:rsidRDefault="00B00318"/>
    <w:p w14:paraId="46639581" w14:textId="77777777" w:rsidR="00B00318" w:rsidRDefault="00B00318"/>
    <w:p w14:paraId="756B5398" w14:textId="77777777" w:rsidR="00B00318" w:rsidRDefault="00B00318"/>
    <w:p w14:paraId="3172F757" w14:textId="77777777" w:rsidR="00B00318" w:rsidRDefault="00B00318"/>
    <w:p w14:paraId="228787AB" w14:textId="77777777" w:rsidR="00B00318" w:rsidRDefault="00B00318"/>
    <w:p w14:paraId="446C7467" w14:textId="77777777" w:rsidR="00B00318" w:rsidRDefault="00B00318"/>
    <w:p w14:paraId="0FBA5FA0" w14:textId="77777777" w:rsidR="00B00318" w:rsidRDefault="00B00318"/>
    <w:p w14:paraId="7BF3262F" w14:textId="77777777" w:rsidR="00B00318" w:rsidRDefault="00B00318"/>
    <w:p w14:paraId="3A0CC798" w14:textId="77777777" w:rsidR="00B00318" w:rsidRDefault="00B00318"/>
    <w:p w14:paraId="1751E910" w14:textId="77777777" w:rsidR="00B00318" w:rsidRDefault="00B00318"/>
    <w:p w14:paraId="3C66D24B" w14:textId="77777777" w:rsidR="00B00318" w:rsidRDefault="00B00318"/>
    <w:p w14:paraId="4F9E6C06" w14:textId="77777777" w:rsidR="00B00318" w:rsidRDefault="00B00318"/>
    <w:sdt>
      <w:sdtPr>
        <w:rPr>
          <w:rFonts w:asciiTheme="minorHAnsi" w:eastAsiaTheme="minorEastAsia" w:hAnsiTheme="minorHAnsi" w:cs="Times New Roman"/>
          <w:color w:val="auto"/>
          <w:sz w:val="22"/>
          <w:szCs w:val="22"/>
        </w:rPr>
        <w:id w:val="-386417511"/>
        <w:docPartObj>
          <w:docPartGallery w:val="Table of Contents"/>
          <w:docPartUnique/>
        </w:docPartObj>
      </w:sdtPr>
      <w:sdtEndPr/>
      <w:sdtContent>
        <w:p w14:paraId="0BA307C9" w14:textId="77777777" w:rsidR="00BE2F7E" w:rsidRPr="007C2F38" w:rsidRDefault="00BE2F7E" w:rsidP="007C2F38">
          <w:pPr>
            <w:pStyle w:val="TOCHeading"/>
            <w:jc w:val="center"/>
            <w:rPr>
              <w:b/>
            </w:rPr>
          </w:pPr>
          <w:r w:rsidRPr="007C2F38">
            <w:rPr>
              <w:b/>
            </w:rPr>
            <w:t>Table of Contents</w:t>
          </w:r>
        </w:p>
        <w:p w14:paraId="086E6930" w14:textId="77777777" w:rsidR="00BE2F7E" w:rsidRPr="00F42806" w:rsidRDefault="00F42806" w:rsidP="00F42806">
          <w:pPr>
            <w:pStyle w:val="TOC1"/>
            <w:spacing w:line="360" w:lineRule="auto"/>
            <w:rPr>
              <w:rFonts w:ascii="Arial" w:hAnsi="Arial" w:cs="Arial"/>
            </w:rPr>
          </w:pPr>
          <w:r w:rsidRPr="00F42806">
            <w:rPr>
              <w:rFonts w:ascii="Arial" w:hAnsi="Arial" w:cs="Arial"/>
              <w:bCs/>
            </w:rPr>
            <w:t xml:space="preserve">1. </w:t>
          </w:r>
          <w:r w:rsidR="00B23EAB">
            <w:rPr>
              <w:rFonts w:ascii="Arial" w:hAnsi="Arial" w:cs="Arial"/>
              <w:bCs/>
            </w:rPr>
            <w:t>Introduction</w:t>
          </w:r>
        </w:p>
        <w:p w14:paraId="0EC60EA3" w14:textId="77777777" w:rsidR="00BE2F7E" w:rsidRPr="00F42806" w:rsidRDefault="00EA1BED" w:rsidP="00F42806">
          <w:pPr>
            <w:pStyle w:val="TOC2"/>
            <w:spacing w:line="360" w:lineRule="auto"/>
            <w:ind w:left="0"/>
            <w:rPr>
              <w:rFonts w:ascii="Arial" w:hAnsi="Arial" w:cs="Arial"/>
            </w:rPr>
          </w:pPr>
          <w:r>
            <w:rPr>
              <w:rFonts w:ascii="Arial" w:hAnsi="Arial" w:cs="Arial"/>
            </w:rPr>
            <w:t xml:space="preserve">2. </w:t>
          </w:r>
          <w:r w:rsidR="00F42806" w:rsidRPr="00F42806">
            <w:rPr>
              <w:rFonts w:ascii="Arial" w:hAnsi="Arial" w:cs="Arial"/>
            </w:rPr>
            <w:t xml:space="preserve">Overview of Two </w:t>
          </w:r>
          <w:r w:rsidR="00B23EAB">
            <w:rPr>
              <w:rFonts w:ascii="Arial" w:hAnsi="Arial" w:cs="Arial"/>
            </w:rPr>
            <w:t>Theo</w:t>
          </w:r>
        </w:p>
        <w:p w14:paraId="5F2C3F88" w14:textId="77777777" w:rsidR="00BE2F7E" w:rsidRPr="00F42806" w:rsidRDefault="00F42806" w:rsidP="00F42806">
          <w:pPr>
            <w:pStyle w:val="TOC3"/>
            <w:spacing w:line="360" w:lineRule="auto"/>
            <w:ind w:left="0"/>
            <w:rPr>
              <w:rFonts w:ascii="Arial" w:hAnsi="Arial" w:cs="Arial"/>
            </w:rPr>
          </w:pPr>
          <w:r w:rsidRPr="00F42806">
            <w:rPr>
              <w:rFonts w:ascii="Arial" w:hAnsi="Arial" w:cs="Arial"/>
            </w:rPr>
            <w:t>3. The Health and Social Care Context Application</w:t>
          </w:r>
          <w:r w:rsidR="00BE2F7E" w:rsidRPr="00F42806">
            <w:rPr>
              <w:rFonts w:ascii="Arial" w:hAnsi="Arial" w:cs="Arial"/>
            </w:rPr>
            <w:ptab w:relativeTo="margin" w:alignment="right" w:leader="dot"/>
          </w:r>
          <w:r w:rsidR="00BE2F7E" w:rsidRPr="00F42806">
            <w:rPr>
              <w:rFonts w:ascii="Arial" w:hAnsi="Arial" w:cs="Arial"/>
            </w:rPr>
            <w:t>3</w:t>
          </w:r>
        </w:p>
        <w:p w14:paraId="3F8E26B6" w14:textId="77777777" w:rsidR="00BE2F7E" w:rsidRPr="00F42806" w:rsidRDefault="00F42806" w:rsidP="00F42806">
          <w:pPr>
            <w:pStyle w:val="TOC1"/>
            <w:spacing w:line="360" w:lineRule="auto"/>
            <w:rPr>
              <w:rFonts w:ascii="Arial" w:hAnsi="Arial" w:cs="Arial"/>
            </w:rPr>
          </w:pPr>
          <w:r w:rsidRPr="00F42806">
            <w:rPr>
              <w:rFonts w:ascii="Arial" w:hAnsi="Arial" w:cs="Arial"/>
              <w:bCs/>
            </w:rPr>
            <w:t>4.Conclusion</w:t>
          </w:r>
          <w:r w:rsidR="00BE2F7E" w:rsidRPr="00F42806">
            <w:rPr>
              <w:rFonts w:ascii="Arial" w:hAnsi="Arial" w:cs="Arial"/>
            </w:rPr>
            <w:ptab w:relativeTo="margin" w:alignment="right" w:leader="dot"/>
          </w:r>
          <w:r w:rsidR="00BE2F7E" w:rsidRPr="00F42806">
            <w:rPr>
              <w:rFonts w:ascii="Arial" w:hAnsi="Arial" w:cs="Arial"/>
              <w:bCs/>
            </w:rPr>
            <w:t>4</w:t>
          </w:r>
        </w:p>
        <w:p w14:paraId="4B6FF9F2" w14:textId="77777777" w:rsidR="00BE2F7E" w:rsidRPr="00F42806" w:rsidRDefault="00F42806" w:rsidP="00F42806">
          <w:pPr>
            <w:pStyle w:val="TOC2"/>
            <w:spacing w:line="360" w:lineRule="auto"/>
            <w:ind w:left="0"/>
            <w:rPr>
              <w:rFonts w:ascii="Arial" w:hAnsi="Arial" w:cs="Arial"/>
            </w:rPr>
          </w:pPr>
          <w:r w:rsidRPr="00F42806">
            <w:rPr>
              <w:rFonts w:ascii="Arial" w:hAnsi="Arial" w:cs="Arial"/>
            </w:rPr>
            <w:t>References</w:t>
          </w:r>
          <w:r w:rsidR="00BE2F7E" w:rsidRPr="00F42806">
            <w:rPr>
              <w:rFonts w:ascii="Arial" w:hAnsi="Arial" w:cs="Arial"/>
            </w:rPr>
            <w:ptab w:relativeTo="margin" w:alignment="right" w:leader="dot"/>
          </w:r>
          <w:r w:rsidR="00BE2F7E" w:rsidRPr="00F42806">
            <w:rPr>
              <w:rFonts w:ascii="Arial" w:hAnsi="Arial" w:cs="Arial"/>
            </w:rPr>
            <w:t>5</w:t>
          </w:r>
        </w:p>
        <w:p w14:paraId="21D48CFC" w14:textId="77777777" w:rsidR="00BE2F7E" w:rsidRDefault="00641026">
          <w:pPr>
            <w:pStyle w:val="TOC3"/>
            <w:ind w:left="446"/>
          </w:pPr>
        </w:p>
      </w:sdtContent>
    </w:sdt>
    <w:p w14:paraId="723171BE" w14:textId="77777777" w:rsidR="00BE2F7E" w:rsidRDefault="00BE2F7E"/>
    <w:p w14:paraId="6DE569D3" w14:textId="77777777" w:rsidR="00BE2F7E" w:rsidRDefault="00BE2F7E"/>
    <w:p w14:paraId="1519C1C2" w14:textId="77777777" w:rsidR="00BE2F7E" w:rsidRDefault="00BE2F7E"/>
    <w:p w14:paraId="182AFDEE" w14:textId="77777777" w:rsidR="00BE2F7E" w:rsidRDefault="00BE2F7E"/>
    <w:p w14:paraId="445C4DC1" w14:textId="77777777" w:rsidR="00BE2F7E" w:rsidRDefault="00BE2F7E"/>
    <w:p w14:paraId="241FCB18" w14:textId="77777777" w:rsidR="00BE2F7E" w:rsidRDefault="00BE2F7E"/>
    <w:p w14:paraId="72BF135C" w14:textId="77777777" w:rsidR="00BE2F7E" w:rsidRDefault="00BE2F7E"/>
    <w:p w14:paraId="2756A0BE" w14:textId="77777777" w:rsidR="00BE2F7E" w:rsidRDefault="00BE2F7E"/>
    <w:p w14:paraId="4161574A" w14:textId="77777777" w:rsidR="00BE2F7E" w:rsidRDefault="00BE2F7E"/>
    <w:p w14:paraId="4E5E898C" w14:textId="77777777" w:rsidR="00BE2F7E" w:rsidRDefault="00BE2F7E"/>
    <w:p w14:paraId="1BCFADA2" w14:textId="77777777" w:rsidR="00BE2F7E" w:rsidRDefault="00BE2F7E"/>
    <w:p w14:paraId="0944D74D" w14:textId="77777777" w:rsidR="00BE2F7E" w:rsidRDefault="00BE2F7E"/>
    <w:p w14:paraId="31046856" w14:textId="77777777" w:rsidR="00BE2F7E" w:rsidRDefault="00BE2F7E"/>
    <w:p w14:paraId="11236A09" w14:textId="77777777" w:rsidR="00BE2F7E" w:rsidRDefault="00BE2F7E"/>
    <w:p w14:paraId="16A796FD" w14:textId="77777777" w:rsidR="00BE2F7E" w:rsidRDefault="00BE2F7E"/>
    <w:p w14:paraId="365838D5" w14:textId="77777777" w:rsidR="00BE2F7E" w:rsidRDefault="00BE2F7E"/>
    <w:p w14:paraId="718923CF" w14:textId="77777777" w:rsidR="00BE2F7E" w:rsidRDefault="00BE2F7E"/>
    <w:p w14:paraId="352FB3A3" w14:textId="77777777" w:rsidR="00EA1BED" w:rsidRDefault="00EA1BED" w:rsidP="00F24910">
      <w:pPr>
        <w:spacing w:line="360" w:lineRule="auto"/>
        <w:jc w:val="both"/>
      </w:pPr>
    </w:p>
    <w:p w14:paraId="020B3C60" w14:textId="77777777" w:rsidR="00B00318" w:rsidRPr="00142DC1" w:rsidRDefault="00B00318" w:rsidP="00F24910">
      <w:pPr>
        <w:spacing w:line="360" w:lineRule="auto"/>
        <w:jc w:val="both"/>
        <w:rPr>
          <w:rFonts w:ascii="Arial" w:hAnsi="Arial" w:cs="Arial"/>
          <w:b/>
          <w:bCs/>
          <w:color w:val="0070C0"/>
          <w:sz w:val="28"/>
        </w:rPr>
      </w:pPr>
      <w:r w:rsidRPr="00142DC1">
        <w:rPr>
          <w:rFonts w:ascii="Arial" w:hAnsi="Arial" w:cs="Arial"/>
          <w:b/>
          <w:bCs/>
          <w:color w:val="0070C0"/>
          <w:sz w:val="28"/>
        </w:rPr>
        <w:lastRenderedPageBreak/>
        <w:br/>
      </w:r>
      <w:r w:rsidR="00AB1F69" w:rsidRPr="00142DC1">
        <w:rPr>
          <w:rFonts w:ascii="Arial" w:hAnsi="Arial" w:cs="Arial"/>
          <w:b/>
          <w:bCs/>
          <w:color w:val="0070C0"/>
          <w:sz w:val="28"/>
        </w:rPr>
        <w:t xml:space="preserve">How to apply Psychological theories to help the elderly </w:t>
      </w:r>
      <w:r w:rsidR="00FE0ECA">
        <w:rPr>
          <w:rFonts w:ascii="Arial" w:hAnsi="Arial" w:cs="Arial"/>
          <w:b/>
          <w:bCs/>
          <w:color w:val="0070C0"/>
          <w:sz w:val="28"/>
        </w:rPr>
        <w:t>with dementia conditions in</w:t>
      </w:r>
      <w:r w:rsidR="00AB1F69" w:rsidRPr="00142DC1">
        <w:rPr>
          <w:rFonts w:ascii="Arial" w:hAnsi="Arial" w:cs="Arial"/>
          <w:b/>
          <w:bCs/>
          <w:color w:val="0070C0"/>
          <w:sz w:val="28"/>
        </w:rPr>
        <w:t xml:space="preserve"> a care home</w:t>
      </w:r>
    </w:p>
    <w:p w14:paraId="0417DF48" w14:textId="77777777" w:rsidR="00B00318" w:rsidRPr="002C3483" w:rsidRDefault="00F42806" w:rsidP="00142DC1">
      <w:pPr>
        <w:spacing w:line="360" w:lineRule="auto"/>
        <w:jc w:val="both"/>
        <w:rPr>
          <w:rFonts w:ascii="Arial" w:hAnsi="Arial" w:cs="Arial"/>
          <w:b/>
          <w:bCs/>
          <w:color w:val="0070C0"/>
          <w:sz w:val="24"/>
        </w:rPr>
      </w:pPr>
      <w:r w:rsidRPr="002C3483">
        <w:rPr>
          <w:rFonts w:ascii="Arial" w:hAnsi="Arial" w:cs="Arial"/>
          <w:b/>
          <w:bCs/>
          <w:color w:val="0070C0"/>
          <w:sz w:val="24"/>
        </w:rPr>
        <w:t xml:space="preserve">1. </w:t>
      </w:r>
      <w:r w:rsidR="00CC0B21" w:rsidRPr="002C3483">
        <w:rPr>
          <w:rFonts w:ascii="Arial" w:hAnsi="Arial" w:cs="Arial"/>
          <w:b/>
          <w:bCs/>
          <w:color w:val="0070C0"/>
          <w:sz w:val="24"/>
        </w:rPr>
        <w:t>Introduction</w:t>
      </w:r>
    </w:p>
    <w:p w14:paraId="22DD8DAD" w14:textId="77777777" w:rsidR="00B00318" w:rsidRPr="00F24910" w:rsidRDefault="00AB1F69" w:rsidP="00142DC1">
      <w:pPr>
        <w:spacing w:line="360" w:lineRule="auto"/>
        <w:jc w:val="both"/>
        <w:rPr>
          <w:rFonts w:ascii="Arial" w:hAnsi="Arial" w:cs="Arial"/>
        </w:rPr>
      </w:pPr>
      <w:r w:rsidRPr="00F24910">
        <w:rPr>
          <w:rFonts w:ascii="Arial" w:hAnsi="Arial" w:cs="Arial"/>
        </w:rPr>
        <w:t>Dementia is a major health and social care challenge in the United Kingdom as it about 944,000 as well</w:t>
      </w:r>
      <w:r w:rsidR="00B23EAB">
        <w:rPr>
          <w:rFonts w:ascii="Arial" w:hAnsi="Arial" w:cs="Arial"/>
        </w:rPr>
        <w:t>,</w:t>
      </w:r>
      <w:r w:rsidRPr="00F24910">
        <w:rPr>
          <w:rFonts w:ascii="Arial" w:hAnsi="Arial" w:cs="Arial"/>
        </w:rPr>
        <w:t xml:space="preserve"> </w:t>
      </w:r>
      <w:r w:rsidR="00B23EAB">
        <w:rPr>
          <w:rFonts w:ascii="Arial" w:hAnsi="Arial" w:cs="Arial"/>
        </w:rPr>
        <w:t>with</w:t>
      </w:r>
      <w:r w:rsidRPr="00F24910">
        <w:rPr>
          <w:rFonts w:ascii="Arial" w:hAnsi="Arial" w:cs="Arial"/>
        </w:rPr>
        <w:t xml:space="preserve"> the majority being aged 65 and above. Dementia care homes offer residential facilities to elderly adults who are in the process of cognitive decline, loss of memory</w:t>
      </w:r>
      <w:r w:rsidR="00B23EAB">
        <w:rPr>
          <w:rFonts w:ascii="Arial" w:hAnsi="Arial" w:cs="Arial"/>
        </w:rPr>
        <w:t>,</w:t>
      </w:r>
      <w:r w:rsidRPr="00F24910">
        <w:rPr>
          <w:rFonts w:ascii="Arial" w:hAnsi="Arial" w:cs="Arial"/>
        </w:rPr>
        <w:t xml:space="preserve"> among related mental health issues of anxiety, depression and behavioural disruptions. These environments focus on the provision of person-centered care</w:t>
      </w:r>
      <w:r w:rsidR="00B23EAB">
        <w:rPr>
          <w:rFonts w:ascii="Arial" w:hAnsi="Arial" w:cs="Arial"/>
        </w:rPr>
        <w:t>,</w:t>
      </w:r>
      <w:r w:rsidRPr="00F24910">
        <w:rPr>
          <w:rFonts w:ascii="Arial" w:hAnsi="Arial" w:cs="Arial"/>
        </w:rPr>
        <w:t xml:space="preserve"> which fosters dignity, autonomy and the quality of life during progressive neurodegeneration. The isolation, lack of independence and emotional upheaval a </w:t>
      </w:r>
      <w:r w:rsidR="00B23EAB">
        <w:rPr>
          <w:rFonts w:ascii="Arial" w:hAnsi="Arial" w:cs="Arial"/>
        </w:rPr>
        <w:t>problems</w:t>
      </w:r>
      <w:r w:rsidRPr="00F24910">
        <w:rPr>
          <w:rFonts w:ascii="Arial" w:hAnsi="Arial" w:cs="Arial"/>
        </w:rPr>
        <w:t xml:space="preserve"> faced by residents who are usually worsened by such conditions as </w:t>
      </w:r>
      <w:r w:rsidR="00B23EAB">
        <w:rPr>
          <w:rFonts w:ascii="Arial" w:hAnsi="Arial" w:cs="Arial"/>
        </w:rPr>
        <w:t>Alzheimer's</w:t>
      </w:r>
      <w:r w:rsidRPr="00F24910">
        <w:rPr>
          <w:rFonts w:ascii="Arial" w:hAnsi="Arial" w:cs="Arial"/>
        </w:rPr>
        <w:t xml:space="preserve"> disease</w:t>
      </w:r>
      <w:r w:rsidR="00B23EAB">
        <w:rPr>
          <w:rFonts w:ascii="Arial" w:hAnsi="Arial" w:cs="Arial"/>
        </w:rPr>
        <w:t>,</w:t>
      </w:r>
      <w:r w:rsidRPr="00F24910">
        <w:rPr>
          <w:rFonts w:ascii="Arial" w:hAnsi="Arial" w:cs="Arial"/>
        </w:rPr>
        <w:t xml:space="preserve"> which is a leading factor </w:t>
      </w:r>
      <w:r w:rsidR="00B23EAB">
        <w:rPr>
          <w:rFonts w:ascii="Arial" w:hAnsi="Arial" w:cs="Arial"/>
        </w:rPr>
        <w:t>in</w:t>
      </w:r>
      <w:r w:rsidRPr="00F24910">
        <w:rPr>
          <w:rFonts w:ascii="Arial" w:hAnsi="Arial" w:cs="Arial"/>
        </w:rPr>
        <w:t xml:space="preserve"> 60-70 cases. Nurses, psychologists, and care assistants working in such homes have to control calamitous psychological requirements to alleviate distress and promote well-being. This report discusses two theories, the Psychosocial Development Theory by Erik Erikson, on psychosocial development, and the theory of behavioural one as discussed in </w:t>
      </w:r>
      <w:r w:rsidR="00B23EAB">
        <w:rPr>
          <w:rFonts w:ascii="Arial" w:hAnsi="Arial" w:cs="Arial"/>
        </w:rPr>
        <w:t xml:space="preserve">the </w:t>
      </w:r>
      <w:r w:rsidRPr="00F24910">
        <w:rPr>
          <w:rFonts w:ascii="Arial" w:hAnsi="Arial" w:cs="Arial"/>
        </w:rPr>
        <w:t xml:space="preserve">case of psychological </w:t>
      </w:r>
      <w:r w:rsidR="00B23EAB">
        <w:rPr>
          <w:rFonts w:ascii="Arial" w:hAnsi="Arial" w:cs="Arial"/>
        </w:rPr>
        <w:t>practice</w:t>
      </w:r>
      <w:r w:rsidRPr="00F24910">
        <w:rPr>
          <w:rFonts w:ascii="Arial" w:hAnsi="Arial" w:cs="Arial"/>
        </w:rPr>
        <w:t xml:space="preserve"> with reference to research to determine the evidence-based </w:t>
      </w:r>
      <w:r w:rsidR="00B23EAB">
        <w:rPr>
          <w:rFonts w:ascii="Arial" w:hAnsi="Arial" w:cs="Arial"/>
        </w:rPr>
        <w:t>practice</w:t>
      </w:r>
      <w:r w:rsidRPr="00F24910">
        <w:rPr>
          <w:rFonts w:ascii="Arial" w:hAnsi="Arial" w:cs="Arial"/>
        </w:rPr>
        <w:t xml:space="preserve"> in the same context.</w:t>
      </w:r>
    </w:p>
    <w:p w14:paraId="2890D904" w14:textId="77777777" w:rsidR="00B00318" w:rsidRPr="002C3483" w:rsidRDefault="00B00318" w:rsidP="00142DC1">
      <w:pPr>
        <w:spacing w:line="360" w:lineRule="auto"/>
        <w:jc w:val="both"/>
        <w:rPr>
          <w:rFonts w:ascii="Arial" w:hAnsi="Arial" w:cs="Arial"/>
          <w:b/>
          <w:bCs/>
          <w:color w:val="0070C0"/>
          <w:sz w:val="24"/>
        </w:rPr>
      </w:pPr>
      <w:r w:rsidRPr="002C3483">
        <w:rPr>
          <w:rFonts w:ascii="Arial" w:hAnsi="Arial" w:cs="Arial"/>
          <w:b/>
          <w:bCs/>
          <w:color w:val="0070C0"/>
          <w:sz w:val="24"/>
        </w:rPr>
        <w:t>2.  Overview of Two Theories</w:t>
      </w:r>
    </w:p>
    <w:p w14:paraId="57E23B5E" w14:textId="77777777" w:rsidR="00B00318" w:rsidRPr="00F24910" w:rsidRDefault="00AB1F69" w:rsidP="00142DC1">
      <w:pPr>
        <w:spacing w:line="360" w:lineRule="auto"/>
        <w:jc w:val="both"/>
        <w:rPr>
          <w:rFonts w:ascii="Arial" w:hAnsi="Arial" w:cs="Arial"/>
          <w:b/>
          <w:bCs/>
        </w:rPr>
      </w:pPr>
      <w:r w:rsidRPr="00F24910">
        <w:rPr>
          <w:rFonts w:ascii="Arial" w:hAnsi="Arial" w:cs="Arial"/>
          <w:b/>
          <w:bCs/>
        </w:rPr>
        <w:t>The Psychosocial Development T</w:t>
      </w:r>
      <w:r w:rsidR="00CC0B21">
        <w:rPr>
          <w:rFonts w:ascii="Arial" w:hAnsi="Arial" w:cs="Arial"/>
          <w:b/>
          <w:bCs/>
        </w:rPr>
        <w:t>heory of Erik Erikson</w:t>
      </w:r>
    </w:p>
    <w:p w14:paraId="1D0C5D3B" w14:textId="77777777" w:rsidR="00AB1F69" w:rsidRPr="00F24910" w:rsidRDefault="00AB1F69" w:rsidP="00142DC1">
      <w:pPr>
        <w:spacing w:line="360" w:lineRule="auto"/>
        <w:jc w:val="both"/>
        <w:rPr>
          <w:rFonts w:ascii="Arial" w:hAnsi="Arial" w:cs="Arial"/>
        </w:rPr>
      </w:pPr>
      <w:r w:rsidRPr="00F24910">
        <w:rPr>
          <w:rFonts w:ascii="Arial" w:hAnsi="Arial" w:cs="Arial"/>
        </w:rPr>
        <w:t>One theory of psychosocial development suggested by Erik Erikson is that human growth is possible in eight stages</w:t>
      </w:r>
      <w:r w:rsidR="00B23EAB">
        <w:rPr>
          <w:rFonts w:ascii="Arial" w:hAnsi="Arial" w:cs="Arial"/>
        </w:rPr>
        <w:t>,</w:t>
      </w:r>
      <w:r w:rsidRPr="00F24910">
        <w:rPr>
          <w:rFonts w:ascii="Arial" w:hAnsi="Arial" w:cs="Arial"/>
        </w:rPr>
        <w:t xml:space="preserve"> where each stage is marked by a central conflict that has to be satisfied to prevent the negative development of personality. In the case of adults 65 and over, the stage is that of Integrity against Despair</w:t>
      </w:r>
      <w:r w:rsidR="00B23EAB">
        <w:rPr>
          <w:rFonts w:ascii="Arial" w:hAnsi="Arial" w:cs="Arial"/>
        </w:rPr>
        <w:t>,</w:t>
      </w:r>
      <w:r w:rsidRPr="00F24910">
        <w:rPr>
          <w:rFonts w:ascii="Arial" w:hAnsi="Arial" w:cs="Arial"/>
        </w:rPr>
        <w:t xml:space="preserve"> at which the people look back at experiences in their lives in order to attain wholeness and acceptance or to be overwhelmed with regrets and bitterness</w:t>
      </w:r>
      <w:r w:rsidR="00CC0B21">
        <w:rPr>
          <w:rFonts w:ascii="Arial" w:hAnsi="Arial" w:cs="Arial"/>
        </w:rPr>
        <w:t xml:space="preserve"> (Perry-Young, L. et al. </w:t>
      </w:r>
      <w:r w:rsidR="00CC0B21" w:rsidRPr="00CC0B21">
        <w:rPr>
          <w:rFonts w:ascii="Arial" w:hAnsi="Arial" w:cs="Arial"/>
        </w:rPr>
        <w:t xml:space="preserve">2021). </w:t>
      </w:r>
      <w:r w:rsidRPr="00F24910">
        <w:rPr>
          <w:rFonts w:ascii="Arial" w:hAnsi="Arial" w:cs="Arial"/>
        </w:rPr>
        <w:t xml:space="preserve">When a conflict is invinciously solved, it nurtures wisdom and builds ego integrity along with contentment with the </w:t>
      </w:r>
      <w:r w:rsidR="00B23EAB">
        <w:rPr>
          <w:rFonts w:ascii="Arial" w:hAnsi="Arial" w:cs="Arial"/>
        </w:rPr>
        <w:t>story</w:t>
      </w:r>
      <w:r w:rsidRPr="00F24910">
        <w:rPr>
          <w:rFonts w:ascii="Arial" w:hAnsi="Arial" w:cs="Arial"/>
        </w:rPr>
        <w:t xml:space="preserve"> of life, whereas when they fail, they become desperate, scared of dying, and feel emotionally disrupted. In the elderly, it is brought about by the physical deterioration, </w:t>
      </w:r>
      <w:r w:rsidR="00B23EAB">
        <w:rPr>
          <w:rFonts w:ascii="Arial" w:hAnsi="Arial" w:cs="Arial"/>
        </w:rPr>
        <w:t>retirement</w:t>
      </w:r>
      <w:r w:rsidRPr="00F24910">
        <w:rPr>
          <w:rFonts w:ascii="Arial" w:hAnsi="Arial" w:cs="Arial"/>
        </w:rPr>
        <w:t xml:space="preserve">, loss of a loved one, and taking on of social roles, which may make one feel </w:t>
      </w:r>
      <w:r w:rsidR="00B23EAB">
        <w:rPr>
          <w:rFonts w:ascii="Arial" w:hAnsi="Arial" w:cs="Arial"/>
        </w:rPr>
        <w:t xml:space="preserve">a </w:t>
      </w:r>
      <w:r w:rsidRPr="00F24910">
        <w:rPr>
          <w:rFonts w:ascii="Arial" w:hAnsi="Arial" w:cs="Arial"/>
        </w:rPr>
        <w:t>lack of meaning in life.</w:t>
      </w:r>
    </w:p>
    <w:p w14:paraId="7E615495" w14:textId="77777777" w:rsidR="00AB1F69" w:rsidRPr="00F24910" w:rsidRDefault="00AB1F69" w:rsidP="00142DC1">
      <w:pPr>
        <w:spacing w:line="360" w:lineRule="auto"/>
        <w:jc w:val="both"/>
        <w:rPr>
          <w:rFonts w:ascii="Arial" w:hAnsi="Arial" w:cs="Arial"/>
        </w:rPr>
      </w:pPr>
      <w:r w:rsidRPr="00F24910">
        <w:rPr>
          <w:rFonts w:ascii="Arial" w:hAnsi="Arial" w:cs="Arial"/>
        </w:rPr>
        <w:lastRenderedPageBreak/>
        <w:t>When applied to individuals aged 65 and above, the framework by Erikson emphasises the life review processes that could be employed to proclaim integrity. As an example, reflecting on the accomplishments can make older adults incorporate history in order to alleviate hopelessness. With dementia in mind, the reflection process can be interrupted by cognitive deficiencies and result in disconnected memories and increased levels of anxiety. Nevertheless, the theory indicates that organised interventions may be used to mediate some degree of resolution, despite the loss of memory, on the basis of the emotional memories that are preserved as opposed to recall of vague facts</w:t>
      </w:r>
      <w:r w:rsidR="00CC0B21">
        <w:rPr>
          <w:rFonts w:ascii="Arial" w:hAnsi="Arial" w:cs="Arial"/>
        </w:rPr>
        <w:t xml:space="preserve"> (Hafford-Letchfield, T. et al. </w:t>
      </w:r>
      <w:r w:rsidR="00CC0B21" w:rsidRPr="00CC0B21">
        <w:rPr>
          <w:rFonts w:ascii="Arial" w:hAnsi="Arial" w:cs="Arial"/>
        </w:rPr>
        <w:t xml:space="preserve">2015). </w:t>
      </w:r>
      <w:r w:rsidRPr="00F24910">
        <w:rPr>
          <w:rFonts w:ascii="Arial" w:hAnsi="Arial" w:cs="Arial"/>
        </w:rPr>
        <w:t xml:space="preserve">The studies show that </w:t>
      </w:r>
      <w:r w:rsidR="00B23EAB">
        <w:rPr>
          <w:rFonts w:ascii="Arial" w:hAnsi="Arial" w:cs="Arial"/>
        </w:rPr>
        <w:t>Erikson's</w:t>
      </w:r>
      <w:r w:rsidRPr="00F24910">
        <w:rPr>
          <w:rFonts w:ascii="Arial" w:hAnsi="Arial" w:cs="Arial"/>
        </w:rPr>
        <w:t xml:space="preserve"> model is in line with reminiscence therapy, in which assisted storytelling facilitates psychosocial adaptation during late life. The theory is especially applicable in the case of dementia since it focuses on social interactions that are meaningful and relevant to maintain the ego in the face of cognitive difficulties.</w:t>
      </w:r>
    </w:p>
    <w:p w14:paraId="76F6C226" w14:textId="77777777" w:rsidR="00B00318" w:rsidRPr="00F24910" w:rsidRDefault="00B00318" w:rsidP="00142DC1">
      <w:pPr>
        <w:spacing w:line="360" w:lineRule="auto"/>
        <w:jc w:val="both"/>
        <w:rPr>
          <w:rFonts w:ascii="Arial" w:hAnsi="Arial" w:cs="Arial"/>
          <w:b/>
          <w:bCs/>
        </w:rPr>
      </w:pPr>
      <w:r w:rsidRPr="00F24910">
        <w:rPr>
          <w:rFonts w:ascii="Arial" w:hAnsi="Arial" w:cs="Arial"/>
          <w:b/>
          <w:bCs/>
        </w:rPr>
        <w:t>Behavioral Theory</w:t>
      </w:r>
    </w:p>
    <w:p w14:paraId="73832CE7" w14:textId="77777777" w:rsidR="00AB1F69" w:rsidRPr="00F24910" w:rsidRDefault="00B00318" w:rsidP="00142DC1">
      <w:pPr>
        <w:spacing w:line="360" w:lineRule="auto"/>
        <w:jc w:val="both"/>
        <w:rPr>
          <w:rFonts w:ascii="Arial" w:hAnsi="Arial" w:cs="Arial"/>
        </w:rPr>
      </w:pPr>
      <w:r w:rsidRPr="00F24910">
        <w:rPr>
          <w:rFonts w:ascii="Arial" w:hAnsi="Arial" w:cs="Arial"/>
        </w:rPr>
        <w:t xml:space="preserve"> </w:t>
      </w:r>
      <w:r w:rsidR="00AB1F69" w:rsidRPr="00F24910">
        <w:rPr>
          <w:rFonts w:ascii="Arial" w:hAnsi="Arial" w:cs="Arial"/>
        </w:rPr>
        <w:t>The Behavioural Theory is based on the notion of the classical and operant conditioning developed by such psychologists as B. F. Skinner and Ivan Pavlov, who regard behaviour as conditioned reactions to environmental conditions</w:t>
      </w:r>
      <w:r w:rsidR="00CC0B21">
        <w:rPr>
          <w:rFonts w:ascii="Arial" w:hAnsi="Arial" w:cs="Arial"/>
        </w:rPr>
        <w:t xml:space="preserve"> (Ayalon, L. </w:t>
      </w:r>
      <w:r w:rsidR="00CC0B21" w:rsidRPr="00CC0B21">
        <w:rPr>
          <w:rFonts w:ascii="Arial" w:hAnsi="Arial" w:cs="Arial"/>
        </w:rPr>
        <w:t xml:space="preserve">2023). </w:t>
      </w:r>
      <w:r w:rsidR="00AB1F69" w:rsidRPr="00F24910">
        <w:rPr>
          <w:rFonts w:ascii="Arial" w:hAnsi="Arial" w:cs="Arial"/>
        </w:rPr>
        <w:t>It makes use of an ABC model that is used to analyse and change actions using the following model</w:t>
      </w:r>
      <w:r w:rsidR="00B23EAB">
        <w:rPr>
          <w:rFonts w:ascii="Arial" w:hAnsi="Arial" w:cs="Arial"/>
        </w:rPr>
        <w:t>,</w:t>
      </w:r>
      <w:r w:rsidR="00AB1F69" w:rsidRPr="00F24910">
        <w:rPr>
          <w:rFonts w:ascii="Arial" w:hAnsi="Arial" w:cs="Arial"/>
        </w:rPr>
        <w:t xml:space="preserve"> </w:t>
      </w:r>
      <w:r w:rsidR="00B23EAB">
        <w:rPr>
          <w:rFonts w:ascii="Arial" w:hAnsi="Arial" w:cs="Arial"/>
        </w:rPr>
        <w:t>which</w:t>
      </w:r>
      <w:r w:rsidR="00AB1F69" w:rsidRPr="00F24910">
        <w:rPr>
          <w:rFonts w:ascii="Arial" w:hAnsi="Arial" w:cs="Arial"/>
        </w:rPr>
        <w:t xml:space="preserve"> is known as Antecedents (triggers), Behaviours (actions), and Consequences (outcomes). Behaviours in older adults are determined by lifelong reinforcements, although they can change in terms of response patterns due to factors related to the ageing process</w:t>
      </w:r>
      <w:r w:rsidR="00B23EAB">
        <w:rPr>
          <w:rFonts w:ascii="Arial" w:hAnsi="Arial" w:cs="Arial"/>
        </w:rPr>
        <w:t>,</w:t>
      </w:r>
      <w:r w:rsidR="00AB1F69" w:rsidRPr="00F24910">
        <w:rPr>
          <w:rFonts w:ascii="Arial" w:hAnsi="Arial" w:cs="Arial"/>
        </w:rPr>
        <w:t xml:space="preserve"> such as sensory loss or medication. In the case of </w:t>
      </w:r>
      <w:r w:rsidR="00B23EAB">
        <w:rPr>
          <w:rFonts w:ascii="Arial" w:hAnsi="Arial" w:cs="Arial"/>
        </w:rPr>
        <w:t xml:space="preserve">those </w:t>
      </w:r>
      <w:r w:rsidR="00AB1F69" w:rsidRPr="00F24910">
        <w:rPr>
          <w:rFonts w:ascii="Arial" w:hAnsi="Arial" w:cs="Arial"/>
        </w:rPr>
        <w:t>65 and above, the theory will explain how being stuck or emerging, habitual behaviours, including repetitive behaviour</w:t>
      </w:r>
      <w:r w:rsidR="00B23EAB">
        <w:rPr>
          <w:rFonts w:ascii="Arial" w:hAnsi="Arial" w:cs="Arial"/>
        </w:rPr>
        <w:t>,</w:t>
      </w:r>
      <w:r w:rsidR="00AB1F69" w:rsidRPr="00F24910">
        <w:rPr>
          <w:rFonts w:ascii="Arial" w:hAnsi="Arial" w:cs="Arial"/>
        </w:rPr>
        <w:t xml:space="preserve"> as a response to unfulfilled needs.</w:t>
      </w:r>
    </w:p>
    <w:p w14:paraId="0A5E98ED" w14:textId="77777777" w:rsidR="00AB1F69" w:rsidRPr="00F24910" w:rsidRDefault="00AB1F69" w:rsidP="00142DC1">
      <w:pPr>
        <w:spacing w:line="360" w:lineRule="auto"/>
        <w:jc w:val="both"/>
        <w:rPr>
          <w:rFonts w:ascii="Arial" w:hAnsi="Arial" w:cs="Arial"/>
        </w:rPr>
      </w:pPr>
      <w:r w:rsidRPr="00F24910">
        <w:rPr>
          <w:rFonts w:ascii="Arial" w:hAnsi="Arial" w:cs="Arial"/>
        </w:rPr>
        <w:t xml:space="preserve">Behavioural Theory can be used in the context of dementia to explain such so-called challenging behaviours as agitation, wandering, or aggression as a reaction to environmental antecedents, instead of being inborn. As an example, pain (antecedent) could cause verbal outbursts (behaviour) reinforced in case it results </w:t>
      </w:r>
      <w:r w:rsidR="00B23EAB">
        <w:rPr>
          <w:rFonts w:ascii="Arial" w:hAnsi="Arial" w:cs="Arial"/>
        </w:rPr>
        <w:t>in</w:t>
      </w:r>
      <w:r w:rsidRPr="00F24910">
        <w:rPr>
          <w:rFonts w:ascii="Arial" w:hAnsi="Arial" w:cs="Arial"/>
        </w:rPr>
        <w:t xml:space="preserve"> attention (consequence). According to the theory, new changes in antecedent or consequences may reduce maladaptive behaviour and strengthen positive behaviour and promote adaptive behavioural </w:t>
      </w:r>
      <w:r w:rsidR="00B23EAB">
        <w:rPr>
          <w:rFonts w:ascii="Arial" w:hAnsi="Arial" w:cs="Arial"/>
        </w:rPr>
        <w:t>practices</w:t>
      </w:r>
      <w:r w:rsidRPr="00F24910">
        <w:rPr>
          <w:rFonts w:ascii="Arial" w:hAnsi="Arial" w:cs="Arial"/>
        </w:rPr>
        <w:t xml:space="preserve"> such as medication adherence or social activity. Research indicates that people aged 65 years and older have their distress levels lessened through the implementation of behavioural interventions, which concentrate on behaviours people can notice, and cognitive limitations do not pose an obstacle</w:t>
      </w:r>
      <w:r w:rsidR="00CC0B21">
        <w:rPr>
          <w:rFonts w:ascii="Arial" w:hAnsi="Arial" w:cs="Arial"/>
        </w:rPr>
        <w:t xml:space="preserve"> (Burgio, L. D., et al. </w:t>
      </w:r>
      <w:r w:rsidR="00CC0B21" w:rsidRPr="00CC0B21">
        <w:rPr>
          <w:rFonts w:ascii="Arial" w:hAnsi="Arial" w:cs="Arial"/>
        </w:rPr>
        <w:t xml:space="preserve">2005). </w:t>
      </w:r>
      <w:r w:rsidRPr="00F24910">
        <w:rPr>
          <w:rFonts w:ascii="Arial" w:hAnsi="Arial" w:cs="Arial"/>
        </w:rPr>
        <w:t>The method can be useful in health behaviour related to dementia</w:t>
      </w:r>
      <w:r w:rsidR="00B23EAB">
        <w:rPr>
          <w:rFonts w:ascii="Arial" w:hAnsi="Arial" w:cs="Arial"/>
        </w:rPr>
        <w:t>,</w:t>
      </w:r>
      <w:r w:rsidRPr="00F24910">
        <w:rPr>
          <w:rFonts w:ascii="Arial" w:hAnsi="Arial" w:cs="Arial"/>
        </w:rPr>
        <w:t xml:space="preserve"> where cognitive theories might have weak efficacy because of deteriorated reasoning.</w:t>
      </w:r>
    </w:p>
    <w:p w14:paraId="6A1D6B13" w14:textId="77777777" w:rsidR="00CC0B21" w:rsidRPr="002C3483" w:rsidRDefault="00CC0B21" w:rsidP="00142DC1">
      <w:pPr>
        <w:spacing w:line="360" w:lineRule="auto"/>
        <w:jc w:val="both"/>
        <w:rPr>
          <w:rFonts w:ascii="Arial" w:hAnsi="Arial" w:cs="Arial"/>
          <w:color w:val="0070C0"/>
          <w:sz w:val="24"/>
        </w:rPr>
      </w:pPr>
    </w:p>
    <w:p w14:paraId="05A1B3D6" w14:textId="77777777" w:rsidR="00B00318" w:rsidRPr="002C3483" w:rsidRDefault="00F24910" w:rsidP="00142DC1">
      <w:pPr>
        <w:spacing w:line="360" w:lineRule="auto"/>
        <w:jc w:val="both"/>
        <w:rPr>
          <w:rFonts w:ascii="Arial" w:hAnsi="Arial" w:cs="Arial"/>
          <w:b/>
          <w:bCs/>
          <w:color w:val="0070C0"/>
          <w:sz w:val="24"/>
        </w:rPr>
      </w:pPr>
      <w:r w:rsidRPr="002C3483">
        <w:rPr>
          <w:rFonts w:ascii="Arial" w:hAnsi="Arial" w:cs="Arial"/>
          <w:b/>
          <w:bCs/>
          <w:color w:val="0070C0"/>
          <w:sz w:val="24"/>
        </w:rPr>
        <w:t>3. The Health and Social Care Context Application</w:t>
      </w:r>
    </w:p>
    <w:p w14:paraId="277CDCDB" w14:textId="77777777" w:rsidR="00B00318" w:rsidRPr="00F24910" w:rsidRDefault="00F24910" w:rsidP="00142DC1">
      <w:pPr>
        <w:spacing w:line="360" w:lineRule="auto"/>
        <w:jc w:val="both"/>
        <w:rPr>
          <w:rFonts w:ascii="Arial" w:hAnsi="Arial" w:cs="Arial"/>
          <w:b/>
          <w:bCs/>
        </w:rPr>
      </w:pPr>
      <w:r w:rsidRPr="00F24910">
        <w:rPr>
          <w:rFonts w:ascii="Arial" w:hAnsi="Arial" w:cs="Arial"/>
          <w:b/>
          <w:bCs/>
        </w:rPr>
        <w:t xml:space="preserve">Use of Erik </w:t>
      </w:r>
      <w:r w:rsidR="00B23EAB">
        <w:rPr>
          <w:rFonts w:ascii="Arial" w:hAnsi="Arial" w:cs="Arial"/>
          <w:b/>
          <w:bCs/>
        </w:rPr>
        <w:t>Erikson's</w:t>
      </w:r>
      <w:r w:rsidRPr="00F24910">
        <w:rPr>
          <w:rFonts w:ascii="Arial" w:hAnsi="Arial" w:cs="Arial"/>
          <w:b/>
          <w:bCs/>
        </w:rPr>
        <w:t xml:space="preserve"> Psychosocial Development Theory</w:t>
      </w:r>
    </w:p>
    <w:p w14:paraId="7C31754D" w14:textId="77777777" w:rsidR="00F24910" w:rsidRPr="00F24910" w:rsidRDefault="00B00318" w:rsidP="00142DC1">
      <w:pPr>
        <w:spacing w:line="360" w:lineRule="auto"/>
        <w:jc w:val="both"/>
        <w:rPr>
          <w:rFonts w:ascii="Arial" w:hAnsi="Arial" w:cs="Arial"/>
        </w:rPr>
      </w:pPr>
      <w:r w:rsidRPr="00F24910">
        <w:rPr>
          <w:rFonts w:ascii="Arial" w:hAnsi="Arial" w:cs="Arial"/>
        </w:rPr>
        <w:t xml:space="preserve">In </w:t>
      </w:r>
      <w:r w:rsidR="00F24910" w:rsidRPr="00F24910">
        <w:rPr>
          <w:rFonts w:ascii="Arial" w:hAnsi="Arial" w:cs="Arial"/>
        </w:rPr>
        <w:t>dementia care homes, the theory as proposed by Erikson offers a critical application that can be used to serve the older adults through promoting life review activities to promote integrity and fight the situation of despair</w:t>
      </w:r>
      <w:r w:rsidR="00CC0B21">
        <w:rPr>
          <w:rFonts w:ascii="Arial" w:hAnsi="Arial" w:cs="Arial"/>
        </w:rPr>
        <w:t xml:space="preserve"> (Perry, A. G., et al.</w:t>
      </w:r>
      <w:r w:rsidR="00B23EAB">
        <w:rPr>
          <w:rFonts w:ascii="Arial" w:hAnsi="Arial" w:cs="Arial"/>
        </w:rPr>
        <w:t>,</w:t>
      </w:r>
      <w:r w:rsidR="00CC0B21">
        <w:rPr>
          <w:rFonts w:ascii="Arial" w:hAnsi="Arial" w:cs="Arial"/>
        </w:rPr>
        <w:t xml:space="preserve"> 2015)</w:t>
      </w:r>
      <w:r w:rsidR="00F24910" w:rsidRPr="00F24910">
        <w:rPr>
          <w:rFonts w:ascii="Arial" w:hAnsi="Arial" w:cs="Arial"/>
        </w:rPr>
        <w:t xml:space="preserve">. Reminiscence therapy may be employed by professionals with </w:t>
      </w:r>
      <w:r w:rsidR="00B23EAB">
        <w:rPr>
          <w:rFonts w:ascii="Arial" w:hAnsi="Arial" w:cs="Arial"/>
        </w:rPr>
        <w:t>a focus</w:t>
      </w:r>
      <w:r w:rsidR="00F24910" w:rsidRPr="00F24910">
        <w:rPr>
          <w:rFonts w:ascii="Arial" w:hAnsi="Arial" w:cs="Arial"/>
        </w:rPr>
        <w:t xml:space="preserve"> </w:t>
      </w:r>
      <w:r w:rsidR="00B23EAB">
        <w:rPr>
          <w:rFonts w:ascii="Arial" w:hAnsi="Arial" w:cs="Arial"/>
        </w:rPr>
        <w:t>on</w:t>
      </w:r>
      <w:r w:rsidR="00F24910" w:rsidRPr="00F24910">
        <w:rPr>
          <w:rFonts w:ascii="Arial" w:hAnsi="Arial" w:cs="Arial"/>
        </w:rPr>
        <w:t xml:space="preserve"> reminiscence </w:t>
      </w:r>
      <w:r w:rsidR="00B23EAB">
        <w:rPr>
          <w:rFonts w:ascii="Arial" w:hAnsi="Arial" w:cs="Arial"/>
        </w:rPr>
        <w:t xml:space="preserve">to help </w:t>
      </w:r>
      <w:r w:rsidR="00F24910" w:rsidRPr="00F24910">
        <w:rPr>
          <w:rFonts w:ascii="Arial" w:hAnsi="Arial" w:cs="Arial"/>
        </w:rPr>
        <w:t xml:space="preserve">the residents </w:t>
      </w:r>
      <w:r w:rsidR="00B23EAB">
        <w:rPr>
          <w:rFonts w:ascii="Arial" w:hAnsi="Arial" w:cs="Arial"/>
        </w:rPr>
        <w:t>reminisce</w:t>
      </w:r>
      <w:r w:rsidR="00F24910" w:rsidRPr="00F24910">
        <w:rPr>
          <w:rFonts w:ascii="Arial" w:hAnsi="Arial" w:cs="Arial"/>
        </w:rPr>
        <w:t xml:space="preserve"> </w:t>
      </w:r>
      <w:r w:rsidR="00B23EAB">
        <w:rPr>
          <w:rFonts w:ascii="Arial" w:hAnsi="Arial" w:cs="Arial"/>
        </w:rPr>
        <w:t xml:space="preserve">about </w:t>
      </w:r>
      <w:r w:rsidR="00F24910" w:rsidRPr="00F24910">
        <w:rPr>
          <w:rFonts w:ascii="Arial" w:hAnsi="Arial" w:cs="Arial"/>
        </w:rPr>
        <w:t xml:space="preserve">their life </w:t>
      </w:r>
      <w:r w:rsidR="00B23EAB">
        <w:rPr>
          <w:rFonts w:ascii="Arial" w:hAnsi="Arial" w:cs="Arial"/>
        </w:rPr>
        <w:t>stories</w:t>
      </w:r>
      <w:r w:rsidR="00F24910" w:rsidRPr="00F24910">
        <w:rPr>
          <w:rFonts w:ascii="Arial" w:hAnsi="Arial" w:cs="Arial"/>
        </w:rPr>
        <w:t xml:space="preserve"> in terms of photos, music or artefacts by encouraging the residents to produce positive feelings and make them feel accomplished. As an illustration, a care assistant can schedule group meetings whereby a dementia patient recalls family highlights, which can </w:t>
      </w:r>
      <w:r w:rsidR="00B23EAB">
        <w:rPr>
          <w:rFonts w:ascii="Arial" w:hAnsi="Arial" w:cs="Arial"/>
        </w:rPr>
        <w:t>help</w:t>
      </w:r>
      <w:r w:rsidR="00F24910" w:rsidRPr="00F24910">
        <w:rPr>
          <w:rFonts w:ascii="Arial" w:hAnsi="Arial" w:cs="Arial"/>
        </w:rPr>
        <w:t xml:space="preserve"> them assimilate individual fragments and alleviate isolation. This is in line with UK guidelines proposed by the National Institute of Health and Care Excellence (NICE) to consider person-centred interventions as a way of meeting the psychological needs. More importantly, this app improves happiness by fulfilling the most basic </w:t>
      </w:r>
      <w:r w:rsidR="00B23EAB">
        <w:rPr>
          <w:rFonts w:ascii="Arial" w:hAnsi="Arial" w:cs="Arial"/>
        </w:rPr>
        <w:t>psychological</w:t>
      </w:r>
      <w:r w:rsidR="00F24910" w:rsidRPr="00F24910">
        <w:rPr>
          <w:rFonts w:ascii="Arial" w:hAnsi="Arial" w:cs="Arial"/>
        </w:rPr>
        <w:t xml:space="preserve"> need, meaning, </w:t>
      </w:r>
      <w:r w:rsidR="00B23EAB">
        <w:rPr>
          <w:rFonts w:ascii="Arial" w:hAnsi="Arial" w:cs="Arial"/>
        </w:rPr>
        <w:t xml:space="preserve">as </w:t>
      </w:r>
      <w:r w:rsidR="00F24910" w:rsidRPr="00F24910">
        <w:rPr>
          <w:rFonts w:ascii="Arial" w:hAnsi="Arial" w:cs="Arial"/>
        </w:rPr>
        <w:t xml:space="preserve">demonstrated by a positive mood and a decline in depressive symptoms </w:t>
      </w:r>
      <w:r w:rsidR="00B23EAB">
        <w:rPr>
          <w:rFonts w:ascii="Arial" w:hAnsi="Arial" w:cs="Arial"/>
        </w:rPr>
        <w:t>in</w:t>
      </w:r>
      <w:r w:rsidR="00F24910" w:rsidRPr="00F24910">
        <w:rPr>
          <w:rFonts w:ascii="Arial" w:hAnsi="Arial" w:cs="Arial"/>
        </w:rPr>
        <w:t xml:space="preserve"> trials. In </w:t>
      </w:r>
      <w:r w:rsidR="00B23EAB">
        <w:rPr>
          <w:rFonts w:ascii="Arial" w:hAnsi="Arial" w:cs="Arial"/>
        </w:rPr>
        <w:t>practice</w:t>
      </w:r>
      <w:r w:rsidR="00F24910" w:rsidRPr="00F24910">
        <w:rPr>
          <w:rFonts w:ascii="Arial" w:hAnsi="Arial" w:cs="Arial"/>
        </w:rPr>
        <w:t>, it helps to deal with such a challenge as withdrawal due to its focus on promoting social bonds, thereby helping to maintain behavioural stability.</w:t>
      </w:r>
    </w:p>
    <w:p w14:paraId="106E1093" w14:textId="77777777" w:rsidR="00F24910" w:rsidRPr="00F24910" w:rsidRDefault="00F24910" w:rsidP="00142DC1">
      <w:pPr>
        <w:spacing w:line="360" w:lineRule="auto"/>
        <w:jc w:val="both"/>
        <w:rPr>
          <w:rFonts w:ascii="Arial" w:hAnsi="Arial" w:cs="Arial"/>
        </w:rPr>
      </w:pPr>
      <w:r w:rsidRPr="00F24910">
        <w:rPr>
          <w:rFonts w:ascii="Arial" w:hAnsi="Arial" w:cs="Arial"/>
        </w:rPr>
        <w:t xml:space="preserve">Nevertheless, there is difficulty in implementation. Advanced dementia residents might have issues with </w:t>
      </w:r>
      <w:r w:rsidR="00B23EAB">
        <w:rPr>
          <w:rFonts w:ascii="Arial" w:hAnsi="Arial" w:cs="Arial"/>
        </w:rPr>
        <w:t>verbalisation</w:t>
      </w:r>
      <w:r w:rsidRPr="00F24910">
        <w:rPr>
          <w:rFonts w:ascii="Arial" w:hAnsi="Arial" w:cs="Arial"/>
        </w:rPr>
        <w:t xml:space="preserve">, and that could cause frustration when the sessions provoke unresolved regrets. There might also be </w:t>
      </w:r>
      <w:r w:rsidR="00B23EAB">
        <w:rPr>
          <w:rFonts w:ascii="Arial" w:hAnsi="Arial" w:cs="Arial"/>
        </w:rPr>
        <w:t>biased</w:t>
      </w:r>
      <w:r w:rsidRPr="00F24910">
        <w:rPr>
          <w:rFonts w:ascii="Arial" w:hAnsi="Arial" w:cs="Arial"/>
        </w:rPr>
        <w:t xml:space="preserve"> activities through cultural differences in life </w:t>
      </w:r>
      <w:r w:rsidR="00B23EAB">
        <w:rPr>
          <w:rFonts w:ascii="Arial" w:hAnsi="Arial" w:cs="Arial"/>
        </w:rPr>
        <w:t>stories,</w:t>
      </w:r>
      <w:r w:rsidRPr="00F24910">
        <w:rPr>
          <w:rFonts w:ascii="Arial" w:hAnsi="Arial" w:cs="Arial"/>
        </w:rPr>
        <w:t xml:space="preserve"> and this may isolate the non-Western dwellers. There are plans to deal with them, which involve training the staff to use adaptive techniques, such as the use of scent or touch-based reminiscence (e.g. use of a scent or a massage) on non-verbal participants, and </w:t>
      </w:r>
      <w:r w:rsidR="00B23EAB">
        <w:rPr>
          <w:rFonts w:ascii="Arial" w:hAnsi="Arial" w:cs="Arial"/>
        </w:rPr>
        <w:t xml:space="preserve">the </w:t>
      </w:r>
      <w:r w:rsidRPr="00F24910">
        <w:rPr>
          <w:rFonts w:ascii="Arial" w:hAnsi="Arial" w:cs="Arial"/>
        </w:rPr>
        <w:t>use of cultural sensitivity training</w:t>
      </w:r>
      <w:r w:rsidR="00CC0B21">
        <w:rPr>
          <w:rFonts w:ascii="Arial" w:hAnsi="Arial" w:cs="Arial"/>
        </w:rPr>
        <w:t xml:space="preserve"> (Dwyer, L. L., et al. 2021)</w:t>
      </w:r>
      <w:r w:rsidRPr="00F24910">
        <w:rPr>
          <w:rFonts w:ascii="Arial" w:hAnsi="Arial" w:cs="Arial"/>
        </w:rPr>
        <w:t>. Occupational therapists can customise sessions with multidisciplinary teams, which means that everyone will feel included, and emotional distress will be identified in order to avoid it.</w:t>
      </w:r>
    </w:p>
    <w:p w14:paraId="697E85C8" w14:textId="77777777" w:rsidR="00B00318" w:rsidRPr="00F24910" w:rsidRDefault="00B00318" w:rsidP="00142DC1">
      <w:pPr>
        <w:spacing w:line="360" w:lineRule="auto"/>
        <w:jc w:val="both"/>
        <w:rPr>
          <w:rFonts w:ascii="Arial" w:hAnsi="Arial" w:cs="Arial"/>
          <w:b/>
          <w:bCs/>
        </w:rPr>
      </w:pPr>
      <w:r w:rsidRPr="00F24910">
        <w:rPr>
          <w:rFonts w:ascii="Arial" w:hAnsi="Arial" w:cs="Arial"/>
          <w:b/>
          <w:bCs/>
        </w:rPr>
        <w:t xml:space="preserve">Application of </w:t>
      </w:r>
      <w:r w:rsidR="00B23EAB">
        <w:rPr>
          <w:rFonts w:ascii="Arial" w:hAnsi="Arial" w:cs="Arial"/>
          <w:b/>
          <w:bCs/>
        </w:rPr>
        <w:t>Behavioural</w:t>
      </w:r>
      <w:r w:rsidRPr="00F24910">
        <w:rPr>
          <w:rFonts w:ascii="Arial" w:hAnsi="Arial" w:cs="Arial"/>
          <w:b/>
          <w:bCs/>
        </w:rPr>
        <w:t xml:space="preserve"> Theory</w:t>
      </w:r>
    </w:p>
    <w:p w14:paraId="35DF3435" w14:textId="77777777" w:rsidR="00F24910" w:rsidRPr="00F24910" w:rsidRDefault="00F24910" w:rsidP="00142DC1">
      <w:pPr>
        <w:spacing w:line="360" w:lineRule="auto"/>
        <w:jc w:val="both"/>
        <w:rPr>
          <w:rFonts w:ascii="Arial" w:hAnsi="Arial" w:cs="Arial"/>
        </w:rPr>
      </w:pPr>
      <w:r w:rsidRPr="00F24910">
        <w:rPr>
          <w:rFonts w:ascii="Arial" w:hAnsi="Arial" w:cs="Arial"/>
        </w:rPr>
        <w:t>Behavioural Theory provides a powerful framework of psychological and behavioural issues in dementia care homes that is managed by formulated interventions. With the help of the ABC model, practitioners define the antecedents of disruptive behaviours and make changes to the environment</w:t>
      </w:r>
      <w:r w:rsidR="00CC0B21">
        <w:rPr>
          <w:rFonts w:ascii="Arial" w:hAnsi="Arial" w:cs="Arial"/>
        </w:rPr>
        <w:t xml:space="preserve"> (Perry, A. G., et al. 2015)</w:t>
      </w:r>
      <w:r w:rsidRPr="00F24910">
        <w:rPr>
          <w:rFonts w:ascii="Arial" w:hAnsi="Arial" w:cs="Arial"/>
        </w:rPr>
        <w:t xml:space="preserve">. Examples are when boredom (antecedent) results in </w:t>
      </w:r>
      <w:r w:rsidRPr="00F24910">
        <w:rPr>
          <w:rFonts w:ascii="Arial" w:hAnsi="Arial" w:cs="Arial"/>
        </w:rPr>
        <w:lastRenderedPageBreak/>
        <w:t>wandering (behaviour), scheduled activities (altered consequence) should be introduced to reinforce engagement. This will specifically be effective in terms of health behaviour</w:t>
      </w:r>
      <w:r w:rsidR="00B23EAB">
        <w:rPr>
          <w:rFonts w:ascii="Arial" w:hAnsi="Arial" w:cs="Arial"/>
        </w:rPr>
        <w:t>,</w:t>
      </w:r>
      <w:r w:rsidRPr="00F24910">
        <w:rPr>
          <w:rFonts w:ascii="Arial" w:hAnsi="Arial" w:cs="Arial"/>
        </w:rPr>
        <w:t xml:space="preserve"> e.g. promoting the right hygiene </w:t>
      </w:r>
      <w:r w:rsidR="00B23EAB">
        <w:rPr>
          <w:rFonts w:ascii="Arial" w:hAnsi="Arial" w:cs="Arial"/>
        </w:rPr>
        <w:t>practices</w:t>
      </w:r>
      <w:r w:rsidRPr="00F24910">
        <w:rPr>
          <w:rFonts w:ascii="Arial" w:hAnsi="Arial" w:cs="Arial"/>
        </w:rPr>
        <w:t xml:space="preserve"> through positive reinforcement</w:t>
      </w:r>
      <w:r w:rsidR="00B23EAB">
        <w:rPr>
          <w:rFonts w:ascii="Arial" w:hAnsi="Arial" w:cs="Arial"/>
        </w:rPr>
        <w:t>,</w:t>
      </w:r>
      <w:r w:rsidRPr="00F24910">
        <w:rPr>
          <w:rFonts w:ascii="Arial" w:hAnsi="Arial" w:cs="Arial"/>
        </w:rPr>
        <w:t xml:space="preserve"> e.g. praise or favourite things</w:t>
      </w:r>
      <w:r w:rsidR="00B23EAB">
        <w:rPr>
          <w:rFonts w:ascii="Arial" w:hAnsi="Arial" w:cs="Arial"/>
        </w:rPr>
        <w:t>,</w:t>
      </w:r>
      <w:r w:rsidRPr="00F24910">
        <w:rPr>
          <w:rFonts w:ascii="Arial" w:hAnsi="Arial" w:cs="Arial"/>
        </w:rPr>
        <w:t xml:space="preserve"> to lower the risk of infection among older and susceptible persons. This method has been critically discussed as empowering care teams to develop personalised plans, which help reduce the use of pharmacological interventions and support the recommendations of the NICE regarding non-drug interventions in the first place</w:t>
      </w:r>
      <w:r w:rsidR="00CC0B21">
        <w:rPr>
          <w:rFonts w:ascii="Arial" w:hAnsi="Arial" w:cs="Arial"/>
        </w:rPr>
        <w:t xml:space="preserve"> (Moniz Cook, E. et al. </w:t>
      </w:r>
      <w:r w:rsidR="00CC0B21" w:rsidRPr="00CC0B21">
        <w:rPr>
          <w:rFonts w:ascii="Arial" w:hAnsi="Arial" w:cs="Arial"/>
        </w:rPr>
        <w:t>2022</w:t>
      </w:r>
      <w:r w:rsidR="00CC0B21">
        <w:rPr>
          <w:rFonts w:ascii="Arial" w:hAnsi="Arial" w:cs="Arial"/>
        </w:rPr>
        <w:t>)</w:t>
      </w:r>
      <w:r w:rsidRPr="00F24910">
        <w:rPr>
          <w:rFonts w:ascii="Arial" w:hAnsi="Arial" w:cs="Arial"/>
        </w:rPr>
        <w:t>. Such as applying music therapy to agitation</w:t>
      </w:r>
      <w:r w:rsidR="00B23EAB">
        <w:rPr>
          <w:rFonts w:ascii="Arial" w:hAnsi="Arial" w:cs="Arial"/>
        </w:rPr>
        <w:t>,</w:t>
      </w:r>
      <w:r w:rsidRPr="00F24910">
        <w:rPr>
          <w:rFonts w:ascii="Arial" w:hAnsi="Arial" w:cs="Arial"/>
        </w:rPr>
        <w:t xml:space="preserve"> where calm music is an antecedent leading to relaxation</w:t>
      </w:r>
      <w:r w:rsidR="00B23EAB">
        <w:rPr>
          <w:rFonts w:ascii="Arial" w:hAnsi="Arial" w:cs="Arial"/>
        </w:rPr>
        <w:t>,</w:t>
      </w:r>
      <w:r w:rsidRPr="00F24910">
        <w:rPr>
          <w:rFonts w:ascii="Arial" w:hAnsi="Arial" w:cs="Arial"/>
        </w:rPr>
        <w:t xml:space="preserve"> is an example of how theory can be applied in practical, observable ways of making residents live better lives.</w:t>
      </w:r>
    </w:p>
    <w:p w14:paraId="4EE293F8" w14:textId="77777777" w:rsidR="00F24910" w:rsidRPr="00F24910" w:rsidRDefault="00F24910" w:rsidP="00142DC1">
      <w:pPr>
        <w:spacing w:line="360" w:lineRule="auto"/>
        <w:jc w:val="both"/>
        <w:rPr>
          <w:rFonts w:ascii="Arial" w:hAnsi="Arial" w:cs="Arial"/>
        </w:rPr>
      </w:pPr>
      <w:r w:rsidRPr="00F24910">
        <w:rPr>
          <w:rFonts w:ascii="Arial" w:hAnsi="Arial" w:cs="Arial"/>
        </w:rPr>
        <w:t>Some of the difficulties faced by professionals are the time-consuming aspect of the ABC assessments</w:t>
      </w:r>
      <w:r w:rsidR="00B23EAB">
        <w:rPr>
          <w:rFonts w:ascii="Arial" w:hAnsi="Arial" w:cs="Arial"/>
        </w:rPr>
        <w:t>,</w:t>
      </w:r>
      <w:r w:rsidRPr="00F24910">
        <w:rPr>
          <w:rFonts w:ascii="Arial" w:hAnsi="Arial" w:cs="Arial"/>
        </w:rPr>
        <w:t xml:space="preserve"> particularly where there are not enough staff in the home, and ethical issues involving reinforcement that is similar to manipulation. The varying capacities of the residents can also make interventions inconsistent. To mitigate them, they have strategies of integrating behaviour training into staff development</w:t>
      </w:r>
      <w:r w:rsidR="00B23EAB">
        <w:rPr>
          <w:rFonts w:ascii="Arial" w:hAnsi="Arial" w:cs="Arial"/>
        </w:rPr>
        <w:t>,</w:t>
      </w:r>
      <w:r w:rsidRPr="00F24910">
        <w:rPr>
          <w:rFonts w:ascii="Arial" w:hAnsi="Arial" w:cs="Arial"/>
        </w:rPr>
        <w:t xml:space="preserve"> like that provided by Skills for Care in the UK</w:t>
      </w:r>
      <w:r w:rsidR="00B23EAB">
        <w:rPr>
          <w:rFonts w:ascii="Arial" w:hAnsi="Arial" w:cs="Arial"/>
        </w:rPr>
        <w:t>,</w:t>
      </w:r>
      <w:r w:rsidRPr="00F24910">
        <w:rPr>
          <w:rFonts w:ascii="Arial" w:hAnsi="Arial" w:cs="Arial"/>
        </w:rPr>
        <w:t xml:space="preserve"> to develop competency</w:t>
      </w:r>
      <w:r w:rsidR="00CC0B21">
        <w:rPr>
          <w:rFonts w:ascii="Arial" w:hAnsi="Arial" w:cs="Arial"/>
        </w:rPr>
        <w:t xml:space="preserve"> (Buchanan, J. A., et al. 2011)</w:t>
      </w:r>
      <w:r w:rsidRPr="00F24910">
        <w:rPr>
          <w:rFonts w:ascii="Arial" w:hAnsi="Arial" w:cs="Arial"/>
        </w:rPr>
        <w:t xml:space="preserve">. Collaboration through the use of </w:t>
      </w:r>
      <w:r w:rsidR="00B23EAB">
        <w:rPr>
          <w:rFonts w:ascii="Arial" w:hAnsi="Arial" w:cs="Arial"/>
        </w:rPr>
        <w:t>behaviour</w:t>
      </w:r>
      <w:r w:rsidRPr="00F24910">
        <w:rPr>
          <w:rFonts w:ascii="Arial" w:hAnsi="Arial" w:cs="Arial"/>
        </w:rPr>
        <w:t xml:space="preserve"> charts helps ease the process of monitoring and ethical guidelines supporting residents' autonomy. By involving families in identifying triggers, the accuracy of this information and their ownership of said information will increase and reduce barriers to implementation.</w:t>
      </w:r>
    </w:p>
    <w:p w14:paraId="65536C34" w14:textId="77777777" w:rsidR="00F24910" w:rsidRPr="00F24910" w:rsidRDefault="00F24910" w:rsidP="00142DC1">
      <w:pPr>
        <w:spacing w:line="360" w:lineRule="auto"/>
        <w:jc w:val="both"/>
        <w:rPr>
          <w:rFonts w:ascii="Arial" w:hAnsi="Arial" w:cs="Arial"/>
        </w:rPr>
      </w:pPr>
    </w:p>
    <w:p w14:paraId="4C6B024C" w14:textId="77777777" w:rsidR="00F24910" w:rsidRPr="002C3483" w:rsidRDefault="00F42806" w:rsidP="00142DC1">
      <w:pPr>
        <w:spacing w:line="360" w:lineRule="auto"/>
        <w:jc w:val="both"/>
        <w:rPr>
          <w:rFonts w:ascii="Arial" w:hAnsi="Arial" w:cs="Arial"/>
          <w:b/>
          <w:color w:val="0070C0"/>
          <w:sz w:val="24"/>
        </w:rPr>
      </w:pPr>
      <w:r w:rsidRPr="002C3483">
        <w:rPr>
          <w:rFonts w:ascii="Arial" w:hAnsi="Arial" w:cs="Arial"/>
          <w:b/>
          <w:color w:val="0070C0"/>
          <w:sz w:val="24"/>
        </w:rPr>
        <w:t>4.</w:t>
      </w:r>
      <w:r w:rsidR="00B23EAB">
        <w:rPr>
          <w:rFonts w:ascii="Arial" w:hAnsi="Arial" w:cs="Arial"/>
          <w:b/>
          <w:color w:val="0070C0"/>
          <w:sz w:val="24"/>
        </w:rPr>
        <w:t xml:space="preserve"> </w:t>
      </w:r>
      <w:r w:rsidR="00F24910" w:rsidRPr="002C3483">
        <w:rPr>
          <w:rFonts w:ascii="Arial" w:hAnsi="Arial" w:cs="Arial"/>
          <w:b/>
          <w:color w:val="0070C0"/>
          <w:sz w:val="24"/>
        </w:rPr>
        <w:t>Conclusion</w:t>
      </w:r>
    </w:p>
    <w:p w14:paraId="4043FDAB" w14:textId="77777777" w:rsidR="00B00318" w:rsidRPr="00F24910" w:rsidRDefault="00F24910" w:rsidP="00142DC1">
      <w:pPr>
        <w:spacing w:line="360" w:lineRule="auto"/>
        <w:jc w:val="both"/>
        <w:rPr>
          <w:rFonts w:ascii="Arial" w:hAnsi="Arial" w:cs="Arial"/>
        </w:rPr>
      </w:pPr>
      <w:r w:rsidRPr="00F24910">
        <w:rPr>
          <w:rFonts w:ascii="Arial" w:hAnsi="Arial" w:cs="Arial"/>
        </w:rPr>
        <w:t xml:space="preserve">To </w:t>
      </w:r>
      <w:r w:rsidR="00B23EAB">
        <w:rPr>
          <w:rFonts w:ascii="Arial" w:hAnsi="Arial" w:cs="Arial"/>
        </w:rPr>
        <w:t>summarise</w:t>
      </w:r>
      <w:r w:rsidRPr="00F24910">
        <w:rPr>
          <w:rFonts w:ascii="Arial" w:hAnsi="Arial" w:cs="Arial"/>
        </w:rPr>
        <w:t>, using both theories together offers a set of complementary tools to UK healthcare and social care professionals - Erikson's Theory of Emotional Fulfilment and Behavioural Theory of Practical Management. Through the integrated application of both of these theories to UK healthcare and social care, we can support older adults with Dementia in a holistic way and produce better results in the Care Home Environment.</w:t>
      </w:r>
    </w:p>
    <w:p w14:paraId="0B675DB8" w14:textId="77777777" w:rsidR="00F24910" w:rsidRDefault="00F24910" w:rsidP="00F24910">
      <w:pPr>
        <w:spacing w:line="360" w:lineRule="auto"/>
        <w:jc w:val="both"/>
        <w:rPr>
          <w:rFonts w:ascii="Arial" w:hAnsi="Arial" w:cs="Arial"/>
          <w:b/>
        </w:rPr>
      </w:pPr>
    </w:p>
    <w:p w14:paraId="17831218" w14:textId="77777777" w:rsidR="007F5DD8" w:rsidRDefault="007F5DD8" w:rsidP="00F24910">
      <w:pPr>
        <w:spacing w:line="360" w:lineRule="auto"/>
        <w:jc w:val="both"/>
        <w:rPr>
          <w:rFonts w:ascii="Arial" w:hAnsi="Arial" w:cs="Arial"/>
          <w:b/>
        </w:rPr>
      </w:pPr>
    </w:p>
    <w:p w14:paraId="1A59E9AE" w14:textId="77777777" w:rsidR="007F5DD8" w:rsidRDefault="007F5DD8" w:rsidP="00F24910">
      <w:pPr>
        <w:spacing w:line="360" w:lineRule="auto"/>
        <w:jc w:val="both"/>
        <w:rPr>
          <w:rFonts w:ascii="Arial" w:hAnsi="Arial" w:cs="Arial"/>
          <w:b/>
        </w:rPr>
      </w:pPr>
    </w:p>
    <w:p w14:paraId="06666C37" w14:textId="77777777" w:rsidR="007F5DD8" w:rsidRDefault="007F5DD8" w:rsidP="00F24910">
      <w:pPr>
        <w:spacing w:line="360" w:lineRule="auto"/>
        <w:jc w:val="both"/>
        <w:rPr>
          <w:rFonts w:ascii="Arial" w:hAnsi="Arial" w:cs="Arial"/>
          <w:b/>
        </w:rPr>
      </w:pPr>
    </w:p>
    <w:p w14:paraId="22522FB5" w14:textId="77777777" w:rsidR="007F5DD8" w:rsidRDefault="007F5DD8" w:rsidP="00F24910">
      <w:pPr>
        <w:spacing w:line="360" w:lineRule="auto"/>
        <w:jc w:val="both"/>
        <w:rPr>
          <w:rFonts w:ascii="Arial" w:hAnsi="Arial" w:cs="Arial"/>
          <w:b/>
        </w:rPr>
      </w:pPr>
    </w:p>
    <w:p w14:paraId="45FCEF4C" w14:textId="77777777" w:rsidR="007F5DD8" w:rsidRPr="00F24910" w:rsidRDefault="007F5DD8" w:rsidP="00F24910">
      <w:pPr>
        <w:spacing w:line="360" w:lineRule="auto"/>
        <w:jc w:val="both"/>
        <w:rPr>
          <w:rFonts w:ascii="Arial" w:hAnsi="Arial" w:cs="Arial"/>
          <w:b/>
        </w:rPr>
      </w:pPr>
    </w:p>
    <w:p w14:paraId="13750776" w14:textId="77777777" w:rsidR="00F24910" w:rsidRPr="007F5DD8" w:rsidRDefault="00CC0B21" w:rsidP="00F24910">
      <w:pPr>
        <w:spacing w:line="360" w:lineRule="auto"/>
        <w:jc w:val="both"/>
        <w:rPr>
          <w:rFonts w:ascii="Arial" w:hAnsi="Arial" w:cs="Arial"/>
          <w:b/>
          <w:color w:val="0070C0"/>
          <w:sz w:val="24"/>
        </w:rPr>
      </w:pPr>
      <w:r w:rsidRPr="007F5DD8">
        <w:rPr>
          <w:rFonts w:ascii="Arial" w:hAnsi="Arial" w:cs="Arial"/>
          <w:b/>
          <w:color w:val="0070C0"/>
          <w:sz w:val="24"/>
        </w:rPr>
        <w:t>References</w:t>
      </w:r>
    </w:p>
    <w:p w14:paraId="0BABECF9" w14:textId="77777777" w:rsidR="0043471C" w:rsidRPr="00870CE9" w:rsidRDefault="0043471C" w:rsidP="0043471C">
      <w:pPr>
        <w:spacing w:line="360" w:lineRule="auto"/>
        <w:jc w:val="both"/>
        <w:rPr>
          <w:rFonts w:ascii="Arial" w:hAnsi="Arial" w:cs="Arial"/>
        </w:rPr>
      </w:pPr>
      <w:r w:rsidRPr="00870CE9">
        <w:rPr>
          <w:rFonts w:ascii="Arial" w:hAnsi="Arial" w:cs="Arial"/>
        </w:rPr>
        <w:t>Ayalon, L. (2023). Psychological theories of dementia. Journal of Gerontology &amp; Geriatric Research, 12(2), 610. https://www.jgerontology-geriatrics.com/article/view/610</w:t>
      </w:r>
    </w:p>
    <w:p w14:paraId="5DAEBB49" w14:textId="77777777" w:rsidR="0043471C" w:rsidRPr="00870CE9" w:rsidRDefault="0043471C" w:rsidP="0043471C">
      <w:pPr>
        <w:spacing w:line="360" w:lineRule="auto"/>
        <w:jc w:val="both"/>
        <w:rPr>
          <w:rFonts w:ascii="Arial" w:hAnsi="Arial" w:cs="Arial"/>
        </w:rPr>
      </w:pPr>
      <w:r w:rsidRPr="00870CE9">
        <w:rPr>
          <w:rFonts w:ascii="Arial" w:hAnsi="Arial" w:cs="Arial"/>
        </w:rPr>
        <w:t xml:space="preserve">Buchanan, J. A., et al. (2011). </w:t>
      </w:r>
      <w:r w:rsidR="00B23EAB">
        <w:rPr>
          <w:rFonts w:ascii="Arial" w:hAnsi="Arial" w:cs="Arial"/>
        </w:rPr>
        <w:t>Behaviour-analytic</w:t>
      </w:r>
      <w:r w:rsidRPr="00870CE9">
        <w:rPr>
          <w:rFonts w:ascii="Arial" w:hAnsi="Arial" w:cs="Arial"/>
        </w:rPr>
        <w:t xml:space="preserve"> research on dementia in older adults. Journal of Applied </w:t>
      </w:r>
      <w:r w:rsidR="00B23EAB">
        <w:rPr>
          <w:rFonts w:ascii="Arial" w:hAnsi="Arial" w:cs="Arial"/>
        </w:rPr>
        <w:t>Behaviour</w:t>
      </w:r>
      <w:r w:rsidRPr="00870CE9">
        <w:rPr>
          <w:rFonts w:ascii="Arial" w:hAnsi="Arial" w:cs="Arial"/>
        </w:rPr>
        <w:t xml:space="preserve"> Analysis, 44(3), 687-691. https://pmc.ncbi.nlm.nih.gov/articles/PMC3177357/</w:t>
      </w:r>
    </w:p>
    <w:p w14:paraId="1353CD84" w14:textId="77777777" w:rsidR="0043471C" w:rsidRPr="00870CE9" w:rsidRDefault="0043471C" w:rsidP="0043471C">
      <w:pPr>
        <w:spacing w:line="360" w:lineRule="auto"/>
        <w:jc w:val="both"/>
        <w:rPr>
          <w:rFonts w:ascii="Arial" w:hAnsi="Arial" w:cs="Arial"/>
        </w:rPr>
      </w:pPr>
      <w:r w:rsidRPr="00870CE9">
        <w:rPr>
          <w:rFonts w:ascii="Arial" w:hAnsi="Arial" w:cs="Arial"/>
        </w:rPr>
        <w:t xml:space="preserve">Burgio, L. D., et al. (2005). Pilot Study of </w:t>
      </w:r>
      <w:r w:rsidR="00B23EAB">
        <w:rPr>
          <w:rFonts w:ascii="Arial" w:hAnsi="Arial" w:cs="Arial"/>
        </w:rPr>
        <w:t>Behavioural</w:t>
      </w:r>
      <w:r w:rsidRPr="00870CE9">
        <w:rPr>
          <w:rFonts w:ascii="Arial" w:hAnsi="Arial" w:cs="Arial"/>
        </w:rPr>
        <w:t xml:space="preserve"> Treatment in Dementia Care Units. The Gerontologist, 45(3), 406-410. https://academic.oup.com/gerontologist/article/45/3/406/553189</w:t>
      </w:r>
    </w:p>
    <w:p w14:paraId="11000D4F" w14:textId="77777777" w:rsidR="0043471C" w:rsidRPr="00870CE9" w:rsidRDefault="0043471C" w:rsidP="0043471C">
      <w:pPr>
        <w:spacing w:line="360" w:lineRule="auto"/>
        <w:jc w:val="both"/>
        <w:rPr>
          <w:rFonts w:ascii="Arial" w:hAnsi="Arial" w:cs="Arial"/>
        </w:rPr>
      </w:pPr>
      <w:r w:rsidRPr="00870CE9">
        <w:rPr>
          <w:rFonts w:ascii="Arial" w:hAnsi="Arial" w:cs="Arial"/>
        </w:rPr>
        <w:t>Dwyer, L. L., et al. (2021). Does life story work based on Erikson's theory enhance psychological well-being in people with dementia? A systematic review. Archives of Gerontology and Geriatrics, 95, 104399.</w:t>
      </w:r>
    </w:p>
    <w:p w14:paraId="4A0B46B2" w14:textId="77777777" w:rsidR="0043471C" w:rsidRPr="00870CE9" w:rsidRDefault="0043471C" w:rsidP="0043471C">
      <w:pPr>
        <w:spacing w:line="360" w:lineRule="auto"/>
        <w:jc w:val="both"/>
        <w:rPr>
          <w:rFonts w:ascii="Arial" w:hAnsi="Arial" w:cs="Arial"/>
        </w:rPr>
      </w:pPr>
      <w:r w:rsidRPr="00870CE9">
        <w:rPr>
          <w:rFonts w:ascii="Arial" w:hAnsi="Arial" w:cs="Arial"/>
        </w:rPr>
        <w:t xml:space="preserve">Hafford-Letchfield, T., et al. (2015). Meaningful activities for improving the </w:t>
      </w:r>
      <w:r w:rsidR="00B23EAB">
        <w:rPr>
          <w:rFonts w:ascii="Arial" w:hAnsi="Arial" w:cs="Arial"/>
        </w:rPr>
        <w:t>well-being</w:t>
      </w:r>
      <w:r w:rsidRPr="00870CE9">
        <w:rPr>
          <w:rFonts w:ascii="Arial" w:hAnsi="Arial" w:cs="Arial"/>
        </w:rPr>
        <w:t xml:space="preserve"> of people with dementia: Beyond mere pleasure to meeting fundamental psychological needs. Perspectives in Public Health, 136(2), 99-107. </w:t>
      </w:r>
    </w:p>
    <w:p w14:paraId="2DA400F1" w14:textId="77777777" w:rsidR="0043471C" w:rsidRPr="00870CE9" w:rsidRDefault="0043471C" w:rsidP="0043471C">
      <w:pPr>
        <w:spacing w:line="360" w:lineRule="auto"/>
        <w:jc w:val="both"/>
        <w:rPr>
          <w:rFonts w:ascii="Arial" w:hAnsi="Arial" w:cs="Arial"/>
        </w:rPr>
      </w:pPr>
      <w:r w:rsidRPr="00870CE9">
        <w:rPr>
          <w:rFonts w:ascii="Arial" w:hAnsi="Arial" w:cs="Arial"/>
        </w:rPr>
        <w:t>https://eprints.bournemouth.ac.uk/23019/1/Version%2520of%2520paper%2520to%2520share.pdf</w:t>
      </w:r>
    </w:p>
    <w:p w14:paraId="07C4F512" w14:textId="77777777" w:rsidR="0043471C" w:rsidRPr="00870CE9" w:rsidRDefault="0043471C" w:rsidP="0043471C">
      <w:pPr>
        <w:spacing w:line="360" w:lineRule="auto"/>
        <w:jc w:val="both"/>
        <w:rPr>
          <w:rFonts w:ascii="Arial" w:hAnsi="Arial" w:cs="Arial"/>
        </w:rPr>
      </w:pPr>
      <w:r w:rsidRPr="00870CE9">
        <w:rPr>
          <w:rFonts w:ascii="Arial" w:hAnsi="Arial" w:cs="Arial"/>
        </w:rPr>
        <w:t>Moniz Cook, E., et al. (2022). Strategies used by care home staff to manage behaviour that challenges in dementia: A systematic review. International Journal of Nursing Studies, 130, 104227. https://www.sciencedirect.com/science/article/pii/S002074892200089X</w:t>
      </w:r>
    </w:p>
    <w:p w14:paraId="29FA6D03" w14:textId="77777777" w:rsidR="0043471C" w:rsidRPr="00870CE9" w:rsidRDefault="0043471C" w:rsidP="0043471C">
      <w:pPr>
        <w:spacing w:line="360" w:lineRule="auto"/>
        <w:jc w:val="both"/>
        <w:rPr>
          <w:rFonts w:ascii="Arial" w:hAnsi="Arial" w:cs="Arial"/>
        </w:rPr>
      </w:pPr>
      <w:r w:rsidRPr="00870CE9">
        <w:rPr>
          <w:rFonts w:ascii="Arial" w:hAnsi="Arial" w:cs="Arial"/>
        </w:rPr>
        <w:t>Perry-Young, L., et al. (2021). Applying the theory of human development by Erik and Joan Erikson when communicating with persons with advanced dementia diseases. Nordic Journal of Nursing Research, 41(4), 176-182. https://journals.sagepub.com/doi/10.1177/20571585211048280</w:t>
      </w:r>
    </w:p>
    <w:p w14:paraId="0734CBC8" w14:textId="77777777" w:rsidR="0043471C" w:rsidRPr="00870CE9" w:rsidRDefault="0043471C" w:rsidP="0043471C">
      <w:pPr>
        <w:spacing w:line="360" w:lineRule="auto"/>
        <w:jc w:val="both"/>
        <w:rPr>
          <w:rFonts w:ascii="Arial" w:hAnsi="Arial" w:cs="Arial"/>
        </w:rPr>
      </w:pPr>
      <w:r w:rsidRPr="00870CE9">
        <w:rPr>
          <w:rFonts w:ascii="Arial" w:hAnsi="Arial" w:cs="Arial"/>
        </w:rPr>
        <w:t>Perry, A. G., et al. (2015). Applying Erikson's Wisdom to Self-Management Practices of Older Adults: Findings From Two Field Studies. Research in Gerontological Nursing, 8(2), 61-72. https://pmc.ncbi.nlm.nih.gov/articles/PMC4318792/</w:t>
      </w:r>
    </w:p>
    <w:p w14:paraId="0F7A7A45" w14:textId="77777777" w:rsidR="00CC0B21" w:rsidRDefault="00CC0B21" w:rsidP="00CC0B21">
      <w:pPr>
        <w:spacing w:line="360" w:lineRule="auto"/>
        <w:jc w:val="both"/>
        <w:rPr>
          <w:rFonts w:ascii="Arial" w:hAnsi="Arial" w:cs="Arial"/>
        </w:rPr>
      </w:pPr>
    </w:p>
    <w:sectPr w:rsidR="00CC0B2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018812" w14:textId="77777777" w:rsidR="005703E5" w:rsidRDefault="005703E5" w:rsidP="00CC0B21">
      <w:pPr>
        <w:spacing w:after="0" w:line="240" w:lineRule="auto"/>
      </w:pPr>
      <w:r>
        <w:separator/>
      </w:r>
    </w:p>
  </w:endnote>
  <w:endnote w:type="continuationSeparator" w:id="0">
    <w:p w14:paraId="4EB2B21F" w14:textId="77777777" w:rsidR="005703E5" w:rsidRDefault="005703E5" w:rsidP="00CC0B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1634339"/>
      <w:docPartObj>
        <w:docPartGallery w:val="Page Numbers (Bottom of Page)"/>
        <w:docPartUnique/>
      </w:docPartObj>
    </w:sdtPr>
    <w:sdtEndPr>
      <w:rPr>
        <w:noProof/>
      </w:rPr>
    </w:sdtEndPr>
    <w:sdtContent>
      <w:p w14:paraId="1205B934" w14:textId="77777777" w:rsidR="00CC0B21" w:rsidRDefault="00CC0B21">
        <w:pPr>
          <w:pStyle w:val="Footer"/>
          <w:jc w:val="center"/>
        </w:pPr>
        <w:r>
          <w:fldChar w:fldCharType="begin"/>
        </w:r>
        <w:r>
          <w:instrText xml:space="preserve"> PAGE   \* MERGEFORMAT </w:instrText>
        </w:r>
        <w:r>
          <w:fldChar w:fldCharType="separate"/>
        </w:r>
        <w:r w:rsidR="00022959">
          <w:rPr>
            <w:noProof/>
          </w:rPr>
          <w:t>7</w:t>
        </w:r>
        <w:r>
          <w:rPr>
            <w:noProof/>
          </w:rPr>
          <w:fldChar w:fldCharType="end"/>
        </w:r>
      </w:p>
    </w:sdtContent>
  </w:sdt>
  <w:p w14:paraId="009EB2C5" w14:textId="77777777" w:rsidR="00CC0B21" w:rsidRDefault="00CC0B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812C39" w14:textId="77777777" w:rsidR="005703E5" w:rsidRDefault="005703E5" w:rsidP="00CC0B21">
      <w:pPr>
        <w:spacing w:after="0" w:line="240" w:lineRule="auto"/>
      </w:pPr>
      <w:r>
        <w:separator/>
      </w:r>
    </w:p>
  </w:footnote>
  <w:footnote w:type="continuationSeparator" w:id="0">
    <w:p w14:paraId="2C30A653" w14:textId="77777777" w:rsidR="005703E5" w:rsidRDefault="005703E5" w:rsidP="00CC0B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5E7D"/>
    <w:rsid w:val="00022959"/>
    <w:rsid w:val="00142DC1"/>
    <w:rsid w:val="002C3483"/>
    <w:rsid w:val="0043471C"/>
    <w:rsid w:val="00435E7D"/>
    <w:rsid w:val="004B5DF6"/>
    <w:rsid w:val="005703E5"/>
    <w:rsid w:val="005F4763"/>
    <w:rsid w:val="00641026"/>
    <w:rsid w:val="007C2F38"/>
    <w:rsid w:val="007F5DD8"/>
    <w:rsid w:val="00880382"/>
    <w:rsid w:val="00AB1F69"/>
    <w:rsid w:val="00B00318"/>
    <w:rsid w:val="00B23EAB"/>
    <w:rsid w:val="00BE2F7E"/>
    <w:rsid w:val="00CC0B21"/>
    <w:rsid w:val="00E95ECE"/>
    <w:rsid w:val="00EA1BED"/>
    <w:rsid w:val="00F24910"/>
    <w:rsid w:val="00F42806"/>
    <w:rsid w:val="00FE0E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0A1B4"/>
  <w15:chartTrackingRefBased/>
  <w15:docId w15:val="{1758B353-9529-4B63-B08F-B2476D88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2F7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435E7D"/>
    <w:pPr>
      <w:widowControl w:val="0"/>
      <w:autoSpaceDE w:val="0"/>
      <w:autoSpaceDN w:val="0"/>
      <w:spacing w:after="0" w:line="240" w:lineRule="auto"/>
    </w:pPr>
    <w:rPr>
      <w:rFonts w:ascii="Arial MT" w:eastAsia="Arial MT" w:hAnsi="Arial MT" w:cs="Arial MT"/>
    </w:rPr>
  </w:style>
  <w:style w:type="character" w:styleId="Hyperlink">
    <w:name w:val="Hyperlink"/>
    <w:basedOn w:val="DefaultParagraphFont"/>
    <w:uiPriority w:val="99"/>
    <w:unhideWhenUsed/>
    <w:rsid w:val="00B00318"/>
    <w:rPr>
      <w:color w:val="0563C1" w:themeColor="hyperlink"/>
      <w:u w:val="single"/>
    </w:rPr>
  </w:style>
  <w:style w:type="paragraph" w:styleId="Header">
    <w:name w:val="header"/>
    <w:basedOn w:val="Normal"/>
    <w:link w:val="HeaderChar"/>
    <w:uiPriority w:val="99"/>
    <w:unhideWhenUsed/>
    <w:rsid w:val="00CC0B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0B21"/>
  </w:style>
  <w:style w:type="paragraph" w:styleId="Footer">
    <w:name w:val="footer"/>
    <w:basedOn w:val="Normal"/>
    <w:link w:val="FooterChar"/>
    <w:uiPriority w:val="99"/>
    <w:unhideWhenUsed/>
    <w:rsid w:val="00CC0B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0B21"/>
  </w:style>
  <w:style w:type="character" w:customStyle="1" w:styleId="Heading1Char">
    <w:name w:val="Heading 1 Char"/>
    <w:basedOn w:val="DefaultParagraphFont"/>
    <w:link w:val="Heading1"/>
    <w:uiPriority w:val="9"/>
    <w:rsid w:val="00BE2F7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E2F7E"/>
    <w:pPr>
      <w:outlineLvl w:val="9"/>
    </w:pPr>
  </w:style>
  <w:style w:type="paragraph" w:styleId="TOC2">
    <w:name w:val="toc 2"/>
    <w:basedOn w:val="Normal"/>
    <w:next w:val="Normal"/>
    <w:autoRedefine/>
    <w:uiPriority w:val="39"/>
    <w:unhideWhenUsed/>
    <w:rsid w:val="00BE2F7E"/>
    <w:pPr>
      <w:spacing w:after="100"/>
      <w:ind w:left="220"/>
    </w:pPr>
    <w:rPr>
      <w:rFonts w:eastAsiaTheme="minorEastAsia" w:cs="Times New Roman"/>
    </w:rPr>
  </w:style>
  <w:style w:type="paragraph" w:styleId="TOC1">
    <w:name w:val="toc 1"/>
    <w:basedOn w:val="Normal"/>
    <w:next w:val="Normal"/>
    <w:autoRedefine/>
    <w:uiPriority w:val="39"/>
    <w:unhideWhenUsed/>
    <w:rsid w:val="00BE2F7E"/>
    <w:pPr>
      <w:spacing w:after="100"/>
    </w:pPr>
    <w:rPr>
      <w:rFonts w:eastAsiaTheme="minorEastAsia" w:cs="Times New Roman"/>
    </w:rPr>
  </w:style>
  <w:style w:type="paragraph" w:styleId="TOC3">
    <w:name w:val="toc 3"/>
    <w:basedOn w:val="Normal"/>
    <w:next w:val="Normal"/>
    <w:autoRedefine/>
    <w:uiPriority w:val="39"/>
    <w:unhideWhenUsed/>
    <w:rsid w:val="00BE2F7E"/>
    <w:pPr>
      <w:spacing w:after="100"/>
      <w:ind w:left="440"/>
    </w:pPr>
    <w:rPr>
      <w:rFonts w:eastAsiaTheme="minorEastAsia" w:cs="Times New Roman"/>
    </w:rPr>
  </w:style>
  <w:style w:type="paragraph" w:styleId="ListParagraph">
    <w:name w:val="List Paragraph"/>
    <w:basedOn w:val="Normal"/>
    <w:uiPriority w:val="34"/>
    <w:qFormat/>
    <w:rsid w:val="00F428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361964">
      <w:bodyDiv w:val="1"/>
      <w:marLeft w:val="0"/>
      <w:marRight w:val="0"/>
      <w:marTop w:val="0"/>
      <w:marBottom w:val="0"/>
      <w:divBdr>
        <w:top w:val="none" w:sz="0" w:space="0" w:color="auto"/>
        <w:left w:val="none" w:sz="0" w:space="0" w:color="auto"/>
        <w:bottom w:val="none" w:sz="0" w:space="0" w:color="auto"/>
        <w:right w:val="none" w:sz="0" w:space="0" w:color="auto"/>
      </w:divBdr>
      <w:divsChild>
        <w:div w:id="1438258244">
          <w:marLeft w:val="0"/>
          <w:marRight w:val="0"/>
          <w:marTop w:val="0"/>
          <w:marBottom w:val="0"/>
          <w:divBdr>
            <w:top w:val="none" w:sz="0" w:space="0" w:color="auto"/>
            <w:left w:val="none" w:sz="0" w:space="0" w:color="auto"/>
            <w:bottom w:val="none" w:sz="0" w:space="0" w:color="auto"/>
            <w:right w:val="none" w:sz="0" w:space="0" w:color="auto"/>
          </w:divBdr>
          <w:divsChild>
            <w:div w:id="1248151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873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B2071A-14C0-46D7-ADEE-8F68F544E8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7</Pages>
  <Words>1831</Words>
  <Characters>10443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mohammed chowdhury</cp:lastModifiedBy>
  <cp:revision>15</cp:revision>
  <dcterms:created xsi:type="dcterms:W3CDTF">2025-12-19T09:17:00Z</dcterms:created>
  <dcterms:modified xsi:type="dcterms:W3CDTF">2025-12-19T11:00:00Z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479ecadf-4801-457b-957d-20fbc8117afc</vt:lpwstr>
  </property>
</Properties>
</file>