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04F7" w:rsidRDefault="009504F7" w:rsidP="009504F7">
      <w:pPr>
        <w:pStyle w:val="NormalWeb"/>
        <w:spacing w:before="0" w:beforeAutospacing="0" w:after="0" w:afterAutospacing="0"/>
        <w:ind w:left="-180" w:right="-334"/>
      </w:pPr>
      <w:r>
        <w:rPr>
          <w:noProof/>
          <w:lang w:eastAsia="en-GB"/>
        </w:rPr>
        <w:drawing>
          <wp:inline distT="0" distB="0" distL="0" distR="0">
            <wp:extent cx="1910715" cy="634365"/>
            <wp:effectExtent l="19050" t="19050" r="13335" b="1333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0715" cy="634365"/>
                    </a:xfrm>
                    <a:prstGeom prst="rect">
                      <a:avLst/>
                    </a:prstGeom>
                    <a:noFill/>
                    <a:ln w="19050" cmpd="sng">
                      <a:solidFill>
                        <a:srgbClr val="000000"/>
                      </a:solidFill>
                      <a:miter lim="800000"/>
                      <a:headEnd/>
                      <a:tailEnd/>
                    </a:ln>
                    <a:effectLst/>
                  </pic:spPr>
                </pic:pic>
              </a:graphicData>
            </a:graphic>
          </wp:inline>
        </w:drawing>
      </w:r>
    </w:p>
    <w:p w:rsidR="009504F7" w:rsidRDefault="009504F7" w:rsidP="009504F7">
      <w:pPr>
        <w:pStyle w:val="NormalWeb"/>
        <w:spacing w:before="0" w:beforeAutospacing="0" w:after="0" w:afterAutospacing="0"/>
        <w:ind w:left="-180" w:right="-334"/>
      </w:pPr>
    </w:p>
    <w:p w:rsidR="009504F7" w:rsidRDefault="009504F7" w:rsidP="009504F7">
      <w:pPr>
        <w:pStyle w:val="NormalWeb"/>
        <w:spacing w:before="0" w:beforeAutospacing="0" w:after="0" w:afterAutospacing="0"/>
        <w:ind w:left="-180" w:right="-334"/>
      </w:pPr>
    </w:p>
    <w:p w:rsidR="009504F7" w:rsidRDefault="009504F7" w:rsidP="009504F7">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9504F7" w:rsidRPr="00230F35" w:rsidRDefault="009504F7" w:rsidP="009504F7">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9504F7" w:rsidRPr="00230F35" w:rsidRDefault="009504F7" w:rsidP="009504F7">
      <w:pPr>
        <w:rPr>
          <w:rFonts w:ascii="Arial" w:hAnsi="Arial" w:cs="Arial"/>
          <w:sz w:val="28"/>
          <w:szCs w:val="28"/>
          <w:lang w:val="cy-GB"/>
        </w:rPr>
      </w:pPr>
    </w:p>
    <w:p w:rsidR="009504F7" w:rsidRDefault="009504F7" w:rsidP="009504F7">
      <w:pPr>
        <w:pStyle w:val="Heading3"/>
        <w:jc w:val="center"/>
        <w:rPr>
          <w:lang w:val="cy-GB"/>
        </w:rPr>
      </w:pPr>
      <w:r>
        <w:rPr>
          <w:lang w:val="cy-GB"/>
        </w:rPr>
        <w:t>THIS SHEET MUST BE THE FIRST PAGE OF THE ASSIGNMENT YOU ARE SUBMITTING  (DO NOT SEND AS A SEPARATE FILE)</w:t>
      </w:r>
    </w:p>
    <w:p w:rsidR="009504F7" w:rsidRDefault="009504F7" w:rsidP="009504F7">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9504F7" w:rsidRPr="00230F35" w:rsidTr="0077115A">
        <w:trPr>
          <w:trHeight w:val="614"/>
        </w:trPr>
        <w:tc>
          <w:tcPr>
            <w:tcW w:w="8856" w:type="dxa"/>
            <w:gridSpan w:val="5"/>
          </w:tcPr>
          <w:p w:rsidR="009504F7" w:rsidRPr="00230F35" w:rsidRDefault="009504F7" w:rsidP="0077115A">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9504F7" w:rsidRPr="00230F35" w:rsidTr="0077115A">
        <w:trPr>
          <w:trHeight w:val="718"/>
        </w:trPr>
        <w:tc>
          <w:tcPr>
            <w:tcW w:w="8856" w:type="dxa"/>
            <w:gridSpan w:val="5"/>
          </w:tcPr>
          <w:p w:rsidR="009504F7" w:rsidRDefault="009504F7" w:rsidP="007711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t>
            </w:r>
            <w:r w:rsidRPr="000A13BB">
              <w:rPr>
                <w:rFonts w:ascii="Arial" w:hAnsi="Arial" w:cs="Arial"/>
                <w:b/>
                <w:sz w:val="22"/>
                <w:szCs w:val="22"/>
              </w:rPr>
              <w:t xml:space="preserve">Diane </w:t>
            </w:r>
            <w:proofErr w:type="spellStart"/>
            <w:r w:rsidRPr="000A13BB">
              <w:rPr>
                <w:rFonts w:ascii="Arial" w:hAnsi="Arial" w:cs="Arial"/>
                <w:b/>
                <w:sz w:val="22"/>
                <w:szCs w:val="22"/>
              </w:rPr>
              <w:t>Stankaitis</w:t>
            </w:r>
            <w:proofErr w:type="spellEnd"/>
          </w:p>
          <w:p w:rsidR="009504F7" w:rsidRPr="00230F35" w:rsidRDefault="009504F7" w:rsidP="0077115A">
            <w:pPr>
              <w:pStyle w:val="NormalWeb"/>
              <w:spacing w:before="0" w:beforeAutospacing="0" w:after="0" w:afterAutospacing="0"/>
              <w:ind w:right="34"/>
              <w:rPr>
                <w:rFonts w:ascii="Arial" w:hAnsi="Arial" w:cs="Arial"/>
                <w:sz w:val="22"/>
                <w:szCs w:val="22"/>
              </w:rPr>
            </w:pPr>
          </w:p>
          <w:p w:rsidR="009504F7" w:rsidRPr="00230F35" w:rsidRDefault="009504F7" w:rsidP="007711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0A13BB">
              <w:rPr>
                <w:rFonts w:ascii="Arial" w:hAnsi="Arial" w:cs="Arial"/>
                <w:b/>
                <w:sz w:val="22"/>
                <w:szCs w:val="22"/>
              </w:rPr>
              <w:t>1402208@student.uwtsd.ac.uk</w:t>
            </w:r>
          </w:p>
        </w:tc>
      </w:tr>
      <w:tr w:rsidR="009504F7" w:rsidRPr="00230F35" w:rsidTr="0077115A">
        <w:trPr>
          <w:trHeight w:val="849"/>
        </w:trPr>
        <w:tc>
          <w:tcPr>
            <w:tcW w:w="4788" w:type="dxa"/>
          </w:tcPr>
          <w:p w:rsidR="009504F7" w:rsidRDefault="009504F7" w:rsidP="007711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p>
          <w:p w:rsidR="009504F7" w:rsidRPr="00230F35" w:rsidRDefault="009504F7" w:rsidP="0077115A">
            <w:pPr>
              <w:pStyle w:val="NormalWeb"/>
              <w:spacing w:before="0" w:beforeAutospacing="0" w:after="0" w:afterAutospacing="0"/>
              <w:ind w:right="34"/>
              <w:rPr>
                <w:rFonts w:ascii="Arial" w:hAnsi="Arial" w:cs="Arial"/>
                <w:sz w:val="22"/>
                <w:szCs w:val="22"/>
              </w:rPr>
            </w:pPr>
            <w:r>
              <w:rPr>
                <w:rFonts w:ascii="Arial" w:hAnsi="Arial" w:cs="Arial"/>
                <w:b/>
                <w:sz w:val="22"/>
                <w:szCs w:val="22"/>
              </w:rPr>
              <w:t>HPRS7015</w:t>
            </w:r>
            <w:r>
              <w:rPr>
                <w:rFonts w:ascii="Arial" w:hAnsi="Arial" w:cs="Arial"/>
                <w:sz w:val="22"/>
                <w:szCs w:val="22"/>
              </w:rPr>
              <w:t xml:space="preserve"> </w:t>
            </w:r>
          </w:p>
          <w:p w:rsidR="009504F7" w:rsidRDefault="009504F7" w:rsidP="007711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p>
          <w:p w:rsidR="009504F7" w:rsidRPr="000A13BB" w:rsidRDefault="009504F7" w:rsidP="0077115A">
            <w:pPr>
              <w:pStyle w:val="NormalWeb"/>
              <w:spacing w:before="0" w:beforeAutospacing="0" w:after="0" w:afterAutospacing="0"/>
              <w:ind w:right="34"/>
              <w:rPr>
                <w:rFonts w:ascii="Arial" w:hAnsi="Arial" w:cs="Arial"/>
                <w:b/>
                <w:sz w:val="22"/>
                <w:szCs w:val="22"/>
              </w:rPr>
            </w:pPr>
            <w:r>
              <w:rPr>
                <w:rFonts w:ascii="Arial" w:hAnsi="Arial" w:cs="Arial"/>
                <w:b/>
                <w:sz w:val="22"/>
                <w:szCs w:val="22"/>
              </w:rPr>
              <w:t>From Patriarchs to Prophets: Reading and Reception</w:t>
            </w:r>
          </w:p>
          <w:p w:rsidR="009504F7" w:rsidRPr="00230F35" w:rsidRDefault="009504F7" w:rsidP="0077115A">
            <w:pPr>
              <w:pStyle w:val="NormalWeb"/>
              <w:spacing w:before="0" w:beforeAutospacing="0" w:after="0" w:afterAutospacing="0"/>
              <w:ind w:right="34"/>
              <w:rPr>
                <w:rFonts w:ascii="Arial" w:hAnsi="Arial" w:cs="Arial"/>
                <w:sz w:val="22"/>
                <w:szCs w:val="22"/>
              </w:rPr>
            </w:pPr>
          </w:p>
        </w:tc>
        <w:tc>
          <w:tcPr>
            <w:tcW w:w="2266" w:type="dxa"/>
            <w:gridSpan w:val="3"/>
          </w:tcPr>
          <w:p w:rsidR="009504F7" w:rsidRDefault="009504F7" w:rsidP="007711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9504F7" w:rsidRPr="000A13BB" w:rsidRDefault="009504F7" w:rsidP="0077115A">
            <w:pPr>
              <w:pStyle w:val="NormalWeb"/>
              <w:spacing w:before="0" w:beforeAutospacing="0" w:after="0" w:afterAutospacing="0"/>
              <w:ind w:right="34"/>
              <w:rPr>
                <w:rFonts w:ascii="Arial" w:hAnsi="Arial" w:cs="Arial"/>
                <w:b/>
                <w:sz w:val="22"/>
                <w:szCs w:val="22"/>
              </w:rPr>
            </w:pPr>
            <w:r w:rsidRPr="000A13BB">
              <w:rPr>
                <w:rFonts w:ascii="Arial" w:hAnsi="Arial" w:cs="Arial"/>
                <w:b/>
                <w:sz w:val="22"/>
                <w:szCs w:val="22"/>
              </w:rPr>
              <w:t>1402208</w:t>
            </w:r>
          </w:p>
        </w:tc>
        <w:tc>
          <w:tcPr>
            <w:tcW w:w="1802" w:type="dxa"/>
          </w:tcPr>
          <w:p w:rsidR="009504F7" w:rsidRPr="00230F35" w:rsidRDefault="009504F7" w:rsidP="007711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9504F7" w:rsidRPr="000A13BB" w:rsidRDefault="009504F7" w:rsidP="0077115A">
            <w:pPr>
              <w:pStyle w:val="NormalWeb"/>
              <w:spacing w:before="0" w:beforeAutospacing="0" w:after="0" w:afterAutospacing="0"/>
              <w:ind w:right="34"/>
              <w:rPr>
                <w:rFonts w:ascii="Arial" w:hAnsi="Arial" w:cs="Arial"/>
                <w:b/>
                <w:sz w:val="22"/>
                <w:szCs w:val="22"/>
              </w:rPr>
            </w:pPr>
            <w:r w:rsidRPr="000A13BB">
              <w:rPr>
                <w:rFonts w:ascii="Arial" w:hAnsi="Arial" w:cs="Arial"/>
                <w:b/>
                <w:sz w:val="22"/>
                <w:szCs w:val="22"/>
              </w:rPr>
              <w:t>NO</w:t>
            </w:r>
          </w:p>
        </w:tc>
      </w:tr>
      <w:tr w:rsidR="009504F7" w:rsidRPr="00230F35" w:rsidTr="0077115A">
        <w:trPr>
          <w:trHeight w:val="1139"/>
        </w:trPr>
        <w:tc>
          <w:tcPr>
            <w:tcW w:w="8856" w:type="dxa"/>
            <w:gridSpan w:val="5"/>
          </w:tcPr>
          <w:p w:rsidR="009504F7" w:rsidRPr="00230F35" w:rsidRDefault="009504F7" w:rsidP="007711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p>
          <w:p w:rsidR="009504F7" w:rsidRPr="000A13BB" w:rsidRDefault="009504F7" w:rsidP="0077115A">
            <w:pPr>
              <w:pStyle w:val="NormalWeb"/>
              <w:spacing w:before="0" w:beforeAutospacing="0" w:after="0" w:afterAutospacing="0"/>
              <w:ind w:right="34"/>
              <w:rPr>
                <w:rFonts w:ascii="Arial" w:hAnsi="Arial" w:cs="Arial"/>
                <w:b/>
                <w:sz w:val="22"/>
                <w:szCs w:val="22"/>
              </w:rPr>
            </w:pPr>
            <w:r>
              <w:rPr>
                <w:rFonts w:ascii="Arial" w:hAnsi="Arial" w:cs="Arial"/>
                <w:b/>
                <w:sz w:val="22"/>
                <w:szCs w:val="22"/>
              </w:rPr>
              <w:t>What is reception history, and does is have value in biblical studies?</w:t>
            </w:r>
          </w:p>
          <w:p w:rsidR="009504F7" w:rsidRDefault="009504F7" w:rsidP="0077115A">
            <w:pPr>
              <w:pStyle w:val="NormalWeb"/>
              <w:spacing w:before="0" w:beforeAutospacing="0" w:after="0" w:afterAutospacing="0"/>
              <w:ind w:right="34"/>
              <w:rPr>
                <w:rFonts w:ascii="Arial" w:hAnsi="Arial" w:cs="Arial"/>
                <w:sz w:val="22"/>
                <w:szCs w:val="22"/>
              </w:rPr>
            </w:pPr>
          </w:p>
          <w:p w:rsidR="009504F7" w:rsidRPr="000A13BB" w:rsidRDefault="009504F7" w:rsidP="0077115A">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Assignment due date:</w:t>
            </w:r>
            <w:r>
              <w:rPr>
                <w:rFonts w:ascii="Arial" w:hAnsi="Arial" w:cs="Arial"/>
                <w:sz w:val="22"/>
                <w:szCs w:val="22"/>
              </w:rPr>
              <w:t xml:space="preserve"> </w:t>
            </w:r>
            <w:r>
              <w:rPr>
                <w:rFonts w:ascii="Arial" w:hAnsi="Arial" w:cs="Arial"/>
                <w:b/>
                <w:sz w:val="22"/>
                <w:szCs w:val="22"/>
              </w:rPr>
              <w:t>28</w:t>
            </w:r>
            <w:r w:rsidRPr="000A13BB">
              <w:rPr>
                <w:rFonts w:ascii="Arial" w:hAnsi="Arial" w:cs="Arial"/>
                <w:b/>
                <w:sz w:val="22"/>
                <w:szCs w:val="22"/>
                <w:vertAlign w:val="superscript"/>
              </w:rPr>
              <w:t>th</w:t>
            </w:r>
            <w:r>
              <w:rPr>
                <w:rFonts w:ascii="Arial" w:hAnsi="Arial" w:cs="Arial"/>
                <w:b/>
                <w:sz w:val="22"/>
                <w:szCs w:val="22"/>
              </w:rPr>
              <w:t xml:space="preserve"> June 2021</w:t>
            </w:r>
          </w:p>
        </w:tc>
      </w:tr>
      <w:tr w:rsidR="009504F7" w:rsidRPr="00230F35" w:rsidTr="0077115A">
        <w:trPr>
          <w:trHeight w:val="978"/>
        </w:trPr>
        <w:tc>
          <w:tcPr>
            <w:tcW w:w="8856" w:type="dxa"/>
            <w:gridSpan w:val="5"/>
            <w:tcBorders>
              <w:bottom w:val="single" w:sz="4" w:space="0" w:color="000000"/>
            </w:tcBorders>
          </w:tcPr>
          <w:p w:rsidR="009504F7" w:rsidRPr="00230F35" w:rsidRDefault="009504F7" w:rsidP="0077115A">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00850F6B">
              <w:rPr>
                <w:rFonts w:ascii="Arial" w:hAnsi="Arial" w:cs="Arial"/>
              </w:rPr>
            </w:r>
            <w:r w:rsidR="00850F6B">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00850F6B">
              <w:rPr>
                <w:rFonts w:ascii="Arial" w:hAnsi="Arial" w:cs="Arial"/>
              </w:rPr>
            </w:r>
            <w:r w:rsidR="00850F6B">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850F6B">
              <w:rPr>
                <w:rFonts w:ascii="Arial" w:hAnsi="Arial" w:cs="Arial"/>
              </w:rPr>
            </w:r>
            <w:r w:rsidR="00850F6B">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850F6B">
              <w:rPr>
                <w:rFonts w:ascii="Arial" w:hAnsi="Arial" w:cs="Arial"/>
              </w:rPr>
            </w:r>
            <w:r w:rsidR="00850F6B">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Pr>
                <w:rFonts w:ascii="Arial" w:hAnsi="Arial" w:cs="Arial"/>
              </w:rPr>
              <w:t>X</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850F6B">
              <w:rPr>
                <w:rFonts w:ascii="Arial" w:hAnsi="Arial" w:cs="Arial"/>
              </w:rPr>
            </w:r>
            <w:r w:rsidR="00850F6B">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850F6B">
              <w:rPr>
                <w:rFonts w:ascii="Arial" w:hAnsi="Arial" w:cs="Arial"/>
              </w:rPr>
            </w:r>
            <w:r w:rsidR="00850F6B">
              <w:rPr>
                <w:rFonts w:ascii="Arial" w:hAnsi="Arial" w:cs="Arial"/>
              </w:rPr>
              <w:fldChar w:fldCharType="separate"/>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9504F7" w:rsidRPr="00230F35" w:rsidTr="0077115A">
        <w:trPr>
          <w:trHeight w:val="978"/>
        </w:trPr>
        <w:tc>
          <w:tcPr>
            <w:tcW w:w="8856" w:type="dxa"/>
            <w:gridSpan w:val="5"/>
            <w:shd w:val="clear" w:color="auto" w:fill="D9D9D9"/>
          </w:tcPr>
          <w:p w:rsidR="009504F7" w:rsidRPr="00230F35" w:rsidRDefault="009504F7" w:rsidP="007711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9504F7" w:rsidRDefault="009504F7" w:rsidP="007711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 xml:space="preserve">Diane </w:t>
            </w:r>
            <w:proofErr w:type="spellStart"/>
            <w:r>
              <w:rPr>
                <w:rFonts w:ascii="Arial" w:hAnsi="Arial" w:cs="Arial"/>
                <w:sz w:val="22"/>
                <w:szCs w:val="22"/>
              </w:rPr>
              <w:t>Stankaitis</w:t>
            </w:r>
            <w:proofErr w:type="spellEnd"/>
            <w:r w:rsidRPr="00230F35">
              <w:rPr>
                <w:rFonts w:ascii="Arial" w:hAnsi="Arial" w:cs="Arial"/>
                <w:sz w:val="22"/>
                <w:szCs w:val="22"/>
              </w:rPr>
              <w:t>…………………………………………………</w:t>
            </w:r>
          </w:p>
          <w:p w:rsidR="009504F7" w:rsidRDefault="009504F7" w:rsidP="0077115A">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r w:rsidRPr="005979EE">
              <w:rPr>
                <w:rFonts w:ascii="Calibri" w:hAnsi="Calibri" w:cs="Tahoma"/>
                <w:b/>
                <w:sz w:val="24"/>
                <w:szCs w:val="24"/>
              </w:rPr>
              <w:t>submission:</w:t>
            </w:r>
            <w:r>
              <w:rPr>
                <w:rFonts w:ascii="Calibri" w:hAnsi="Calibri" w:cs="Tahoma"/>
                <w:b/>
                <w:sz w:val="24"/>
                <w:szCs w:val="24"/>
              </w:rPr>
              <w:t>if</w:t>
            </w:r>
            <w:proofErr w:type="spellEnd"/>
            <w:r>
              <w:rPr>
                <w:rFonts w:ascii="Calibri" w:hAnsi="Calibri" w:cs="Tahoma"/>
                <w:b/>
                <w:sz w:val="24"/>
                <w:szCs w:val="24"/>
              </w:rPr>
              <w:t xml:space="preserve"> you are submitting this form via email, please tick this box </w:t>
            </w:r>
            <w:r w:rsidRPr="005979EE">
              <w:rPr>
                <w:rFonts w:ascii="Calibri" w:hAnsi="Calibri" w:cs="Calibri"/>
                <w:b/>
                <w:sz w:val="44"/>
                <w:szCs w:val="44"/>
              </w:rPr>
              <w:t>□</w:t>
            </w:r>
          </w:p>
          <w:p w:rsidR="009504F7" w:rsidRPr="00230F35" w:rsidRDefault="009504F7" w:rsidP="0077115A">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9504F7" w:rsidRPr="00230F35" w:rsidTr="0077115A">
        <w:trPr>
          <w:trHeight w:val="3972"/>
        </w:trPr>
        <w:tc>
          <w:tcPr>
            <w:tcW w:w="8856" w:type="dxa"/>
            <w:gridSpan w:val="5"/>
          </w:tcPr>
          <w:p w:rsidR="009504F7" w:rsidRDefault="009504F7" w:rsidP="0077115A">
            <w:pPr>
              <w:rPr>
                <w:rFonts w:ascii="Arial" w:hAnsi="Arial"/>
                <w:b/>
              </w:rPr>
            </w:pPr>
          </w:p>
          <w:p w:rsidR="009504F7" w:rsidRPr="00116CE6" w:rsidRDefault="009504F7" w:rsidP="0077115A">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9504F7" w:rsidRPr="00116CE6" w:rsidTr="0077115A">
              <w:tc>
                <w:tcPr>
                  <w:tcW w:w="6970" w:type="dxa"/>
                </w:tcPr>
                <w:p w:rsidR="009504F7" w:rsidRPr="00116CE6" w:rsidRDefault="009504F7" w:rsidP="0077115A">
                  <w:pPr>
                    <w:rPr>
                      <w:rFonts w:ascii="Arial" w:hAnsi="Arial"/>
                      <w:sz w:val="20"/>
                      <w:szCs w:val="20"/>
                    </w:rPr>
                  </w:pPr>
                </w:p>
                <w:p w:rsidR="009504F7" w:rsidRPr="00116CE6" w:rsidRDefault="009504F7" w:rsidP="0077115A">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9504F7" w:rsidRPr="00116CE6" w:rsidRDefault="009504F7" w:rsidP="0077115A">
                  <w:pPr>
                    <w:rPr>
                      <w:rFonts w:ascii="Arial" w:hAnsi="Arial"/>
                      <w:sz w:val="20"/>
                      <w:szCs w:val="20"/>
                    </w:rPr>
                  </w:pPr>
                </w:p>
              </w:tc>
            </w:tr>
            <w:tr w:rsidR="009504F7" w:rsidRPr="00116CE6" w:rsidTr="0077115A">
              <w:tc>
                <w:tcPr>
                  <w:tcW w:w="6970" w:type="dxa"/>
                </w:tcPr>
                <w:p w:rsidR="009504F7" w:rsidRPr="00116CE6" w:rsidRDefault="009504F7" w:rsidP="0077115A">
                  <w:pPr>
                    <w:rPr>
                      <w:rFonts w:ascii="Arial" w:hAnsi="Arial"/>
                      <w:sz w:val="20"/>
                      <w:szCs w:val="20"/>
                    </w:rPr>
                  </w:pPr>
                </w:p>
                <w:p w:rsidR="009504F7" w:rsidRPr="00116CE6" w:rsidRDefault="009504F7" w:rsidP="0077115A">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9504F7" w:rsidRPr="00116CE6" w:rsidRDefault="009504F7" w:rsidP="0077115A">
                  <w:pPr>
                    <w:rPr>
                      <w:rFonts w:ascii="Arial" w:hAnsi="Arial"/>
                      <w:sz w:val="20"/>
                      <w:szCs w:val="20"/>
                    </w:rPr>
                  </w:pPr>
                </w:p>
              </w:tc>
            </w:tr>
            <w:tr w:rsidR="009504F7" w:rsidRPr="00116CE6" w:rsidTr="0077115A">
              <w:tc>
                <w:tcPr>
                  <w:tcW w:w="6970" w:type="dxa"/>
                </w:tcPr>
                <w:p w:rsidR="009504F7" w:rsidRPr="00116CE6" w:rsidRDefault="009504F7" w:rsidP="0077115A">
                  <w:pPr>
                    <w:rPr>
                      <w:rFonts w:ascii="Arial" w:hAnsi="Arial"/>
                      <w:sz w:val="20"/>
                      <w:szCs w:val="20"/>
                    </w:rPr>
                  </w:pPr>
                </w:p>
                <w:p w:rsidR="009504F7" w:rsidRPr="00116CE6" w:rsidRDefault="009504F7" w:rsidP="0077115A">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9504F7" w:rsidRPr="00116CE6" w:rsidRDefault="009504F7" w:rsidP="0077115A">
                  <w:pPr>
                    <w:rPr>
                      <w:rFonts w:ascii="Arial" w:hAnsi="Arial"/>
                      <w:sz w:val="20"/>
                      <w:szCs w:val="20"/>
                    </w:rPr>
                  </w:pPr>
                </w:p>
              </w:tc>
            </w:tr>
            <w:tr w:rsidR="009504F7" w:rsidRPr="00116CE6" w:rsidTr="0077115A">
              <w:tc>
                <w:tcPr>
                  <w:tcW w:w="6970" w:type="dxa"/>
                </w:tcPr>
                <w:p w:rsidR="009504F7" w:rsidRDefault="009504F7" w:rsidP="0077115A">
                  <w:pPr>
                    <w:rPr>
                      <w:rFonts w:ascii="Arial" w:hAnsi="Arial"/>
                      <w:sz w:val="20"/>
                      <w:szCs w:val="20"/>
                    </w:rPr>
                  </w:pPr>
                </w:p>
                <w:p w:rsidR="009504F7" w:rsidRPr="00022345" w:rsidRDefault="009504F7" w:rsidP="0077115A">
                  <w:pPr>
                    <w:rPr>
                      <w:rFonts w:ascii="Arial" w:hAnsi="Arial"/>
                      <w:b/>
                      <w:sz w:val="20"/>
                      <w:szCs w:val="20"/>
                    </w:rPr>
                  </w:pPr>
                  <w:r w:rsidRPr="00022345">
                    <w:rPr>
                      <w:rFonts w:ascii="Arial" w:hAnsi="Arial"/>
                      <w:b/>
                      <w:sz w:val="20"/>
                      <w:szCs w:val="20"/>
                    </w:rPr>
                    <w:t>Final Mark</w:t>
                  </w:r>
                </w:p>
                <w:p w:rsidR="009504F7" w:rsidRPr="00116CE6" w:rsidRDefault="009504F7" w:rsidP="0077115A">
                  <w:pPr>
                    <w:rPr>
                      <w:rFonts w:ascii="Arial" w:hAnsi="Arial"/>
                      <w:sz w:val="20"/>
                      <w:szCs w:val="20"/>
                    </w:rPr>
                  </w:pPr>
                </w:p>
              </w:tc>
              <w:tc>
                <w:tcPr>
                  <w:tcW w:w="1660" w:type="dxa"/>
                </w:tcPr>
                <w:p w:rsidR="009504F7" w:rsidRPr="00116CE6" w:rsidRDefault="009504F7" w:rsidP="0077115A">
                  <w:pPr>
                    <w:rPr>
                      <w:rFonts w:ascii="Arial" w:hAnsi="Arial"/>
                      <w:sz w:val="20"/>
                      <w:szCs w:val="20"/>
                    </w:rPr>
                  </w:pPr>
                </w:p>
              </w:tc>
            </w:tr>
          </w:tbl>
          <w:p w:rsidR="009504F7" w:rsidRDefault="009504F7" w:rsidP="0077115A">
            <w:pPr>
              <w:pStyle w:val="NormalWeb"/>
              <w:spacing w:before="0" w:beforeAutospacing="0" w:after="0" w:afterAutospacing="0"/>
              <w:ind w:left="142" w:right="34"/>
              <w:rPr>
                <w:rFonts w:ascii="Arial" w:hAnsi="Arial" w:cs="Arial"/>
                <w:b/>
                <w:sz w:val="22"/>
                <w:szCs w:val="22"/>
              </w:rPr>
            </w:pPr>
          </w:p>
          <w:p w:rsidR="009504F7" w:rsidRPr="00230F35" w:rsidRDefault="009504F7" w:rsidP="0077115A">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9504F7" w:rsidRDefault="009504F7" w:rsidP="0077115A">
            <w:pPr>
              <w:pStyle w:val="NormalWeb"/>
              <w:spacing w:before="0" w:beforeAutospacing="0" w:after="0" w:afterAutospacing="0"/>
              <w:rPr>
                <w:rFonts w:ascii="Arial" w:hAnsi="Arial" w:cs="Arial"/>
                <w:b/>
                <w:sz w:val="22"/>
                <w:szCs w:val="22"/>
              </w:rPr>
            </w:pPr>
          </w:p>
          <w:p w:rsidR="009504F7" w:rsidRDefault="009504F7" w:rsidP="0077115A">
            <w:pPr>
              <w:pStyle w:val="NormalWeb"/>
              <w:spacing w:before="0" w:beforeAutospacing="0" w:after="0" w:afterAutospacing="0"/>
              <w:rPr>
                <w:rFonts w:ascii="Arial" w:hAnsi="Arial" w:cs="Arial"/>
                <w:b/>
                <w:sz w:val="22"/>
                <w:szCs w:val="22"/>
              </w:rPr>
            </w:pPr>
          </w:p>
          <w:p w:rsidR="009504F7" w:rsidRDefault="009504F7" w:rsidP="0077115A">
            <w:pPr>
              <w:pStyle w:val="NormalWeb"/>
              <w:spacing w:before="0" w:beforeAutospacing="0" w:after="0" w:afterAutospacing="0"/>
              <w:rPr>
                <w:rFonts w:ascii="Arial" w:hAnsi="Arial" w:cs="Arial"/>
                <w:b/>
                <w:sz w:val="22"/>
                <w:szCs w:val="22"/>
              </w:rPr>
            </w:pPr>
          </w:p>
          <w:p w:rsidR="009504F7" w:rsidRDefault="009504F7" w:rsidP="0077115A">
            <w:pPr>
              <w:pStyle w:val="NormalWeb"/>
              <w:spacing w:before="0" w:beforeAutospacing="0" w:after="0" w:afterAutospacing="0"/>
              <w:rPr>
                <w:rFonts w:ascii="Arial" w:hAnsi="Arial" w:cs="Arial"/>
                <w:b/>
                <w:sz w:val="22"/>
                <w:szCs w:val="22"/>
              </w:rPr>
            </w:pPr>
          </w:p>
          <w:p w:rsidR="009504F7" w:rsidRDefault="009504F7" w:rsidP="0077115A">
            <w:pPr>
              <w:pStyle w:val="NormalWeb"/>
              <w:spacing w:before="0" w:beforeAutospacing="0" w:after="0" w:afterAutospacing="0"/>
              <w:rPr>
                <w:rFonts w:ascii="Arial" w:hAnsi="Arial" w:cs="Arial"/>
                <w:b/>
                <w:sz w:val="22"/>
                <w:szCs w:val="22"/>
              </w:rPr>
            </w:pPr>
          </w:p>
          <w:p w:rsidR="009504F7" w:rsidRPr="00230F35" w:rsidRDefault="009504F7" w:rsidP="0077115A">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rsidR="009504F7" w:rsidRDefault="009504F7" w:rsidP="0077115A">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9504F7" w:rsidRPr="00001C3B" w:rsidRDefault="009504F7" w:rsidP="0077115A">
            <w:pPr>
              <w:pStyle w:val="NormalWeb"/>
              <w:rPr>
                <w:rFonts w:ascii="Arial" w:hAnsi="Arial" w:cs="Arial"/>
                <w:sz w:val="22"/>
                <w:szCs w:val="22"/>
              </w:rPr>
            </w:pPr>
          </w:p>
        </w:tc>
      </w:tr>
      <w:tr w:rsidR="009504F7" w:rsidRPr="00230F35" w:rsidTr="0077115A">
        <w:trPr>
          <w:trHeight w:val="492"/>
        </w:trPr>
        <w:tc>
          <w:tcPr>
            <w:tcW w:w="6768" w:type="dxa"/>
            <w:gridSpan w:val="3"/>
          </w:tcPr>
          <w:p w:rsidR="009504F7" w:rsidRPr="00230F35" w:rsidRDefault="009504F7" w:rsidP="0077115A">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9504F7" w:rsidRPr="00230F35" w:rsidRDefault="009504F7" w:rsidP="0077115A">
            <w:pPr>
              <w:pStyle w:val="NormalWeb"/>
              <w:spacing w:after="0"/>
              <w:ind w:left="142" w:right="34"/>
              <w:rPr>
                <w:rFonts w:ascii="Arial" w:hAnsi="Arial" w:cs="Arial"/>
                <w:sz w:val="22"/>
                <w:szCs w:val="22"/>
              </w:rPr>
            </w:pPr>
            <w:r w:rsidRPr="00230F35">
              <w:rPr>
                <w:rFonts w:ascii="Arial" w:hAnsi="Arial" w:cs="Arial"/>
                <w:sz w:val="22"/>
                <w:szCs w:val="22"/>
              </w:rPr>
              <w:t>Date:</w:t>
            </w:r>
          </w:p>
        </w:tc>
      </w:tr>
      <w:tr w:rsidR="009504F7" w:rsidRPr="002F467C" w:rsidTr="0077115A">
        <w:tc>
          <w:tcPr>
            <w:tcW w:w="8856" w:type="dxa"/>
            <w:gridSpan w:val="5"/>
          </w:tcPr>
          <w:p w:rsidR="009504F7" w:rsidRPr="00230F35" w:rsidRDefault="009504F7" w:rsidP="0077115A">
            <w:pPr>
              <w:pStyle w:val="NormalWeb"/>
              <w:spacing w:before="0" w:beforeAutospacing="0" w:after="0" w:afterAutospacing="0"/>
              <w:ind w:right="-334"/>
              <w:rPr>
                <w:rFonts w:ascii="Arial" w:hAnsi="Arial" w:cs="Arial"/>
                <w:bCs/>
                <w:i/>
                <w:sz w:val="22"/>
                <w:szCs w:val="22"/>
              </w:rPr>
            </w:pPr>
          </w:p>
          <w:p w:rsidR="009504F7" w:rsidRPr="00230F35" w:rsidRDefault="009504F7" w:rsidP="0077115A">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9504F7" w:rsidRPr="00230F35" w:rsidRDefault="009504F7" w:rsidP="0077115A">
            <w:pPr>
              <w:pStyle w:val="NormalWeb"/>
              <w:spacing w:before="0" w:beforeAutospacing="0" w:after="0" w:afterAutospacing="0"/>
              <w:ind w:right="-334"/>
              <w:rPr>
                <w:rFonts w:ascii="Arial" w:hAnsi="Arial" w:cs="Arial"/>
                <w:b/>
                <w:bCs/>
                <w:sz w:val="22"/>
                <w:szCs w:val="22"/>
              </w:rPr>
            </w:pPr>
          </w:p>
          <w:p w:rsidR="009504F7" w:rsidRPr="00230F35" w:rsidRDefault="009504F7" w:rsidP="0077115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9504F7" w:rsidRPr="00230F35" w:rsidRDefault="009504F7" w:rsidP="0077115A">
            <w:pPr>
              <w:pStyle w:val="NormalWeb"/>
              <w:spacing w:before="0" w:beforeAutospacing="0" w:after="0" w:afterAutospacing="0"/>
              <w:ind w:right="-334"/>
              <w:rPr>
                <w:rFonts w:ascii="Arial" w:hAnsi="Arial" w:cs="Arial"/>
                <w:bCs/>
                <w:sz w:val="22"/>
                <w:szCs w:val="22"/>
              </w:rPr>
            </w:pPr>
          </w:p>
          <w:p w:rsidR="009504F7" w:rsidRPr="00230F35" w:rsidRDefault="009504F7" w:rsidP="0077115A">
            <w:pPr>
              <w:pStyle w:val="NormalWeb"/>
              <w:spacing w:before="0" w:beforeAutospacing="0" w:after="0" w:afterAutospacing="0"/>
              <w:ind w:right="-334"/>
              <w:rPr>
                <w:rFonts w:ascii="Arial" w:hAnsi="Arial" w:cs="Arial"/>
                <w:bCs/>
                <w:sz w:val="22"/>
                <w:szCs w:val="22"/>
              </w:rPr>
            </w:pPr>
          </w:p>
          <w:p w:rsidR="009504F7" w:rsidRPr="00230F35" w:rsidRDefault="009504F7" w:rsidP="0077115A">
            <w:pPr>
              <w:pStyle w:val="NormalWeb"/>
              <w:spacing w:before="0" w:beforeAutospacing="0" w:after="0" w:afterAutospacing="0"/>
              <w:ind w:right="-334"/>
              <w:rPr>
                <w:rFonts w:ascii="Arial" w:hAnsi="Arial" w:cs="Arial"/>
                <w:bCs/>
                <w:sz w:val="22"/>
                <w:szCs w:val="22"/>
              </w:rPr>
            </w:pPr>
          </w:p>
          <w:p w:rsidR="009504F7" w:rsidRPr="00230F35" w:rsidRDefault="009504F7" w:rsidP="0077115A">
            <w:pPr>
              <w:pStyle w:val="NormalWeb"/>
              <w:spacing w:before="0" w:beforeAutospacing="0" w:after="0" w:afterAutospacing="0"/>
              <w:ind w:right="-334"/>
              <w:rPr>
                <w:rFonts w:ascii="Arial" w:hAnsi="Arial" w:cs="Arial"/>
                <w:bCs/>
                <w:sz w:val="22"/>
                <w:szCs w:val="22"/>
              </w:rPr>
            </w:pPr>
          </w:p>
          <w:p w:rsidR="009504F7" w:rsidRPr="00230F35" w:rsidRDefault="009504F7" w:rsidP="0077115A">
            <w:pPr>
              <w:pStyle w:val="NormalWeb"/>
              <w:spacing w:before="0" w:beforeAutospacing="0" w:after="0" w:afterAutospacing="0"/>
              <w:ind w:right="-334"/>
              <w:rPr>
                <w:rFonts w:ascii="Arial" w:hAnsi="Arial" w:cs="Arial"/>
                <w:bCs/>
                <w:sz w:val="22"/>
                <w:szCs w:val="22"/>
              </w:rPr>
            </w:pPr>
          </w:p>
          <w:p w:rsidR="009504F7" w:rsidRPr="00230F35" w:rsidRDefault="009504F7" w:rsidP="0077115A">
            <w:pPr>
              <w:pStyle w:val="NormalWeb"/>
              <w:spacing w:before="0" w:beforeAutospacing="0" w:after="0" w:afterAutospacing="0"/>
              <w:ind w:right="-334"/>
              <w:rPr>
                <w:rFonts w:ascii="Arial" w:hAnsi="Arial" w:cs="Arial"/>
                <w:bCs/>
                <w:sz w:val="22"/>
                <w:szCs w:val="22"/>
              </w:rPr>
            </w:pPr>
          </w:p>
          <w:p w:rsidR="009504F7" w:rsidRPr="00230F35" w:rsidRDefault="009504F7" w:rsidP="0077115A">
            <w:pPr>
              <w:pStyle w:val="NormalWeb"/>
              <w:spacing w:before="0" w:beforeAutospacing="0" w:after="0" w:afterAutospacing="0"/>
              <w:ind w:right="-334"/>
              <w:rPr>
                <w:rFonts w:ascii="Arial" w:hAnsi="Arial" w:cs="Arial"/>
                <w:bCs/>
                <w:sz w:val="22"/>
                <w:szCs w:val="22"/>
              </w:rPr>
            </w:pPr>
          </w:p>
          <w:p w:rsidR="009504F7" w:rsidRPr="00230F35" w:rsidRDefault="009504F7" w:rsidP="0077115A">
            <w:pPr>
              <w:pStyle w:val="NormalWeb"/>
              <w:spacing w:before="0" w:beforeAutospacing="0" w:after="0" w:afterAutospacing="0"/>
              <w:ind w:right="-334"/>
              <w:rPr>
                <w:rFonts w:ascii="Arial" w:hAnsi="Arial" w:cs="Arial"/>
                <w:bCs/>
                <w:sz w:val="22"/>
                <w:szCs w:val="22"/>
              </w:rPr>
            </w:pPr>
          </w:p>
          <w:p w:rsidR="009504F7" w:rsidRDefault="009504F7" w:rsidP="0077115A">
            <w:pPr>
              <w:pStyle w:val="NormalWeb"/>
              <w:spacing w:before="0" w:beforeAutospacing="0" w:after="0" w:afterAutospacing="0"/>
              <w:ind w:right="-334"/>
              <w:rPr>
                <w:rFonts w:ascii="Arial" w:hAnsi="Arial" w:cs="Arial"/>
                <w:bCs/>
                <w:sz w:val="22"/>
                <w:szCs w:val="22"/>
              </w:rPr>
            </w:pPr>
          </w:p>
          <w:p w:rsidR="009504F7" w:rsidRPr="00230F35" w:rsidRDefault="009504F7" w:rsidP="0077115A">
            <w:pPr>
              <w:pStyle w:val="NormalWeb"/>
              <w:spacing w:before="0" w:beforeAutospacing="0" w:after="0" w:afterAutospacing="0"/>
              <w:ind w:right="-334"/>
              <w:rPr>
                <w:rFonts w:ascii="Arial" w:hAnsi="Arial" w:cs="Arial"/>
                <w:bCs/>
                <w:sz w:val="22"/>
                <w:szCs w:val="22"/>
              </w:rPr>
            </w:pPr>
          </w:p>
          <w:p w:rsidR="009504F7" w:rsidRPr="00230F35" w:rsidRDefault="009504F7" w:rsidP="0077115A">
            <w:pPr>
              <w:pStyle w:val="NormalWeb"/>
              <w:spacing w:before="0" w:beforeAutospacing="0" w:after="0" w:afterAutospacing="0"/>
              <w:ind w:right="-334"/>
              <w:rPr>
                <w:rFonts w:ascii="Arial" w:hAnsi="Arial" w:cs="Arial"/>
                <w:bCs/>
                <w:sz w:val="22"/>
                <w:szCs w:val="22"/>
              </w:rPr>
            </w:pPr>
          </w:p>
          <w:p w:rsidR="009504F7" w:rsidRPr="00230F35" w:rsidRDefault="009504F7" w:rsidP="0077115A">
            <w:pPr>
              <w:pStyle w:val="NormalWeb"/>
              <w:spacing w:before="0" w:beforeAutospacing="0" w:after="0" w:afterAutospacing="0"/>
              <w:ind w:right="-334"/>
              <w:rPr>
                <w:rFonts w:ascii="Arial" w:hAnsi="Arial" w:cs="Arial"/>
                <w:bCs/>
                <w:sz w:val="22"/>
                <w:szCs w:val="22"/>
              </w:rPr>
            </w:pPr>
          </w:p>
        </w:tc>
      </w:tr>
      <w:tr w:rsidR="009504F7" w:rsidRPr="002F467C" w:rsidTr="0077115A">
        <w:trPr>
          <w:trHeight w:val="720"/>
        </w:trPr>
        <w:tc>
          <w:tcPr>
            <w:tcW w:w="5211" w:type="dxa"/>
            <w:gridSpan w:val="2"/>
          </w:tcPr>
          <w:p w:rsidR="009504F7" w:rsidRPr="00230F35" w:rsidRDefault="009504F7" w:rsidP="0077115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9504F7" w:rsidRPr="00230F35" w:rsidRDefault="009504F7" w:rsidP="0077115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9504F7" w:rsidRPr="002F467C" w:rsidTr="0077115A">
        <w:trPr>
          <w:trHeight w:val="720"/>
        </w:trPr>
        <w:tc>
          <w:tcPr>
            <w:tcW w:w="8856" w:type="dxa"/>
            <w:gridSpan w:val="5"/>
          </w:tcPr>
          <w:p w:rsidR="009504F7" w:rsidRPr="00B34964" w:rsidRDefault="009504F7" w:rsidP="0077115A">
            <w:pPr>
              <w:rPr>
                <w:rFonts w:ascii="Arial" w:hAnsi="Arial" w:cs="Arial"/>
                <w:b/>
              </w:rPr>
            </w:pPr>
            <w:r w:rsidRPr="00B34964">
              <w:rPr>
                <w:rFonts w:ascii="Arial" w:hAnsi="Arial" w:cs="Arial"/>
                <w:b/>
              </w:rPr>
              <w:lastRenderedPageBreak/>
              <w:t>External Examiner’s comments (if relevant)</w:t>
            </w:r>
          </w:p>
          <w:p w:rsidR="009504F7" w:rsidRPr="00230F35" w:rsidRDefault="009504F7" w:rsidP="0077115A">
            <w:pPr>
              <w:pStyle w:val="NormalWeb"/>
              <w:spacing w:before="0" w:beforeAutospacing="0" w:after="0" w:afterAutospacing="0"/>
              <w:ind w:right="-334"/>
              <w:rPr>
                <w:rFonts w:ascii="Arial" w:hAnsi="Arial" w:cs="Arial"/>
                <w:bCs/>
                <w:sz w:val="22"/>
                <w:szCs w:val="22"/>
              </w:rPr>
            </w:pPr>
          </w:p>
          <w:p w:rsidR="009504F7" w:rsidRPr="00230F35" w:rsidRDefault="009504F7" w:rsidP="0077115A">
            <w:pPr>
              <w:pStyle w:val="NormalWeb"/>
              <w:spacing w:before="0" w:beforeAutospacing="0" w:after="0" w:afterAutospacing="0"/>
              <w:ind w:right="-334"/>
              <w:rPr>
                <w:rFonts w:ascii="Arial" w:hAnsi="Arial" w:cs="Arial"/>
                <w:bCs/>
                <w:sz w:val="22"/>
                <w:szCs w:val="22"/>
              </w:rPr>
            </w:pPr>
          </w:p>
          <w:p w:rsidR="009504F7" w:rsidRPr="00230F35" w:rsidRDefault="009504F7" w:rsidP="0077115A">
            <w:pPr>
              <w:pStyle w:val="NormalWeb"/>
              <w:spacing w:before="0" w:beforeAutospacing="0" w:after="0" w:afterAutospacing="0"/>
              <w:ind w:right="-334"/>
              <w:rPr>
                <w:rFonts w:ascii="Arial" w:hAnsi="Arial" w:cs="Arial"/>
                <w:bCs/>
                <w:sz w:val="22"/>
                <w:szCs w:val="22"/>
              </w:rPr>
            </w:pPr>
          </w:p>
          <w:p w:rsidR="009504F7" w:rsidRPr="00230F35" w:rsidRDefault="009504F7" w:rsidP="0077115A">
            <w:pPr>
              <w:pStyle w:val="NormalWeb"/>
              <w:spacing w:before="0" w:beforeAutospacing="0" w:after="0" w:afterAutospacing="0"/>
              <w:ind w:right="-334"/>
              <w:rPr>
                <w:rFonts w:ascii="Arial" w:hAnsi="Arial" w:cs="Arial"/>
                <w:bCs/>
                <w:sz w:val="22"/>
                <w:szCs w:val="22"/>
              </w:rPr>
            </w:pPr>
          </w:p>
          <w:p w:rsidR="009504F7" w:rsidRPr="00230F35" w:rsidRDefault="009504F7" w:rsidP="0077115A">
            <w:pPr>
              <w:pStyle w:val="NormalWeb"/>
              <w:spacing w:before="0" w:beforeAutospacing="0" w:after="0" w:afterAutospacing="0"/>
              <w:ind w:right="-334"/>
              <w:rPr>
                <w:rFonts w:ascii="Arial" w:hAnsi="Arial" w:cs="Arial"/>
                <w:bCs/>
                <w:sz w:val="22"/>
                <w:szCs w:val="22"/>
              </w:rPr>
            </w:pPr>
          </w:p>
          <w:p w:rsidR="009504F7" w:rsidRPr="00230F35" w:rsidRDefault="009504F7" w:rsidP="0077115A">
            <w:pPr>
              <w:pStyle w:val="NormalWeb"/>
              <w:spacing w:before="0" w:beforeAutospacing="0" w:after="0" w:afterAutospacing="0"/>
              <w:ind w:right="-334"/>
              <w:rPr>
                <w:rFonts w:ascii="Arial" w:hAnsi="Arial" w:cs="Arial"/>
                <w:bCs/>
                <w:sz w:val="22"/>
                <w:szCs w:val="22"/>
              </w:rPr>
            </w:pPr>
          </w:p>
          <w:p w:rsidR="009504F7" w:rsidRPr="00230F35" w:rsidRDefault="009504F7" w:rsidP="0077115A">
            <w:pPr>
              <w:pStyle w:val="NormalWeb"/>
              <w:spacing w:before="0" w:beforeAutospacing="0" w:after="0" w:afterAutospacing="0"/>
              <w:ind w:right="-334"/>
              <w:rPr>
                <w:rFonts w:ascii="Arial" w:hAnsi="Arial" w:cs="Arial"/>
                <w:bCs/>
                <w:sz w:val="22"/>
                <w:szCs w:val="22"/>
              </w:rPr>
            </w:pPr>
          </w:p>
          <w:p w:rsidR="009504F7" w:rsidRPr="00230F35" w:rsidRDefault="009504F7" w:rsidP="0077115A">
            <w:pPr>
              <w:pStyle w:val="NormalWeb"/>
              <w:spacing w:before="0" w:beforeAutospacing="0" w:after="0" w:afterAutospacing="0"/>
              <w:ind w:right="-334"/>
              <w:rPr>
                <w:rFonts w:ascii="Arial" w:hAnsi="Arial" w:cs="Arial"/>
                <w:bCs/>
                <w:sz w:val="22"/>
                <w:szCs w:val="22"/>
              </w:rPr>
            </w:pPr>
          </w:p>
          <w:p w:rsidR="009504F7" w:rsidRDefault="009504F7" w:rsidP="0077115A">
            <w:pPr>
              <w:pStyle w:val="NormalWeb"/>
              <w:spacing w:before="0" w:beforeAutospacing="0" w:after="0" w:afterAutospacing="0"/>
              <w:ind w:right="-334"/>
              <w:rPr>
                <w:rFonts w:ascii="Arial" w:hAnsi="Arial" w:cs="Arial"/>
                <w:bCs/>
                <w:sz w:val="22"/>
                <w:szCs w:val="22"/>
              </w:rPr>
            </w:pPr>
          </w:p>
          <w:p w:rsidR="009504F7" w:rsidRPr="00230F35" w:rsidRDefault="009504F7" w:rsidP="0077115A">
            <w:pPr>
              <w:pStyle w:val="NormalWeb"/>
              <w:spacing w:before="0" w:beforeAutospacing="0" w:after="0" w:afterAutospacing="0"/>
              <w:ind w:right="-334"/>
              <w:rPr>
                <w:rFonts w:ascii="Arial" w:hAnsi="Arial" w:cs="Arial"/>
                <w:bCs/>
                <w:sz w:val="22"/>
                <w:szCs w:val="22"/>
              </w:rPr>
            </w:pPr>
          </w:p>
          <w:p w:rsidR="009504F7" w:rsidRPr="00230F35" w:rsidRDefault="009504F7" w:rsidP="0077115A">
            <w:pPr>
              <w:pStyle w:val="NormalWeb"/>
              <w:spacing w:before="0" w:beforeAutospacing="0" w:after="0" w:afterAutospacing="0"/>
              <w:ind w:right="-334"/>
              <w:rPr>
                <w:rFonts w:ascii="Arial" w:hAnsi="Arial" w:cs="Arial"/>
                <w:bCs/>
                <w:sz w:val="22"/>
                <w:szCs w:val="22"/>
              </w:rPr>
            </w:pPr>
          </w:p>
        </w:tc>
      </w:tr>
      <w:tr w:rsidR="009504F7" w:rsidRPr="002F467C" w:rsidTr="0077115A">
        <w:trPr>
          <w:trHeight w:val="720"/>
        </w:trPr>
        <w:tc>
          <w:tcPr>
            <w:tcW w:w="5211" w:type="dxa"/>
            <w:gridSpan w:val="2"/>
          </w:tcPr>
          <w:p w:rsidR="009504F7" w:rsidRPr="00230F35" w:rsidRDefault="009504F7" w:rsidP="0077115A">
            <w:pPr>
              <w:rPr>
                <w:rFonts w:ascii="Arial" w:hAnsi="Arial" w:cs="Arial"/>
              </w:rPr>
            </w:pPr>
            <w:r w:rsidRPr="00230F35">
              <w:rPr>
                <w:rFonts w:ascii="Arial" w:hAnsi="Arial" w:cs="Arial"/>
              </w:rPr>
              <w:t>External Examiner’s Signature:</w:t>
            </w:r>
          </w:p>
        </w:tc>
        <w:tc>
          <w:tcPr>
            <w:tcW w:w="3645" w:type="dxa"/>
            <w:gridSpan w:val="3"/>
          </w:tcPr>
          <w:p w:rsidR="009504F7" w:rsidRPr="00230F35" w:rsidRDefault="009504F7" w:rsidP="0077115A">
            <w:pPr>
              <w:rPr>
                <w:rFonts w:ascii="Arial" w:hAnsi="Arial" w:cs="Arial"/>
              </w:rPr>
            </w:pPr>
            <w:r w:rsidRPr="00230F35">
              <w:rPr>
                <w:rFonts w:ascii="Arial" w:hAnsi="Arial" w:cs="Arial"/>
              </w:rPr>
              <w:t>Date:</w:t>
            </w:r>
          </w:p>
        </w:tc>
      </w:tr>
    </w:tbl>
    <w:p w:rsidR="009504F7" w:rsidRPr="00D67BF8" w:rsidRDefault="009504F7" w:rsidP="009504F7">
      <w:pPr>
        <w:pStyle w:val="NormalWeb"/>
        <w:spacing w:before="0" w:beforeAutospacing="0" w:after="0" w:afterAutospacing="0"/>
        <w:ind w:right="-334"/>
        <w:rPr>
          <w:rFonts w:ascii="Trebuchet MS" w:hAnsi="Trebuchet MS" w:cs="Tahoma"/>
          <w:bCs/>
          <w:sz w:val="24"/>
          <w:szCs w:val="24"/>
        </w:rPr>
      </w:pPr>
    </w:p>
    <w:p w:rsidR="009504F7" w:rsidRPr="00D67BF8" w:rsidRDefault="009504F7" w:rsidP="009504F7">
      <w:pPr>
        <w:pStyle w:val="NormalWeb"/>
        <w:spacing w:before="0" w:beforeAutospacing="0" w:after="0" w:afterAutospacing="0"/>
        <w:ind w:right="-334"/>
        <w:rPr>
          <w:rFonts w:ascii="Trebuchet MS" w:hAnsi="Trebuchet MS" w:cs="Tahoma"/>
          <w:bCs/>
          <w:sz w:val="24"/>
          <w:szCs w:val="24"/>
        </w:rPr>
      </w:pPr>
    </w:p>
    <w:p w:rsidR="009504F7" w:rsidRDefault="009504F7" w:rsidP="00195EE8">
      <w:pPr>
        <w:spacing w:line="240" w:lineRule="auto"/>
        <w:jc w:val="center"/>
        <w:rPr>
          <w:rFonts w:ascii="Arial" w:hAnsi="Arial" w:cs="Arial"/>
          <w:b/>
          <w:sz w:val="24"/>
          <w:szCs w:val="24"/>
          <w:u w:val="single"/>
        </w:rPr>
      </w:pPr>
    </w:p>
    <w:p w:rsidR="009504F7" w:rsidRDefault="009504F7" w:rsidP="00195EE8">
      <w:pPr>
        <w:spacing w:line="240" w:lineRule="auto"/>
        <w:jc w:val="center"/>
        <w:rPr>
          <w:rFonts w:ascii="Arial" w:hAnsi="Arial" w:cs="Arial"/>
          <w:b/>
          <w:sz w:val="24"/>
          <w:szCs w:val="24"/>
          <w:u w:val="single"/>
        </w:rPr>
      </w:pPr>
    </w:p>
    <w:p w:rsidR="009504F7" w:rsidRDefault="009504F7" w:rsidP="00195EE8">
      <w:pPr>
        <w:spacing w:line="240" w:lineRule="auto"/>
        <w:jc w:val="center"/>
        <w:rPr>
          <w:rFonts w:ascii="Arial" w:hAnsi="Arial" w:cs="Arial"/>
          <w:b/>
          <w:sz w:val="24"/>
          <w:szCs w:val="24"/>
          <w:u w:val="single"/>
        </w:rPr>
      </w:pPr>
    </w:p>
    <w:p w:rsidR="009504F7" w:rsidRDefault="009504F7" w:rsidP="00195EE8">
      <w:pPr>
        <w:spacing w:line="240" w:lineRule="auto"/>
        <w:jc w:val="center"/>
        <w:rPr>
          <w:rFonts w:ascii="Arial" w:hAnsi="Arial" w:cs="Arial"/>
          <w:b/>
          <w:sz w:val="24"/>
          <w:szCs w:val="24"/>
          <w:u w:val="single"/>
        </w:rPr>
      </w:pPr>
    </w:p>
    <w:p w:rsidR="009504F7" w:rsidRDefault="009504F7" w:rsidP="00195EE8">
      <w:pPr>
        <w:spacing w:line="240" w:lineRule="auto"/>
        <w:jc w:val="center"/>
        <w:rPr>
          <w:rFonts w:ascii="Arial" w:hAnsi="Arial" w:cs="Arial"/>
          <w:b/>
          <w:sz w:val="24"/>
          <w:szCs w:val="24"/>
          <w:u w:val="single"/>
        </w:rPr>
      </w:pPr>
    </w:p>
    <w:p w:rsidR="009504F7" w:rsidRDefault="009504F7" w:rsidP="00195EE8">
      <w:pPr>
        <w:spacing w:line="240" w:lineRule="auto"/>
        <w:jc w:val="center"/>
        <w:rPr>
          <w:rFonts w:ascii="Arial" w:hAnsi="Arial" w:cs="Arial"/>
          <w:b/>
          <w:sz w:val="24"/>
          <w:szCs w:val="24"/>
          <w:u w:val="single"/>
        </w:rPr>
      </w:pPr>
    </w:p>
    <w:p w:rsidR="009504F7" w:rsidRDefault="009504F7" w:rsidP="00195EE8">
      <w:pPr>
        <w:spacing w:line="240" w:lineRule="auto"/>
        <w:jc w:val="center"/>
        <w:rPr>
          <w:rFonts w:ascii="Arial" w:hAnsi="Arial" w:cs="Arial"/>
          <w:b/>
          <w:sz w:val="24"/>
          <w:szCs w:val="24"/>
          <w:u w:val="single"/>
        </w:rPr>
      </w:pPr>
    </w:p>
    <w:p w:rsidR="009504F7" w:rsidRDefault="009504F7" w:rsidP="00195EE8">
      <w:pPr>
        <w:spacing w:line="240" w:lineRule="auto"/>
        <w:jc w:val="center"/>
        <w:rPr>
          <w:rFonts w:ascii="Arial" w:hAnsi="Arial" w:cs="Arial"/>
          <w:b/>
          <w:sz w:val="24"/>
          <w:szCs w:val="24"/>
          <w:u w:val="single"/>
        </w:rPr>
      </w:pPr>
    </w:p>
    <w:p w:rsidR="009504F7" w:rsidRDefault="009504F7" w:rsidP="00195EE8">
      <w:pPr>
        <w:spacing w:line="240" w:lineRule="auto"/>
        <w:jc w:val="center"/>
        <w:rPr>
          <w:rFonts w:ascii="Arial" w:hAnsi="Arial" w:cs="Arial"/>
          <w:b/>
          <w:sz w:val="24"/>
          <w:szCs w:val="24"/>
          <w:u w:val="single"/>
        </w:rPr>
      </w:pPr>
    </w:p>
    <w:p w:rsidR="009504F7" w:rsidRDefault="009504F7" w:rsidP="00195EE8">
      <w:pPr>
        <w:spacing w:line="240" w:lineRule="auto"/>
        <w:jc w:val="center"/>
        <w:rPr>
          <w:rFonts w:ascii="Arial" w:hAnsi="Arial" w:cs="Arial"/>
          <w:b/>
          <w:sz w:val="24"/>
          <w:szCs w:val="24"/>
          <w:u w:val="single"/>
        </w:rPr>
      </w:pPr>
    </w:p>
    <w:p w:rsidR="009504F7" w:rsidRDefault="009504F7" w:rsidP="00195EE8">
      <w:pPr>
        <w:spacing w:line="240" w:lineRule="auto"/>
        <w:jc w:val="center"/>
        <w:rPr>
          <w:rFonts w:ascii="Arial" w:hAnsi="Arial" w:cs="Arial"/>
          <w:b/>
          <w:sz w:val="24"/>
          <w:szCs w:val="24"/>
          <w:u w:val="single"/>
        </w:rPr>
      </w:pPr>
    </w:p>
    <w:p w:rsidR="009504F7" w:rsidRDefault="009504F7" w:rsidP="00195EE8">
      <w:pPr>
        <w:spacing w:line="240" w:lineRule="auto"/>
        <w:jc w:val="center"/>
        <w:rPr>
          <w:rFonts w:ascii="Arial" w:hAnsi="Arial" w:cs="Arial"/>
          <w:b/>
          <w:sz w:val="24"/>
          <w:szCs w:val="24"/>
          <w:u w:val="single"/>
        </w:rPr>
      </w:pPr>
    </w:p>
    <w:p w:rsidR="009504F7" w:rsidRDefault="009504F7" w:rsidP="00195EE8">
      <w:pPr>
        <w:spacing w:line="240" w:lineRule="auto"/>
        <w:jc w:val="center"/>
        <w:rPr>
          <w:rFonts w:ascii="Arial" w:hAnsi="Arial" w:cs="Arial"/>
          <w:b/>
          <w:sz w:val="24"/>
          <w:szCs w:val="24"/>
          <w:u w:val="single"/>
        </w:rPr>
      </w:pPr>
    </w:p>
    <w:p w:rsidR="009504F7" w:rsidRDefault="009504F7" w:rsidP="00195EE8">
      <w:pPr>
        <w:spacing w:line="240" w:lineRule="auto"/>
        <w:jc w:val="center"/>
        <w:rPr>
          <w:rFonts w:ascii="Arial" w:hAnsi="Arial" w:cs="Arial"/>
          <w:b/>
          <w:sz w:val="24"/>
          <w:szCs w:val="24"/>
          <w:u w:val="single"/>
        </w:rPr>
      </w:pPr>
    </w:p>
    <w:p w:rsidR="009504F7" w:rsidRDefault="009504F7" w:rsidP="00195EE8">
      <w:pPr>
        <w:spacing w:line="240" w:lineRule="auto"/>
        <w:jc w:val="center"/>
        <w:rPr>
          <w:rFonts w:ascii="Arial" w:hAnsi="Arial" w:cs="Arial"/>
          <w:b/>
          <w:sz w:val="24"/>
          <w:szCs w:val="24"/>
          <w:u w:val="single"/>
        </w:rPr>
      </w:pPr>
    </w:p>
    <w:p w:rsidR="009504F7" w:rsidRDefault="009504F7" w:rsidP="00195EE8">
      <w:pPr>
        <w:spacing w:line="240" w:lineRule="auto"/>
        <w:jc w:val="center"/>
        <w:rPr>
          <w:rFonts w:ascii="Arial" w:hAnsi="Arial" w:cs="Arial"/>
          <w:b/>
          <w:sz w:val="24"/>
          <w:szCs w:val="24"/>
          <w:u w:val="single"/>
        </w:rPr>
      </w:pPr>
    </w:p>
    <w:p w:rsidR="009504F7" w:rsidRDefault="009504F7" w:rsidP="00195EE8">
      <w:pPr>
        <w:spacing w:line="240" w:lineRule="auto"/>
        <w:jc w:val="center"/>
        <w:rPr>
          <w:rFonts w:ascii="Arial" w:hAnsi="Arial" w:cs="Arial"/>
          <w:b/>
          <w:sz w:val="24"/>
          <w:szCs w:val="24"/>
          <w:u w:val="single"/>
        </w:rPr>
      </w:pPr>
    </w:p>
    <w:p w:rsidR="009504F7" w:rsidRDefault="009504F7" w:rsidP="00195EE8">
      <w:pPr>
        <w:spacing w:line="240" w:lineRule="auto"/>
        <w:jc w:val="center"/>
        <w:rPr>
          <w:rFonts w:ascii="Arial" w:hAnsi="Arial" w:cs="Arial"/>
          <w:b/>
          <w:sz w:val="24"/>
          <w:szCs w:val="24"/>
          <w:u w:val="single"/>
        </w:rPr>
      </w:pPr>
    </w:p>
    <w:p w:rsidR="009504F7" w:rsidRDefault="009504F7" w:rsidP="00195EE8">
      <w:pPr>
        <w:spacing w:line="240" w:lineRule="auto"/>
        <w:jc w:val="center"/>
        <w:rPr>
          <w:rFonts w:ascii="Arial" w:hAnsi="Arial" w:cs="Arial"/>
          <w:b/>
          <w:sz w:val="24"/>
          <w:szCs w:val="24"/>
          <w:u w:val="single"/>
        </w:rPr>
      </w:pPr>
    </w:p>
    <w:p w:rsidR="009504F7" w:rsidRDefault="009504F7" w:rsidP="00195EE8">
      <w:pPr>
        <w:spacing w:line="240" w:lineRule="auto"/>
        <w:jc w:val="center"/>
        <w:rPr>
          <w:rFonts w:ascii="Arial" w:hAnsi="Arial" w:cs="Arial"/>
          <w:b/>
          <w:sz w:val="24"/>
          <w:szCs w:val="24"/>
          <w:u w:val="single"/>
        </w:rPr>
      </w:pPr>
    </w:p>
    <w:p w:rsidR="00195EE8" w:rsidRDefault="00052AFE" w:rsidP="00195EE8">
      <w:pPr>
        <w:spacing w:line="240" w:lineRule="auto"/>
        <w:jc w:val="center"/>
        <w:rPr>
          <w:rFonts w:ascii="Arial" w:hAnsi="Arial" w:cs="Arial"/>
          <w:b/>
          <w:sz w:val="24"/>
          <w:szCs w:val="24"/>
          <w:u w:val="single"/>
        </w:rPr>
      </w:pPr>
      <w:r>
        <w:rPr>
          <w:rFonts w:ascii="Arial" w:hAnsi="Arial" w:cs="Arial"/>
          <w:b/>
          <w:sz w:val="24"/>
          <w:szCs w:val="24"/>
          <w:u w:val="single"/>
        </w:rPr>
        <w:lastRenderedPageBreak/>
        <w:t>D</w:t>
      </w:r>
      <w:r w:rsidRPr="008F2712">
        <w:rPr>
          <w:rFonts w:ascii="Arial" w:hAnsi="Arial" w:cs="Arial"/>
          <w:b/>
          <w:sz w:val="24"/>
          <w:szCs w:val="24"/>
          <w:u w:val="single"/>
        </w:rPr>
        <w:t xml:space="preserve">iane </w:t>
      </w:r>
      <w:proofErr w:type="spellStart"/>
      <w:r>
        <w:rPr>
          <w:rFonts w:ascii="Arial" w:hAnsi="Arial" w:cs="Arial"/>
          <w:b/>
          <w:sz w:val="24"/>
          <w:szCs w:val="24"/>
          <w:u w:val="single"/>
        </w:rPr>
        <w:t>S</w:t>
      </w:r>
      <w:r w:rsidRPr="008F2712">
        <w:rPr>
          <w:rFonts w:ascii="Arial" w:hAnsi="Arial" w:cs="Arial"/>
          <w:b/>
          <w:sz w:val="24"/>
          <w:szCs w:val="24"/>
          <w:u w:val="single"/>
        </w:rPr>
        <w:t>tankaitis</w:t>
      </w:r>
      <w:proofErr w:type="spellEnd"/>
      <w:r w:rsidRPr="008F2712">
        <w:rPr>
          <w:rFonts w:ascii="Arial" w:hAnsi="Arial" w:cs="Arial"/>
          <w:b/>
          <w:sz w:val="24"/>
          <w:szCs w:val="24"/>
          <w:u w:val="single"/>
        </w:rPr>
        <w:t xml:space="preserve"> </w:t>
      </w:r>
      <w:r w:rsidR="008F2712" w:rsidRPr="008F2712">
        <w:rPr>
          <w:rFonts w:ascii="Arial" w:hAnsi="Arial" w:cs="Arial"/>
          <w:b/>
          <w:sz w:val="24"/>
          <w:szCs w:val="24"/>
          <w:u w:val="single"/>
        </w:rPr>
        <w:t>(1402208)</w:t>
      </w:r>
    </w:p>
    <w:p w:rsidR="008F2712" w:rsidRPr="008F2712" w:rsidRDefault="008F2712" w:rsidP="00195EE8">
      <w:pPr>
        <w:spacing w:line="240" w:lineRule="auto"/>
        <w:jc w:val="center"/>
        <w:rPr>
          <w:rFonts w:ascii="Arial" w:hAnsi="Arial" w:cs="Arial"/>
          <w:b/>
          <w:sz w:val="24"/>
          <w:szCs w:val="24"/>
          <w:u w:val="single"/>
        </w:rPr>
      </w:pPr>
      <w:r w:rsidRPr="008F2712">
        <w:rPr>
          <w:rFonts w:ascii="Arial" w:hAnsi="Arial" w:cs="Arial"/>
          <w:b/>
          <w:sz w:val="24"/>
          <w:szCs w:val="24"/>
          <w:u w:val="single"/>
        </w:rPr>
        <w:t>HPRS7015</w:t>
      </w:r>
    </w:p>
    <w:p w:rsidR="008F2712" w:rsidRPr="008F2712" w:rsidRDefault="008F2712" w:rsidP="00195EE8">
      <w:pPr>
        <w:spacing w:line="240" w:lineRule="auto"/>
        <w:jc w:val="center"/>
        <w:rPr>
          <w:rFonts w:ascii="Arial" w:hAnsi="Arial" w:cs="Arial"/>
          <w:b/>
          <w:sz w:val="24"/>
          <w:szCs w:val="24"/>
          <w:u w:val="single"/>
        </w:rPr>
      </w:pPr>
      <w:r w:rsidRPr="008F2712">
        <w:rPr>
          <w:rFonts w:ascii="Arial" w:hAnsi="Arial" w:cs="Arial"/>
          <w:b/>
          <w:sz w:val="24"/>
          <w:szCs w:val="24"/>
          <w:u w:val="single"/>
        </w:rPr>
        <w:t>Assessment One</w:t>
      </w:r>
    </w:p>
    <w:p w:rsidR="008F2712" w:rsidRPr="008F2712" w:rsidRDefault="008F2712" w:rsidP="00195EE8">
      <w:pPr>
        <w:spacing w:line="240" w:lineRule="auto"/>
        <w:jc w:val="center"/>
        <w:rPr>
          <w:rFonts w:ascii="Arial" w:hAnsi="Arial" w:cs="Arial"/>
          <w:b/>
          <w:sz w:val="24"/>
          <w:szCs w:val="24"/>
          <w:u w:val="single"/>
        </w:rPr>
      </w:pPr>
      <w:r w:rsidRPr="008F2712">
        <w:rPr>
          <w:rFonts w:ascii="Arial" w:hAnsi="Arial" w:cs="Arial"/>
          <w:b/>
          <w:sz w:val="24"/>
          <w:szCs w:val="24"/>
          <w:u w:val="single"/>
        </w:rPr>
        <w:t>What is reception history, and does it have value in biblical stu</w:t>
      </w:r>
      <w:r w:rsidR="00CB1C12">
        <w:rPr>
          <w:rFonts w:ascii="Arial" w:hAnsi="Arial" w:cs="Arial"/>
          <w:b/>
          <w:sz w:val="24"/>
          <w:szCs w:val="24"/>
          <w:u w:val="single"/>
        </w:rPr>
        <w:t>dies?</w:t>
      </w:r>
    </w:p>
    <w:p w:rsidR="008F2712" w:rsidRDefault="008F2712" w:rsidP="008F2712">
      <w:pPr>
        <w:rPr>
          <w:rFonts w:ascii="Arial" w:hAnsi="Arial" w:cs="Arial"/>
          <w:sz w:val="24"/>
          <w:szCs w:val="24"/>
        </w:rPr>
      </w:pPr>
      <w:r>
        <w:rPr>
          <w:rFonts w:ascii="Arial" w:hAnsi="Arial" w:cs="Arial"/>
          <w:sz w:val="24"/>
          <w:szCs w:val="24"/>
        </w:rPr>
        <w:t>___________________________________________________________________</w:t>
      </w:r>
    </w:p>
    <w:p w:rsidR="00534F70" w:rsidRDefault="007C13D9" w:rsidP="00333C0A">
      <w:pPr>
        <w:spacing w:after="0"/>
        <w:jc w:val="both"/>
        <w:rPr>
          <w:rFonts w:ascii="Arial" w:hAnsi="Arial" w:cs="Arial"/>
          <w:sz w:val="24"/>
          <w:szCs w:val="24"/>
        </w:rPr>
      </w:pPr>
      <w:r>
        <w:rPr>
          <w:rFonts w:ascii="Arial" w:hAnsi="Arial" w:cs="Arial"/>
          <w:sz w:val="24"/>
          <w:szCs w:val="24"/>
        </w:rPr>
        <w:tab/>
      </w:r>
      <w:r w:rsidR="00450DFC">
        <w:rPr>
          <w:rFonts w:ascii="Arial" w:hAnsi="Arial" w:cs="Arial"/>
          <w:sz w:val="24"/>
          <w:szCs w:val="24"/>
        </w:rPr>
        <w:t>This</w:t>
      </w:r>
      <w:r w:rsidR="008F2712">
        <w:rPr>
          <w:rFonts w:ascii="Arial" w:hAnsi="Arial" w:cs="Arial"/>
          <w:sz w:val="24"/>
          <w:szCs w:val="24"/>
        </w:rPr>
        <w:t xml:space="preserve"> essay</w:t>
      </w:r>
      <w:r>
        <w:rPr>
          <w:rFonts w:ascii="Arial" w:hAnsi="Arial" w:cs="Arial"/>
          <w:sz w:val="24"/>
          <w:szCs w:val="24"/>
        </w:rPr>
        <w:t xml:space="preserve"> </w:t>
      </w:r>
      <w:r w:rsidR="00450DFC">
        <w:rPr>
          <w:rFonts w:ascii="Arial" w:hAnsi="Arial" w:cs="Arial"/>
          <w:sz w:val="24"/>
          <w:szCs w:val="24"/>
        </w:rPr>
        <w:t>aims</w:t>
      </w:r>
      <w:r>
        <w:rPr>
          <w:rFonts w:ascii="Arial" w:hAnsi="Arial" w:cs="Arial"/>
          <w:sz w:val="24"/>
          <w:szCs w:val="24"/>
        </w:rPr>
        <w:t xml:space="preserve"> to</w:t>
      </w:r>
      <w:r w:rsidR="008F2712">
        <w:rPr>
          <w:rFonts w:ascii="Arial" w:hAnsi="Arial" w:cs="Arial"/>
          <w:sz w:val="24"/>
          <w:szCs w:val="24"/>
        </w:rPr>
        <w:t xml:space="preserve"> </w:t>
      </w:r>
      <w:r>
        <w:rPr>
          <w:rFonts w:ascii="Arial" w:hAnsi="Arial" w:cs="Arial"/>
          <w:sz w:val="24"/>
          <w:szCs w:val="24"/>
        </w:rPr>
        <w:t>identify</w:t>
      </w:r>
      <w:r w:rsidR="008F2712">
        <w:rPr>
          <w:rFonts w:ascii="Arial" w:hAnsi="Arial" w:cs="Arial"/>
          <w:sz w:val="24"/>
          <w:szCs w:val="24"/>
        </w:rPr>
        <w:t xml:space="preserve"> </w:t>
      </w:r>
      <w:r>
        <w:rPr>
          <w:rFonts w:ascii="Arial" w:hAnsi="Arial" w:cs="Arial"/>
          <w:sz w:val="24"/>
          <w:szCs w:val="24"/>
        </w:rPr>
        <w:t>the nature of ‘</w:t>
      </w:r>
      <w:r w:rsidR="008F2712">
        <w:rPr>
          <w:rFonts w:ascii="Arial" w:hAnsi="Arial" w:cs="Arial"/>
          <w:sz w:val="24"/>
          <w:szCs w:val="24"/>
        </w:rPr>
        <w:t>reception history</w:t>
      </w:r>
      <w:r>
        <w:rPr>
          <w:rFonts w:ascii="Arial" w:hAnsi="Arial" w:cs="Arial"/>
          <w:sz w:val="24"/>
          <w:szCs w:val="24"/>
        </w:rPr>
        <w:t>’</w:t>
      </w:r>
      <w:r w:rsidR="008F2712">
        <w:rPr>
          <w:rFonts w:ascii="Arial" w:hAnsi="Arial" w:cs="Arial"/>
          <w:sz w:val="24"/>
          <w:szCs w:val="24"/>
        </w:rPr>
        <w:t xml:space="preserve"> in the context of biblical studies</w:t>
      </w:r>
      <w:r>
        <w:rPr>
          <w:rFonts w:ascii="Arial" w:hAnsi="Arial" w:cs="Arial"/>
          <w:sz w:val="24"/>
          <w:szCs w:val="24"/>
        </w:rPr>
        <w:t>, focusing on</w:t>
      </w:r>
      <w:r w:rsidR="00241278">
        <w:rPr>
          <w:rFonts w:ascii="Arial" w:hAnsi="Arial" w:cs="Arial"/>
          <w:sz w:val="24"/>
          <w:szCs w:val="24"/>
        </w:rPr>
        <w:t xml:space="preserve"> </w:t>
      </w:r>
      <w:r>
        <w:rPr>
          <w:rFonts w:ascii="Arial" w:hAnsi="Arial" w:cs="Arial"/>
          <w:sz w:val="24"/>
          <w:szCs w:val="24"/>
        </w:rPr>
        <w:t>definitio</w:t>
      </w:r>
      <w:r w:rsidR="008412BB">
        <w:rPr>
          <w:rFonts w:ascii="Arial" w:hAnsi="Arial" w:cs="Arial"/>
          <w:sz w:val="24"/>
          <w:szCs w:val="24"/>
        </w:rPr>
        <w:t>ns/</w:t>
      </w:r>
      <w:r>
        <w:rPr>
          <w:rFonts w:ascii="Arial" w:hAnsi="Arial" w:cs="Arial"/>
          <w:sz w:val="24"/>
          <w:szCs w:val="24"/>
        </w:rPr>
        <w:t>history,</w:t>
      </w:r>
      <w:r w:rsidR="00241278">
        <w:rPr>
          <w:rFonts w:ascii="Arial" w:hAnsi="Arial" w:cs="Arial"/>
          <w:sz w:val="24"/>
          <w:szCs w:val="24"/>
        </w:rPr>
        <w:t xml:space="preserve"> </w:t>
      </w:r>
      <w:r w:rsidR="00566A94">
        <w:rPr>
          <w:rFonts w:ascii="Arial" w:hAnsi="Arial" w:cs="Arial"/>
          <w:sz w:val="24"/>
          <w:szCs w:val="24"/>
        </w:rPr>
        <w:t>inf</w:t>
      </w:r>
      <w:r>
        <w:rPr>
          <w:rFonts w:ascii="Arial" w:hAnsi="Arial" w:cs="Arial"/>
          <w:sz w:val="24"/>
          <w:szCs w:val="24"/>
        </w:rPr>
        <w:t xml:space="preserve">luences of reception historians, </w:t>
      </w:r>
      <w:r w:rsidR="00553A57">
        <w:rPr>
          <w:rFonts w:ascii="Arial" w:hAnsi="Arial" w:cs="Arial"/>
          <w:sz w:val="24"/>
          <w:szCs w:val="24"/>
        </w:rPr>
        <w:t xml:space="preserve">scholarly debates concerning </w:t>
      </w:r>
      <w:r w:rsidR="00241278">
        <w:rPr>
          <w:rFonts w:ascii="Arial" w:hAnsi="Arial" w:cs="Arial"/>
          <w:sz w:val="24"/>
          <w:szCs w:val="24"/>
        </w:rPr>
        <w:t>recept</w:t>
      </w:r>
      <w:r>
        <w:rPr>
          <w:rFonts w:ascii="Arial" w:hAnsi="Arial" w:cs="Arial"/>
          <w:sz w:val="24"/>
          <w:szCs w:val="24"/>
        </w:rPr>
        <w:t>ion history</w:t>
      </w:r>
      <w:r w:rsidR="008D53B5">
        <w:rPr>
          <w:rFonts w:ascii="Arial" w:hAnsi="Arial" w:cs="Arial"/>
          <w:sz w:val="24"/>
          <w:szCs w:val="24"/>
        </w:rPr>
        <w:t xml:space="preserve"> and its relationship</w:t>
      </w:r>
      <w:r>
        <w:rPr>
          <w:rFonts w:ascii="Arial" w:hAnsi="Arial" w:cs="Arial"/>
          <w:sz w:val="24"/>
          <w:szCs w:val="24"/>
        </w:rPr>
        <w:t xml:space="preserve"> with </w:t>
      </w:r>
      <w:r w:rsidR="008D53B5">
        <w:rPr>
          <w:rFonts w:ascii="Arial" w:hAnsi="Arial" w:cs="Arial"/>
          <w:sz w:val="24"/>
          <w:szCs w:val="24"/>
        </w:rPr>
        <w:t>biblical criticism</w:t>
      </w:r>
      <w:r>
        <w:rPr>
          <w:rFonts w:ascii="Arial" w:hAnsi="Arial" w:cs="Arial"/>
          <w:sz w:val="24"/>
          <w:szCs w:val="24"/>
        </w:rPr>
        <w:t>,</w:t>
      </w:r>
      <w:r w:rsidR="00241278">
        <w:rPr>
          <w:rFonts w:ascii="Arial" w:hAnsi="Arial" w:cs="Arial"/>
          <w:sz w:val="24"/>
          <w:szCs w:val="24"/>
        </w:rPr>
        <w:t xml:space="preserve"> </w:t>
      </w:r>
      <w:r w:rsidR="00B0785F">
        <w:rPr>
          <w:rFonts w:ascii="Arial" w:hAnsi="Arial" w:cs="Arial"/>
          <w:sz w:val="24"/>
          <w:szCs w:val="24"/>
        </w:rPr>
        <w:t xml:space="preserve">its </w:t>
      </w:r>
      <w:r w:rsidR="00FA04E5">
        <w:rPr>
          <w:rFonts w:ascii="Arial" w:hAnsi="Arial" w:cs="Arial"/>
          <w:sz w:val="24"/>
          <w:szCs w:val="24"/>
        </w:rPr>
        <w:t>value in biblical studies,</w:t>
      </w:r>
      <w:r w:rsidR="008412BB">
        <w:rPr>
          <w:rFonts w:ascii="Arial" w:hAnsi="Arial" w:cs="Arial"/>
          <w:sz w:val="24"/>
          <w:szCs w:val="24"/>
        </w:rPr>
        <w:t xml:space="preserve"> and</w:t>
      </w:r>
      <w:r w:rsidR="00241278">
        <w:rPr>
          <w:rFonts w:ascii="Arial" w:hAnsi="Arial" w:cs="Arial"/>
          <w:sz w:val="24"/>
          <w:szCs w:val="24"/>
        </w:rPr>
        <w:t xml:space="preserve"> future</w:t>
      </w:r>
      <w:r w:rsidR="00534F70">
        <w:rPr>
          <w:rFonts w:ascii="Arial" w:hAnsi="Arial" w:cs="Arial"/>
          <w:sz w:val="24"/>
          <w:szCs w:val="24"/>
        </w:rPr>
        <w:t xml:space="preserve"> directions.</w:t>
      </w:r>
    </w:p>
    <w:p w:rsidR="008D53B5" w:rsidRDefault="008D53B5" w:rsidP="00333C0A">
      <w:pPr>
        <w:spacing w:after="0"/>
        <w:jc w:val="both"/>
        <w:rPr>
          <w:rFonts w:ascii="Arial" w:hAnsi="Arial" w:cs="Arial"/>
          <w:sz w:val="24"/>
          <w:szCs w:val="24"/>
        </w:rPr>
      </w:pPr>
    </w:p>
    <w:p w:rsidR="008D53B5" w:rsidRDefault="008D53B5" w:rsidP="00333C0A">
      <w:pPr>
        <w:spacing w:after="0"/>
        <w:jc w:val="both"/>
        <w:rPr>
          <w:rFonts w:ascii="Arial" w:hAnsi="Arial" w:cs="Arial"/>
          <w:sz w:val="24"/>
          <w:szCs w:val="24"/>
          <w:u w:val="single"/>
        </w:rPr>
      </w:pPr>
      <w:r>
        <w:rPr>
          <w:rFonts w:ascii="Arial" w:hAnsi="Arial" w:cs="Arial"/>
          <w:sz w:val="24"/>
          <w:szCs w:val="24"/>
          <w:u w:val="single"/>
        </w:rPr>
        <w:t>Definition</w:t>
      </w:r>
      <w:r w:rsidR="00CF394E">
        <w:rPr>
          <w:rFonts w:ascii="Arial" w:hAnsi="Arial" w:cs="Arial"/>
          <w:sz w:val="24"/>
          <w:szCs w:val="24"/>
          <w:u w:val="single"/>
        </w:rPr>
        <w:t>s/</w:t>
      </w:r>
      <w:r w:rsidR="00C92CDA">
        <w:rPr>
          <w:rFonts w:ascii="Arial" w:hAnsi="Arial" w:cs="Arial"/>
          <w:sz w:val="24"/>
          <w:szCs w:val="24"/>
          <w:u w:val="single"/>
        </w:rPr>
        <w:t>History</w:t>
      </w:r>
    </w:p>
    <w:p w:rsidR="008D53B5" w:rsidRPr="008D53B5" w:rsidRDefault="008D53B5" w:rsidP="00333C0A">
      <w:pPr>
        <w:spacing w:after="0"/>
        <w:jc w:val="both"/>
        <w:rPr>
          <w:rFonts w:ascii="Arial" w:hAnsi="Arial" w:cs="Arial"/>
          <w:sz w:val="24"/>
          <w:szCs w:val="24"/>
          <w:u w:val="single"/>
        </w:rPr>
      </w:pPr>
    </w:p>
    <w:p w:rsidR="00AA3DD2" w:rsidRDefault="00566A94" w:rsidP="00333C0A">
      <w:pPr>
        <w:spacing w:after="0"/>
        <w:jc w:val="both"/>
        <w:rPr>
          <w:rFonts w:ascii="Arial" w:hAnsi="Arial" w:cs="Arial"/>
          <w:sz w:val="24"/>
          <w:szCs w:val="24"/>
        </w:rPr>
      </w:pPr>
      <w:r>
        <w:rPr>
          <w:rFonts w:ascii="Arial" w:hAnsi="Arial" w:cs="Arial"/>
          <w:sz w:val="24"/>
          <w:szCs w:val="24"/>
        </w:rPr>
        <w:tab/>
        <w:t>Brennan Breed defines reception history as “the study of how biblical texts have changed over time in different cultures and communities, through transmission, translation, or reading, retelling and reworking”</w:t>
      </w:r>
      <w:r w:rsidR="00CF394E">
        <w:rPr>
          <w:rFonts w:ascii="Arial" w:hAnsi="Arial" w:cs="Arial"/>
          <w:sz w:val="24"/>
          <w:szCs w:val="24"/>
        </w:rPr>
        <w:t>,</w:t>
      </w:r>
      <w:r w:rsidR="00597E2E">
        <w:rPr>
          <w:rFonts w:ascii="Arial" w:hAnsi="Arial" w:cs="Arial"/>
          <w:sz w:val="24"/>
          <w:szCs w:val="24"/>
        </w:rPr>
        <w:t xml:space="preserve"> includ</w:t>
      </w:r>
      <w:r w:rsidR="00CF394E">
        <w:rPr>
          <w:rFonts w:ascii="Arial" w:hAnsi="Arial" w:cs="Arial"/>
          <w:sz w:val="24"/>
          <w:szCs w:val="24"/>
        </w:rPr>
        <w:t>ing</w:t>
      </w:r>
      <w:r w:rsidR="00597E2E">
        <w:rPr>
          <w:rFonts w:ascii="Arial" w:hAnsi="Arial" w:cs="Arial"/>
          <w:sz w:val="24"/>
          <w:szCs w:val="24"/>
        </w:rPr>
        <w:t xml:space="preserve"> film and dramatic rep</w:t>
      </w:r>
      <w:r w:rsidR="00450DFC">
        <w:rPr>
          <w:rFonts w:ascii="Arial" w:hAnsi="Arial" w:cs="Arial"/>
          <w:sz w:val="24"/>
          <w:szCs w:val="24"/>
        </w:rPr>
        <w:t>resentations of biblical stories</w:t>
      </w:r>
      <w:r w:rsidR="00597E2E">
        <w:rPr>
          <w:rFonts w:ascii="Arial" w:hAnsi="Arial" w:cs="Arial"/>
          <w:sz w:val="24"/>
          <w:szCs w:val="24"/>
        </w:rPr>
        <w:t>.</w:t>
      </w:r>
      <w:r>
        <w:rPr>
          <w:rStyle w:val="FootnoteReference"/>
          <w:rFonts w:ascii="Arial" w:hAnsi="Arial" w:cs="Arial"/>
          <w:sz w:val="24"/>
          <w:szCs w:val="24"/>
        </w:rPr>
        <w:footnoteReference w:id="1"/>
      </w:r>
      <w:r w:rsidR="00052AFE">
        <w:rPr>
          <w:rFonts w:ascii="Arial" w:hAnsi="Arial" w:cs="Arial"/>
          <w:sz w:val="24"/>
          <w:szCs w:val="24"/>
        </w:rPr>
        <w:t xml:space="preserve"> Timothy Beal defines</w:t>
      </w:r>
      <w:r w:rsidR="00204A91">
        <w:rPr>
          <w:rFonts w:ascii="Arial" w:hAnsi="Arial" w:cs="Arial"/>
          <w:sz w:val="24"/>
          <w:szCs w:val="24"/>
        </w:rPr>
        <w:t xml:space="preserve"> it as “the history of the reception of biblical texts, stories, images and characters, through the centuries, in the form of citation, interpretation, reading, revision, adaptation and influence”</w:t>
      </w:r>
      <w:r w:rsidR="008D53B5">
        <w:rPr>
          <w:rFonts w:ascii="Arial" w:hAnsi="Arial" w:cs="Arial"/>
          <w:sz w:val="24"/>
          <w:szCs w:val="24"/>
        </w:rPr>
        <w:t>, including</w:t>
      </w:r>
      <w:r w:rsidR="00204A91">
        <w:rPr>
          <w:rFonts w:ascii="Arial" w:hAnsi="Arial" w:cs="Arial"/>
          <w:sz w:val="24"/>
          <w:szCs w:val="24"/>
        </w:rPr>
        <w:t xml:space="preserve"> representation in “visual art, literature, music, politics, and other works of culture”</w:t>
      </w:r>
      <w:r w:rsidR="00780420">
        <w:rPr>
          <w:rFonts w:ascii="Arial" w:hAnsi="Arial" w:cs="Arial"/>
          <w:sz w:val="24"/>
          <w:szCs w:val="24"/>
        </w:rPr>
        <w:t>.</w:t>
      </w:r>
      <w:r w:rsidR="00780420">
        <w:rPr>
          <w:rStyle w:val="FootnoteReference"/>
          <w:rFonts w:ascii="Arial" w:hAnsi="Arial" w:cs="Arial"/>
          <w:sz w:val="24"/>
          <w:szCs w:val="24"/>
        </w:rPr>
        <w:footnoteReference w:id="2"/>
      </w:r>
      <w:r w:rsidR="0026562E">
        <w:rPr>
          <w:rFonts w:ascii="Arial" w:hAnsi="Arial" w:cs="Arial"/>
          <w:sz w:val="24"/>
          <w:szCs w:val="24"/>
        </w:rPr>
        <w:t xml:space="preserve"> Christine </w:t>
      </w:r>
      <w:proofErr w:type="spellStart"/>
      <w:r w:rsidR="0026562E">
        <w:rPr>
          <w:rFonts w:ascii="Arial" w:hAnsi="Arial" w:cs="Arial"/>
          <w:sz w:val="24"/>
          <w:szCs w:val="24"/>
        </w:rPr>
        <w:t>Joynes</w:t>
      </w:r>
      <w:proofErr w:type="spellEnd"/>
      <w:r w:rsidR="0026562E">
        <w:rPr>
          <w:rFonts w:ascii="Arial" w:hAnsi="Arial" w:cs="Arial"/>
          <w:sz w:val="24"/>
          <w:szCs w:val="24"/>
        </w:rPr>
        <w:t xml:space="preserve"> </w:t>
      </w:r>
      <w:r w:rsidR="00CF394E">
        <w:rPr>
          <w:rFonts w:ascii="Arial" w:hAnsi="Arial" w:cs="Arial"/>
          <w:sz w:val="24"/>
          <w:szCs w:val="24"/>
        </w:rPr>
        <w:t xml:space="preserve">considers it important that </w:t>
      </w:r>
      <w:r w:rsidR="0026562E">
        <w:rPr>
          <w:rFonts w:ascii="Arial" w:hAnsi="Arial" w:cs="Arial"/>
          <w:sz w:val="24"/>
          <w:szCs w:val="24"/>
        </w:rPr>
        <w:t>“seeing and hearing dimensions”</w:t>
      </w:r>
      <w:r w:rsidR="00CF394E">
        <w:rPr>
          <w:rFonts w:ascii="Arial" w:hAnsi="Arial" w:cs="Arial"/>
          <w:sz w:val="24"/>
          <w:szCs w:val="24"/>
        </w:rPr>
        <w:t xml:space="preserve"> </w:t>
      </w:r>
      <w:r w:rsidR="00450DFC">
        <w:rPr>
          <w:rFonts w:ascii="Arial" w:hAnsi="Arial" w:cs="Arial"/>
          <w:sz w:val="24"/>
          <w:szCs w:val="24"/>
        </w:rPr>
        <w:t>be included</w:t>
      </w:r>
      <w:r w:rsidR="00743689">
        <w:rPr>
          <w:rFonts w:ascii="Arial" w:hAnsi="Arial" w:cs="Arial"/>
          <w:sz w:val="24"/>
          <w:szCs w:val="24"/>
        </w:rPr>
        <w:t>.</w:t>
      </w:r>
      <w:r w:rsidR="00743689">
        <w:rPr>
          <w:rStyle w:val="FootnoteReference"/>
          <w:rFonts w:ascii="Arial" w:hAnsi="Arial" w:cs="Arial"/>
          <w:sz w:val="24"/>
          <w:szCs w:val="24"/>
        </w:rPr>
        <w:footnoteReference w:id="3"/>
      </w:r>
      <w:r w:rsidR="00C92CDA">
        <w:rPr>
          <w:rFonts w:ascii="Arial" w:hAnsi="Arial" w:cs="Arial"/>
          <w:sz w:val="24"/>
          <w:szCs w:val="24"/>
        </w:rPr>
        <w:t xml:space="preserve"> </w:t>
      </w:r>
      <w:r w:rsidR="00AA3DD2">
        <w:rPr>
          <w:rFonts w:ascii="Arial" w:hAnsi="Arial" w:cs="Arial"/>
          <w:sz w:val="24"/>
          <w:szCs w:val="24"/>
        </w:rPr>
        <w:t xml:space="preserve">Andrew </w:t>
      </w:r>
      <w:proofErr w:type="spellStart"/>
      <w:r w:rsidR="00AA3DD2">
        <w:rPr>
          <w:rFonts w:ascii="Arial" w:hAnsi="Arial" w:cs="Arial"/>
          <w:sz w:val="24"/>
          <w:szCs w:val="24"/>
        </w:rPr>
        <w:t>Dearman</w:t>
      </w:r>
      <w:proofErr w:type="spellEnd"/>
      <w:r w:rsidR="00AA3DD2">
        <w:rPr>
          <w:rFonts w:ascii="Arial" w:hAnsi="Arial" w:cs="Arial"/>
          <w:sz w:val="24"/>
          <w:szCs w:val="24"/>
        </w:rPr>
        <w:t xml:space="preserve"> </w:t>
      </w:r>
      <w:r w:rsidR="00F254E4">
        <w:rPr>
          <w:rFonts w:ascii="Arial" w:hAnsi="Arial" w:cs="Arial"/>
          <w:sz w:val="24"/>
          <w:szCs w:val="24"/>
        </w:rPr>
        <w:t>adds</w:t>
      </w:r>
      <w:r w:rsidR="00AA3DD2">
        <w:rPr>
          <w:rFonts w:ascii="Arial" w:hAnsi="Arial" w:cs="Arial"/>
          <w:sz w:val="24"/>
          <w:szCs w:val="24"/>
        </w:rPr>
        <w:t xml:space="preserve"> that reception history </w:t>
      </w:r>
      <w:r w:rsidR="00C92CDA">
        <w:rPr>
          <w:rFonts w:ascii="Arial" w:hAnsi="Arial" w:cs="Arial"/>
          <w:sz w:val="24"/>
          <w:szCs w:val="24"/>
        </w:rPr>
        <w:t>concerns</w:t>
      </w:r>
      <w:r w:rsidR="008412BB">
        <w:rPr>
          <w:rFonts w:ascii="Arial" w:hAnsi="Arial" w:cs="Arial"/>
          <w:sz w:val="24"/>
          <w:szCs w:val="24"/>
        </w:rPr>
        <w:t xml:space="preserve"> how individuals</w:t>
      </w:r>
      <w:r w:rsidR="00AA3DD2">
        <w:rPr>
          <w:rFonts w:ascii="Arial" w:hAnsi="Arial" w:cs="Arial"/>
          <w:sz w:val="24"/>
          <w:szCs w:val="24"/>
        </w:rPr>
        <w:t xml:space="preserve"> in the Old Testament </w:t>
      </w:r>
      <w:r w:rsidR="008412BB">
        <w:rPr>
          <w:rFonts w:ascii="Arial" w:hAnsi="Arial" w:cs="Arial"/>
          <w:sz w:val="24"/>
          <w:szCs w:val="24"/>
        </w:rPr>
        <w:t xml:space="preserve">narratives </w:t>
      </w:r>
      <w:r w:rsidR="00CF394E">
        <w:rPr>
          <w:rFonts w:ascii="Arial" w:hAnsi="Arial" w:cs="Arial"/>
          <w:sz w:val="24"/>
          <w:szCs w:val="24"/>
        </w:rPr>
        <w:t>are viewed,</w:t>
      </w:r>
      <w:r w:rsidR="00450DFC">
        <w:rPr>
          <w:rFonts w:ascii="Arial" w:hAnsi="Arial" w:cs="Arial"/>
          <w:sz w:val="24"/>
          <w:szCs w:val="24"/>
        </w:rPr>
        <w:t xml:space="preserve"> in Islam,</w:t>
      </w:r>
      <w:r w:rsidR="008412BB">
        <w:rPr>
          <w:rFonts w:ascii="Arial" w:hAnsi="Arial" w:cs="Arial"/>
          <w:sz w:val="24"/>
          <w:szCs w:val="24"/>
        </w:rPr>
        <w:t xml:space="preserve"> Judaism</w:t>
      </w:r>
      <w:r w:rsidR="00AA3DD2">
        <w:rPr>
          <w:rFonts w:ascii="Arial" w:hAnsi="Arial" w:cs="Arial"/>
          <w:sz w:val="24"/>
          <w:szCs w:val="24"/>
        </w:rPr>
        <w:t xml:space="preserve"> </w:t>
      </w:r>
      <w:r w:rsidR="008412BB">
        <w:rPr>
          <w:rFonts w:ascii="Arial" w:hAnsi="Arial" w:cs="Arial"/>
          <w:sz w:val="24"/>
          <w:szCs w:val="24"/>
        </w:rPr>
        <w:t>(</w:t>
      </w:r>
      <w:r w:rsidR="00726529">
        <w:rPr>
          <w:rFonts w:ascii="Arial" w:hAnsi="Arial" w:cs="Arial"/>
          <w:sz w:val="24"/>
          <w:szCs w:val="24"/>
        </w:rPr>
        <w:t>post-biblical</w:t>
      </w:r>
      <w:r w:rsidR="008412BB">
        <w:rPr>
          <w:rFonts w:ascii="Arial" w:hAnsi="Arial" w:cs="Arial"/>
          <w:sz w:val="24"/>
          <w:szCs w:val="24"/>
        </w:rPr>
        <w:t>)</w:t>
      </w:r>
      <w:r w:rsidR="00CF394E">
        <w:rPr>
          <w:rFonts w:ascii="Arial" w:hAnsi="Arial" w:cs="Arial"/>
          <w:sz w:val="24"/>
          <w:szCs w:val="24"/>
        </w:rPr>
        <w:t>, a</w:t>
      </w:r>
      <w:r w:rsidR="00726529">
        <w:rPr>
          <w:rFonts w:ascii="Arial" w:hAnsi="Arial" w:cs="Arial"/>
          <w:sz w:val="24"/>
          <w:szCs w:val="24"/>
        </w:rPr>
        <w:t>nd</w:t>
      </w:r>
      <w:r w:rsidR="00CF394E">
        <w:rPr>
          <w:rFonts w:ascii="Arial" w:hAnsi="Arial" w:cs="Arial"/>
          <w:sz w:val="24"/>
          <w:szCs w:val="24"/>
        </w:rPr>
        <w:t xml:space="preserve"> the New Testament.</w:t>
      </w:r>
      <w:r w:rsidR="00AA3DD2">
        <w:rPr>
          <w:rStyle w:val="FootnoteReference"/>
          <w:rFonts w:ascii="Arial" w:hAnsi="Arial" w:cs="Arial"/>
          <w:sz w:val="24"/>
          <w:szCs w:val="24"/>
        </w:rPr>
        <w:footnoteReference w:id="4"/>
      </w:r>
      <w:r w:rsidR="00AA3DD2">
        <w:rPr>
          <w:rFonts w:ascii="Arial" w:hAnsi="Arial" w:cs="Arial"/>
          <w:sz w:val="24"/>
          <w:szCs w:val="24"/>
        </w:rPr>
        <w:t xml:space="preserve"> </w:t>
      </w:r>
      <w:r w:rsidR="00726529">
        <w:rPr>
          <w:rFonts w:ascii="Arial" w:hAnsi="Arial" w:cs="Arial"/>
          <w:sz w:val="24"/>
          <w:szCs w:val="24"/>
        </w:rPr>
        <w:t>R</w:t>
      </w:r>
      <w:r w:rsidR="00AA3DD2">
        <w:rPr>
          <w:rFonts w:ascii="Arial" w:hAnsi="Arial" w:cs="Arial"/>
          <w:sz w:val="24"/>
          <w:szCs w:val="24"/>
        </w:rPr>
        <w:t>eception stu</w:t>
      </w:r>
      <w:r w:rsidR="008412BB">
        <w:rPr>
          <w:rFonts w:ascii="Arial" w:hAnsi="Arial" w:cs="Arial"/>
          <w:sz w:val="24"/>
          <w:szCs w:val="24"/>
        </w:rPr>
        <w:t>dies might explore a specific character, book, or</w:t>
      </w:r>
      <w:r w:rsidR="00AA3DD2">
        <w:rPr>
          <w:rFonts w:ascii="Arial" w:hAnsi="Arial" w:cs="Arial"/>
          <w:sz w:val="24"/>
          <w:szCs w:val="24"/>
        </w:rPr>
        <w:t xml:space="preserve"> cultural c</w:t>
      </w:r>
      <w:r w:rsidR="008412BB">
        <w:rPr>
          <w:rFonts w:ascii="Arial" w:hAnsi="Arial" w:cs="Arial"/>
          <w:sz w:val="24"/>
          <w:szCs w:val="24"/>
        </w:rPr>
        <w:t>ontext</w:t>
      </w:r>
      <w:r w:rsidR="00AA3DD2">
        <w:rPr>
          <w:rFonts w:ascii="Arial" w:hAnsi="Arial" w:cs="Arial"/>
          <w:sz w:val="24"/>
          <w:szCs w:val="24"/>
        </w:rPr>
        <w:t>.</w:t>
      </w:r>
      <w:r w:rsidR="00AA3DD2">
        <w:rPr>
          <w:rStyle w:val="FootnoteReference"/>
          <w:rFonts w:ascii="Arial" w:hAnsi="Arial" w:cs="Arial"/>
          <w:sz w:val="24"/>
          <w:szCs w:val="24"/>
        </w:rPr>
        <w:footnoteReference w:id="5"/>
      </w:r>
      <w:r w:rsidR="00C92CDA">
        <w:rPr>
          <w:rFonts w:ascii="Arial" w:hAnsi="Arial" w:cs="Arial"/>
          <w:sz w:val="24"/>
          <w:szCs w:val="24"/>
        </w:rPr>
        <w:t xml:space="preserve"> </w:t>
      </w:r>
    </w:p>
    <w:p w:rsidR="00662ADD" w:rsidRDefault="00361C7A" w:rsidP="00662ADD">
      <w:pPr>
        <w:spacing w:after="0"/>
        <w:jc w:val="both"/>
        <w:rPr>
          <w:rFonts w:ascii="Arial" w:hAnsi="Arial" w:cs="Arial"/>
          <w:sz w:val="24"/>
          <w:szCs w:val="24"/>
        </w:rPr>
      </w:pPr>
      <w:r>
        <w:rPr>
          <w:rFonts w:ascii="Arial" w:hAnsi="Arial" w:cs="Arial"/>
          <w:sz w:val="24"/>
          <w:szCs w:val="24"/>
        </w:rPr>
        <w:tab/>
        <w:t>R</w:t>
      </w:r>
      <w:r w:rsidR="008412BB">
        <w:rPr>
          <w:rFonts w:ascii="Arial" w:hAnsi="Arial" w:cs="Arial"/>
          <w:sz w:val="24"/>
          <w:szCs w:val="24"/>
        </w:rPr>
        <w:t>eception history</w:t>
      </w:r>
      <w:r w:rsidR="00C92CDA">
        <w:rPr>
          <w:rFonts w:ascii="Arial" w:hAnsi="Arial" w:cs="Arial"/>
          <w:sz w:val="24"/>
          <w:szCs w:val="24"/>
        </w:rPr>
        <w:t xml:space="preserve"> </w:t>
      </w:r>
      <w:r>
        <w:rPr>
          <w:rFonts w:ascii="Arial" w:hAnsi="Arial" w:cs="Arial"/>
          <w:sz w:val="24"/>
          <w:szCs w:val="24"/>
        </w:rPr>
        <w:t>is</w:t>
      </w:r>
      <w:r w:rsidR="008412BB">
        <w:rPr>
          <w:rFonts w:ascii="Arial" w:hAnsi="Arial" w:cs="Arial"/>
          <w:sz w:val="24"/>
          <w:szCs w:val="24"/>
        </w:rPr>
        <w:t xml:space="preserve"> based on </w:t>
      </w:r>
      <w:r w:rsidR="009C4D28">
        <w:rPr>
          <w:rFonts w:ascii="Arial" w:hAnsi="Arial" w:cs="Arial"/>
          <w:sz w:val="24"/>
          <w:szCs w:val="24"/>
        </w:rPr>
        <w:t xml:space="preserve">the </w:t>
      </w:r>
      <w:r w:rsidR="00AA3DD2">
        <w:rPr>
          <w:rFonts w:ascii="Arial" w:hAnsi="Arial" w:cs="Arial"/>
          <w:sz w:val="24"/>
          <w:szCs w:val="24"/>
        </w:rPr>
        <w:t>philosophical hermeneutics</w:t>
      </w:r>
      <w:r w:rsidR="009C4D28">
        <w:rPr>
          <w:rFonts w:ascii="Arial" w:hAnsi="Arial" w:cs="Arial"/>
          <w:sz w:val="24"/>
          <w:szCs w:val="24"/>
        </w:rPr>
        <w:t xml:space="preserve"> of Hans-Georg </w:t>
      </w:r>
      <w:proofErr w:type="spellStart"/>
      <w:r w:rsidR="009C4D28">
        <w:rPr>
          <w:rFonts w:ascii="Arial" w:hAnsi="Arial" w:cs="Arial"/>
          <w:sz w:val="24"/>
          <w:szCs w:val="24"/>
        </w:rPr>
        <w:t>Gadamer</w:t>
      </w:r>
      <w:proofErr w:type="spellEnd"/>
      <w:r w:rsidR="00AA3DD2">
        <w:rPr>
          <w:rFonts w:ascii="Arial" w:hAnsi="Arial" w:cs="Arial"/>
          <w:sz w:val="24"/>
          <w:szCs w:val="24"/>
        </w:rPr>
        <w:t xml:space="preserve">, who used the term </w:t>
      </w:r>
      <w:proofErr w:type="spellStart"/>
      <w:r w:rsidR="00AA3DD2" w:rsidRPr="00E431AF">
        <w:rPr>
          <w:rFonts w:ascii="Arial" w:hAnsi="Arial" w:cs="Arial"/>
          <w:i/>
          <w:sz w:val="24"/>
          <w:szCs w:val="24"/>
        </w:rPr>
        <w:t>Wirkungsgeschichte</w:t>
      </w:r>
      <w:proofErr w:type="spellEnd"/>
      <w:r w:rsidR="00AA3DD2">
        <w:rPr>
          <w:rFonts w:ascii="Arial" w:hAnsi="Arial" w:cs="Arial"/>
          <w:sz w:val="24"/>
          <w:szCs w:val="24"/>
        </w:rPr>
        <w:t xml:space="preserve"> to describe the</w:t>
      </w:r>
      <w:r>
        <w:rPr>
          <w:rFonts w:ascii="Arial" w:hAnsi="Arial" w:cs="Arial"/>
          <w:sz w:val="24"/>
          <w:szCs w:val="24"/>
        </w:rPr>
        <w:t xml:space="preserve"> </w:t>
      </w:r>
      <w:r w:rsidR="00AA3DD2">
        <w:rPr>
          <w:rFonts w:ascii="Arial" w:hAnsi="Arial" w:cs="Arial"/>
          <w:sz w:val="24"/>
          <w:szCs w:val="24"/>
        </w:rPr>
        <w:t xml:space="preserve">how a text </w:t>
      </w:r>
      <w:r w:rsidR="001519E3">
        <w:rPr>
          <w:rFonts w:ascii="Arial" w:hAnsi="Arial" w:cs="Arial"/>
          <w:sz w:val="24"/>
          <w:szCs w:val="24"/>
        </w:rPr>
        <w:t>has</w:t>
      </w:r>
      <w:r w:rsidR="00AA3DD2">
        <w:rPr>
          <w:rFonts w:ascii="Arial" w:hAnsi="Arial" w:cs="Arial"/>
          <w:sz w:val="24"/>
          <w:szCs w:val="24"/>
        </w:rPr>
        <w:t xml:space="preserve"> been interpre</w:t>
      </w:r>
      <w:r w:rsidR="00662ADD">
        <w:rPr>
          <w:rFonts w:ascii="Arial" w:hAnsi="Arial" w:cs="Arial"/>
          <w:sz w:val="24"/>
          <w:szCs w:val="24"/>
        </w:rPr>
        <w:t>ted throughout history, and</w:t>
      </w:r>
      <w:r w:rsidR="00AA3DD2">
        <w:rPr>
          <w:rFonts w:ascii="Arial" w:hAnsi="Arial" w:cs="Arial"/>
          <w:sz w:val="24"/>
          <w:szCs w:val="24"/>
        </w:rPr>
        <w:t xml:space="preserve"> </w:t>
      </w:r>
      <w:r w:rsidR="00662ADD">
        <w:rPr>
          <w:rFonts w:ascii="Arial" w:hAnsi="Arial" w:cs="Arial"/>
          <w:sz w:val="24"/>
          <w:szCs w:val="24"/>
        </w:rPr>
        <w:t>shapes</w:t>
      </w:r>
      <w:r w:rsidR="00AA3DD2">
        <w:rPr>
          <w:rFonts w:ascii="Arial" w:hAnsi="Arial" w:cs="Arial"/>
          <w:sz w:val="24"/>
          <w:szCs w:val="24"/>
        </w:rPr>
        <w:t xml:space="preserve"> attempts to interpret an original text.</w:t>
      </w:r>
      <w:r w:rsidR="00AA3DD2">
        <w:rPr>
          <w:rStyle w:val="FootnoteReference"/>
          <w:rFonts w:ascii="Arial" w:hAnsi="Arial" w:cs="Arial"/>
          <w:sz w:val="24"/>
          <w:szCs w:val="24"/>
        </w:rPr>
        <w:footnoteReference w:id="6"/>
      </w:r>
      <w:r w:rsidR="00AA3DD2">
        <w:rPr>
          <w:rFonts w:ascii="Arial" w:hAnsi="Arial" w:cs="Arial"/>
          <w:sz w:val="24"/>
          <w:szCs w:val="24"/>
        </w:rPr>
        <w:t xml:space="preserve"> </w:t>
      </w:r>
      <w:r w:rsidR="00662ADD">
        <w:rPr>
          <w:rFonts w:ascii="Arial" w:hAnsi="Arial" w:cs="Arial"/>
          <w:sz w:val="24"/>
          <w:szCs w:val="24"/>
        </w:rPr>
        <w:t>Reception history, in a biblical</w:t>
      </w:r>
      <w:r w:rsidR="009C4D28">
        <w:rPr>
          <w:rFonts w:ascii="Arial" w:hAnsi="Arial" w:cs="Arial"/>
          <w:sz w:val="24"/>
          <w:szCs w:val="24"/>
        </w:rPr>
        <w:t xml:space="preserve"> context, is </w:t>
      </w:r>
      <w:r w:rsidR="001519E3">
        <w:rPr>
          <w:rFonts w:ascii="Arial" w:hAnsi="Arial" w:cs="Arial"/>
          <w:sz w:val="24"/>
          <w:szCs w:val="24"/>
        </w:rPr>
        <w:t>sometimes</w:t>
      </w:r>
      <w:r w:rsidR="009C4D28">
        <w:rPr>
          <w:rFonts w:ascii="Arial" w:hAnsi="Arial" w:cs="Arial"/>
          <w:sz w:val="24"/>
          <w:szCs w:val="24"/>
        </w:rPr>
        <w:t xml:space="preserve"> considered</w:t>
      </w:r>
      <w:r w:rsidR="00662ADD">
        <w:rPr>
          <w:rFonts w:ascii="Arial" w:hAnsi="Arial" w:cs="Arial"/>
          <w:sz w:val="24"/>
          <w:szCs w:val="24"/>
        </w:rPr>
        <w:t xml:space="preserve"> synonymous with </w:t>
      </w:r>
      <w:proofErr w:type="spellStart"/>
      <w:r w:rsidR="00662ADD">
        <w:rPr>
          <w:rFonts w:ascii="Arial" w:hAnsi="Arial" w:cs="Arial"/>
          <w:i/>
          <w:sz w:val="24"/>
          <w:szCs w:val="24"/>
        </w:rPr>
        <w:t>Wirkungsgeschichte</w:t>
      </w:r>
      <w:proofErr w:type="spellEnd"/>
      <w:r w:rsidR="00662ADD">
        <w:rPr>
          <w:rFonts w:ascii="Arial" w:hAnsi="Arial" w:cs="Arial"/>
          <w:sz w:val="24"/>
          <w:szCs w:val="24"/>
        </w:rPr>
        <w:t>.</w:t>
      </w:r>
      <w:r w:rsidR="00662ADD">
        <w:rPr>
          <w:rStyle w:val="FootnoteReference"/>
          <w:rFonts w:ascii="Arial" w:hAnsi="Arial" w:cs="Arial"/>
          <w:sz w:val="24"/>
          <w:szCs w:val="24"/>
        </w:rPr>
        <w:footnoteReference w:id="7"/>
      </w:r>
      <w:r w:rsidR="00662ADD">
        <w:rPr>
          <w:rFonts w:ascii="Arial" w:hAnsi="Arial" w:cs="Arial"/>
          <w:sz w:val="24"/>
          <w:szCs w:val="24"/>
        </w:rPr>
        <w:t xml:space="preserve"> </w:t>
      </w:r>
      <w:r w:rsidR="009C4D28">
        <w:rPr>
          <w:rFonts w:ascii="Arial" w:hAnsi="Arial" w:cs="Arial"/>
          <w:sz w:val="24"/>
          <w:szCs w:val="24"/>
        </w:rPr>
        <w:t>It</w:t>
      </w:r>
      <w:r w:rsidR="00662ADD">
        <w:rPr>
          <w:rFonts w:ascii="Arial" w:hAnsi="Arial" w:cs="Arial"/>
          <w:sz w:val="24"/>
          <w:szCs w:val="24"/>
        </w:rPr>
        <w:t xml:space="preserve"> refers to how </w:t>
      </w:r>
      <w:r w:rsidR="00A069AF">
        <w:rPr>
          <w:rFonts w:ascii="Arial" w:hAnsi="Arial" w:cs="Arial"/>
          <w:sz w:val="24"/>
          <w:szCs w:val="24"/>
        </w:rPr>
        <w:t>biblical texts have shaped culture</w:t>
      </w:r>
      <w:r w:rsidR="009C4D28">
        <w:rPr>
          <w:rFonts w:ascii="Arial" w:hAnsi="Arial" w:cs="Arial"/>
          <w:sz w:val="24"/>
          <w:szCs w:val="24"/>
        </w:rPr>
        <w:t>, recognising</w:t>
      </w:r>
      <w:r w:rsidR="00662ADD">
        <w:rPr>
          <w:rFonts w:ascii="Arial" w:hAnsi="Arial" w:cs="Arial"/>
          <w:sz w:val="24"/>
          <w:szCs w:val="24"/>
        </w:rPr>
        <w:t xml:space="preserve"> that </w:t>
      </w:r>
      <w:r w:rsidR="00A069AF">
        <w:rPr>
          <w:rFonts w:ascii="Arial" w:hAnsi="Arial" w:cs="Arial"/>
          <w:sz w:val="24"/>
          <w:szCs w:val="24"/>
        </w:rPr>
        <w:t>readers do</w:t>
      </w:r>
      <w:r w:rsidR="00662ADD">
        <w:rPr>
          <w:rFonts w:ascii="Arial" w:hAnsi="Arial" w:cs="Arial"/>
          <w:sz w:val="24"/>
          <w:szCs w:val="24"/>
        </w:rPr>
        <w:t xml:space="preserve"> not </w:t>
      </w:r>
      <w:r w:rsidR="00A069AF">
        <w:rPr>
          <w:rFonts w:ascii="Arial" w:hAnsi="Arial" w:cs="Arial"/>
          <w:sz w:val="24"/>
          <w:szCs w:val="24"/>
        </w:rPr>
        <w:t>passively receive</w:t>
      </w:r>
      <w:r w:rsidR="00F254E4">
        <w:rPr>
          <w:rFonts w:ascii="Arial" w:hAnsi="Arial" w:cs="Arial"/>
          <w:sz w:val="24"/>
          <w:szCs w:val="24"/>
        </w:rPr>
        <w:t xml:space="preserve"> text</w:t>
      </w:r>
      <w:r w:rsidR="00A069AF">
        <w:rPr>
          <w:rFonts w:ascii="Arial" w:hAnsi="Arial" w:cs="Arial"/>
          <w:sz w:val="24"/>
          <w:szCs w:val="24"/>
        </w:rPr>
        <w:t>s</w:t>
      </w:r>
      <w:r w:rsidR="00F254E4">
        <w:rPr>
          <w:rFonts w:ascii="Arial" w:hAnsi="Arial" w:cs="Arial"/>
          <w:sz w:val="24"/>
          <w:szCs w:val="24"/>
        </w:rPr>
        <w:t>, but actively</w:t>
      </w:r>
      <w:r w:rsidR="00662ADD">
        <w:rPr>
          <w:rFonts w:ascii="Arial" w:hAnsi="Arial" w:cs="Arial"/>
          <w:sz w:val="24"/>
          <w:szCs w:val="24"/>
        </w:rPr>
        <w:t xml:space="preserve"> </w:t>
      </w:r>
      <w:r w:rsidR="00A069AF">
        <w:rPr>
          <w:rFonts w:ascii="Arial" w:hAnsi="Arial" w:cs="Arial"/>
          <w:sz w:val="24"/>
          <w:szCs w:val="24"/>
        </w:rPr>
        <w:t>give</w:t>
      </w:r>
      <w:r w:rsidR="00F254E4">
        <w:rPr>
          <w:rFonts w:ascii="Arial" w:hAnsi="Arial" w:cs="Arial"/>
          <w:sz w:val="24"/>
          <w:szCs w:val="24"/>
        </w:rPr>
        <w:t xml:space="preserve"> it </w:t>
      </w:r>
      <w:r w:rsidR="00662ADD">
        <w:rPr>
          <w:rFonts w:ascii="Arial" w:hAnsi="Arial" w:cs="Arial"/>
          <w:sz w:val="24"/>
          <w:szCs w:val="24"/>
        </w:rPr>
        <w:t>meaning.</w:t>
      </w:r>
      <w:r w:rsidR="00662ADD">
        <w:rPr>
          <w:rStyle w:val="FootnoteReference"/>
          <w:rFonts w:ascii="Arial" w:hAnsi="Arial" w:cs="Arial"/>
          <w:sz w:val="24"/>
          <w:szCs w:val="24"/>
        </w:rPr>
        <w:footnoteReference w:id="8"/>
      </w:r>
      <w:r w:rsidR="00662ADD">
        <w:rPr>
          <w:rFonts w:ascii="Arial" w:hAnsi="Arial" w:cs="Arial"/>
          <w:sz w:val="24"/>
          <w:szCs w:val="24"/>
        </w:rPr>
        <w:t xml:space="preserve"> </w:t>
      </w:r>
      <w:r w:rsidR="00662ADD">
        <w:rPr>
          <w:rFonts w:ascii="Arial" w:hAnsi="Arial" w:cs="Arial"/>
          <w:sz w:val="24"/>
          <w:szCs w:val="24"/>
        </w:rPr>
        <w:lastRenderedPageBreak/>
        <w:t xml:space="preserve">A student of </w:t>
      </w:r>
      <w:proofErr w:type="spellStart"/>
      <w:r w:rsidR="00662ADD">
        <w:rPr>
          <w:rFonts w:ascii="Arial" w:hAnsi="Arial" w:cs="Arial"/>
          <w:sz w:val="24"/>
          <w:szCs w:val="24"/>
        </w:rPr>
        <w:t>Gadamer</w:t>
      </w:r>
      <w:proofErr w:type="spellEnd"/>
      <w:r w:rsidR="00662ADD">
        <w:rPr>
          <w:rFonts w:ascii="Arial" w:hAnsi="Arial" w:cs="Arial"/>
          <w:sz w:val="24"/>
          <w:szCs w:val="24"/>
        </w:rPr>
        <w:t xml:space="preserve">, Hans Robert </w:t>
      </w:r>
      <w:proofErr w:type="spellStart"/>
      <w:r w:rsidR="00662ADD">
        <w:rPr>
          <w:rFonts w:ascii="Arial" w:hAnsi="Arial" w:cs="Arial"/>
          <w:sz w:val="24"/>
          <w:szCs w:val="24"/>
        </w:rPr>
        <w:t>Jauss</w:t>
      </w:r>
      <w:proofErr w:type="spellEnd"/>
      <w:r w:rsidR="00662ADD">
        <w:rPr>
          <w:rFonts w:ascii="Arial" w:hAnsi="Arial" w:cs="Arial"/>
          <w:sz w:val="24"/>
          <w:szCs w:val="24"/>
        </w:rPr>
        <w:t xml:space="preserve">, coined the term ‘reception history’, </w:t>
      </w:r>
      <w:r w:rsidR="009C4D28">
        <w:rPr>
          <w:rFonts w:ascii="Arial" w:hAnsi="Arial" w:cs="Arial"/>
          <w:sz w:val="24"/>
          <w:szCs w:val="24"/>
        </w:rPr>
        <w:t>considering it</w:t>
      </w:r>
      <w:r w:rsidR="00662ADD">
        <w:rPr>
          <w:rFonts w:ascii="Arial" w:hAnsi="Arial" w:cs="Arial"/>
          <w:sz w:val="24"/>
          <w:szCs w:val="24"/>
        </w:rPr>
        <w:t xml:space="preserve"> a methodology, </w:t>
      </w:r>
      <w:r w:rsidR="00A069AF">
        <w:rPr>
          <w:rFonts w:ascii="Arial" w:hAnsi="Arial" w:cs="Arial"/>
          <w:sz w:val="24"/>
          <w:szCs w:val="24"/>
        </w:rPr>
        <w:t>although</w:t>
      </w:r>
      <w:r w:rsidR="00662ADD">
        <w:rPr>
          <w:rFonts w:ascii="Arial" w:hAnsi="Arial" w:cs="Arial"/>
          <w:sz w:val="24"/>
          <w:szCs w:val="24"/>
        </w:rPr>
        <w:t xml:space="preserve"> </w:t>
      </w:r>
      <w:proofErr w:type="spellStart"/>
      <w:r w:rsidR="00662ADD">
        <w:rPr>
          <w:rFonts w:ascii="Arial" w:hAnsi="Arial" w:cs="Arial"/>
          <w:sz w:val="24"/>
          <w:szCs w:val="24"/>
        </w:rPr>
        <w:t>Gadamer</w:t>
      </w:r>
      <w:proofErr w:type="spellEnd"/>
      <w:r w:rsidR="00662ADD">
        <w:rPr>
          <w:rFonts w:ascii="Arial" w:hAnsi="Arial" w:cs="Arial"/>
          <w:sz w:val="24"/>
          <w:szCs w:val="24"/>
        </w:rPr>
        <w:t xml:space="preserve"> was critical of empirical methodologies.</w:t>
      </w:r>
      <w:r w:rsidR="00662ADD">
        <w:rPr>
          <w:rStyle w:val="FootnoteReference"/>
          <w:rFonts w:ascii="Arial" w:hAnsi="Arial" w:cs="Arial"/>
          <w:sz w:val="24"/>
          <w:szCs w:val="24"/>
        </w:rPr>
        <w:footnoteReference w:id="9"/>
      </w:r>
    </w:p>
    <w:p w:rsidR="00662ADD" w:rsidRDefault="00662ADD" w:rsidP="00662ADD">
      <w:pPr>
        <w:spacing w:after="0"/>
        <w:jc w:val="both"/>
        <w:rPr>
          <w:rFonts w:ascii="Arial" w:hAnsi="Arial" w:cs="Arial"/>
          <w:sz w:val="24"/>
          <w:szCs w:val="24"/>
        </w:rPr>
      </w:pPr>
    </w:p>
    <w:p w:rsidR="00662ADD" w:rsidRDefault="00662ADD" w:rsidP="00662ADD">
      <w:pPr>
        <w:spacing w:after="0"/>
        <w:jc w:val="both"/>
        <w:rPr>
          <w:rFonts w:ascii="Arial" w:hAnsi="Arial" w:cs="Arial"/>
          <w:sz w:val="24"/>
          <w:szCs w:val="24"/>
          <w:u w:val="single"/>
        </w:rPr>
      </w:pPr>
      <w:r>
        <w:rPr>
          <w:rFonts w:ascii="Arial" w:hAnsi="Arial" w:cs="Arial"/>
          <w:sz w:val="24"/>
          <w:szCs w:val="24"/>
          <w:u w:val="single"/>
        </w:rPr>
        <w:t>Reception Historians</w:t>
      </w:r>
    </w:p>
    <w:p w:rsidR="00662ADD" w:rsidRPr="00662ADD" w:rsidRDefault="00662ADD" w:rsidP="00662ADD">
      <w:pPr>
        <w:spacing w:after="0"/>
        <w:jc w:val="both"/>
        <w:rPr>
          <w:rFonts w:ascii="Arial" w:hAnsi="Arial" w:cs="Arial"/>
          <w:sz w:val="24"/>
          <w:szCs w:val="24"/>
          <w:u w:val="single"/>
        </w:rPr>
      </w:pPr>
    </w:p>
    <w:p w:rsidR="00AA3DD2" w:rsidRDefault="00C61983" w:rsidP="00AA3DD2">
      <w:pPr>
        <w:spacing w:after="0"/>
        <w:jc w:val="both"/>
        <w:rPr>
          <w:rFonts w:ascii="Arial" w:hAnsi="Arial" w:cs="Arial"/>
          <w:sz w:val="24"/>
          <w:szCs w:val="24"/>
        </w:rPr>
      </w:pPr>
      <w:r>
        <w:rPr>
          <w:rFonts w:ascii="Arial" w:hAnsi="Arial" w:cs="Arial"/>
          <w:sz w:val="24"/>
          <w:szCs w:val="24"/>
        </w:rPr>
        <w:tab/>
      </w:r>
      <w:proofErr w:type="spellStart"/>
      <w:r w:rsidR="009C4D28">
        <w:rPr>
          <w:rFonts w:ascii="Arial" w:hAnsi="Arial" w:cs="Arial"/>
          <w:sz w:val="24"/>
          <w:szCs w:val="24"/>
        </w:rPr>
        <w:t>Gadamer</w:t>
      </w:r>
      <w:proofErr w:type="spellEnd"/>
      <w:r w:rsidR="00AA3DD2">
        <w:rPr>
          <w:rFonts w:ascii="Arial" w:hAnsi="Arial" w:cs="Arial"/>
          <w:sz w:val="24"/>
          <w:szCs w:val="24"/>
        </w:rPr>
        <w:t xml:space="preserve"> </w:t>
      </w:r>
      <w:r w:rsidR="009C4D28">
        <w:rPr>
          <w:rFonts w:ascii="Arial" w:hAnsi="Arial" w:cs="Arial"/>
          <w:sz w:val="24"/>
          <w:szCs w:val="24"/>
        </w:rPr>
        <w:t>emphasises</w:t>
      </w:r>
      <w:r w:rsidR="00AA3DD2">
        <w:rPr>
          <w:rFonts w:ascii="Arial" w:hAnsi="Arial" w:cs="Arial"/>
          <w:sz w:val="24"/>
          <w:szCs w:val="24"/>
        </w:rPr>
        <w:t xml:space="preserve"> the role playe</w:t>
      </w:r>
      <w:r w:rsidR="009C4D28">
        <w:rPr>
          <w:rFonts w:ascii="Arial" w:hAnsi="Arial" w:cs="Arial"/>
          <w:sz w:val="24"/>
          <w:szCs w:val="24"/>
        </w:rPr>
        <w:t>d by the cultural influences/</w:t>
      </w:r>
      <w:r w:rsidR="00AA3DD2">
        <w:rPr>
          <w:rFonts w:ascii="Arial" w:hAnsi="Arial" w:cs="Arial"/>
          <w:sz w:val="24"/>
          <w:szCs w:val="24"/>
        </w:rPr>
        <w:t>prejudices of the hist</w:t>
      </w:r>
      <w:r>
        <w:rPr>
          <w:rFonts w:ascii="Arial" w:hAnsi="Arial" w:cs="Arial"/>
          <w:sz w:val="24"/>
          <w:szCs w:val="24"/>
        </w:rPr>
        <w:t>orian</w:t>
      </w:r>
      <w:r w:rsidR="00AA3DD2">
        <w:rPr>
          <w:rFonts w:ascii="Arial" w:hAnsi="Arial" w:cs="Arial"/>
          <w:sz w:val="24"/>
          <w:szCs w:val="24"/>
        </w:rPr>
        <w:t>:</w:t>
      </w:r>
    </w:p>
    <w:p w:rsidR="00AA3DD2" w:rsidRDefault="00AA3DD2" w:rsidP="00AA3DD2">
      <w:pPr>
        <w:spacing w:after="0"/>
        <w:jc w:val="both"/>
        <w:rPr>
          <w:rFonts w:ascii="Arial" w:hAnsi="Arial" w:cs="Arial"/>
          <w:sz w:val="24"/>
          <w:szCs w:val="24"/>
        </w:rPr>
      </w:pPr>
    </w:p>
    <w:p w:rsidR="00AA3DD2" w:rsidRDefault="00AA3DD2" w:rsidP="00AA3DD2">
      <w:pPr>
        <w:spacing w:after="0"/>
        <w:jc w:val="both"/>
        <w:rPr>
          <w:rFonts w:ascii="Arial" w:hAnsi="Arial" w:cs="Arial"/>
          <w:sz w:val="24"/>
          <w:szCs w:val="24"/>
        </w:rPr>
      </w:pPr>
      <w:r>
        <w:rPr>
          <w:rFonts w:ascii="Arial" w:hAnsi="Arial" w:cs="Arial"/>
          <w:sz w:val="24"/>
          <w:szCs w:val="24"/>
        </w:rPr>
        <w:tab/>
      </w:r>
      <w:r w:rsidRPr="00A81745">
        <w:rPr>
          <w:rFonts w:ascii="Arial" w:hAnsi="Arial" w:cs="Arial"/>
          <w:sz w:val="24"/>
          <w:szCs w:val="24"/>
        </w:rPr>
        <w:t>Long before we understand ourselves through the process of self</w:t>
      </w:r>
      <w:r w:rsidRPr="00A81745">
        <w:rPr>
          <w:rFonts w:ascii="Cambria Math" w:hAnsi="Cambria Math" w:cs="Cambria Math"/>
          <w:sz w:val="24"/>
          <w:szCs w:val="24"/>
        </w:rPr>
        <w:t>‐</w:t>
      </w:r>
      <w:r>
        <w:rPr>
          <w:rFonts w:ascii="Cambria Math" w:hAnsi="Cambria Math" w:cs="Cambria Math"/>
          <w:sz w:val="24"/>
          <w:szCs w:val="24"/>
        </w:rPr>
        <w:tab/>
      </w:r>
      <w:r w:rsidRPr="00A81745">
        <w:rPr>
          <w:rFonts w:ascii="Arial" w:hAnsi="Arial" w:cs="Arial"/>
          <w:sz w:val="24"/>
          <w:szCs w:val="24"/>
        </w:rPr>
        <w:t>examination, we</w:t>
      </w:r>
      <w:r>
        <w:rPr>
          <w:rFonts w:ascii="Arial" w:hAnsi="Arial" w:cs="Arial"/>
          <w:sz w:val="24"/>
          <w:szCs w:val="24"/>
        </w:rPr>
        <w:t xml:space="preserve"> </w:t>
      </w:r>
      <w:r w:rsidRPr="00A81745">
        <w:rPr>
          <w:rFonts w:ascii="Arial" w:hAnsi="Arial" w:cs="Arial"/>
          <w:sz w:val="24"/>
          <w:szCs w:val="24"/>
        </w:rPr>
        <w:t>understand ourselves in a self</w:t>
      </w:r>
      <w:r w:rsidRPr="00A81745">
        <w:rPr>
          <w:rFonts w:ascii="Cambria Math" w:hAnsi="Cambria Math" w:cs="Cambria Math"/>
          <w:sz w:val="24"/>
          <w:szCs w:val="24"/>
        </w:rPr>
        <w:t>‐</w:t>
      </w:r>
      <w:r w:rsidRPr="00A81745">
        <w:rPr>
          <w:rFonts w:ascii="Arial" w:hAnsi="Arial" w:cs="Arial"/>
          <w:sz w:val="24"/>
          <w:szCs w:val="24"/>
        </w:rPr>
        <w:t xml:space="preserve">evident way in the family, </w:t>
      </w:r>
      <w:r>
        <w:rPr>
          <w:rFonts w:ascii="Arial" w:hAnsi="Arial" w:cs="Arial"/>
          <w:sz w:val="24"/>
          <w:szCs w:val="24"/>
        </w:rPr>
        <w:tab/>
      </w:r>
      <w:r w:rsidRPr="00A81745">
        <w:rPr>
          <w:rFonts w:ascii="Arial" w:hAnsi="Arial" w:cs="Arial"/>
          <w:sz w:val="24"/>
          <w:szCs w:val="24"/>
        </w:rPr>
        <w:t>society, and state in which</w:t>
      </w:r>
      <w:r>
        <w:rPr>
          <w:rFonts w:ascii="Arial" w:hAnsi="Arial" w:cs="Arial"/>
          <w:sz w:val="24"/>
          <w:szCs w:val="24"/>
        </w:rPr>
        <w:t xml:space="preserve"> </w:t>
      </w:r>
      <w:r w:rsidRPr="00A81745">
        <w:rPr>
          <w:rFonts w:ascii="Arial" w:hAnsi="Arial" w:cs="Arial"/>
          <w:sz w:val="24"/>
          <w:szCs w:val="24"/>
        </w:rPr>
        <w:t xml:space="preserve">we live.  The prejudices of the individual, far more </w:t>
      </w:r>
      <w:r>
        <w:rPr>
          <w:rFonts w:ascii="Arial" w:hAnsi="Arial" w:cs="Arial"/>
          <w:sz w:val="24"/>
          <w:szCs w:val="24"/>
        </w:rPr>
        <w:tab/>
      </w:r>
      <w:r w:rsidRPr="00A81745">
        <w:rPr>
          <w:rFonts w:ascii="Arial" w:hAnsi="Arial" w:cs="Arial"/>
          <w:sz w:val="24"/>
          <w:szCs w:val="24"/>
        </w:rPr>
        <w:t xml:space="preserve">than his </w:t>
      </w:r>
      <w:proofErr w:type="gramStart"/>
      <w:r w:rsidRPr="00A81745">
        <w:rPr>
          <w:rFonts w:ascii="Arial" w:hAnsi="Arial" w:cs="Arial"/>
          <w:sz w:val="24"/>
          <w:szCs w:val="24"/>
        </w:rPr>
        <w:t>judgements,</w:t>
      </w:r>
      <w:proofErr w:type="gramEnd"/>
      <w:r w:rsidRPr="00A81745">
        <w:rPr>
          <w:rFonts w:ascii="Arial" w:hAnsi="Arial" w:cs="Arial"/>
          <w:sz w:val="24"/>
          <w:szCs w:val="24"/>
        </w:rPr>
        <w:t xml:space="preserve"> constitute the historical reality of his being.</w:t>
      </w:r>
      <w:r>
        <w:rPr>
          <w:rStyle w:val="FootnoteReference"/>
          <w:rFonts w:ascii="Arial" w:hAnsi="Arial" w:cs="Arial"/>
          <w:sz w:val="24"/>
          <w:szCs w:val="24"/>
        </w:rPr>
        <w:footnoteReference w:id="10"/>
      </w:r>
    </w:p>
    <w:p w:rsidR="00C61983" w:rsidRDefault="00C61983" w:rsidP="00AA3DD2">
      <w:pPr>
        <w:spacing w:after="0"/>
        <w:jc w:val="both"/>
        <w:rPr>
          <w:rFonts w:ascii="Arial" w:hAnsi="Arial" w:cs="Arial"/>
          <w:sz w:val="24"/>
          <w:szCs w:val="24"/>
        </w:rPr>
      </w:pPr>
    </w:p>
    <w:p w:rsidR="00726529" w:rsidRDefault="00C61983" w:rsidP="00726529">
      <w:pPr>
        <w:spacing w:after="0"/>
        <w:jc w:val="both"/>
        <w:rPr>
          <w:rFonts w:ascii="Arial" w:hAnsi="Arial" w:cs="Arial"/>
          <w:sz w:val="24"/>
          <w:szCs w:val="24"/>
        </w:rPr>
      </w:pPr>
      <w:r>
        <w:rPr>
          <w:rFonts w:ascii="Arial" w:hAnsi="Arial" w:cs="Arial"/>
          <w:sz w:val="24"/>
          <w:szCs w:val="24"/>
        </w:rPr>
        <w:tab/>
        <w:t xml:space="preserve">Jonathan Roberts </w:t>
      </w:r>
      <w:r w:rsidR="00726529">
        <w:rPr>
          <w:rFonts w:ascii="Arial" w:hAnsi="Arial" w:cs="Arial"/>
          <w:sz w:val="24"/>
          <w:szCs w:val="24"/>
        </w:rPr>
        <w:t>proposes</w:t>
      </w:r>
      <w:r w:rsidR="001519E3">
        <w:rPr>
          <w:rFonts w:ascii="Arial" w:hAnsi="Arial" w:cs="Arial"/>
          <w:sz w:val="24"/>
          <w:szCs w:val="24"/>
        </w:rPr>
        <w:t xml:space="preserve"> that a reception historian</w:t>
      </w:r>
      <w:r>
        <w:rPr>
          <w:rFonts w:ascii="Arial" w:hAnsi="Arial" w:cs="Arial"/>
          <w:sz w:val="24"/>
          <w:szCs w:val="24"/>
        </w:rPr>
        <w:t xml:space="preserve"> selects material of </w:t>
      </w:r>
      <w:r w:rsidR="00361C7A">
        <w:rPr>
          <w:rFonts w:ascii="Arial" w:hAnsi="Arial" w:cs="Arial"/>
          <w:sz w:val="24"/>
          <w:szCs w:val="24"/>
        </w:rPr>
        <w:t>personal interest</w:t>
      </w:r>
      <w:r>
        <w:rPr>
          <w:rFonts w:ascii="Arial" w:hAnsi="Arial" w:cs="Arial"/>
          <w:sz w:val="24"/>
          <w:szCs w:val="24"/>
        </w:rPr>
        <w:t>.</w:t>
      </w:r>
      <w:r>
        <w:rPr>
          <w:rStyle w:val="FootnoteReference"/>
          <w:rFonts w:ascii="Arial" w:hAnsi="Arial" w:cs="Arial"/>
          <w:sz w:val="24"/>
          <w:szCs w:val="24"/>
        </w:rPr>
        <w:footnoteReference w:id="11"/>
      </w:r>
      <w:r w:rsidR="009C4D28">
        <w:rPr>
          <w:rFonts w:ascii="Arial" w:hAnsi="Arial" w:cs="Arial"/>
          <w:sz w:val="24"/>
          <w:szCs w:val="24"/>
        </w:rPr>
        <w:t xml:space="preserve"> </w:t>
      </w:r>
      <w:r w:rsidR="00726529">
        <w:rPr>
          <w:rFonts w:ascii="Arial" w:hAnsi="Arial" w:cs="Arial"/>
          <w:sz w:val="24"/>
          <w:szCs w:val="24"/>
        </w:rPr>
        <w:t xml:space="preserve">Cheryl </w:t>
      </w:r>
      <w:proofErr w:type="spellStart"/>
      <w:r w:rsidR="00726529">
        <w:rPr>
          <w:rFonts w:ascii="Arial" w:hAnsi="Arial" w:cs="Arial"/>
          <w:sz w:val="24"/>
          <w:szCs w:val="24"/>
        </w:rPr>
        <w:t>Exum</w:t>
      </w:r>
      <w:proofErr w:type="spellEnd"/>
      <w:r w:rsidR="00726529">
        <w:rPr>
          <w:rFonts w:ascii="Arial" w:hAnsi="Arial" w:cs="Arial"/>
          <w:sz w:val="24"/>
          <w:szCs w:val="24"/>
        </w:rPr>
        <w:t>, writing from a feminist point of view, agrees.</w:t>
      </w:r>
      <w:r w:rsidR="00726529">
        <w:rPr>
          <w:rStyle w:val="FootnoteReference"/>
          <w:rFonts w:ascii="Arial" w:hAnsi="Arial" w:cs="Arial"/>
          <w:sz w:val="24"/>
          <w:szCs w:val="24"/>
        </w:rPr>
        <w:footnoteReference w:id="12"/>
      </w:r>
      <w:r w:rsidR="00726529">
        <w:rPr>
          <w:rFonts w:ascii="Arial" w:hAnsi="Arial" w:cs="Arial"/>
          <w:sz w:val="24"/>
          <w:szCs w:val="24"/>
        </w:rPr>
        <w:t xml:space="preserve"> Reception historians, </w:t>
      </w:r>
      <w:r w:rsidR="00361C7A">
        <w:rPr>
          <w:rFonts w:ascii="Arial" w:hAnsi="Arial" w:cs="Arial"/>
          <w:sz w:val="24"/>
          <w:szCs w:val="24"/>
        </w:rPr>
        <w:t>therefore,</w:t>
      </w:r>
      <w:r w:rsidR="00726529">
        <w:rPr>
          <w:rFonts w:ascii="Arial" w:hAnsi="Arial" w:cs="Arial"/>
          <w:sz w:val="24"/>
          <w:szCs w:val="24"/>
        </w:rPr>
        <w:t xml:space="preserve"> make choices regarding what responses to the bible </w:t>
      </w:r>
      <w:proofErr w:type="gramStart"/>
      <w:r w:rsidR="00726529">
        <w:rPr>
          <w:rFonts w:ascii="Arial" w:hAnsi="Arial" w:cs="Arial"/>
          <w:sz w:val="24"/>
          <w:szCs w:val="24"/>
        </w:rPr>
        <w:t>are important, justification</w:t>
      </w:r>
      <w:proofErr w:type="gramEnd"/>
      <w:r w:rsidR="00726529">
        <w:rPr>
          <w:rFonts w:ascii="Arial" w:hAnsi="Arial" w:cs="Arial"/>
          <w:sz w:val="24"/>
          <w:szCs w:val="24"/>
        </w:rPr>
        <w:t xml:space="preserve"> of material to be included, and to what ends.</w:t>
      </w:r>
      <w:r w:rsidR="00726529">
        <w:rPr>
          <w:rStyle w:val="FootnoteReference"/>
          <w:rFonts w:ascii="Arial" w:hAnsi="Arial" w:cs="Arial"/>
          <w:sz w:val="24"/>
          <w:szCs w:val="24"/>
        </w:rPr>
        <w:footnoteReference w:id="13"/>
      </w:r>
      <w:r w:rsidR="00726529">
        <w:rPr>
          <w:rFonts w:ascii="Arial" w:hAnsi="Arial" w:cs="Arial"/>
          <w:sz w:val="24"/>
          <w:szCs w:val="24"/>
        </w:rPr>
        <w:t xml:space="preserve"> </w:t>
      </w:r>
      <w:proofErr w:type="gramStart"/>
      <w:r w:rsidR="00726529">
        <w:rPr>
          <w:rFonts w:ascii="Arial" w:hAnsi="Arial" w:cs="Arial"/>
          <w:sz w:val="24"/>
          <w:szCs w:val="24"/>
        </w:rPr>
        <w:t>As Beal notes, “reception of what, which</w:t>
      </w:r>
      <w:r w:rsidR="00A069AF">
        <w:rPr>
          <w:rFonts w:ascii="Arial" w:hAnsi="Arial" w:cs="Arial"/>
          <w:sz w:val="24"/>
          <w:szCs w:val="24"/>
        </w:rPr>
        <w:t>,</w:t>
      </w:r>
      <w:r w:rsidR="00726529">
        <w:rPr>
          <w:rFonts w:ascii="Arial" w:hAnsi="Arial" w:cs="Arial"/>
          <w:sz w:val="24"/>
          <w:szCs w:val="24"/>
        </w:rPr>
        <w:t xml:space="preserve"> and from whence?”</w:t>
      </w:r>
      <w:proofErr w:type="gramEnd"/>
      <w:r w:rsidR="00726529">
        <w:rPr>
          <w:rStyle w:val="FootnoteReference"/>
          <w:rFonts w:ascii="Arial" w:hAnsi="Arial" w:cs="Arial"/>
          <w:sz w:val="24"/>
          <w:szCs w:val="24"/>
        </w:rPr>
        <w:footnoteReference w:id="14"/>
      </w:r>
    </w:p>
    <w:p w:rsidR="009C4D28" w:rsidRDefault="00C61983" w:rsidP="00C61983">
      <w:pPr>
        <w:spacing w:after="0"/>
        <w:jc w:val="both"/>
        <w:rPr>
          <w:rFonts w:ascii="Arial" w:hAnsi="Arial" w:cs="Arial"/>
          <w:sz w:val="24"/>
          <w:szCs w:val="24"/>
        </w:rPr>
      </w:pPr>
      <w:r>
        <w:rPr>
          <w:rFonts w:ascii="Arial" w:hAnsi="Arial" w:cs="Arial"/>
          <w:sz w:val="24"/>
          <w:szCs w:val="24"/>
        </w:rPr>
        <w:tab/>
      </w:r>
      <w:r>
        <w:rPr>
          <w:rFonts w:ascii="Arial" w:hAnsi="Arial" w:cs="Arial"/>
          <w:sz w:val="24"/>
          <w:szCs w:val="24"/>
        </w:rPr>
        <w:tab/>
      </w:r>
    </w:p>
    <w:p w:rsidR="00C61983" w:rsidRPr="00C61983" w:rsidRDefault="009C4D28" w:rsidP="00C61983">
      <w:pPr>
        <w:spacing w:after="0"/>
        <w:jc w:val="both"/>
        <w:rPr>
          <w:rFonts w:ascii="Arial" w:hAnsi="Arial" w:cs="Arial"/>
          <w:sz w:val="24"/>
          <w:szCs w:val="24"/>
          <w:u w:val="single"/>
        </w:rPr>
      </w:pPr>
      <w:r>
        <w:rPr>
          <w:rFonts w:ascii="Arial" w:hAnsi="Arial" w:cs="Arial"/>
          <w:sz w:val="24"/>
          <w:szCs w:val="24"/>
          <w:u w:val="single"/>
        </w:rPr>
        <w:t>Reception History/</w:t>
      </w:r>
      <w:r w:rsidR="00C61983">
        <w:rPr>
          <w:rFonts w:ascii="Arial" w:hAnsi="Arial" w:cs="Arial"/>
          <w:sz w:val="24"/>
          <w:szCs w:val="24"/>
          <w:u w:val="single"/>
        </w:rPr>
        <w:t>His</w:t>
      </w:r>
      <w:r w:rsidR="00FA04E5">
        <w:rPr>
          <w:rFonts w:ascii="Arial" w:hAnsi="Arial" w:cs="Arial"/>
          <w:sz w:val="24"/>
          <w:szCs w:val="24"/>
          <w:u w:val="single"/>
        </w:rPr>
        <w:t xml:space="preserve">tory of Interpretation/Biblical </w:t>
      </w:r>
      <w:r w:rsidR="00C61983">
        <w:rPr>
          <w:rFonts w:ascii="Arial" w:hAnsi="Arial" w:cs="Arial"/>
          <w:sz w:val="24"/>
          <w:szCs w:val="24"/>
          <w:u w:val="single"/>
        </w:rPr>
        <w:t>Criticism</w:t>
      </w:r>
    </w:p>
    <w:p w:rsidR="00AA3DD2" w:rsidRDefault="00AA3DD2" w:rsidP="00AA3DD2">
      <w:pPr>
        <w:spacing w:after="0"/>
        <w:jc w:val="both"/>
        <w:rPr>
          <w:rFonts w:ascii="Arial" w:hAnsi="Arial" w:cs="Arial"/>
          <w:sz w:val="24"/>
          <w:szCs w:val="24"/>
        </w:rPr>
      </w:pPr>
    </w:p>
    <w:p w:rsidR="006C0520" w:rsidRDefault="00AA3DD2" w:rsidP="00662ADD">
      <w:pPr>
        <w:spacing w:after="0"/>
        <w:jc w:val="both"/>
        <w:rPr>
          <w:rFonts w:ascii="Arial" w:hAnsi="Arial" w:cs="Arial"/>
          <w:sz w:val="24"/>
          <w:szCs w:val="24"/>
        </w:rPr>
      </w:pPr>
      <w:r>
        <w:rPr>
          <w:rFonts w:ascii="Arial" w:hAnsi="Arial" w:cs="Arial"/>
          <w:sz w:val="24"/>
          <w:szCs w:val="24"/>
        </w:rPr>
        <w:tab/>
        <w:t xml:space="preserve">Ulrich </w:t>
      </w:r>
      <w:proofErr w:type="gramStart"/>
      <w:r>
        <w:rPr>
          <w:rFonts w:ascii="Arial" w:hAnsi="Arial" w:cs="Arial"/>
          <w:sz w:val="24"/>
          <w:szCs w:val="24"/>
        </w:rPr>
        <w:t>Luz,</w:t>
      </w:r>
      <w:proofErr w:type="gramEnd"/>
      <w:r>
        <w:rPr>
          <w:rFonts w:ascii="Arial" w:hAnsi="Arial" w:cs="Arial"/>
          <w:sz w:val="24"/>
          <w:szCs w:val="24"/>
        </w:rPr>
        <w:t xml:space="preserve"> </w:t>
      </w:r>
      <w:r w:rsidR="00C347BC">
        <w:rPr>
          <w:rFonts w:ascii="Arial" w:hAnsi="Arial" w:cs="Arial"/>
          <w:sz w:val="24"/>
          <w:szCs w:val="24"/>
        </w:rPr>
        <w:t>raises the question o</w:t>
      </w:r>
      <w:r w:rsidR="00F254E4">
        <w:rPr>
          <w:rFonts w:ascii="Arial" w:hAnsi="Arial" w:cs="Arial"/>
          <w:sz w:val="24"/>
          <w:szCs w:val="24"/>
        </w:rPr>
        <w:t>f</w:t>
      </w:r>
      <w:r w:rsidR="00450DFC">
        <w:rPr>
          <w:rFonts w:ascii="Arial" w:hAnsi="Arial" w:cs="Arial"/>
          <w:sz w:val="24"/>
          <w:szCs w:val="24"/>
        </w:rPr>
        <w:t xml:space="preserve"> link</w:t>
      </w:r>
      <w:r w:rsidR="00F254E4">
        <w:rPr>
          <w:rFonts w:ascii="Arial" w:hAnsi="Arial" w:cs="Arial"/>
          <w:sz w:val="24"/>
          <w:szCs w:val="24"/>
        </w:rPr>
        <w:t>s</w:t>
      </w:r>
      <w:r w:rsidR="00450DFC">
        <w:rPr>
          <w:rFonts w:ascii="Arial" w:hAnsi="Arial" w:cs="Arial"/>
          <w:sz w:val="24"/>
          <w:szCs w:val="24"/>
        </w:rPr>
        <w:t xml:space="preserve"> between terms</w:t>
      </w:r>
      <w:r w:rsidR="00C347BC">
        <w:rPr>
          <w:rFonts w:ascii="Arial" w:hAnsi="Arial" w:cs="Arial"/>
          <w:sz w:val="24"/>
          <w:szCs w:val="24"/>
        </w:rPr>
        <w:t xml:space="preserve"> often considered interchangeable</w:t>
      </w:r>
      <w:r w:rsidR="00C61983">
        <w:rPr>
          <w:rFonts w:ascii="Arial" w:hAnsi="Arial" w:cs="Arial"/>
          <w:sz w:val="24"/>
          <w:szCs w:val="24"/>
        </w:rPr>
        <w:t>,</w:t>
      </w:r>
      <w:r w:rsidR="00C347BC">
        <w:rPr>
          <w:rFonts w:ascii="Arial" w:hAnsi="Arial" w:cs="Arial"/>
          <w:sz w:val="24"/>
          <w:szCs w:val="24"/>
        </w:rPr>
        <w:t xml:space="preserve"> “history of interpretation” and “reception history”, </w:t>
      </w:r>
      <w:r w:rsidR="00195EE8">
        <w:rPr>
          <w:rFonts w:ascii="Arial" w:hAnsi="Arial" w:cs="Arial"/>
          <w:sz w:val="24"/>
          <w:szCs w:val="24"/>
        </w:rPr>
        <w:t>with</w:t>
      </w:r>
      <w:r w:rsidR="00C347BC">
        <w:rPr>
          <w:rFonts w:ascii="Arial" w:hAnsi="Arial" w:cs="Arial"/>
          <w:sz w:val="24"/>
          <w:szCs w:val="24"/>
        </w:rPr>
        <w:t xml:space="preserve"> </w:t>
      </w:r>
      <w:proofErr w:type="spellStart"/>
      <w:r w:rsidR="00C347BC">
        <w:rPr>
          <w:rFonts w:ascii="Arial" w:hAnsi="Arial" w:cs="Arial"/>
          <w:sz w:val="24"/>
          <w:szCs w:val="24"/>
        </w:rPr>
        <w:t>Joynes</w:t>
      </w:r>
      <w:proofErr w:type="spellEnd"/>
      <w:r w:rsidR="00C347BC">
        <w:rPr>
          <w:rFonts w:ascii="Arial" w:hAnsi="Arial" w:cs="Arial"/>
          <w:sz w:val="24"/>
          <w:szCs w:val="24"/>
        </w:rPr>
        <w:t xml:space="preserve"> </w:t>
      </w:r>
      <w:r w:rsidR="00151C61">
        <w:rPr>
          <w:rFonts w:ascii="Arial" w:hAnsi="Arial" w:cs="Arial"/>
          <w:sz w:val="24"/>
          <w:szCs w:val="24"/>
        </w:rPr>
        <w:t>acknow</w:t>
      </w:r>
      <w:r w:rsidR="00450DFC">
        <w:rPr>
          <w:rFonts w:ascii="Arial" w:hAnsi="Arial" w:cs="Arial"/>
          <w:sz w:val="24"/>
          <w:szCs w:val="24"/>
        </w:rPr>
        <w:t>l</w:t>
      </w:r>
      <w:r w:rsidR="00151C61">
        <w:rPr>
          <w:rFonts w:ascii="Arial" w:hAnsi="Arial" w:cs="Arial"/>
          <w:sz w:val="24"/>
          <w:szCs w:val="24"/>
        </w:rPr>
        <w:t>edging</w:t>
      </w:r>
      <w:r w:rsidR="00C347BC">
        <w:rPr>
          <w:rFonts w:ascii="Arial" w:hAnsi="Arial" w:cs="Arial"/>
          <w:sz w:val="24"/>
          <w:szCs w:val="24"/>
        </w:rPr>
        <w:t xml:space="preserve"> the distinction between them is often unclear.</w:t>
      </w:r>
      <w:r w:rsidR="00C347BC">
        <w:rPr>
          <w:rStyle w:val="FootnoteReference"/>
          <w:rFonts w:ascii="Arial" w:hAnsi="Arial" w:cs="Arial"/>
          <w:sz w:val="24"/>
          <w:szCs w:val="24"/>
        </w:rPr>
        <w:footnoteReference w:id="15"/>
      </w:r>
      <w:r w:rsidR="00C61983">
        <w:rPr>
          <w:rFonts w:ascii="Arial" w:hAnsi="Arial" w:cs="Arial"/>
          <w:sz w:val="24"/>
          <w:szCs w:val="24"/>
        </w:rPr>
        <w:t xml:space="preserve"> </w:t>
      </w:r>
      <w:r w:rsidR="00151C61">
        <w:rPr>
          <w:rFonts w:ascii="Arial" w:hAnsi="Arial" w:cs="Arial"/>
          <w:sz w:val="24"/>
          <w:szCs w:val="24"/>
        </w:rPr>
        <w:t>Luz</w:t>
      </w:r>
      <w:r w:rsidR="00207B83">
        <w:rPr>
          <w:rFonts w:ascii="Arial" w:hAnsi="Arial" w:cs="Arial"/>
          <w:sz w:val="24"/>
          <w:szCs w:val="24"/>
        </w:rPr>
        <w:t xml:space="preserve"> </w:t>
      </w:r>
      <w:r>
        <w:rPr>
          <w:rFonts w:ascii="Arial" w:hAnsi="Arial" w:cs="Arial"/>
          <w:sz w:val="24"/>
          <w:szCs w:val="24"/>
        </w:rPr>
        <w:t xml:space="preserve">argues </w:t>
      </w:r>
      <w:r w:rsidR="00C61983">
        <w:rPr>
          <w:rFonts w:ascii="Arial" w:hAnsi="Arial" w:cs="Arial"/>
          <w:sz w:val="24"/>
          <w:szCs w:val="24"/>
        </w:rPr>
        <w:t>that the first</w:t>
      </w:r>
      <w:r w:rsidR="00207B83">
        <w:rPr>
          <w:rFonts w:ascii="Arial" w:hAnsi="Arial" w:cs="Arial"/>
          <w:sz w:val="24"/>
          <w:szCs w:val="24"/>
        </w:rPr>
        <w:t xml:space="preserve"> </w:t>
      </w:r>
      <w:r w:rsidR="00151C61">
        <w:rPr>
          <w:rFonts w:ascii="Arial" w:hAnsi="Arial" w:cs="Arial"/>
          <w:sz w:val="24"/>
          <w:szCs w:val="24"/>
        </w:rPr>
        <w:t>concerns</w:t>
      </w:r>
      <w:r w:rsidR="00207B83">
        <w:rPr>
          <w:rFonts w:ascii="Arial" w:hAnsi="Arial" w:cs="Arial"/>
          <w:sz w:val="24"/>
          <w:szCs w:val="24"/>
        </w:rPr>
        <w:t xml:space="preserve"> theological interpretations, whereas the s</w:t>
      </w:r>
      <w:r w:rsidR="00195EE8">
        <w:rPr>
          <w:rFonts w:ascii="Arial" w:hAnsi="Arial" w:cs="Arial"/>
          <w:sz w:val="24"/>
          <w:szCs w:val="24"/>
        </w:rPr>
        <w:t>econd incorporates other media,</w:t>
      </w:r>
      <w:r w:rsidR="00C61983">
        <w:rPr>
          <w:rFonts w:ascii="Arial" w:hAnsi="Arial" w:cs="Arial"/>
          <w:sz w:val="24"/>
          <w:szCs w:val="24"/>
        </w:rPr>
        <w:t xml:space="preserve"> also </w:t>
      </w:r>
      <w:r w:rsidR="00151C61">
        <w:rPr>
          <w:rFonts w:ascii="Arial" w:hAnsi="Arial" w:cs="Arial"/>
          <w:sz w:val="24"/>
          <w:szCs w:val="24"/>
        </w:rPr>
        <w:t>proposing</w:t>
      </w:r>
      <w:r w:rsidR="00207B83">
        <w:rPr>
          <w:rFonts w:ascii="Arial" w:hAnsi="Arial" w:cs="Arial"/>
          <w:sz w:val="24"/>
          <w:szCs w:val="24"/>
        </w:rPr>
        <w:t xml:space="preserve"> that “hist</w:t>
      </w:r>
      <w:r w:rsidR="00195EE8">
        <w:rPr>
          <w:rFonts w:ascii="Arial" w:hAnsi="Arial" w:cs="Arial"/>
          <w:sz w:val="24"/>
          <w:szCs w:val="24"/>
        </w:rPr>
        <w:t xml:space="preserve">ory of interpretation </w:t>
      </w:r>
      <w:r w:rsidR="00151C61">
        <w:rPr>
          <w:rFonts w:ascii="Arial" w:hAnsi="Arial" w:cs="Arial"/>
          <w:sz w:val="24"/>
          <w:szCs w:val="24"/>
        </w:rPr>
        <w:t xml:space="preserve">be viewed as a </w:t>
      </w:r>
      <w:r w:rsidR="00207B83">
        <w:rPr>
          <w:rFonts w:ascii="Arial" w:hAnsi="Arial" w:cs="Arial"/>
          <w:sz w:val="24"/>
          <w:szCs w:val="24"/>
        </w:rPr>
        <w:t xml:space="preserve">subcategory of </w:t>
      </w:r>
      <w:proofErr w:type="spellStart"/>
      <w:r w:rsidR="00207B83">
        <w:rPr>
          <w:rFonts w:ascii="Arial" w:hAnsi="Arial" w:cs="Arial"/>
          <w:i/>
          <w:sz w:val="24"/>
          <w:szCs w:val="24"/>
        </w:rPr>
        <w:t>Wirkungsgeschichte</w:t>
      </w:r>
      <w:proofErr w:type="spellEnd"/>
      <w:r w:rsidR="00195EE8">
        <w:rPr>
          <w:rFonts w:ascii="Arial" w:hAnsi="Arial" w:cs="Arial"/>
          <w:sz w:val="24"/>
          <w:szCs w:val="24"/>
        </w:rPr>
        <w:t xml:space="preserve">”, </w:t>
      </w:r>
      <w:r w:rsidR="00F254E4">
        <w:rPr>
          <w:rFonts w:ascii="Arial" w:hAnsi="Arial" w:cs="Arial"/>
          <w:sz w:val="24"/>
          <w:szCs w:val="24"/>
        </w:rPr>
        <w:t xml:space="preserve">but </w:t>
      </w:r>
      <w:r w:rsidR="00195EE8">
        <w:rPr>
          <w:rFonts w:ascii="Arial" w:hAnsi="Arial" w:cs="Arial"/>
          <w:sz w:val="24"/>
          <w:szCs w:val="24"/>
        </w:rPr>
        <w:t>conceding</w:t>
      </w:r>
      <w:r w:rsidR="00207B83">
        <w:rPr>
          <w:rFonts w:ascii="Arial" w:hAnsi="Arial" w:cs="Arial"/>
          <w:sz w:val="24"/>
          <w:szCs w:val="24"/>
        </w:rPr>
        <w:t xml:space="preserve"> that</w:t>
      </w:r>
      <w:r w:rsidR="00C61983">
        <w:rPr>
          <w:rFonts w:ascii="Arial" w:hAnsi="Arial" w:cs="Arial"/>
          <w:sz w:val="24"/>
          <w:szCs w:val="24"/>
        </w:rPr>
        <w:t>,</w:t>
      </w:r>
      <w:r w:rsidR="00207B83">
        <w:rPr>
          <w:rFonts w:ascii="Arial" w:hAnsi="Arial" w:cs="Arial"/>
          <w:sz w:val="24"/>
          <w:szCs w:val="24"/>
        </w:rPr>
        <w:t xml:space="preserve"> in pr</w:t>
      </w:r>
      <w:r w:rsidR="00195EE8">
        <w:rPr>
          <w:rFonts w:ascii="Arial" w:hAnsi="Arial" w:cs="Arial"/>
          <w:sz w:val="24"/>
          <w:szCs w:val="24"/>
        </w:rPr>
        <w:t>actice, the two terms can</w:t>
      </w:r>
      <w:r w:rsidR="00207B83">
        <w:rPr>
          <w:rFonts w:ascii="Arial" w:hAnsi="Arial" w:cs="Arial"/>
          <w:sz w:val="24"/>
          <w:szCs w:val="24"/>
        </w:rPr>
        <w:t xml:space="preserve"> be used synonymously.</w:t>
      </w:r>
      <w:r>
        <w:rPr>
          <w:rStyle w:val="FootnoteReference"/>
          <w:rFonts w:ascii="Arial" w:hAnsi="Arial" w:cs="Arial"/>
          <w:sz w:val="24"/>
          <w:szCs w:val="24"/>
        </w:rPr>
        <w:footnoteReference w:id="16"/>
      </w:r>
    </w:p>
    <w:p w:rsidR="00682F03" w:rsidRDefault="00195EE8" w:rsidP="00682F03">
      <w:pPr>
        <w:spacing w:after="0"/>
        <w:jc w:val="both"/>
        <w:rPr>
          <w:rFonts w:ascii="Arial" w:hAnsi="Arial" w:cs="Arial"/>
          <w:sz w:val="24"/>
          <w:szCs w:val="24"/>
        </w:rPr>
      </w:pPr>
      <w:r>
        <w:rPr>
          <w:rFonts w:ascii="Arial" w:hAnsi="Arial" w:cs="Arial"/>
          <w:sz w:val="24"/>
          <w:szCs w:val="24"/>
        </w:rPr>
        <w:lastRenderedPageBreak/>
        <w:tab/>
      </w:r>
      <w:r w:rsidR="006C0520">
        <w:rPr>
          <w:rFonts w:ascii="Arial" w:hAnsi="Arial" w:cs="Arial"/>
          <w:sz w:val="24"/>
          <w:szCs w:val="24"/>
        </w:rPr>
        <w:t xml:space="preserve">Breed </w:t>
      </w:r>
      <w:r w:rsidR="00682F03">
        <w:rPr>
          <w:rFonts w:ascii="Arial" w:hAnsi="Arial" w:cs="Arial"/>
          <w:sz w:val="24"/>
          <w:szCs w:val="24"/>
        </w:rPr>
        <w:t>contrasts reception history to biblical criticism, the</w:t>
      </w:r>
      <w:r w:rsidR="006C0520">
        <w:rPr>
          <w:rFonts w:ascii="Arial" w:hAnsi="Arial" w:cs="Arial"/>
          <w:sz w:val="24"/>
          <w:szCs w:val="24"/>
        </w:rPr>
        <w:t xml:space="preserve"> interpret</w:t>
      </w:r>
      <w:r w:rsidR="00682F03">
        <w:rPr>
          <w:rFonts w:ascii="Arial" w:hAnsi="Arial" w:cs="Arial"/>
          <w:sz w:val="24"/>
          <w:szCs w:val="24"/>
        </w:rPr>
        <w:t>ation of</w:t>
      </w:r>
      <w:r w:rsidR="006C0520">
        <w:rPr>
          <w:rFonts w:ascii="Arial" w:hAnsi="Arial" w:cs="Arial"/>
          <w:sz w:val="24"/>
          <w:szCs w:val="24"/>
        </w:rPr>
        <w:t xml:space="preserve"> original biblical texts.</w:t>
      </w:r>
      <w:r w:rsidR="006C0520">
        <w:rPr>
          <w:rStyle w:val="FootnoteReference"/>
          <w:rFonts w:ascii="Arial" w:hAnsi="Arial" w:cs="Arial"/>
          <w:sz w:val="24"/>
          <w:szCs w:val="24"/>
        </w:rPr>
        <w:footnoteReference w:id="17"/>
      </w:r>
      <w:r w:rsidR="00333C0A">
        <w:rPr>
          <w:rFonts w:ascii="Arial" w:hAnsi="Arial" w:cs="Arial"/>
          <w:sz w:val="24"/>
          <w:szCs w:val="24"/>
        </w:rPr>
        <w:t xml:space="preserve"> </w:t>
      </w:r>
      <w:r w:rsidR="001C110E">
        <w:rPr>
          <w:rFonts w:ascii="Arial" w:hAnsi="Arial" w:cs="Arial"/>
          <w:sz w:val="24"/>
          <w:szCs w:val="24"/>
        </w:rPr>
        <w:t>He</w:t>
      </w:r>
      <w:r w:rsidR="00C92CDA">
        <w:rPr>
          <w:rFonts w:ascii="Arial" w:hAnsi="Arial" w:cs="Arial"/>
          <w:sz w:val="24"/>
          <w:szCs w:val="24"/>
        </w:rPr>
        <w:t xml:space="preserve"> </w:t>
      </w:r>
      <w:r w:rsidR="00A069AF">
        <w:rPr>
          <w:rFonts w:ascii="Arial" w:hAnsi="Arial" w:cs="Arial"/>
          <w:sz w:val="24"/>
          <w:szCs w:val="24"/>
        </w:rPr>
        <w:t xml:space="preserve">uses </w:t>
      </w:r>
      <w:r w:rsidR="00C92CDA">
        <w:rPr>
          <w:rFonts w:ascii="Arial" w:hAnsi="Arial" w:cs="Arial"/>
          <w:sz w:val="24"/>
          <w:szCs w:val="24"/>
        </w:rPr>
        <w:t xml:space="preserve">the </w:t>
      </w:r>
      <w:r w:rsidR="001C110E">
        <w:rPr>
          <w:rFonts w:ascii="Arial" w:hAnsi="Arial" w:cs="Arial"/>
          <w:sz w:val="24"/>
          <w:szCs w:val="24"/>
        </w:rPr>
        <w:t xml:space="preserve">serpent </w:t>
      </w:r>
      <w:r w:rsidR="00A069AF">
        <w:rPr>
          <w:rFonts w:ascii="Arial" w:hAnsi="Arial" w:cs="Arial"/>
          <w:sz w:val="24"/>
          <w:szCs w:val="24"/>
        </w:rPr>
        <w:t xml:space="preserve">narrative </w:t>
      </w:r>
      <w:r w:rsidR="001C110E">
        <w:rPr>
          <w:rFonts w:ascii="Arial" w:hAnsi="Arial" w:cs="Arial"/>
          <w:sz w:val="24"/>
          <w:szCs w:val="24"/>
        </w:rPr>
        <w:t xml:space="preserve">in </w:t>
      </w:r>
      <w:r w:rsidR="00A069AF">
        <w:rPr>
          <w:rFonts w:ascii="Arial" w:hAnsi="Arial" w:cs="Arial"/>
          <w:sz w:val="24"/>
          <w:szCs w:val="24"/>
        </w:rPr>
        <w:t>the book of Genesis (</w:t>
      </w:r>
      <w:r w:rsidR="001C110E">
        <w:rPr>
          <w:rFonts w:ascii="Arial" w:hAnsi="Arial" w:cs="Arial"/>
          <w:sz w:val="24"/>
          <w:szCs w:val="24"/>
        </w:rPr>
        <w:t>Gen. 3</w:t>
      </w:r>
      <w:r w:rsidR="00A069AF">
        <w:rPr>
          <w:rFonts w:ascii="Arial" w:hAnsi="Arial" w:cs="Arial"/>
          <w:sz w:val="24"/>
          <w:szCs w:val="24"/>
        </w:rPr>
        <w:t>)</w:t>
      </w:r>
      <w:r w:rsidR="001C110E">
        <w:rPr>
          <w:rFonts w:ascii="Arial" w:hAnsi="Arial" w:cs="Arial"/>
          <w:sz w:val="24"/>
          <w:szCs w:val="24"/>
        </w:rPr>
        <w:t xml:space="preserve"> as an example;</w:t>
      </w:r>
      <w:r w:rsidR="00C92CDA">
        <w:rPr>
          <w:rFonts w:ascii="Arial" w:hAnsi="Arial" w:cs="Arial"/>
          <w:sz w:val="24"/>
          <w:szCs w:val="24"/>
        </w:rPr>
        <w:t xml:space="preserve"> </w:t>
      </w:r>
      <w:r w:rsidR="001C110E">
        <w:rPr>
          <w:rFonts w:ascii="Arial" w:hAnsi="Arial" w:cs="Arial"/>
          <w:sz w:val="24"/>
          <w:szCs w:val="24"/>
        </w:rPr>
        <w:t>a</w:t>
      </w:r>
      <w:r w:rsidR="00C92CDA">
        <w:rPr>
          <w:rFonts w:ascii="Arial" w:hAnsi="Arial" w:cs="Arial"/>
          <w:sz w:val="24"/>
          <w:szCs w:val="24"/>
        </w:rPr>
        <w:t xml:space="preserve"> biblical-criticism scholar would not consider the s</w:t>
      </w:r>
      <w:r w:rsidR="001C110E">
        <w:rPr>
          <w:rFonts w:ascii="Arial" w:hAnsi="Arial" w:cs="Arial"/>
          <w:sz w:val="24"/>
          <w:szCs w:val="24"/>
        </w:rPr>
        <w:t>er</w:t>
      </w:r>
      <w:r>
        <w:rPr>
          <w:rFonts w:ascii="Arial" w:hAnsi="Arial" w:cs="Arial"/>
          <w:sz w:val="24"/>
          <w:szCs w:val="24"/>
        </w:rPr>
        <w:t>pent</w:t>
      </w:r>
      <w:r w:rsidR="001C110E">
        <w:rPr>
          <w:rFonts w:ascii="Arial" w:hAnsi="Arial" w:cs="Arial"/>
          <w:sz w:val="24"/>
          <w:szCs w:val="24"/>
        </w:rPr>
        <w:t xml:space="preserve"> evil, because</w:t>
      </w:r>
      <w:r w:rsidR="00C92CDA">
        <w:rPr>
          <w:rFonts w:ascii="Arial" w:hAnsi="Arial" w:cs="Arial"/>
          <w:sz w:val="24"/>
          <w:szCs w:val="24"/>
        </w:rPr>
        <w:t xml:space="preserve"> ancient Israel</w:t>
      </w:r>
      <w:r w:rsidR="001C110E">
        <w:rPr>
          <w:rFonts w:ascii="Arial" w:hAnsi="Arial" w:cs="Arial"/>
          <w:sz w:val="24"/>
          <w:szCs w:val="24"/>
        </w:rPr>
        <w:t>ites</w:t>
      </w:r>
      <w:r w:rsidR="00C92CDA">
        <w:rPr>
          <w:rFonts w:ascii="Arial" w:hAnsi="Arial" w:cs="Arial"/>
          <w:sz w:val="24"/>
          <w:szCs w:val="24"/>
        </w:rPr>
        <w:t xml:space="preserve"> did not </w:t>
      </w:r>
      <w:r w:rsidR="001C110E">
        <w:rPr>
          <w:rFonts w:ascii="Arial" w:hAnsi="Arial" w:cs="Arial"/>
          <w:sz w:val="24"/>
          <w:szCs w:val="24"/>
        </w:rPr>
        <w:t>view</w:t>
      </w:r>
      <w:r>
        <w:rPr>
          <w:rFonts w:ascii="Arial" w:hAnsi="Arial" w:cs="Arial"/>
          <w:sz w:val="24"/>
          <w:szCs w:val="24"/>
        </w:rPr>
        <w:t xml:space="preserve"> serpents negatively</w:t>
      </w:r>
      <w:r w:rsidR="001C110E">
        <w:rPr>
          <w:rFonts w:ascii="Arial" w:hAnsi="Arial" w:cs="Arial"/>
          <w:sz w:val="24"/>
          <w:szCs w:val="24"/>
        </w:rPr>
        <w:t>, but</w:t>
      </w:r>
      <w:r w:rsidR="00D87721">
        <w:rPr>
          <w:rFonts w:ascii="Arial" w:hAnsi="Arial" w:cs="Arial"/>
          <w:sz w:val="24"/>
          <w:szCs w:val="24"/>
        </w:rPr>
        <w:t xml:space="preserve"> a reception historian</w:t>
      </w:r>
      <w:r w:rsidR="00C92CDA">
        <w:rPr>
          <w:rFonts w:ascii="Arial" w:hAnsi="Arial" w:cs="Arial"/>
          <w:sz w:val="24"/>
          <w:szCs w:val="24"/>
        </w:rPr>
        <w:t xml:space="preserve"> might be interes</w:t>
      </w:r>
      <w:r>
        <w:rPr>
          <w:rFonts w:ascii="Arial" w:hAnsi="Arial" w:cs="Arial"/>
          <w:sz w:val="24"/>
          <w:szCs w:val="24"/>
        </w:rPr>
        <w:t>ted in viewing</w:t>
      </w:r>
      <w:r w:rsidR="00C92CDA">
        <w:rPr>
          <w:rFonts w:ascii="Arial" w:hAnsi="Arial" w:cs="Arial"/>
          <w:sz w:val="24"/>
          <w:szCs w:val="24"/>
        </w:rPr>
        <w:t xml:space="preserve"> </w:t>
      </w:r>
      <w:r w:rsidR="00A069AF">
        <w:rPr>
          <w:rFonts w:ascii="Arial" w:hAnsi="Arial" w:cs="Arial"/>
          <w:sz w:val="24"/>
          <w:szCs w:val="24"/>
        </w:rPr>
        <w:t xml:space="preserve">alternative </w:t>
      </w:r>
      <w:r w:rsidR="00C92CDA">
        <w:rPr>
          <w:rFonts w:ascii="Arial" w:hAnsi="Arial" w:cs="Arial"/>
          <w:sz w:val="24"/>
          <w:szCs w:val="24"/>
        </w:rPr>
        <w:t>ser</w:t>
      </w:r>
      <w:r w:rsidR="001C110E">
        <w:rPr>
          <w:rFonts w:ascii="Arial" w:hAnsi="Arial" w:cs="Arial"/>
          <w:sz w:val="24"/>
          <w:szCs w:val="24"/>
        </w:rPr>
        <w:t xml:space="preserve">pent </w:t>
      </w:r>
      <w:r w:rsidR="00A069AF">
        <w:rPr>
          <w:rFonts w:ascii="Arial" w:hAnsi="Arial" w:cs="Arial"/>
          <w:sz w:val="24"/>
          <w:szCs w:val="24"/>
        </w:rPr>
        <w:t>narratives</w:t>
      </w:r>
      <w:r w:rsidR="001C110E">
        <w:rPr>
          <w:rFonts w:ascii="Arial" w:hAnsi="Arial" w:cs="Arial"/>
          <w:sz w:val="24"/>
          <w:szCs w:val="24"/>
        </w:rPr>
        <w:t>.</w:t>
      </w:r>
      <w:r w:rsidR="00C92CDA">
        <w:rPr>
          <w:rFonts w:ascii="Arial" w:hAnsi="Arial" w:cs="Arial"/>
          <w:sz w:val="24"/>
          <w:szCs w:val="24"/>
        </w:rPr>
        <w:t xml:space="preserve"> For example, Second Temple-era books (Sirach, 1 Enoch, Life of Adam and Eve, Wisdom of Solomon) consider the serpent as evil; the New Testament book of Revelation (Rev. 12) calls the serpent “the Devil and Satan”. However, the serpent is considered a hero in a 3</w:t>
      </w:r>
      <w:r w:rsidR="00C92CDA" w:rsidRPr="00534F70">
        <w:rPr>
          <w:rFonts w:ascii="Arial" w:hAnsi="Arial" w:cs="Arial"/>
          <w:sz w:val="24"/>
          <w:szCs w:val="24"/>
          <w:vertAlign w:val="superscript"/>
        </w:rPr>
        <w:t>rd</w:t>
      </w:r>
      <w:r w:rsidR="00C92CDA">
        <w:rPr>
          <w:rFonts w:ascii="Arial" w:hAnsi="Arial" w:cs="Arial"/>
          <w:sz w:val="24"/>
          <w:szCs w:val="24"/>
        </w:rPr>
        <w:t>-century creation story, and</w:t>
      </w:r>
      <w:r w:rsidR="00D87721">
        <w:rPr>
          <w:rFonts w:ascii="Arial" w:hAnsi="Arial" w:cs="Arial"/>
          <w:sz w:val="24"/>
          <w:szCs w:val="24"/>
        </w:rPr>
        <w:t>,</w:t>
      </w:r>
      <w:r w:rsidR="00C92CDA">
        <w:rPr>
          <w:rFonts w:ascii="Arial" w:hAnsi="Arial" w:cs="Arial"/>
          <w:sz w:val="24"/>
          <w:szCs w:val="24"/>
        </w:rPr>
        <w:t xml:space="preserve"> in mediaeval Western Christian art, the serpent is depicted wi</w:t>
      </w:r>
      <w:r>
        <w:rPr>
          <w:rFonts w:ascii="Arial" w:hAnsi="Arial" w:cs="Arial"/>
          <w:sz w:val="24"/>
          <w:szCs w:val="24"/>
        </w:rPr>
        <w:t xml:space="preserve">th the head of a female human, </w:t>
      </w:r>
      <w:r w:rsidR="00C92CDA">
        <w:rPr>
          <w:rFonts w:ascii="Arial" w:hAnsi="Arial" w:cs="Arial"/>
          <w:sz w:val="24"/>
          <w:szCs w:val="24"/>
        </w:rPr>
        <w:t>a common misogynistic view of Gen. 3.</w:t>
      </w:r>
      <w:r w:rsidR="00C92CDA">
        <w:rPr>
          <w:rStyle w:val="FootnoteReference"/>
          <w:rFonts w:ascii="Arial" w:hAnsi="Arial" w:cs="Arial"/>
          <w:sz w:val="24"/>
          <w:szCs w:val="24"/>
        </w:rPr>
        <w:footnoteReference w:id="18"/>
      </w:r>
      <w:r w:rsidR="00682F03">
        <w:rPr>
          <w:rFonts w:ascii="Arial" w:hAnsi="Arial" w:cs="Arial"/>
          <w:sz w:val="24"/>
          <w:szCs w:val="24"/>
        </w:rPr>
        <w:t xml:space="preserve"> </w:t>
      </w:r>
    </w:p>
    <w:p w:rsidR="00C92CDA" w:rsidRDefault="00682F03" w:rsidP="00C92CDA">
      <w:pPr>
        <w:spacing w:after="0"/>
        <w:jc w:val="both"/>
        <w:rPr>
          <w:rFonts w:ascii="Arial" w:hAnsi="Arial" w:cs="Arial"/>
          <w:sz w:val="24"/>
          <w:szCs w:val="24"/>
        </w:rPr>
      </w:pPr>
      <w:r>
        <w:rPr>
          <w:rFonts w:ascii="Arial" w:hAnsi="Arial" w:cs="Arial"/>
          <w:sz w:val="24"/>
          <w:szCs w:val="24"/>
        </w:rPr>
        <w:tab/>
      </w:r>
      <w:r w:rsidR="00195EE8">
        <w:rPr>
          <w:rFonts w:ascii="Arial" w:hAnsi="Arial" w:cs="Arial"/>
          <w:sz w:val="24"/>
          <w:szCs w:val="24"/>
        </w:rPr>
        <w:t>I</w:t>
      </w:r>
      <w:r>
        <w:rPr>
          <w:rFonts w:ascii="Arial" w:hAnsi="Arial" w:cs="Arial"/>
          <w:sz w:val="24"/>
          <w:szCs w:val="24"/>
        </w:rPr>
        <w:t xml:space="preserve">t is important to </w:t>
      </w:r>
      <w:r w:rsidR="00F254E4">
        <w:rPr>
          <w:rFonts w:ascii="Arial" w:hAnsi="Arial" w:cs="Arial"/>
          <w:sz w:val="24"/>
          <w:szCs w:val="24"/>
        </w:rPr>
        <w:t>highlight</w:t>
      </w:r>
      <w:r>
        <w:rPr>
          <w:rFonts w:ascii="Arial" w:hAnsi="Arial" w:cs="Arial"/>
          <w:sz w:val="24"/>
          <w:szCs w:val="24"/>
        </w:rPr>
        <w:t xml:space="preserve"> that scholars once b</w:t>
      </w:r>
      <w:r w:rsidR="00195EE8">
        <w:rPr>
          <w:rFonts w:ascii="Arial" w:hAnsi="Arial" w:cs="Arial"/>
          <w:sz w:val="24"/>
          <w:szCs w:val="24"/>
        </w:rPr>
        <w:t>elieved</w:t>
      </w:r>
      <w:r>
        <w:rPr>
          <w:rFonts w:ascii="Arial" w:hAnsi="Arial" w:cs="Arial"/>
          <w:sz w:val="24"/>
          <w:szCs w:val="24"/>
        </w:rPr>
        <w:t xml:space="preserve"> there was an original text for eve</w:t>
      </w:r>
      <w:r w:rsidR="00195EE8">
        <w:rPr>
          <w:rFonts w:ascii="Arial" w:hAnsi="Arial" w:cs="Arial"/>
          <w:sz w:val="24"/>
          <w:szCs w:val="24"/>
        </w:rPr>
        <w:t>ry book in the bible. B</w:t>
      </w:r>
      <w:r>
        <w:rPr>
          <w:rFonts w:ascii="Arial" w:hAnsi="Arial" w:cs="Arial"/>
          <w:sz w:val="24"/>
          <w:szCs w:val="24"/>
        </w:rPr>
        <w:t>iblical texts</w:t>
      </w:r>
      <w:r w:rsidR="00195EE8">
        <w:rPr>
          <w:rFonts w:ascii="Arial" w:hAnsi="Arial" w:cs="Arial"/>
          <w:sz w:val="24"/>
          <w:szCs w:val="24"/>
        </w:rPr>
        <w:t>, however, were constantly</w:t>
      </w:r>
      <w:r>
        <w:rPr>
          <w:rFonts w:ascii="Arial" w:hAnsi="Arial" w:cs="Arial"/>
          <w:sz w:val="24"/>
          <w:szCs w:val="24"/>
        </w:rPr>
        <w:t xml:space="preserve"> updated and edited until around the 2</w:t>
      </w:r>
      <w:r w:rsidRPr="004100A2">
        <w:rPr>
          <w:rFonts w:ascii="Arial" w:hAnsi="Arial" w:cs="Arial"/>
          <w:sz w:val="24"/>
          <w:szCs w:val="24"/>
          <w:vertAlign w:val="superscript"/>
        </w:rPr>
        <w:t>nd</w:t>
      </w:r>
      <w:r w:rsidR="00A069AF">
        <w:rPr>
          <w:rFonts w:ascii="Arial" w:hAnsi="Arial" w:cs="Arial"/>
          <w:sz w:val="24"/>
          <w:szCs w:val="24"/>
        </w:rPr>
        <w:t>-century CE. Indeed, d</w:t>
      </w:r>
      <w:r>
        <w:rPr>
          <w:rFonts w:ascii="Arial" w:hAnsi="Arial" w:cs="Arial"/>
          <w:sz w:val="24"/>
          <w:szCs w:val="24"/>
        </w:rPr>
        <w:t>ifferent versions of biblical books existed in the Second Temple period, raising the question as to wh</w:t>
      </w:r>
      <w:r w:rsidR="00F254E4">
        <w:rPr>
          <w:rFonts w:ascii="Arial" w:hAnsi="Arial" w:cs="Arial"/>
          <w:sz w:val="24"/>
          <w:szCs w:val="24"/>
        </w:rPr>
        <w:t>at</w:t>
      </w:r>
      <w:r>
        <w:rPr>
          <w:rFonts w:ascii="Arial" w:hAnsi="Arial" w:cs="Arial"/>
          <w:sz w:val="24"/>
          <w:szCs w:val="24"/>
        </w:rPr>
        <w:t xml:space="preserve"> can be considered </w:t>
      </w:r>
      <w:r w:rsidR="00151C61">
        <w:rPr>
          <w:rFonts w:ascii="Arial" w:hAnsi="Arial" w:cs="Arial"/>
          <w:sz w:val="24"/>
          <w:szCs w:val="24"/>
        </w:rPr>
        <w:t>an</w:t>
      </w:r>
      <w:r>
        <w:rPr>
          <w:rFonts w:ascii="Arial" w:hAnsi="Arial" w:cs="Arial"/>
          <w:sz w:val="24"/>
          <w:szCs w:val="24"/>
        </w:rPr>
        <w:t xml:space="preserve"> original tex</w:t>
      </w:r>
      <w:r w:rsidR="00195EE8">
        <w:rPr>
          <w:rFonts w:ascii="Arial" w:hAnsi="Arial" w:cs="Arial"/>
          <w:sz w:val="24"/>
          <w:szCs w:val="24"/>
        </w:rPr>
        <w:t>t</w:t>
      </w:r>
      <w:r>
        <w:rPr>
          <w:rFonts w:ascii="Arial" w:hAnsi="Arial" w:cs="Arial"/>
          <w:sz w:val="24"/>
          <w:szCs w:val="24"/>
        </w:rPr>
        <w:t>.</w:t>
      </w:r>
      <w:r>
        <w:rPr>
          <w:rStyle w:val="FootnoteReference"/>
          <w:rFonts w:ascii="Arial" w:hAnsi="Arial" w:cs="Arial"/>
          <w:sz w:val="24"/>
          <w:szCs w:val="24"/>
        </w:rPr>
        <w:footnoteReference w:id="19"/>
      </w:r>
      <w:r>
        <w:rPr>
          <w:rFonts w:ascii="Arial" w:hAnsi="Arial" w:cs="Arial"/>
          <w:sz w:val="24"/>
          <w:szCs w:val="24"/>
        </w:rPr>
        <w:t xml:space="preserve"> In this context, Beal argues persuasively that</w:t>
      </w:r>
      <w:r w:rsidR="00E50C52">
        <w:rPr>
          <w:rFonts w:ascii="Arial" w:hAnsi="Arial" w:cs="Arial"/>
          <w:sz w:val="24"/>
          <w:szCs w:val="24"/>
        </w:rPr>
        <w:t xml:space="preserve"> the bible is</w:t>
      </w:r>
      <w:r>
        <w:rPr>
          <w:rFonts w:ascii="Arial" w:hAnsi="Arial" w:cs="Arial"/>
          <w:sz w:val="24"/>
          <w:szCs w:val="24"/>
        </w:rPr>
        <w:t xml:space="preserve"> a collection of “often competing, heterogeneous, ideas, more or less related to a wide variety of biblical things”.</w:t>
      </w:r>
      <w:r>
        <w:rPr>
          <w:rStyle w:val="FootnoteReference"/>
          <w:rFonts w:ascii="Arial" w:hAnsi="Arial" w:cs="Arial"/>
          <w:sz w:val="24"/>
          <w:szCs w:val="24"/>
        </w:rPr>
        <w:footnoteReference w:id="20"/>
      </w:r>
    </w:p>
    <w:p w:rsidR="00D87721" w:rsidRDefault="001C110E" w:rsidP="00682F03">
      <w:pPr>
        <w:spacing w:after="0"/>
        <w:jc w:val="both"/>
        <w:rPr>
          <w:rFonts w:ascii="Arial" w:hAnsi="Arial" w:cs="Arial"/>
          <w:sz w:val="24"/>
          <w:szCs w:val="24"/>
        </w:rPr>
      </w:pPr>
      <w:r>
        <w:rPr>
          <w:rFonts w:ascii="Arial" w:hAnsi="Arial" w:cs="Arial"/>
          <w:sz w:val="24"/>
          <w:szCs w:val="24"/>
        </w:rPr>
        <w:tab/>
      </w:r>
      <w:r w:rsidR="00195EE8">
        <w:rPr>
          <w:rFonts w:ascii="Arial" w:hAnsi="Arial" w:cs="Arial"/>
          <w:sz w:val="24"/>
          <w:szCs w:val="24"/>
        </w:rPr>
        <w:t xml:space="preserve">I support </w:t>
      </w:r>
      <w:r w:rsidR="004100A2">
        <w:rPr>
          <w:rFonts w:ascii="Arial" w:hAnsi="Arial" w:cs="Arial"/>
          <w:sz w:val="24"/>
          <w:szCs w:val="24"/>
        </w:rPr>
        <w:t>Mark Knight</w:t>
      </w:r>
      <w:r w:rsidR="00195EE8">
        <w:rPr>
          <w:rFonts w:ascii="Arial" w:hAnsi="Arial" w:cs="Arial"/>
          <w:sz w:val="24"/>
          <w:szCs w:val="24"/>
        </w:rPr>
        <w:t>’s</w:t>
      </w:r>
      <w:r w:rsidR="004100A2">
        <w:rPr>
          <w:rFonts w:ascii="Arial" w:hAnsi="Arial" w:cs="Arial"/>
          <w:sz w:val="24"/>
          <w:szCs w:val="24"/>
        </w:rPr>
        <w:t xml:space="preserve"> argument that</w:t>
      </w:r>
      <w:r w:rsidR="00151C61">
        <w:rPr>
          <w:rFonts w:ascii="Arial" w:hAnsi="Arial" w:cs="Arial"/>
          <w:sz w:val="24"/>
          <w:szCs w:val="24"/>
        </w:rPr>
        <w:t xml:space="preserve"> to choose between historical-</w:t>
      </w:r>
      <w:r w:rsidR="004100A2">
        <w:rPr>
          <w:rFonts w:ascii="Arial" w:hAnsi="Arial" w:cs="Arial"/>
          <w:sz w:val="24"/>
          <w:szCs w:val="24"/>
        </w:rPr>
        <w:t xml:space="preserve">reception and historical-critical </w:t>
      </w:r>
      <w:r w:rsidR="00151C61">
        <w:rPr>
          <w:rFonts w:ascii="Arial" w:hAnsi="Arial" w:cs="Arial"/>
          <w:sz w:val="24"/>
          <w:szCs w:val="24"/>
        </w:rPr>
        <w:t>risks</w:t>
      </w:r>
      <w:r w:rsidR="004100A2">
        <w:rPr>
          <w:rFonts w:ascii="Arial" w:hAnsi="Arial" w:cs="Arial"/>
          <w:sz w:val="24"/>
          <w:szCs w:val="24"/>
        </w:rPr>
        <w:t xml:space="preserve"> ignoring </w:t>
      </w:r>
      <w:r w:rsidR="00151C61">
        <w:rPr>
          <w:rFonts w:ascii="Arial" w:hAnsi="Arial" w:cs="Arial"/>
          <w:sz w:val="24"/>
          <w:szCs w:val="24"/>
        </w:rPr>
        <w:t>that the</w:t>
      </w:r>
      <w:r w:rsidR="004100A2">
        <w:rPr>
          <w:rFonts w:ascii="Arial" w:hAnsi="Arial" w:cs="Arial"/>
          <w:sz w:val="24"/>
          <w:szCs w:val="24"/>
        </w:rPr>
        <w:t xml:space="preserve"> two me</w:t>
      </w:r>
      <w:r w:rsidR="002549F8">
        <w:rPr>
          <w:rFonts w:ascii="Arial" w:hAnsi="Arial" w:cs="Arial"/>
          <w:sz w:val="24"/>
          <w:szCs w:val="24"/>
        </w:rPr>
        <w:t>thodologies often intersect</w:t>
      </w:r>
      <w:r w:rsidR="00151C61">
        <w:rPr>
          <w:rFonts w:ascii="Arial" w:hAnsi="Arial" w:cs="Arial"/>
          <w:sz w:val="24"/>
          <w:szCs w:val="24"/>
        </w:rPr>
        <w:t xml:space="preserve">, </w:t>
      </w:r>
      <w:r w:rsidR="00450DFC">
        <w:rPr>
          <w:rFonts w:ascii="Arial" w:hAnsi="Arial" w:cs="Arial"/>
          <w:sz w:val="24"/>
          <w:szCs w:val="24"/>
        </w:rPr>
        <w:t>concluding that no</w:t>
      </w:r>
      <w:r w:rsidR="00151C61">
        <w:rPr>
          <w:rFonts w:ascii="Arial" w:hAnsi="Arial" w:cs="Arial"/>
          <w:sz w:val="24"/>
          <w:szCs w:val="24"/>
        </w:rPr>
        <w:t xml:space="preserve"> final conclusion can</w:t>
      </w:r>
      <w:r w:rsidR="002549F8">
        <w:rPr>
          <w:rFonts w:ascii="Arial" w:hAnsi="Arial" w:cs="Arial"/>
          <w:sz w:val="24"/>
          <w:szCs w:val="24"/>
        </w:rPr>
        <w:t xml:space="preserve"> </w:t>
      </w:r>
      <w:r>
        <w:rPr>
          <w:rFonts w:ascii="Arial" w:hAnsi="Arial" w:cs="Arial"/>
          <w:sz w:val="24"/>
          <w:szCs w:val="24"/>
        </w:rPr>
        <w:t>be reached.</w:t>
      </w:r>
      <w:r w:rsidR="00682F03">
        <w:rPr>
          <w:rStyle w:val="FootnoteReference"/>
          <w:rFonts w:ascii="Arial" w:hAnsi="Arial" w:cs="Arial"/>
          <w:sz w:val="24"/>
          <w:szCs w:val="24"/>
        </w:rPr>
        <w:footnoteReference w:id="21"/>
      </w:r>
      <w:r w:rsidR="004100A2">
        <w:rPr>
          <w:rFonts w:ascii="Arial" w:hAnsi="Arial" w:cs="Arial"/>
          <w:sz w:val="24"/>
          <w:szCs w:val="24"/>
        </w:rPr>
        <w:t xml:space="preserve"> </w:t>
      </w:r>
      <w:r w:rsidR="00D87721">
        <w:rPr>
          <w:rFonts w:ascii="Arial" w:hAnsi="Arial" w:cs="Arial"/>
          <w:sz w:val="24"/>
          <w:szCs w:val="24"/>
        </w:rPr>
        <w:t>William Lamb, however, argues that a clear distinction would avoid confusion.</w:t>
      </w:r>
      <w:r w:rsidR="00D87721">
        <w:rPr>
          <w:rStyle w:val="FootnoteReference"/>
          <w:rFonts w:ascii="Arial" w:hAnsi="Arial" w:cs="Arial"/>
          <w:sz w:val="24"/>
          <w:szCs w:val="24"/>
        </w:rPr>
        <w:footnoteReference w:id="22"/>
      </w:r>
      <w:r w:rsidR="00D87721">
        <w:rPr>
          <w:rFonts w:ascii="Arial" w:hAnsi="Arial" w:cs="Arial"/>
          <w:sz w:val="24"/>
          <w:szCs w:val="24"/>
        </w:rPr>
        <w:t xml:space="preserve"> </w:t>
      </w:r>
      <w:r w:rsidR="002549F8">
        <w:rPr>
          <w:rFonts w:ascii="Arial" w:hAnsi="Arial" w:cs="Arial"/>
          <w:sz w:val="24"/>
          <w:szCs w:val="24"/>
        </w:rPr>
        <w:t>Clearly</w:t>
      </w:r>
      <w:r w:rsidR="00682F03">
        <w:rPr>
          <w:rFonts w:ascii="Arial" w:hAnsi="Arial" w:cs="Arial"/>
          <w:sz w:val="24"/>
          <w:szCs w:val="24"/>
        </w:rPr>
        <w:t xml:space="preserve"> th</w:t>
      </w:r>
      <w:r w:rsidR="00FF2DCD">
        <w:rPr>
          <w:rFonts w:ascii="Arial" w:hAnsi="Arial" w:cs="Arial"/>
          <w:sz w:val="24"/>
          <w:szCs w:val="24"/>
        </w:rPr>
        <w:t>is is an ongoing debate</w:t>
      </w:r>
      <w:r w:rsidR="00D87721">
        <w:rPr>
          <w:rFonts w:ascii="Arial" w:hAnsi="Arial" w:cs="Arial"/>
          <w:sz w:val="24"/>
          <w:szCs w:val="24"/>
        </w:rPr>
        <w:t>.</w:t>
      </w:r>
      <w:r w:rsidR="00682F03">
        <w:rPr>
          <w:rFonts w:ascii="Arial" w:hAnsi="Arial" w:cs="Arial"/>
          <w:sz w:val="24"/>
          <w:szCs w:val="24"/>
        </w:rPr>
        <w:t xml:space="preserve"> </w:t>
      </w:r>
    </w:p>
    <w:p w:rsidR="00FF2DCD" w:rsidRDefault="00FF2DCD" w:rsidP="00682F03">
      <w:pPr>
        <w:spacing w:after="0"/>
        <w:jc w:val="both"/>
        <w:rPr>
          <w:rFonts w:ascii="Arial" w:hAnsi="Arial" w:cs="Arial"/>
          <w:sz w:val="24"/>
          <w:szCs w:val="24"/>
        </w:rPr>
      </w:pPr>
    </w:p>
    <w:p w:rsidR="00E50C52" w:rsidRPr="00E50C52" w:rsidRDefault="00E50C52" w:rsidP="00682F03">
      <w:pPr>
        <w:spacing w:after="0"/>
        <w:jc w:val="both"/>
        <w:rPr>
          <w:rFonts w:ascii="Arial" w:hAnsi="Arial" w:cs="Arial"/>
          <w:sz w:val="24"/>
          <w:szCs w:val="24"/>
          <w:u w:val="single"/>
        </w:rPr>
      </w:pPr>
      <w:r>
        <w:rPr>
          <w:rFonts w:ascii="Arial" w:hAnsi="Arial" w:cs="Arial"/>
          <w:sz w:val="24"/>
          <w:szCs w:val="24"/>
          <w:u w:val="single"/>
        </w:rPr>
        <w:t>Value/Future Directions</w:t>
      </w:r>
    </w:p>
    <w:p w:rsidR="006C0520" w:rsidRDefault="006C0520" w:rsidP="00333C0A">
      <w:pPr>
        <w:spacing w:after="0"/>
        <w:jc w:val="both"/>
        <w:rPr>
          <w:rFonts w:ascii="Arial" w:hAnsi="Arial" w:cs="Arial"/>
          <w:sz w:val="24"/>
          <w:szCs w:val="24"/>
        </w:rPr>
      </w:pPr>
    </w:p>
    <w:p w:rsidR="00FA04E5" w:rsidRDefault="004100A2" w:rsidP="00FA04E5">
      <w:pPr>
        <w:spacing w:after="0"/>
        <w:jc w:val="both"/>
        <w:rPr>
          <w:rFonts w:ascii="Arial" w:hAnsi="Arial" w:cs="Arial"/>
          <w:sz w:val="24"/>
          <w:szCs w:val="24"/>
        </w:rPr>
      </w:pPr>
      <w:r>
        <w:rPr>
          <w:rFonts w:ascii="Arial" w:hAnsi="Arial" w:cs="Arial"/>
          <w:sz w:val="24"/>
          <w:szCs w:val="24"/>
        </w:rPr>
        <w:tab/>
      </w:r>
      <w:r w:rsidR="00A069AF">
        <w:rPr>
          <w:rFonts w:ascii="Arial" w:hAnsi="Arial" w:cs="Arial"/>
          <w:sz w:val="24"/>
          <w:szCs w:val="24"/>
        </w:rPr>
        <w:t>I support the arguments that r</w:t>
      </w:r>
      <w:r w:rsidR="00E50C52">
        <w:rPr>
          <w:rFonts w:ascii="Arial" w:hAnsi="Arial" w:cs="Arial"/>
          <w:sz w:val="24"/>
          <w:szCs w:val="24"/>
        </w:rPr>
        <w:t>eception history has had/</w:t>
      </w:r>
      <w:r w:rsidR="00FA04E5">
        <w:rPr>
          <w:rFonts w:ascii="Arial" w:hAnsi="Arial" w:cs="Arial"/>
          <w:sz w:val="24"/>
          <w:szCs w:val="24"/>
        </w:rPr>
        <w:t>continues to have</w:t>
      </w:r>
      <w:r w:rsidR="00B92AD9">
        <w:rPr>
          <w:rFonts w:ascii="Arial" w:hAnsi="Arial" w:cs="Arial"/>
          <w:sz w:val="24"/>
          <w:szCs w:val="24"/>
        </w:rPr>
        <w:t xml:space="preserve"> a profound impact on biblical </w:t>
      </w:r>
      <w:r w:rsidR="00743689">
        <w:rPr>
          <w:rFonts w:ascii="Arial" w:hAnsi="Arial" w:cs="Arial"/>
          <w:sz w:val="24"/>
          <w:szCs w:val="24"/>
        </w:rPr>
        <w:t>studies</w:t>
      </w:r>
      <w:r w:rsidR="00B92AD9">
        <w:rPr>
          <w:rFonts w:ascii="Arial" w:hAnsi="Arial" w:cs="Arial"/>
          <w:sz w:val="24"/>
          <w:szCs w:val="24"/>
        </w:rPr>
        <w:t xml:space="preserve">, </w:t>
      </w:r>
      <w:r w:rsidR="00A069AF">
        <w:rPr>
          <w:rFonts w:ascii="Arial" w:hAnsi="Arial" w:cs="Arial"/>
          <w:sz w:val="24"/>
          <w:szCs w:val="24"/>
        </w:rPr>
        <w:t xml:space="preserve">because of the wide range of issues it addresses, </w:t>
      </w:r>
      <w:r w:rsidR="00B92AD9">
        <w:rPr>
          <w:rFonts w:ascii="Arial" w:hAnsi="Arial" w:cs="Arial"/>
          <w:sz w:val="24"/>
          <w:szCs w:val="24"/>
        </w:rPr>
        <w:t xml:space="preserve">particularly </w:t>
      </w:r>
      <w:r w:rsidR="00450DFC">
        <w:rPr>
          <w:rFonts w:ascii="Arial" w:hAnsi="Arial" w:cs="Arial"/>
          <w:sz w:val="24"/>
          <w:szCs w:val="24"/>
        </w:rPr>
        <w:t>concerning</w:t>
      </w:r>
      <w:r w:rsidR="00B92AD9">
        <w:rPr>
          <w:rFonts w:ascii="Arial" w:hAnsi="Arial" w:cs="Arial"/>
          <w:sz w:val="24"/>
          <w:szCs w:val="24"/>
        </w:rPr>
        <w:t xml:space="preserve"> the “ongoing, culturally-specific relationship between texts and readers”</w:t>
      </w:r>
      <w:r w:rsidR="00743689">
        <w:rPr>
          <w:rFonts w:ascii="Arial" w:hAnsi="Arial" w:cs="Arial"/>
          <w:sz w:val="24"/>
          <w:szCs w:val="24"/>
        </w:rPr>
        <w:t>.</w:t>
      </w:r>
      <w:r w:rsidR="00743689">
        <w:rPr>
          <w:rStyle w:val="FootnoteReference"/>
          <w:rFonts w:ascii="Arial" w:hAnsi="Arial" w:cs="Arial"/>
          <w:sz w:val="24"/>
          <w:szCs w:val="24"/>
        </w:rPr>
        <w:footnoteReference w:id="23"/>
      </w:r>
      <w:r w:rsidR="00E50C52">
        <w:rPr>
          <w:rFonts w:ascii="Arial" w:hAnsi="Arial" w:cs="Arial"/>
          <w:sz w:val="24"/>
          <w:szCs w:val="24"/>
        </w:rPr>
        <w:t xml:space="preserve"> </w:t>
      </w:r>
      <w:r w:rsidR="00FA04E5">
        <w:rPr>
          <w:rFonts w:ascii="Arial" w:hAnsi="Arial" w:cs="Arial"/>
          <w:sz w:val="24"/>
          <w:szCs w:val="24"/>
        </w:rPr>
        <w:t>Beal</w:t>
      </w:r>
      <w:r w:rsidR="00D94C82">
        <w:rPr>
          <w:rFonts w:ascii="Arial" w:hAnsi="Arial" w:cs="Arial"/>
          <w:sz w:val="24"/>
          <w:szCs w:val="24"/>
        </w:rPr>
        <w:t xml:space="preserve"> also rightly </w:t>
      </w:r>
      <w:r w:rsidR="00FA04E5">
        <w:rPr>
          <w:rFonts w:ascii="Arial" w:hAnsi="Arial" w:cs="Arial"/>
          <w:sz w:val="24"/>
          <w:szCs w:val="24"/>
        </w:rPr>
        <w:t>argues</w:t>
      </w:r>
      <w:r w:rsidR="00AD6802">
        <w:rPr>
          <w:rFonts w:ascii="Arial" w:hAnsi="Arial" w:cs="Arial"/>
          <w:sz w:val="24"/>
          <w:szCs w:val="24"/>
        </w:rPr>
        <w:t xml:space="preserve"> </w:t>
      </w:r>
      <w:r w:rsidR="002549F8">
        <w:rPr>
          <w:rFonts w:ascii="Arial" w:hAnsi="Arial" w:cs="Arial"/>
          <w:sz w:val="24"/>
          <w:szCs w:val="24"/>
        </w:rPr>
        <w:t>for</w:t>
      </w:r>
      <w:r w:rsidR="00AD6802">
        <w:rPr>
          <w:rFonts w:ascii="Arial" w:hAnsi="Arial" w:cs="Arial"/>
          <w:sz w:val="24"/>
          <w:szCs w:val="24"/>
        </w:rPr>
        <w:t xml:space="preserve"> </w:t>
      </w:r>
      <w:r w:rsidR="002549F8">
        <w:rPr>
          <w:rFonts w:ascii="Arial" w:hAnsi="Arial" w:cs="Arial"/>
          <w:sz w:val="24"/>
          <w:szCs w:val="24"/>
        </w:rPr>
        <w:t>further progress</w:t>
      </w:r>
      <w:r w:rsidR="00FA04E5">
        <w:rPr>
          <w:rFonts w:ascii="Arial" w:hAnsi="Arial" w:cs="Arial"/>
          <w:sz w:val="24"/>
          <w:szCs w:val="24"/>
        </w:rPr>
        <w:t>, proposi</w:t>
      </w:r>
      <w:r w:rsidR="002549F8">
        <w:rPr>
          <w:rFonts w:ascii="Arial" w:hAnsi="Arial" w:cs="Arial"/>
          <w:sz w:val="24"/>
          <w:szCs w:val="24"/>
        </w:rPr>
        <w:t>ng a move</w:t>
      </w:r>
      <w:r w:rsidR="00FA04E5">
        <w:rPr>
          <w:rFonts w:ascii="Arial" w:hAnsi="Arial" w:cs="Arial"/>
          <w:sz w:val="24"/>
          <w:szCs w:val="24"/>
        </w:rPr>
        <w:t xml:space="preserve"> to cultural hist</w:t>
      </w:r>
      <w:r w:rsidR="00D87721">
        <w:rPr>
          <w:rFonts w:ascii="Arial" w:hAnsi="Arial" w:cs="Arial"/>
          <w:sz w:val="24"/>
          <w:szCs w:val="24"/>
        </w:rPr>
        <w:t>ory, rooted in</w:t>
      </w:r>
      <w:r w:rsidR="00FA04E5">
        <w:rPr>
          <w:rFonts w:ascii="Arial" w:hAnsi="Arial" w:cs="Arial"/>
          <w:sz w:val="24"/>
          <w:szCs w:val="24"/>
        </w:rPr>
        <w:t xml:space="preserve"> anthropology, thereby moving from the “impacts or influen</w:t>
      </w:r>
      <w:r w:rsidR="00AD6802">
        <w:rPr>
          <w:rFonts w:ascii="Arial" w:hAnsi="Arial" w:cs="Arial"/>
          <w:sz w:val="24"/>
          <w:szCs w:val="24"/>
        </w:rPr>
        <w:t>ces of biblical texts</w:t>
      </w:r>
      <w:r w:rsidR="00FA04E5">
        <w:rPr>
          <w:rFonts w:ascii="Arial" w:hAnsi="Arial" w:cs="Arial"/>
          <w:sz w:val="24"/>
          <w:szCs w:val="24"/>
        </w:rPr>
        <w:t>, to the cultural meaning of them”.</w:t>
      </w:r>
      <w:r w:rsidR="00FA04E5">
        <w:rPr>
          <w:rStyle w:val="FootnoteReference"/>
          <w:rFonts w:ascii="Arial" w:hAnsi="Arial" w:cs="Arial"/>
          <w:sz w:val="24"/>
          <w:szCs w:val="24"/>
        </w:rPr>
        <w:footnoteReference w:id="24"/>
      </w:r>
    </w:p>
    <w:p w:rsidR="00FF2DCD" w:rsidRDefault="00AD6802" w:rsidP="00333C0A">
      <w:pPr>
        <w:spacing w:after="0"/>
        <w:jc w:val="both"/>
        <w:rPr>
          <w:rFonts w:ascii="Arial" w:hAnsi="Arial" w:cs="Arial"/>
          <w:sz w:val="24"/>
          <w:szCs w:val="24"/>
        </w:rPr>
      </w:pPr>
      <w:r>
        <w:rPr>
          <w:rFonts w:ascii="Arial" w:hAnsi="Arial" w:cs="Arial"/>
          <w:sz w:val="24"/>
          <w:szCs w:val="24"/>
        </w:rPr>
        <w:tab/>
      </w:r>
      <w:r w:rsidR="00E50C52">
        <w:rPr>
          <w:rFonts w:ascii="Arial" w:hAnsi="Arial" w:cs="Arial"/>
          <w:sz w:val="24"/>
          <w:szCs w:val="24"/>
        </w:rPr>
        <w:t>Beal</w:t>
      </w:r>
      <w:r>
        <w:rPr>
          <w:rFonts w:ascii="Arial" w:hAnsi="Arial" w:cs="Arial"/>
          <w:sz w:val="24"/>
          <w:szCs w:val="24"/>
        </w:rPr>
        <w:t xml:space="preserve"> </w:t>
      </w:r>
      <w:r w:rsidR="00B92AD9">
        <w:rPr>
          <w:rFonts w:ascii="Arial" w:hAnsi="Arial" w:cs="Arial"/>
          <w:sz w:val="24"/>
          <w:szCs w:val="24"/>
        </w:rPr>
        <w:t xml:space="preserve">considers </w:t>
      </w:r>
      <w:r w:rsidR="002549F8">
        <w:rPr>
          <w:rFonts w:ascii="Arial" w:hAnsi="Arial" w:cs="Arial"/>
          <w:sz w:val="24"/>
          <w:szCs w:val="24"/>
        </w:rPr>
        <w:t>reception history</w:t>
      </w:r>
      <w:r w:rsidR="00B92AD9">
        <w:rPr>
          <w:rFonts w:ascii="Arial" w:hAnsi="Arial" w:cs="Arial"/>
          <w:sz w:val="24"/>
          <w:szCs w:val="24"/>
        </w:rPr>
        <w:t xml:space="preserve"> “revolutionary”,</w:t>
      </w:r>
      <w:r w:rsidR="002549F8">
        <w:rPr>
          <w:rFonts w:ascii="Arial" w:hAnsi="Arial" w:cs="Arial"/>
          <w:sz w:val="24"/>
          <w:szCs w:val="24"/>
        </w:rPr>
        <w:t xml:space="preserve"> </w:t>
      </w:r>
      <w:r w:rsidR="00B92AD9">
        <w:rPr>
          <w:rFonts w:ascii="Arial" w:hAnsi="Arial" w:cs="Arial"/>
          <w:sz w:val="24"/>
          <w:szCs w:val="24"/>
        </w:rPr>
        <w:t xml:space="preserve">because </w:t>
      </w:r>
      <w:r w:rsidR="00E50C52">
        <w:rPr>
          <w:rFonts w:ascii="Arial" w:hAnsi="Arial" w:cs="Arial"/>
          <w:sz w:val="24"/>
          <w:szCs w:val="24"/>
        </w:rPr>
        <w:t>of the potential to</w:t>
      </w:r>
      <w:r w:rsidR="00B92AD9">
        <w:rPr>
          <w:rFonts w:ascii="Arial" w:hAnsi="Arial" w:cs="Arial"/>
          <w:sz w:val="24"/>
          <w:szCs w:val="24"/>
        </w:rPr>
        <w:t xml:space="preserve"> facilitate conflict-resolution between historical-critical and literary-critical approaches, an</w:t>
      </w:r>
      <w:r>
        <w:rPr>
          <w:rFonts w:ascii="Arial" w:hAnsi="Arial" w:cs="Arial"/>
          <w:sz w:val="24"/>
          <w:szCs w:val="24"/>
        </w:rPr>
        <w:t>d</w:t>
      </w:r>
      <w:r w:rsidR="0090642B">
        <w:rPr>
          <w:rFonts w:ascii="Arial" w:hAnsi="Arial" w:cs="Arial"/>
          <w:sz w:val="24"/>
          <w:szCs w:val="24"/>
        </w:rPr>
        <w:t>, importantly,</w:t>
      </w:r>
      <w:r>
        <w:rPr>
          <w:rFonts w:ascii="Arial" w:hAnsi="Arial" w:cs="Arial"/>
          <w:sz w:val="24"/>
          <w:szCs w:val="24"/>
        </w:rPr>
        <w:t xml:space="preserve"> </w:t>
      </w:r>
      <w:r w:rsidR="002549F8">
        <w:rPr>
          <w:rFonts w:ascii="Arial" w:hAnsi="Arial" w:cs="Arial"/>
          <w:sz w:val="24"/>
          <w:szCs w:val="24"/>
        </w:rPr>
        <w:t>because</w:t>
      </w:r>
      <w:r>
        <w:rPr>
          <w:rFonts w:ascii="Arial" w:hAnsi="Arial" w:cs="Arial"/>
          <w:sz w:val="24"/>
          <w:szCs w:val="24"/>
        </w:rPr>
        <w:t xml:space="preserve"> cultural contexts</w:t>
      </w:r>
      <w:r w:rsidR="00450DFC">
        <w:rPr>
          <w:rFonts w:ascii="Arial" w:hAnsi="Arial" w:cs="Arial"/>
          <w:sz w:val="24"/>
          <w:szCs w:val="24"/>
        </w:rPr>
        <w:t xml:space="preserve"> </w:t>
      </w:r>
      <w:r w:rsidR="00B92AD9">
        <w:rPr>
          <w:rFonts w:ascii="Arial" w:hAnsi="Arial" w:cs="Arial"/>
          <w:sz w:val="24"/>
          <w:szCs w:val="24"/>
        </w:rPr>
        <w:t>encourage an interdisciplinary approach.</w:t>
      </w:r>
      <w:r w:rsidR="00B92AD9">
        <w:rPr>
          <w:rStyle w:val="FootnoteReference"/>
          <w:rFonts w:ascii="Arial" w:hAnsi="Arial" w:cs="Arial"/>
          <w:sz w:val="24"/>
          <w:szCs w:val="24"/>
        </w:rPr>
        <w:footnoteReference w:id="25"/>
      </w:r>
      <w:r w:rsidR="00FA04E5">
        <w:rPr>
          <w:rFonts w:ascii="Arial" w:hAnsi="Arial" w:cs="Arial"/>
          <w:sz w:val="24"/>
          <w:szCs w:val="24"/>
        </w:rPr>
        <w:t xml:space="preserve"> </w:t>
      </w:r>
      <w:r>
        <w:rPr>
          <w:rFonts w:ascii="Arial" w:hAnsi="Arial" w:cs="Arial"/>
          <w:sz w:val="24"/>
          <w:szCs w:val="24"/>
        </w:rPr>
        <w:t xml:space="preserve">Nevertheless, he identifies three valid limitations: it remains “oriented </w:t>
      </w:r>
      <w:r>
        <w:rPr>
          <w:rFonts w:ascii="Arial" w:hAnsi="Arial" w:cs="Arial"/>
          <w:sz w:val="24"/>
          <w:szCs w:val="24"/>
        </w:rPr>
        <w:lastRenderedPageBreak/>
        <w:t>towards the interpretation of words”; it underestimates the materiality of scripture, particularly in the context of “social, cultural, financial, and sacred capital”, and “reception” implies that there is an “original” text, particularly relevant if, as discussed above, there is no original Bible to be received.</w:t>
      </w:r>
      <w:r>
        <w:rPr>
          <w:rStyle w:val="FootnoteReference"/>
          <w:rFonts w:ascii="Arial" w:hAnsi="Arial" w:cs="Arial"/>
          <w:sz w:val="24"/>
          <w:szCs w:val="24"/>
        </w:rPr>
        <w:footnoteReference w:id="26"/>
      </w:r>
      <w:r>
        <w:rPr>
          <w:rFonts w:ascii="Arial" w:hAnsi="Arial" w:cs="Arial"/>
          <w:sz w:val="24"/>
          <w:szCs w:val="24"/>
        </w:rPr>
        <w:t xml:space="preserve"> </w:t>
      </w:r>
      <w:proofErr w:type="spellStart"/>
      <w:r w:rsidR="00E50C52">
        <w:rPr>
          <w:rFonts w:ascii="Arial" w:hAnsi="Arial" w:cs="Arial"/>
          <w:sz w:val="24"/>
          <w:szCs w:val="24"/>
        </w:rPr>
        <w:t>Joyne</w:t>
      </w:r>
      <w:r w:rsidR="009B4587">
        <w:rPr>
          <w:rFonts w:ascii="Arial" w:hAnsi="Arial" w:cs="Arial"/>
          <w:sz w:val="24"/>
          <w:szCs w:val="24"/>
        </w:rPr>
        <w:t>s</w:t>
      </w:r>
      <w:proofErr w:type="spellEnd"/>
      <w:r w:rsidR="002549F8">
        <w:rPr>
          <w:rFonts w:ascii="Arial" w:hAnsi="Arial" w:cs="Arial"/>
          <w:sz w:val="24"/>
          <w:szCs w:val="24"/>
        </w:rPr>
        <w:t>, too,</w:t>
      </w:r>
      <w:r w:rsidR="009B4587">
        <w:rPr>
          <w:rFonts w:ascii="Arial" w:hAnsi="Arial" w:cs="Arial"/>
          <w:sz w:val="24"/>
          <w:szCs w:val="24"/>
        </w:rPr>
        <w:t xml:space="preserve"> supports a multi-disciplinary approach, suggesting collaboration between academia, art galleries and museums.</w:t>
      </w:r>
      <w:r w:rsidR="009B4587">
        <w:rPr>
          <w:rStyle w:val="FootnoteReference"/>
          <w:rFonts w:ascii="Arial" w:hAnsi="Arial" w:cs="Arial"/>
          <w:sz w:val="24"/>
          <w:szCs w:val="24"/>
        </w:rPr>
        <w:footnoteReference w:id="27"/>
      </w:r>
      <w:r w:rsidR="00E37AB8">
        <w:rPr>
          <w:rFonts w:ascii="Arial" w:hAnsi="Arial" w:cs="Arial"/>
          <w:sz w:val="24"/>
          <w:szCs w:val="24"/>
        </w:rPr>
        <w:t xml:space="preserve"> </w:t>
      </w:r>
    </w:p>
    <w:p w:rsidR="00FF2DCD" w:rsidRDefault="00FF2DCD" w:rsidP="00FF2DCD">
      <w:pPr>
        <w:spacing w:after="0"/>
        <w:jc w:val="both"/>
        <w:rPr>
          <w:rFonts w:ascii="Arial" w:hAnsi="Arial" w:cs="Arial"/>
          <w:sz w:val="24"/>
          <w:szCs w:val="24"/>
        </w:rPr>
      </w:pPr>
      <w:r>
        <w:rPr>
          <w:rFonts w:ascii="Arial" w:hAnsi="Arial" w:cs="Arial"/>
          <w:sz w:val="24"/>
          <w:szCs w:val="24"/>
        </w:rPr>
        <w:tab/>
        <w:t>Whilst there can be no consensus on reception history, my view is that much can be gained from the “multiplicity and diversity” between different readings.</w:t>
      </w:r>
      <w:r>
        <w:rPr>
          <w:rStyle w:val="FootnoteReference"/>
          <w:rFonts w:ascii="Arial" w:hAnsi="Arial" w:cs="Arial"/>
          <w:sz w:val="24"/>
          <w:szCs w:val="24"/>
        </w:rPr>
        <w:footnoteReference w:id="28"/>
      </w:r>
      <w:r>
        <w:rPr>
          <w:rFonts w:ascii="Arial" w:hAnsi="Arial" w:cs="Arial"/>
          <w:sz w:val="24"/>
          <w:szCs w:val="24"/>
        </w:rPr>
        <w:t xml:space="preserve"> As we exist in an ever-changing world, “the reception history of the bible is recognition of the dynamic relationship between texts and readers”.</w:t>
      </w:r>
      <w:r>
        <w:rPr>
          <w:rStyle w:val="FootnoteReference"/>
          <w:rFonts w:ascii="Arial" w:hAnsi="Arial" w:cs="Arial"/>
          <w:sz w:val="24"/>
          <w:szCs w:val="24"/>
        </w:rPr>
        <w:footnoteReference w:id="29"/>
      </w:r>
      <w:r>
        <w:rPr>
          <w:rFonts w:ascii="Arial" w:hAnsi="Arial" w:cs="Arial"/>
          <w:sz w:val="24"/>
          <w:szCs w:val="24"/>
        </w:rPr>
        <w:t xml:space="preserve"> I therefore support Knight, who advocates a “plurality” of approaches, and Cheryl </w:t>
      </w:r>
      <w:proofErr w:type="spellStart"/>
      <w:r>
        <w:rPr>
          <w:rFonts w:ascii="Arial" w:hAnsi="Arial" w:cs="Arial"/>
          <w:sz w:val="24"/>
          <w:szCs w:val="24"/>
        </w:rPr>
        <w:t>Exum</w:t>
      </w:r>
      <w:proofErr w:type="spellEnd"/>
      <w:r>
        <w:rPr>
          <w:rFonts w:ascii="Arial" w:hAnsi="Arial" w:cs="Arial"/>
          <w:sz w:val="24"/>
          <w:szCs w:val="24"/>
        </w:rPr>
        <w:t>, who argues effectively that “there is no single ‘correct’ way to read a text, or to assess the historical evidence”, convincing me of the advantages of adopting an interdisciplinary approach.</w:t>
      </w:r>
      <w:r>
        <w:rPr>
          <w:rStyle w:val="FootnoteReference"/>
          <w:rFonts w:ascii="Arial" w:hAnsi="Arial" w:cs="Arial"/>
          <w:sz w:val="24"/>
          <w:szCs w:val="24"/>
        </w:rPr>
        <w:footnoteReference w:id="30"/>
      </w:r>
    </w:p>
    <w:p w:rsidR="00534F70" w:rsidRDefault="00FF2DCD" w:rsidP="00333C0A">
      <w:pPr>
        <w:spacing w:after="0"/>
        <w:jc w:val="both"/>
        <w:rPr>
          <w:rFonts w:ascii="Arial" w:hAnsi="Arial" w:cs="Arial"/>
          <w:sz w:val="24"/>
          <w:szCs w:val="24"/>
        </w:rPr>
      </w:pPr>
      <w:r>
        <w:rPr>
          <w:rFonts w:ascii="Arial" w:hAnsi="Arial" w:cs="Arial"/>
          <w:sz w:val="24"/>
          <w:szCs w:val="24"/>
        </w:rPr>
        <w:tab/>
      </w:r>
      <w:r w:rsidR="00E37AB8">
        <w:rPr>
          <w:rFonts w:ascii="Arial" w:hAnsi="Arial" w:cs="Arial"/>
          <w:sz w:val="24"/>
          <w:szCs w:val="24"/>
        </w:rPr>
        <w:t>I consi</w:t>
      </w:r>
      <w:r w:rsidR="0090642B">
        <w:rPr>
          <w:rFonts w:ascii="Arial" w:hAnsi="Arial" w:cs="Arial"/>
          <w:sz w:val="24"/>
          <w:szCs w:val="24"/>
        </w:rPr>
        <w:t>der Lived Ancient Religion</w:t>
      </w:r>
      <w:r w:rsidR="00E37AB8">
        <w:rPr>
          <w:rFonts w:ascii="Arial" w:hAnsi="Arial" w:cs="Arial"/>
          <w:sz w:val="24"/>
          <w:szCs w:val="24"/>
        </w:rPr>
        <w:t xml:space="preserve"> to be a </w:t>
      </w:r>
      <w:r w:rsidR="002549F8">
        <w:rPr>
          <w:rFonts w:ascii="Arial" w:hAnsi="Arial" w:cs="Arial"/>
          <w:sz w:val="24"/>
          <w:szCs w:val="24"/>
        </w:rPr>
        <w:t>methodology complementary</w:t>
      </w:r>
      <w:r w:rsidR="00E37AB8">
        <w:rPr>
          <w:rFonts w:ascii="Arial" w:hAnsi="Arial" w:cs="Arial"/>
          <w:sz w:val="24"/>
          <w:szCs w:val="24"/>
        </w:rPr>
        <w:t xml:space="preserve"> to historical reception. It is an eclectic approach, </w:t>
      </w:r>
      <w:r w:rsidR="00AD6802">
        <w:rPr>
          <w:rFonts w:ascii="Arial" w:hAnsi="Arial" w:cs="Arial"/>
          <w:sz w:val="24"/>
          <w:szCs w:val="24"/>
        </w:rPr>
        <w:t>concerned</w:t>
      </w:r>
      <w:r w:rsidR="00E37AB8">
        <w:rPr>
          <w:rFonts w:ascii="Arial" w:hAnsi="Arial" w:cs="Arial"/>
          <w:sz w:val="24"/>
          <w:szCs w:val="24"/>
        </w:rPr>
        <w:t xml:space="preserve"> with “culture in interaction”, and the social context of religion in cultural contexts.</w:t>
      </w:r>
      <w:r w:rsidR="00E37AB8">
        <w:rPr>
          <w:rStyle w:val="FootnoteReference"/>
          <w:rFonts w:ascii="Arial" w:hAnsi="Arial" w:cs="Arial"/>
          <w:sz w:val="24"/>
          <w:szCs w:val="24"/>
        </w:rPr>
        <w:footnoteReference w:id="31"/>
      </w:r>
      <w:r w:rsidR="00E37AB8">
        <w:rPr>
          <w:rFonts w:ascii="Arial" w:hAnsi="Arial" w:cs="Arial"/>
          <w:sz w:val="24"/>
          <w:szCs w:val="24"/>
        </w:rPr>
        <w:t xml:space="preserve"> One particul</w:t>
      </w:r>
      <w:r w:rsidR="0090642B">
        <w:rPr>
          <w:rFonts w:ascii="Arial" w:hAnsi="Arial" w:cs="Arial"/>
          <w:sz w:val="24"/>
          <w:szCs w:val="24"/>
        </w:rPr>
        <w:t>arly relevant perspective</w:t>
      </w:r>
      <w:r w:rsidR="00E37AB8">
        <w:rPr>
          <w:rFonts w:ascii="Arial" w:hAnsi="Arial" w:cs="Arial"/>
          <w:sz w:val="24"/>
          <w:szCs w:val="24"/>
        </w:rPr>
        <w:t xml:space="preserve"> is the attention </w:t>
      </w:r>
      <w:r w:rsidR="002549F8">
        <w:rPr>
          <w:rFonts w:ascii="Arial" w:hAnsi="Arial" w:cs="Arial"/>
          <w:sz w:val="24"/>
          <w:szCs w:val="24"/>
        </w:rPr>
        <w:t>paid</w:t>
      </w:r>
      <w:r w:rsidR="00E37AB8">
        <w:rPr>
          <w:rFonts w:ascii="Arial" w:hAnsi="Arial" w:cs="Arial"/>
          <w:sz w:val="24"/>
          <w:szCs w:val="24"/>
        </w:rPr>
        <w:t xml:space="preserve"> to religious narratives. </w:t>
      </w:r>
      <w:proofErr w:type="spellStart"/>
      <w:r w:rsidR="002549F8">
        <w:rPr>
          <w:rFonts w:ascii="Arial" w:hAnsi="Arial" w:cs="Arial"/>
          <w:sz w:val="24"/>
          <w:szCs w:val="24"/>
        </w:rPr>
        <w:t>Janico</w:t>
      </w:r>
      <w:proofErr w:type="spellEnd"/>
      <w:r w:rsidR="002549F8">
        <w:rPr>
          <w:rFonts w:ascii="Arial" w:hAnsi="Arial" w:cs="Arial"/>
          <w:sz w:val="24"/>
          <w:szCs w:val="24"/>
        </w:rPr>
        <w:t xml:space="preserve"> </w:t>
      </w:r>
      <w:r w:rsidR="00E37AB8">
        <w:rPr>
          <w:rFonts w:ascii="Arial" w:hAnsi="Arial" w:cs="Arial"/>
          <w:sz w:val="24"/>
          <w:szCs w:val="24"/>
        </w:rPr>
        <w:t>Albrecht et al</w:t>
      </w:r>
      <w:r w:rsidR="002549F8">
        <w:rPr>
          <w:rFonts w:ascii="Arial" w:hAnsi="Arial" w:cs="Arial"/>
          <w:sz w:val="24"/>
          <w:szCs w:val="24"/>
        </w:rPr>
        <w:t xml:space="preserve">, and Georgia </w:t>
      </w:r>
      <w:proofErr w:type="spellStart"/>
      <w:r w:rsidR="002549F8">
        <w:rPr>
          <w:rFonts w:ascii="Arial" w:hAnsi="Arial" w:cs="Arial"/>
          <w:sz w:val="24"/>
          <w:szCs w:val="24"/>
        </w:rPr>
        <w:t>Petridou</w:t>
      </w:r>
      <w:proofErr w:type="spellEnd"/>
      <w:r w:rsidR="0090642B">
        <w:rPr>
          <w:rFonts w:ascii="Arial" w:hAnsi="Arial" w:cs="Arial"/>
          <w:sz w:val="24"/>
          <w:szCs w:val="24"/>
        </w:rPr>
        <w:t>,</w:t>
      </w:r>
      <w:r w:rsidR="002549F8">
        <w:rPr>
          <w:rFonts w:ascii="Arial" w:hAnsi="Arial" w:cs="Arial"/>
          <w:sz w:val="24"/>
          <w:szCs w:val="24"/>
        </w:rPr>
        <w:t xml:space="preserve"> provide excellent analyses</w:t>
      </w:r>
      <w:r w:rsidR="0090642B">
        <w:rPr>
          <w:rFonts w:ascii="Arial" w:hAnsi="Arial" w:cs="Arial"/>
          <w:sz w:val="24"/>
          <w:szCs w:val="24"/>
        </w:rPr>
        <w:t xml:space="preserve"> of the ways in which </w:t>
      </w:r>
      <w:proofErr w:type="gramStart"/>
      <w:r w:rsidR="00E37AB8">
        <w:rPr>
          <w:rFonts w:ascii="Arial" w:hAnsi="Arial" w:cs="Arial"/>
          <w:sz w:val="24"/>
          <w:szCs w:val="24"/>
        </w:rPr>
        <w:t>narrators</w:t>
      </w:r>
      <w:r w:rsidR="00D94C82">
        <w:rPr>
          <w:rFonts w:ascii="Arial" w:hAnsi="Arial" w:cs="Arial"/>
          <w:sz w:val="24"/>
          <w:szCs w:val="24"/>
        </w:rPr>
        <w:t xml:space="preserve"> </w:t>
      </w:r>
      <w:r w:rsidR="00E37AB8">
        <w:rPr>
          <w:rFonts w:ascii="Arial" w:hAnsi="Arial" w:cs="Arial"/>
          <w:sz w:val="24"/>
          <w:szCs w:val="24"/>
        </w:rPr>
        <w:t xml:space="preserve"> influence</w:t>
      </w:r>
      <w:proofErr w:type="gramEnd"/>
      <w:r w:rsidR="00E37AB8">
        <w:rPr>
          <w:rFonts w:ascii="Arial" w:hAnsi="Arial" w:cs="Arial"/>
          <w:sz w:val="24"/>
          <w:szCs w:val="24"/>
        </w:rPr>
        <w:t xml:space="preserve"> how texts are inter</w:t>
      </w:r>
      <w:r w:rsidR="002549F8">
        <w:rPr>
          <w:rFonts w:ascii="Arial" w:hAnsi="Arial" w:cs="Arial"/>
          <w:sz w:val="24"/>
          <w:szCs w:val="24"/>
        </w:rPr>
        <w:t>preted</w:t>
      </w:r>
      <w:r w:rsidR="00E37AB8">
        <w:rPr>
          <w:rFonts w:ascii="Arial" w:hAnsi="Arial" w:cs="Arial"/>
          <w:sz w:val="24"/>
          <w:szCs w:val="24"/>
        </w:rPr>
        <w:t>.</w:t>
      </w:r>
      <w:r w:rsidR="00E37AB8">
        <w:rPr>
          <w:rStyle w:val="FootnoteReference"/>
          <w:rFonts w:ascii="Arial" w:hAnsi="Arial" w:cs="Arial"/>
          <w:sz w:val="24"/>
          <w:szCs w:val="24"/>
        </w:rPr>
        <w:footnoteReference w:id="32"/>
      </w:r>
      <w:r w:rsidR="00FA04E5">
        <w:rPr>
          <w:rFonts w:ascii="Arial" w:hAnsi="Arial" w:cs="Arial"/>
          <w:sz w:val="24"/>
          <w:szCs w:val="24"/>
        </w:rPr>
        <w:t xml:space="preserve"> </w:t>
      </w:r>
    </w:p>
    <w:p w:rsidR="0090642B" w:rsidRDefault="0090642B" w:rsidP="00333C0A">
      <w:pPr>
        <w:spacing w:after="0"/>
        <w:jc w:val="both"/>
        <w:rPr>
          <w:rFonts w:ascii="Arial" w:hAnsi="Arial" w:cs="Arial"/>
          <w:sz w:val="24"/>
          <w:szCs w:val="24"/>
        </w:rPr>
      </w:pPr>
    </w:p>
    <w:p w:rsidR="0090642B" w:rsidRDefault="0090642B" w:rsidP="00333C0A">
      <w:pPr>
        <w:spacing w:after="0"/>
        <w:jc w:val="both"/>
        <w:rPr>
          <w:rFonts w:ascii="Arial" w:hAnsi="Arial" w:cs="Arial"/>
          <w:sz w:val="24"/>
          <w:szCs w:val="24"/>
          <w:u w:val="single"/>
        </w:rPr>
      </w:pPr>
      <w:r>
        <w:rPr>
          <w:rFonts w:ascii="Arial" w:hAnsi="Arial" w:cs="Arial"/>
          <w:sz w:val="24"/>
          <w:szCs w:val="24"/>
          <w:u w:val="single"/>
        </w:rPr>
        <w:t>Conclusion</w:t>
      </w:r>
    </w:p>
    <w:p w:rsidR="0090642B" w:rsidRDefault="0090642B" w:rsidP="00333C0A">
      <w:pPr>
        <w:spacing w:after="0"/>
        <w:jc w:val="both"/>
        <w:rPr>
          <w:rFonts w:ascii="Arial" w:hAnsi="Arial" w:cs="Arial"/>
          <w:sz w:val="24"/>
          <w:szCs w:val="24"/>
          <w:u w:val="single"/>
        </w:rPr>
      </w:pPr>
    </w:p>
    <w:p w:rsidR="00E51A2C" w:rsidRDefault="0090642B" w:rsidP="00333C0A">
      <w:pPr>
        <w:spacing w:after="0"/>
        <w:jc w:val="both"/>
        <w:rPr>
          <w:rFonts w:ascii="Arial" w:hAnsi="Arial" w:cs="Arial"/>
          <w:sz w:val="24"/>
          <w:szCs w:val="24"/>
        </w:rPr>
      </w:pPr>
      <w:r>
        <w:rPr>
          <w:rFonts w:ascii="Arial" w:hAnsi="Arial" w:cs="Arial"/>
          <w:sz w:val="24"/>
          <w:szCs w:val="24"/>
        </w:rPr>
        <w:tab/>
        <w:t xml:space="preserve">Having explored the nature of reception history in a biblical context, </w:t>
      </w:r>
      <w:r w:rsidR="005E62AA">
        <w:rPr>
          <w:rFonts w:ascii="Arial" w:hAnsi="Arial" w:cs="Arial"/>
          <w:sz w:val="24"/>
          <w:szCs w:val="24"/>
        </w:rPr>
        <w:t xml:space="preserve">I conclude that it does have considerable value in biblical studies, despite </w:t>
      </w:r>
      <w:r>
        <w:rPr>
          <w:rFonts w:ascii="Arial" w:hAnsi="Arial" w:cs="Arial"/>
          <w:sz w:val="24"/>
          <w:szCs w:val="24"/>
        </w:rPr>
        <w:t>the evidence suggest</w:t>
      </w:r>
      <w:r w:rsidR="005E62AA">
        <w:rPr>
          <w:rFonts w:ascii="Arial" w:hAnsi="Arial" w:cs="Arial"/>
          <w:sz w:val="24"/>
          <w:szCs w:val="24"/>
        </w:rPr>
        <w:t>ing</w:t>
      </w:r>
      <w:r>
        <w:rPr>
          <w:rFonts w:ascii="Arial" w:hAnsi="Arial" w:cs="Arial"/>
          <w:sz w:val="24"/>
          <w:szCs w:val="24"/>
        </w:rPr>
        <w:t xml:space="preserve"> that </w:t>
      </w:r>
      <w:r w:rsidR="00270B55">
        <w:rPr>
          <w:rFonts w:ascii="Arial" w:hAnsi="Arial" w:cs="Arial"/>
          <w:sz w:val="24"/>
          <w:szCs w:val="24"/>
        </w:rPr>
        <w:t>there is</w:t>
      </w:r>
      <w:r w:rsidR="00D94C82">
        <w:rPr>
          <w:rFonts w:ascii="Arial" w:hAnsi="Arial" w:cs="Arial"/>
          <w:sz w:val="24"/>
          <w:szCs w:val="24"/>
        </w:rPr>
        <w:t>, and can never be,</w:t>
      </w:r>
      <w:r w:rsidR="00270B55">
        <w:rPr>
          <w:rFonts w:ascii="Arial" w:hAnsi="Arial" w:cs="Arial"/>
          <w:sz w:val="24"/>
          <w:szCs w:val="24"/>
        </w:rPr>
        <w:t xml:space="preserve"> scholarly consensus on many of the points discussed. </w:t>
      </w:r>
      <w:r w:rsidR="00D94C82">
        <w:rPr>
          <w:rFonts w:ascii="Arial" w:hAnsi="Arial" w:cs="Arial"/>
          <w:sz w:val="24"/>
          <w:szCs w:val="24"/>
        </w:rPr>
        <w:t xml:space="preserve">In my view, it rightly draws attention to the vast range of issues involved in receiving/interpreting biblical narratives. </w:t>
      </w:r>
      <w:r>
        <w:rPr>
          <w:rFonts w:ascii="Arial" w:hAnsi="Arial" w:cs="Arial"/>
          <w:sz w:val="24"/>
          <w:szCs w:val="24"/>
        </w:rPr>
        <w:t xml:space="preserve">I </w:t>
      </w:r>
      <w:r w:rsidR="00270B55">
        <w:rPr>
          <w:rFonts w:ascii="Arial" w:hAnsi="Arial" w:cs="Arial"/>
          <w:sz w:val="24"/>
          <w:szCs w:val="24"/>
        </w:rPr>
        <w:t>would</w:t>
      </w:r>
      <w:r>
        <w:rPr>
          <w:rFonts w:ascii="Arial" w:hAnsi="Arial" w:cs="Arial"/>
          <w:sz w:val="24"/>
          <w:szCs w:val="24"/>
        </w:rPr>
        <w:t xml:space="preserve"> </w:t>
      </w:r>
      <w:r w:rsidR="00E51A2C">
        <w:rPr>
          <w:rFonts w:ascii="Arial" w:hAnsi="Arial" w:cs="Arial"/>
          <w:sz w:val="24"/>
          <w:szCs w:val="24"/>
        </w:rPr>
        <w:t xml:space="preserve">therefore </w:t>
      </w:r>
      <w:r w:rsidR="005E62AA">
        <w:rPr>
          <w:rFonts w:ascii="Arial" w:hAnsi="Arial" w:cs="Arial"/>
          <w:sz w:val="24"/>
          <w:szCs w:val="24"/>
        </w:rPr>
        <w:t>support</w:t>
      </w:r>
      <w:r w:rsidR="00270B55">
        <w:rPr>
          <w:rFonts w:ascii="Arial" w:hAnsi="Arial" w:cs="Arial"/>
          <w:sz w:val="24"/>
          <w:szCs w:val="24"/>
        </w:rPr>
        <w:t xml:space="preserve"> </w:t>
      </w:r>
      <w:r w:rsidR="00E51A2C">
        <w:rPr>
          <w:rFonts w:ascii="Arial" w:hAnsi="Arial" w:cs="Arial"/>
          <w:sz w:val="24"/>
          <w:szCs w:val="24"/>
        </w:rPr>
        <w:t xml:space="preserve">a </w:t>
      </w:r>
      <w:r w:rsidR="00270B55">
        <w:rPr>
          <w:rFonts w:ascii="Arial" w:hAnsi="Arial" w:cs="Arial"/>
          <w:sz w:val="24"/>
          <w:szCs w:val="24"/>
        </w:rPr>
        <w:t>diverse and multi-faceted approach</w:t>
      </w:r>
      <w:r w:rsidR="00E51A2C">
        <w:rPr>
          <w:rFonts w:ascii="Arial" w:hAnsi="Arial" w:cs="Arial"/>
          <w:sz w:val="24"/>
          <w:szCs w:val="24"/>
        </w:rPr>
        <w:t xml:space="preserve"> </w:t>
      </w:r>
      <w:r w:rsidR="00D94C82">
        <w:rPr>
          <w:rFonts w:ascii="Arial" w:hAnsi="Arial" w:cs="Arial"/>
          <w:sz w:val="24"/>
          <w:szCs w:val="24"/>
        </w:rPr>
        <w:t xml:space="preserve">in order </w:t>
      </w:r>
      <w:r w:rsidR="00E51A2C">
        <w:rPr>
          <w:rFonts w:ascii="Arial" w:hAnsi="Arial" w:cs="Arial"/>
          <w:sz w:val="24"/>
          <w:szCs w:val="24"/>
        </w:rPr>
        <w:t>to gain a broader</w:t>
      </w:r>
      <w:r w:rsidR="005E62AA">
        <w:rPr>
          <w:rFonts w:ascii="Arial" w:hAnsi="Arial" w:cs="Arial"/>
          <w:sz w:val="24"/>
          <w:szCs w:val="24"/>
        </w:rPr>
        <w:t xml:space="preserve"> understanding of</w:t>
      </w:r>
      <w:r w:rsidR="00E51A2C">
        <w:rPr>
          <w:rFonts w:ascii="Arial" w:hAnsi="Arial" w:cs="Arial"/>
          <w:sz w:val="24"/>
          <w:szCs w:val="24"/>
        </w:rPr>
        <w:t xml:space="preserve"> reception history</w:t>
      </w:r>
      <w:r w:rsidR="00D94C82">
        <w:rPr>
          <w:rFonts w:ascii="Arial" w:hAnsi="Arial" w:cs="Arial"/>
          <w:sz w:val="24"/>
          <w:szCs w:val="24"/>
        </w:rPr>
        <w:t xml:space="preserve"> of the Bible</w:t>
      </w:r>
      <w:r w:rsidR="00270B55">
        <w:rPr>
          <w:rFonts w:ascii="Arial" w:hAnsi="Arial" w:cs="Arial"/>
          <w:sz w:val="24"/>
          <w:szCs w:val="24"/>
        </w:rPr>
        <w:t xml:space="preserve">, with particular attention being paid to cultural contexts, and interdisciplinary methodology, including Lived Ancient Religion. </w:t>
      </w:r>
    </w:p>
    <w:p w:rsidR="00E51A2C" w:rsidRDefault="00E51A2C" w:rsidP="00333C0A">
      <w:pPr>
        <w:spacing w:after="0"/>
        <w:jc w:val="both"/>
        <w:rPr>
          <w:rFonts w:ascii="Arial" w:hAnsi="Arial" w:cs="Arial"/>
          <w:sz w:val="24"/>
          <w:szCs w:val="24"/>
        </w:rPr>
      </w:pPr>
    </w:p>
    <w:p w:rsidR="00E51A2C" w:rsidRDefault="00E51A2C" w:rsidP="00333C0A">
      <w:pPr>
        <w:spacing w:after="0"/>
        <w:jc w:val="both"/>
        <w:rPr>
          <w:rFonts w:ascii="Arial" w:hAnsi="Arial" w:cs="Arial"/>
          <w:b/>
          <w:sz w:val="24"/>
          <w:szCs w:val="24"/>
        </w:rPr>
      </w:pPr>
      <w:r>
        <w:rPr>
          <w:rFonts w:ascii="Arial" w:hAnsi="Arial" w:cs="Arial"/>
          <w:b/>
          <w:sz w:val="24"/>
          <w:szCs w:val="24"/>
        </w:rPr>
        <w:t xml:space="preserve">Diane </w:t>
      </w:r>
      <w:proofErr w:type="spellStart"/>
      <w:r>
        <w:rPr>
          <w:rFonts w:ascii="Arial" w:hAnsi="Arial" w:cs="Arial"/>
          <w:b/>
          <w:sz w:val="24"/>
          <w:szCs w:val="24"/>
        </w:rPr>
        <w:t>Stankaitis</w:t>
      </w:r>
      <w:proofErr w:type="spellEnd"/>
    </w:p>
    <w:p w:rsidR="00E51A2C" w:rsidRDefault="00E51A2C" w:rsidP="00333C0A">
      <w:pPr>
        <w:spacing w:after="0"/>
        <w:jc w:val="both"/>
        <w:rPr>
          <w:rFonts w:ascii="Arial" w:hAnsi="Arial" w:cs="Arial"/>
          <w:b/>
          <w:sz w:val="24"/>
          <w:szCs w:val="24"/>
        </w:rPr>
      </w:pPr>
      <w:r>
        <w:rPr>
          <w:rFonts w:ascii="Arial" w:hAnsi="Arial" w:cs="Arial"/>
          <w:b/>
          <w:sz w:val="24"/>
          <w:szCs w:val="24"/>
        </w:rPr>
        <w:t>18</w:t>
      </w:r>
      <w:r w:rsidRPr="00E51A2C">
        <w:rPr>
          <w:rFonts w:ascii="Arial" w:hAnsi="Arial" w:cs="Arial"/>
          <w:b/>
          <w:sz w:val="24"/>
          <w:szCs w:val="24"/>
          <w:vertAlign w:val="superscript"/>
        </w:rPr>
        <w:t>th</w:t>
      </w:r>
      <w:r>
        <w:rPr>
          <w:rFonts w:ascii="Arial" w:hAnsi="Arial" w:cs="Arial"/>
          <w:b/>
          <w:sz w:val="24"/>
          <w:szCs w:val="24"/>
        </w:rPr>
        <w:t xml:space="preserve"> June 2021</w:t>
      </w:r>
    </w:p>
    <w:p w:rsidR="00E51A2C" w:rsidRDefault="005E62AA" w:rsidP="00333C0A">
      <w:pPr>
        <w:spacing w:after="0"/>
        <w:jc w:val="both"/>
        <w:rPr>
          <w:rFonts w:ascii="Arial" w:hAnsi="Arial" w:cs="Arial"/>
          <w:sz w:val="24"/>
          <w:szCs w:val="24"/>
        </w:rPr>
      </w:pPr>
      <w:r>
        <w:rPr>
          <w:rFonts w:ascii="Arial" w:hAnsi="Arial" w:cs="Arial"/>
          <w:b/>
          <w:sz w:val="24"/>
          <w:szCs w:val="24"/>
        </w:rPr>
        <w:t>1</w:t>
      </w:r>
      <w:r w:rsidR="00D94C82">
        <w:rPr>
          <w:rFonts w:ascii="Arial" w:hAnsi="Arial" w:cs="Arial"/>
          <w:b/>
          <w:sz w:val="24"/>
          <w:szCs w:val="24"/>
        </w:rPr>
        <w:t>618</w:t>
      </w:r>
      <w:r w:rsidR="00E51A2C">
        <w:rPr>
          <w:rFonts w:ascii="Arial" w:hAnsi="Arial" w:cs="Arial"/>
          <w:b/>
          <w:sz w:val="24"/>
          <w:szCs w:val="24"/>
        </w:rPr>
        <w:t xml:space="preserve"> words</w:t>
      </w:r>
      <w:r>
        <w:rPr>
          <w:rFonts w:ascii="Arial" w:hAnsi="Arial" w:cs="Arial"/>
          <w:b/>
          <w:sz w:val="24"/>
          <w:szCs w:val="24"/>
        </w:rPr>
        <w:t>, excluding title</w:t>
      </w:r>
      <w:r w:rsidR="00D94C82">
        <w:rPr>
          <w:rFonts w:ascii="Arial" w:hAnsi="Arial" w:cs="Arial"/>
          <w:sz w:val="24"/>
          <w:szCs w:val="24"/>
        </w:rPr>
        <w:t xml:space="preserve">  </w:t>
      </w:r>
    </w:p>
    <w:p w:rsidR="00F254E4" w:rsidRDefault="00F254E4" w:rsidP="00333C0A">
      <w:pPr>
        <w:spacing w:after="0"/>
        <w:jc w:val="both"/>
        <w:rPr>
          <w:rFonts w:ascii="Arial" w:hAnsi="Arial" w:cs="Arial"/>
          <w:sz w:val="24"/>
          <w:szCs w:val="24"/>
        </w:rPr>
      </w:pPr>
    </w:p>
    <w:p w:rsidR="006B22DE" w:rsidRDefault="006B22DE" w:rsidP="006B22DE">
      <w:pPr>
        <w:jc w:val="center"/>
        <w:rPr>
          <w:rFonts w:ascii="Arial" w:hAnsi="Arial" w:cs="Arial"/>
          <w:b/>
          <w:sz w:val="24"/>
          <w:szCs w:val="24"/>
          <w:u w:val="single"/>
        </w:rPr>
      </w:pPr>
      <w:r w:rsidRPr="00542055">
        <w:rPr>
          <w:rFonts w:ascii="Arial" w:hAnsi="Arial" w:cs="Arial"/>
          <w:b/>
          <w:sz w:val="24"/>
          <w:szCs w:val="24"/>
          <w:u w:val="single"/>
        </w:rPr>
        <w:lastRenderedPageBreak/>
        <w:t>Bibliography</w:t>
      </w:r>
    </w:p>
    <w:p w:rsidR="006B22DE" w:rsidRDefault="006B22DE" w:rsidP="006B22DE">
      <w:pPr>
        <w:spacing w:after="0"/>
        <w:ind w:left="720" w:hanging="720"/>
        <w:rPr>
          <w:rFonts w:ascii="Arial" w:hAnsi="Arial" w:cs="Arial"/>
          <w:sz w:val="24"/>
          <w:szCs w:val="24"/>
        </w:rPr>
      </w:pPr>
      <w:r>
        <w:rPr>
          <w:rFonts w:ascii="Arial" w:hAnsi="Arial" w:cs="Arial"/>
          <w:sz w:val="24"/>
          <w:szCs w:val="24"/>
        </w:rPr>
        <w:t xml:space="preserve">Albrecht, J., </w:t>
      </w:r>
      <w:proofErr w:type="spellStart"/>
      <w:r>
        <w:rPr>
          <w:rFonts w:ascii="Arial" w:hAnsi="Arial" w:cs="Arial"/>
          <w:sz w:val="24"/>
          <w:szCs w:val="24"/>
        </w:rPr>
        <w:t>Degelmann</w:t>
      </w:r>
      <w:proofErr w:type="spellEnd"/>
      <w:r>
        <w:rPr>
          <w:rFonts w:ascii="Arial" w:hAnsi="Arial" w:cs="Arial"/>
          <w:sz w:val="24"/>
          <w:szCs w:val="24"/>
        </w:rPr>
        <w:t xml:space="preserve">, C., </w:t>
      </w:r>
      <w:proofErr w:type="spellStart"/>
      <w:r>
        <w:rPr>
          <w:rFonts w:ascii="Arial" w:hAnsi="Arial" w:cs="Arial"/>
          <w:sz w:val="24"/>
          <w:szCs w:val="24"/>
        </w:rPr>
        <w:t>Gasparini</w:t>
      </w:r>
      <w:proofErr w:type="spellEnd"/>
      <w:r>
        <w:rPr>
          <w:rFonts w:ascii="Arial" w:hAnsi="Arial" w:cs="Arial"/>
          <w:sz w:val="24"/>
          <w:szCs w:val="24"/>
        </w:rPr>
        <w:t xml:space="preserve">, V., Gordon, R., </w:t>
      </w:r>
      <w:proofErr w:type="spellStart"/>
      <w:r>
        <w:rPr>
          <w:rFonts w:ascii="Arial" w:hAnsi="Arial" w:cs="Arial"/>
          <w:sz w:val="24"/>
          <w:szCs w:val="24"/>
        </w:rPr>
        <w:t>Patzelt</w:t>
      </w:r>
      <w:proofErr w:type="spellEnd"/>
      <w:r>
        <w:rPr>
          <w:rFonts w:ascii="Arial" w:hAnsi="Arial" w:cs="Arial"/>
          <w:sz w:val="24"/>
          <w:szCs w:val="24"/>
        </w:rPr>
        <w:t xml:space="preserve">, M., </w:t>
      </w:r>
      <w:proofErr w:type="spellStart"/>
      <w:r>
        <w:rPr>
          <w:rFonts w:ascii="Arial" w:hAnsi="Arial" w:cs="Arial"/>
          <w:sz w:val="24"/>
          <w:szCs w:val="24"/>
        </w:rPr>
        <w:t>Petridou</w:t>
      </w:r>
      <w:proofErr w:type="spellEnd"/>
      <w:r>
        <w:rPr>
          <w:rFonts w:ascii="Arial" w:hAnsi="Arial" w:cs="Arial"/>
          <w:sz w:val="24"/>
          <w:szCs w:val="24"/>
        </w:rPr>
        <w:t xml:space="preserve">, G., Raja, R. </w:t>
      </w:r>
      <w:proofErr w:type="spellStart"/>
      <w:r>
        <w:rPr>
          <w:rFonts w:ascii="Arial" w:hAnsi="Arial" w:cs="Arial"/>
          <w:sz w:val="24"/>
          <w:szCs w:val="24"/>
        </w:rPr>
        <w:t>Rieger</w:t>
      </w:r>
      <w:proofErr w:type="spellEnd"/>
      <w:r>
        <w:rPr>
          <w:rFonts w:ascii="Arial" w:hAnsi="Arial" w:cs="Arial"/>
          <w:sz w:val="24"/>
          <w:szCs w:val="24"/>
        </w:rPr>
        <w:t xml:space="preserve">, A.-K., </w:t>
      </w:r>
      <w:proofErr w:type="spellStart"/>
      <w:r>
        <w:rPr>
          <w:rFonts w:ascii="Arial" w:hAnsi="Arial" w:cs="Arial"/>
          <w:sz w:val="24"/>
          <w:szCs w:val="24"/>
        </w:rPr>
        <w:t>Rüpke</w:t>
      </w:r>
      <w:proofErr w:type="spellEnd"/>
      <w:r>
        <w:rPr>
          <w:rFonts w:ascii="Arial" w:hAnsi="Arial" w:cs="Arial"/>
          <w:sz w:val="24"/>
          <w:szCs w:val="24"/>
        </w:rPr>
        <w:t xml:space="preserve">, J., </w:t>
      </w:r>
      <w:proofErr w:type="spellStart"/>
      <w:r>
        <w:rPr>
          <w:rFonts w:ascii="Arial" w:hAnsi="Arial" w:cs="Arial"/>
          <w:sz w:val="24"/>
          <w:szCs w:val="24"/>
        </w:rPr>
        <w:t>Sippel</w:t>
      </w:r>
      <w:proofErr w:type="spellEnd"/>
      <w:r>
        <w:rPr>
          <w:rFonts w:ascii="Arial" w:hAnsi="Arial" w:cs="Arial"/>
          <w:sz w:val="24"/>
          <w:szCs w:val="24"/>
        </w:rPr>
        <w:t xml:space="preserve">, B., </w:t>
      </w:r>
      <w:proofErr w:type="spellStart"/>
      <w:r>
        <w:rPr>
          <w:rFonts w:ascii="Arial" w:hAnsi="Arial" w:cs="Arial"/>
          <w:sz w:val="24"/>
          <w:szCs w:val="24"/>
        </w:rPr>
        <w:t>Urciuoli</w:t>
      </w:r>
      <w:proofErr w:type="spellEnd"/>
      <w:r>
        <w:rPr>
          <w:rFonts w:ascii="Arial" w:hAnsi="Arial" w:cs="Arial"/>
          <w:sz w:val="24"/>
          <w:szCs w:val="24"/>
        </w:rPr>
        <w:t xml:space="preserve">, E.R. and Weiss, J., ‘Religion in the Making: The Lived Ancient Religion Approach’, </w:t>
      </w:r>
      <w:r>
        <w:rPr>
          <w:rFonts w:ascii="Arial" w:hAnsi="Arial" w:cs="Arial"/>
          <w:i/>
          <w:sz w:val="24"/>
          <w:szCs w:val="24"/>
        </w:rPr>
        <w:t>Religion</w:t>
      </w:r>
      <w:r>
        <w:rPr>
          <w:rFonts w:ascii="Arial" w:hAnsi="Arial" w:cs="Arial"/>
          <w:sz w:val="24"/>
          <w:szCs w:val="24"/>
        </w:rPr>
        <w:t xml:space="preserve"> 48, 4 (2018), pp. 568-593.</w:t>
      </w:r>
    </w:p>
    <w:p w:rsidR="006B22DE" w:rsidRPr="00F23835" w:rsidRDefault="006B22DE" w:rsidP="006B22DE">
      <w:pPr>
        <w:spacing w:after="0"/>
        <w:ind w:left="720" w:hanging="720"/>
        <w:rPr>
          <w:rFonts w:ascii="Arial" w:hAnsi="Arial" w:cs="Arial"/>
          <w:sz w:val="24"/>
          <w:szCs w:val="24"/>
        </w:rPr>
      </w:pPr>
      <w:r>
        <w:rPr>
          <w:rFonts w:ascii="Arial" w:hAnsi="Arial" w:cs="Arial"/>
          <w:sz w:val="24"/>
          <w:szCs w:val="24"/>
        </w:rPr>
        <w:t xml:space="preserve">Barr, J., </w:t>
      </w:r>
      <w:r>
        <w:rPr>
          <w:rFonts w:ascii="Arial" w:hAnsi="Arial" w:cs="Arial"/>
          <w:i/>
          <w:sz w:val="24"/>
          <w:szCs w:val="24"/>
        </w:rPr>
        <w:t>Biblical Theology: An Old Testament Perspective</w:t>
      </w:r>
      <w:r>
        <w:rPr>
          <w:rFonts w:ascii="Arial" w:hAnsi="Arial" w:cs="Arial"/>
          <w:sz w:val="24"/>
          <w:szCs w:val="24"/>
        </w:rPr>
        <w:t xml:space="preserve"> (Minneapolis: Fortress, 1999).</w:t>
      </w:r>
    </w:p>
    <w:p w:rsidR="006B22DE" w:rsidRDefault="006B22DE" w:rsidP="006B22DE">
      <w:pPr>
        <w:spacing w:after="0"/>
        <w:ind w:left="720" w:hanging="720"/>
        <w:rPr>
          <w:rFonts w:ascii="Arial" w:hAnsi="Arial" w:cs="Arial"/>
          <w:sz w:val="24"/>
          <w:szCs w:val="24"/>
        </w:rPr>
      </w:pPr>
      <w:r>
        <w:rPr>
          <w:rFonts w:ascii="Arial" w:hAnsi="Arial" w:cs="Arial"/>
          <w:sz w:val="24"/>
          <w:szCs w:val="24"/>
        </w:rPr>
        <w:t xml:space="preserve">Beal, T., ‘Reception History and Beyond: Toward the Cultural History of Scriptures’, </w:t>
      </w:r>
      <w:r>
        <w:rPr>
          <w:rFonts w:ascii="Arial" w:hAnsi="Arial" w:cs="Arial"/>
          <w:i/>
          <w:sz w:val="24"/>
          <w:szCs w:val="24"/>
        </w:rPr>
        <w:t>Biblical Interpretation</w:t>
      </w:r>
      <w:r>
        <w:rPr>
          <w:rFonts w:ascii="Arial" w:hAnsi="Arial" w:cs="Arial"/>
          <w:sz w:val="24"/>
          <w:szCs w:val="24"/>
        </w:rPr>
        <w:t xml:space="preserve"> 19 (2011), pp. 357-372.</w:t>
      </w:r>
    </w:p>
    <w:p w:rsidR="006B22DE" w:rsidRDefault="006B22DE" w:rsidP="006B22DE">
      <w:pPr>
        <w:spacing w:after="0"/>
        <w:ind w:left="720" w:hanging="720"/>
        <w:rPr>
          <w:rFonts w:ascii="Arial" w:hAnsi="Arial" w:cs="Arial"/>
          <w:sz w:val="24"/>
          <w:szCs w:val="24"/>
        </w:rPr>
      </w:pPr>
      <w:r>
        <w:rPr>
          <w:rFonts w:ascii="Arial" w:hAnsi="Arial" w:cs="Arial"/>
          <w:sz w:val="24"/>
          <w:szCs w:val="24"/>
        </w:rPr>
        <w:t>Breed, B., ‘What is Reception History?</w:t>
      </w:r>
      <w:proofErr w:type="gramStart"/>
      <w:r>
        <w:rPr>
          <w:rFonts w:ascii="Arial" w:hAnsi="Arial" w:cs="Arial"/>
          <w:sz w:val="24"/>
          <w:szCs w:val="24"/>
        </w:rPr>
        <w:t>’,</w:t>
      </w:r>
      <w:proofErr w:type="gramEnd"/>
      <w:r>
        <w:rPr>
          <w:rFonts w:ascii="Arial" w:hAnsi="Arial" w:cs="Arial"/>
          <w:sz w:val="24"/>
          <w:szCs w:val="24"/>
        </w:rPr>
        <w:t xml:space="preserve"> </w:t>
      </w:r>
      <w:hyperlink r:id="rId10" w:history="1">
        <w:r w:rsidRPr="005122D0">
          <w:rPr>
            <w:rStyle w:val="Hyperlink"/>
            <w:rFonts w:ascii="Arial" w:hAnsi="Arial" w:cs="Arial"/>
            <w:sz w:val="24"/>
            <w:szCs w:val="24"/>
          </w:rPr>
          <w:t>https://www.bibleodyssey.org:433/en/tools/bible-basics/what-is-reception-history</w:t>
        </w:r>
      </w:hyperlink>
      <w:r>
        <w:rPr>
          <w:rFonts w:ascii="Arial" w:hAnsi="Arial" w:cs="Arial"/>
          <w:sz w:val="24"/>
          <w:szCs w:val="24"/>
        </w:rPr>
        <w:t>, 31</w:t>
      </w:r>
      <w:r w:rsidRPr="00A062BA">
        <w:rPr>
          <w:rFonts w:ascii="Arial" w:hAnsi="Arial" w:cs="Arial"/>
          <w:sz w:val="24"/>
          <w:szCs w:val="24"/>
          <w:vertAlign w:val="superscript"/>
        </w:rPr>
        <w:t>st</w:t>
      </w:r>
      <w:r>
        <w:rPr>
          <w:rFonts w:ascii="Arial" w:hAnsi="Arial" w:cs="Arial"/>
          <w:sz w:val="24"/>
          <w:szCs w:val="24"/>
        </w:rPr>
        <w:t xml:space="preserve"> May 2021.</w:t>
      </w:r>
    </w:p>
    <w:p w:rsidR="006B22DE" w:rsidRDefault="006B22DE" w:rsidP="006B22DE">
      <w:pPr>
        <w:spacing w:after="0"/>
        <w:ind w:left="720" w:hanging="720"/>
        <w:rPr>
          <w:rFonts w:ascii="Arial" w:hAnsi="Arial" w:cs="Arial"/>
          <w:sz w:val="24"/>
          <w:szCs w:val="24"/>
        </w:rPr>
      </w:pPr>
      <w:proofErr w:type="spellStart"/>
      <w:r>
        <w:rPr>
          <w:rFonts w:ascii="Arial" w:hAnsi="Arial" w:cs="Arial"/>
          <w:sz w:val="24"/>
          <w:szCs w:val="24"/>
        </w:rPr>
        <w:t>Dearman</w:t>
      </w:r>
      <w:proofErr w:type="spellEnd"/>
      <w:r>
        <w:rPr>
          <w:rFonts w:ascii="Arial" w:hAnsi="Arial" w:cs="Arial"/>
          <w:sz w:val="24"/>
          <w:szCs w:val="24"/>
        </w:rPr>
        <w:t xml:space="preserve">, J.A., </w:t>
      </w:r>
      <w:r>
        <w:rPr>
          <w:rFonts w:ascii="Arial" w:hAnsi="Arial" w:cs="Arial"/>
          <w:i/>
          <w:sz w:val="24"/>
          <w:szCs w:val="24"/>
        </w:rPr>
        <w:t xml:space="preserve">Reading Hebrew Narratives </w:t>
      </w:r>
      <w:r>
        <w:rPr>
          <w:rFonts w:ascii="Arial" w:hAnsi="Arial" w:cs="Arial"/>
          <w:sz w:val="24"/>
          <w:szCs w:val="24"/>
        </w:rPr>
        <w:t>(Oxford: Oxford University Press, 2018).</w:t>
      </w:r>
    </w:p>
    <w:p w:rsidR="006B22DE" w:rsidRDefault="006B22DE" w:rsidP="006B22DE">
      <w:pPr>
        <w:spacing w:after="0"/>
        <w:ind w:left="720" w:hanging="720"/>
        <w:rPr>
          <w:rFonts w:ascii="Arial" w:hAnsi="Arial" w:cs="Arial"/>
          <w:sz w:val="24"/>
          <w:szCs w:val="24"/>
        </w:rPr>
      </w:pPr>
      <w:proofErr w:type="spellStart"/>
      <w:r>
        <w:rPr>
          <w:rFonts w:ascii="Arial" w:hAnsi="Arial" w:cs="Arial"/>
          <w:sz w:val="24"/>
          <w:szCs w:val="24"/>
        </w:rPr>
        <w:t>Exum</w:t>
      </w:r>
      <w:proofErr w:type="spellEnd"/>
      <w:r>
        <w:rPr>
          <w:rFonts w:ascii="Arial" w:hAnsi="Arial" w:cs="Arial"/>
          <w:sz w:val="24"/>
          <w:szCs w:val="24"/>
        </w:rPr>
        <w:t>, J.C., ‘Feminist Study of the Old T</w:t>
      </w:r>
      <w:r w:rsidR="00CA7360">
        <w:rPr>
          <w:rFonts w:ascii="Arial" w:hAnsi="Arial" w:cs="Arial"/>
          <w:sz w:val="24"/>
          <w:szCs w:val="24"/>
        </w:rPr>
        <w:t>estament’, in</w:t>
      </w:r>
      <w:r>
        <w:rPr>
          <w:rFonts w:ascii="Arial" w:hAnsi="Arial" w:cs="Arial"/>
          <w:sz w:val="24"/>
          <w:szCs w:val="24"/>
        </w:rPr>
        <w:t xml:space="preserve"> </w:t>
      </w:r>
      <w:r>
        <w:rPr>
          <w:rFonts w:ascii="Arial" w:hAnsi="Arial" w:cs="Arial"/>
          <w:i/>
          <w:sz w:val="24"/>
          <w:szCs w:val="24"/>
        </w:rPr>
        <w:t>Text in Context: Essays by Members of the Society for Old Testament Studies</w:t>
      </w:r>
      <w:r w:rsidR="00CA7360">
        <w:rPr>
          <w:rFonts w:ascii="Arial" w:hAnsi="Arial" w:cs="Arial"/>
          <w:sz w:val="24"/>
          <w:szCs w:val="24"/>
        </w:rPr>
        <w:t>, ed. A.D.H. Mayes</w:t>
      </w:r>
      <w:r>
        <w:rPr>
          <w:rFonts w:ascii="Arial" w:hAnsi="Arial" w:cs="Arial"/>
          <w:sz w:val="24"/>
          <w:szCs w:val="24"/>
        </w:rPr>
        <w:t xml:space="preserve"> (Oxford: Oxford University Press, 2000), pp. 86-115. </w:t>
      </w:r>
    </w:p>
    <w:p w:rsidR="006B22DE" w:rsidRPr="00A062BA" w:rsidRDefault="006B22DE" w:rsidP="006B22DE">
      <w:pPr>
        <w:spacing w:after="0"/>
        <w:ind w:left="720" w:hanging="720"/>
        <w:rPr>
          <w:rFonts w:ascii="Arial" w:hAnsi="Arial" w:cs="Arial"/>
          <w:sz w:val="24"/>
          <w:szCs w:val="24"/>
        </w:rPr>
      </w:pPr>
      <w:proofErr w:type="spellStart"/>
      <w:proofErr w:type="gramStart"/>
      <w:r>
        <w:rPr>
          <w:rFonts w:ascii="Arial" w:hAnsi="Arial" w:cs="Arial"/>
          <w:sz w:val="24"/>
          <w:szCs w:val="24"/>
        </w:rPr>
        <w:t>Gadamer</w:t>
      </w:r>
      <w:proofErr w:type="spellEnd"/>
      <w:r>
        <w:rPr>
          <w:rFonts w:ascii="Arial" w:hAnsi="Arial" w:cs="Arial"/>
          <w:sz w:val="24"/>
          <w:szCs w:val="24"/>
        </w:rPr>
        <w:t xml:space="preserve">, H-G., </w:t>
      </w:r>
      <w:r>
        <w:rPr>
          <w:rFonts w:ascii="Arial" w:hAnsi="Arial" w:cs="Arial"/>
          <w:i/>
          <w:sz w:val="24"/>
          <w:szCs w:val="24"/>
        </w:rPr>
        <w:t>Truth and Method</w:t>
      </w:r>
      <w:r>
        <w:rPr>
          <w:rFonts w:ascii="Arial" w:hAnsi="Arial" w:cs="Arial"/>
          <w:sz w:val="24"/>
          <w:szCs w:val="24"/>
        </w:rPr>
        <w:t xml:space="preserve">, trans. J. </w:t>
      </w:r>
      <w:proofErr w:type="spellStart"/>
      <w:r>
        <w:rPr>
          <w:rFonts w:ascii="Arial" w:hAnsi="Arial" w:cs="Arial"/>
          <w:sz w:val="24"/>
          <w:szCs w:val="24"/>
        </w:rPr>
        <w:t>Weinsheimer</w:t>
      </w:r>
      <w:proofErr w:type="spellEnd"/>
      <w:r>
        <w:rPr>
          <w:rFonts w:ascii="Arial" w:hAnsi="Arial" w:cs="Arial"/>
          <w:sz w:val="24"/>
          <w:szCs w:val="24"/>
        </w:rPr>
        <w:t xml:space="preserve"> and D.G. Marshall, 2nd </w:t>
      </w:r>
      <w:proofErr w:type="spellStart"/>
      <w:r>
        <w:rPr>
          <w:rFonts w:ascii="Arial" w:hAnsi="Arial" w:cs="Arial"/>
          <w:sz w:val="24"/>
          <w:szCs w:val="24"/>
        </w:rPr>
        <w:t>edn</w:t>
      </w:r>
      <w:proofErr w:type="spellEnd"/>
      <w:r>
        <w:rPr>
          <w:rFonts w:ascii="Arial" w:hAnsi="Arial" w:cs="Arial"/>
          <w:sz w:val="24"/>
          <w:szCs w:val="24"/>
        </w:rPr>
        <w:t>.</w:t>
      </w:r>
      <w:proofErr w:type="gramEnd"/>
      <w:r>
        <w:rPr>
          <w:rFonts w:ascii="Arial" w:hAnsi="Arial" w:cs="Arial"/>
          <w:sz w:val="24"/>
          <w:szCs w:val="24"/>
        </w:rPr>
        <w:t xml:space="preserve"> </w:t>
      </w:r>
      <w:proofErr w:type="gramStart"/>
      <w:r>
        <w:rPr>
          <w:rFonts w:ascii="Arial" w:hAnsi="Arial" w:cs="Arial"/>
          <w:sz w:val="24"/>
          <w:szCs w:val="24"/>
        </w:rPr>
        <w:t>(London: Continuum, 2004), pp.276-277.</w:t>
      </w:r>
      <w:proofErr w:type="gramEnd"/>
    </w:p>
    <w:p w:rsidR="006B22DE" w:rsidRPr="003B4190" w:rsidRDefault="006B22DE" w:rsidP="006B22DE">
      <w:pPr>
        <w:spacing w:after="0"/>
        <w:ind w:left="720" w:hanging="720"/>
        <w:rPr>
          <w:rFonts w:ascii="Arial" w:hAnsi="Arial" w:cs="Arial"/>
          <w:sz w:val="24"/>
          <w:szCs w:val="24"/>
        </w:rPr>
      </w:pPr>
      <w:proofErr w:type="spellStart"/>
      <w:r>
        <w:rPr>
          <w:rFonts w:ascii="Arial" w:hAnsi="Arial" w:cs="Arial"/>
          <w:sz w:val="24"/>
          <w:szCs w:val="24"/>
        </w:rPr>
        <w:t>Jauss</w:t>
      </w:r>
      <w:proofErr w:type="spellEnd"/>
      <w:r>
        <w:rPr>
          <w:rFonts w:ascii="Arial" w:hAnsi="Arial" w:cs="Arial"/>
          <w:sz w:val="24"/>
          <w:szCs w:val="24"/>
        </w:rPr>
        <w:t xml:space="preserve">, H.R., </w:t>
      </w:r>
      <w:r>
        <w:rPr>
          <w:rFonts w:ascii="Arial" w:hAnsi="Arial" w:cs="Arial"/>
          <w:i/>
          <w:sz w:val="24"/>
          <w:szCs w:val="24"/>
        </w:rPr>
        <w:t>Toward an Aesthetic of Reception</w:t>
      </w:r>
      <w:r>
        <w:rPr>
          <w:rFonts w:ascii="Arial" w:hAnsi="Arial" w:cs="Arial"/>
          <w:sz w:val="24"/>
          <w:szCs w:val="24"/>
        </w:rPr>
        <w:t xml:space="preserve">, trans. T. </w:t>
      </w:r>
      <w:proofErr w:type="spellStart"/>
      <w:r>
        <w:rPr>
          <w:rFonts w:ascii="Arial" w:hAnsi="Arial" w:cs="Arial"/>
          <w:sz w:val="24"/>
          <w:szCs w:val="24"/>
        </w:rPr>
        <w:t>Bahti</w:t>
      </w:r>
      <w:proofErr w:type="spellEnd"/>
      <w:r>
        <w:rPr>
          <w:rFonts w:ascii="Arial" w:hAnsi="Arial" w:cs="Arial"/>
          <w:sz w:val="24"/>
          <w:szCs w:val="24"/>
        </w:rPr>
        <w:t xml:space="preserve"> (Minneapolis: University of Minnesota Press, 1982).</w:t>
      </w:r>
    </w:p>
    <w:p w:rsidR="006B22DE" w:rsidRPr="00CD475B" w:rsidRDefault="006B22DE" w:rsidP="006B22DE">
      <w:pPr>
        <w:spacing w:after="0"/>
        <w:ind w:left="720" w:hanging="720"/>
        <w:rPr>
          <w:rFonts w:ascii="Arial" w:hAnsi="Arial" w:cs="Arial"/>
          <w:sz w:val="24"/>
          <w:szCs w:val="24"/>
        </w:rPr>
      </w:pPr>
      <w:proofErr w:type="spellStart"/>
      <w:r>
        <w:rPr>
          <w:rFonts w:ascii="Arial" w:hAnsi="Arial" w:cs="Arial"/>
          <w:sz w:val="24"/>
          <w:szCs w:val="24"/>
        </w:rPr>
        <w:t>Joynes</w:t>
      </w:r>
      <w:proofErr w:type="spellEnd"/>
      <w:r>
        <w:rPr>
          <w:rFonts w:ascii="Arial" w:hAnsi="Arial" w:cs="Arial"/>
          <w:sz w:val="24"/>
          <w:szCs w:val="24"/>
        </w:rPr>
        <w:t xml:space="preserve">, C.E., ‘Changing Horizons: Reflections on a Decade at Oxford University’s Centre for Reception History of the Bible’, </w:t>
      </w:r>
      <w:r>
        <w:rPr>
          <w:rFonts w:ascii="Arial" w:hAnsi="Arial" w:cs="Arial"/>
          <w:i/>
          <w:sz w:val="24"/>
          <w:szCs w:val="24"/>
        </w:rPr>
        <w:t>Journal of the Bible and its Reception</w:t>
      </w:r>
      <w:r>
        <w:rPr>
          <w:rFonts w:ascii="Arial" w:hAnsi="Arial" w:cs="Arial"/>
          <w:sz w:val="24"/>
          <w:szCs w:val="24"/>
        </w:rPr>
        <w:t xml:space="preserve"> 1, 1 (2014), pp. 161-171.</w:t>
      </w:r>
    </w:p>
    <w:p w:rsidR="006B22DE" w:rsidRDefault="006B22DE" w:rsidP="006B22DE">
      <w:pPr>
        <w:spacing w:after="0"/>
        <w:ind w:left="720" w:hanging="720"/>
        <w:rPr>
          <w:rFonts w:ascii="Arial" w:hAnsi="Arial" w:cs="Arial"/>
          <w:sz w:val="24"/>
          <w:szCs w:val="24"/>
        </w:rPr>
      </w:pPr>
      <w:r>
        <w:rPr>
          <w:rFonts w:ascii="Arial" w:hAnsi="Arial" w:cs="Arial"/>
          <w:sz w:val="24"/>
          <w:szCs w:val="24"/>
        </w:rPr>
        <w:t>Knight, M., ‘</w:t>
      </w:r>
      <w:proofErr w:type="spellStart"/>
      <w:r>
        <w:rPr>
          <w:rFonts w:ascii="Arial" w:hAnsi="Arial" w:cs="Arial"/>
          <w:sz w:val="24"/>
          <w:szCs w:val="24"/>
        </w:rPr>
        <w:t>Wirkungsgeschichte</w:t>
      </w:r>
      <w:proofErr w:type="spellEnd"/>
      <w:r>
        <w:rPr>
          <w:rFonts w:ascii="Arial" w:hAnsi="Arial" w:cs="Arial"/>
          <w:sz w:val="24"/>
          <w:szCs w:val="24"/>
        </w:rPr>
        <w:t xml:space="preserve">, Reception History, Reception Theory’, </w:t>
      </w:r>
      <w:r>
        <w:rPr>
          <w:rFonts w:ascii="Arial" w:hAnsi="Arial" w:cs="Arial"/>
          <w:i/>
          <w:sz w:val="24"/>
          <w:szCs w:val="24"/>
        </w:rPr>
        <w:t>Journal for the Study of the New Testament</w:t>
      </w:r>
      <w:r>
        <w:rPr>
          <w:rFonts w:ascii="Arial" w:hAnsi="Arial" w:cs="Arial"/>
          <w:sz w:val="24"/>
          <w:szCs w:val="24"/>
        </w:rPr>
        <w:t xml:space="preserve"> 33, 2 (2010), pp. 137-146.</w:t>
      </w:r>
    </w:p>
    <w:p w:rsidR="006B22DE" w:rsidRDefault="006B22DE" w:rsidP="006B22DE">
      <w:pPr>
        <w:spacing w:after="0"/>
        <w:ind w:left="720" w:hanging="720"/>
        <w:rPr>
          <w:rFonts w:ascii="Arial" w:hAnsi="Arial" w:cs="Arial"/>
          <w:sz w:val="24"/>
          <w:szCs w:val="24"/>
        </w:rPr>
      </w:pPr>
      <w:r>
        <w:rPr>
          <w:rFonts w:ascii="Arial" w:hAnsi="Arial" w:cs="Arial"/>
          <w:sz w:val="24"/>
          <w:szCs w:val="24"/>
        </w:rPr>
        <w:t xml:space="preserve">Lamb, W.R.S., </w:t>
      </w:r>
      <w:proofErr w:type="gramStart"/>
      <w:r>
        <w:rPr>
          <w:rFonts w:ascii="Arial" w:hAnsi="Arial" w:cs="Arial"/>
          <w:i/>
          <w:sz w:val="24"/>
          <w:szCs w:val="24"/>
        </w:rPr>
        <w:t>The</w:t>
      </w:r>
      <w:proofErr w:type="gramEnd"/>
      <w:r>
        <w:rPr>
          <w:rFonts w:ascii="Arial" w:hAnsi="Arial" w:cs="Arial"/>
          <w:i/>
          <w:sz w:val="24"/>
          <w:szCs w:val="24"/>
        </w:rPr>
        <w:t xml:space="preserve"> Catena in Marcum: A Byzantine Anthology of Early Commentary on Mark </w:t>
      </w:r>
      <w:r>
        <w:rPr>
          <w:rFonts w:ascii="Arial" w:hAnsi="Arial" w:cs="Arial"/>
          <w:sz w:val="24"/>
          <w:szCs w:val="24"/>
        </w:rPr>
        <w:t>(Leiden: Brill, 2012).</w:t>
      </w:r>
    </w:p>
    <w:p w:rsidR="006B22DE" w:rsidRPr="00DA511B" w:rsidRDefault="006B22DE" w:rsidP="006B22DE">
      <w:pPr>
        <w:spacing w:after="0"/>
        <w:ind w:left="720" w:hanging="720"/>
        <w:rPr>
          <w:rFonts w:ascii="Arial" w:hAnsi="Arial" w:cs="Arial"/>
          <w:sz w:val="24"/>
          <w:szCs w:val="24"/>
        </w:rPr>
      </w:pPr>
      <w:r>
        <w:rPr>
          <w:rFonts w:ascii="Arial" w:hAnsi="Arial" w:cs="Arial"/>
          <w:sz w:val="24"/>
          <w:szCs w:val="24"/>
        </w:rPr>
        <w:t xml:space="preserve">Luz, U., ‘Effective History and Art: A Hermeneutical Study with Examples from the Passion Narrative’, in C.E. </w:t>
      </w:r>
      <w:proofErr w:type="spellStart"/>
      <w:r>
        <w:rPr>
          <w:rFonts w:ascii="Arial" w:hAnsi="Arial" w:cs="Arial"/>
          <w:sz w:val="24"/>
          <w:szCs w:val="24"/>
        </w:rPr>
        <w:t>Joynes</w:t>
      </w:r>
      <w:proofErr w:type="spellEnd"/>
      <w:r>
        <w:rPr>
          <w:rFonts w:ascii="Arial" w:hAnsi="Arial" w:cs="Arial"/>
          <w:sz w:val="24"/>
          <w:szCs w:val="24"/>
        </w:rPr>
        <w:t xml:space="preserve"> (ed.) </w:t>
      </w:r>
      <w:r>
        <w:rPr>
          <w:rFonts w:ascii="Arial" w:hAnsi="Arial" w:cs="Arial"/>
          <w:i/>
          <w:sz w:val="24"/>
          <w:szCs w:val="24"/>
        </w:rPr>
        <w:t>Perspectives on the Passion: Encountering the Bible Through the Arts</w:t>
      </w:r>
      <w:r>
        <w:rPr>
          <w:rFonts w:ascii="Arial" w:hAnsi="Arial" w:cs="Arial"/>
          <w:sz w:val="24"/>
          <w:szCs w:val="24"/>
        </w:rPr>
        <w:t xml:space="preserve"> (London: T</w:t>
      </w:r>
      <w:proofErr w:type="gramStart"/>
      <w:r>
        <w:rPr>
          <w:rFonts w:ascii="Arial" w:hAnsi="Arial" w:cs="Arial"/>
          <w:sz w:val="24"/>
          <w:szCs w:val="24"/>
        </w:rPr>
        <w:t>.&amp;</w:t>
      </w:r>
      <w:proofErr w:type="gramEnd"/>
      <w:r>
        <w:rPr>
          <w:rFonts w:ascii="Arial" w:hAnsi="Arial" w:cs="Arial"/>
          <w:sz w:val="24"/>
          <w:szCs w:val="24"/>
        </w:rPr>
        <w:t>T. Clark, c.2007b), pp. 7-29.</w:t>
      </w:r>
    </w:p>
    <w:p w:rsidR="006B22DE" w:rsidRDefault="006B22DE" w:rsidP="006B22DE">
      <w:pPr>
        <w:spacing w:after="0"/>
        <w:ind w:left="720" w:hanging="720"/>
        <w:rPr>
          <w:rFonts w:ascii="Arial" w:hAnsi="Arial" w:cs="Arial"/>
          <w:sz w:val="24"/>
          <w:szCs w:val="24"/>
        </w:rPr>
      </w:pPr>
      <w:r>
        <w:rPr>
          <w:rFonts w:ascii="Arial" w:hAnsi="Arial" w:cs="Arial"/>
          <w:sz w:val="24"/>
          <w:szCs w:val="24"/>
        </w:rPr>
        <w:t xml:space="preserve">Luz, U., </w:t>
      </w:r>
      <w:r>
        <w:rPr>
          <w:rFonts w:ascii="Arial" w:hAnsi="Arial" w:cs="Arial"/>
          <w:i/>
          <w:sz w:val="24"/>
          <w:szCs w:val="24"/>
        </w:rPr>
        <w:t>Matthew 1-7. A Commentary (</w:t>
      </w:r>
      <w:proofErr w:type="spellStart"/>
      <w:r>
        <w:rPr>
          <w:rFonts w:ascii="Arial" w:hAnsi="Arial" w:cs="Arial"/>
          <w:i/>
          <w:sz w:val="24"/>
          <w:szCs w:val="24"/>
        </w:rPr>
        <w:t>Hermeneia</w:t>
      </w:r>
      <w:proofErr w:type="spellEnd"/>
      <w:r>
        <w:rPr>
          <w:rFonts w:ascii="Arial" w:hAnsi="Arial" w:cs="Arial"/>
          <w:i/>
          <w:sz w:val="24"/>
          <w:szCs w:val="24"/>
        </w:rPr>
        <w:t>)</w:t>
      </w:r>
      <w:r>
        <w:rPr>
          <w:rFonts w:ascii="Arial" w:hAnsi="Arial" w:cs="Arial"/>
          <w:sz w:val="24"/>
          <w:szCs w:val="24"/>
        </w:rPr>
        <w:t xml:space="preserve"> (Minneapolis: Fortress Press, 2007a).</w:t>
      </w:r>
    </w:p>
    <w:p w:rsidR="006B22DE" w:rsidRPr="00F23835" w:rsidRDefault="006B22DE" w:rsidP="006B22DE">
      <w:pPr>
        <w:spacing w:after="0"/>
        <w:ind w:left="720" w:hanging="720"/>
        <w:rPr>
          <w:rFonts w:ascii="Arial" w:hAnsi="Arial" w:cs="Arial"/>
          <w:sz w:val="24"/>
          <w:szCs w:val="24"/>
        </w:rPr>
      </w:pPr>
      <w:r>
        <w:rPr>
          <w:rFonts w:ascii="Arial" w:hAnsi="Arial" w:cs="Arial"/>
          <w:sz w:val="24"/>
          <w:szCs w:val="24"/>
        </w:rPr>
        <w:t xml:space="preserve">Nicholls, R., </w:t>
      </w:r>
      <w:r>
        <w:rPr>
          <w:rFonts w:ascii="Arial" w:hAnsi="Arial" w:cs="Arial"/>
          <w:i/>
          <w:sz w:val="24"/>
          <w:szCs w:val="24"/>
        </w:rPr>
        <w:t xml:space="preserve">Walking on the Water: Reading Mt. 14:22-33 in the Light of its </w:t>
      </w:r>
      <w:proofErr w:type="spellStart"/>
      <w:r>
        <w:rPr>
          <w:rFonts w:ascii="Arial" w:hAnsi="Arial" w:cs="Arial"/>
          <w:i/>
          <w:sz w:val="24"/>
          <w:szCs w:val="24"/>
        </w:rPr>
        <w:t>Wirkungsgeschichte</w:t>
      </w:r>
      <w:proofErr w:type="spellEnd"/>
      <w:r>
        <w:rPr>
          <w:rFonts w:ascii="Arial" w:hAnsi="Arial" w:cs="Arial"/>
          <w:sz w:val="24"/>
          <w:szCs w:val="24"/>
        </w:rPr>
        <w:t xml:space="preserve"> (Leiden: Brill, 2008).</w:t>
      </w:r>
    </w:p>
    <w:p w:rsidR="006B22DE" w:rsidRPr="006460AB" w:rsidRDefault="006B22DE" w:rsidP="006B22DE">
      <w:pPr>
        <w:spacing w:after="0"/>
        <w:ind w:left="720" w:hanging="720"/>
        <w:rPr>
          <w:rFonts w:ascii="Arial" w:hAnsi="Arial" w:cs="Arial"/>
          <w:sz w:val="24"/>
          <w:szCs w:val="24"/>
        </w:rPr>
      </w:pPr>
      <w:proofErr w:type="spellStart"/>
      <w:r>
        <w:rPr>
          <w:rFonts w:ascii="Arial" w:hAnsi="Arial" w:cs="Arial"/>
          <w:sz w:val="24"/>
          <w:szCs w:val="24"/>
        </w:rPr>
        <w:t>Petridou</w:t>
      </w:r>
      <w:proofErr w:type="spellEnd"/>
      <w:r>
        <w:rPr>
          <w:rFonts w:ascii="Arial" w:hAnsi="Arial" w:cs="Arial"/>
          <w:sz w:val="24"/>
          <w:szCs w:val="24"/>
        </w:rPr>
        <w:t>, G., ‘</w:t>
      </w:r>
      <w:proofErr w:type="spellStart"/>
      <w:r>
        <w:rPr>
          <w:rFonts w:ascii="Arial" w:hAnsi="Arial" w:cs="Arial"/>
          <w:sz w:val="24"/>
          <w:szCs w:val="24"/>
        </w:rPr>
        <w:t>Emplotting</w:t>
      </w:r>
      <w:proofErr w:type="spellEnd"/>
      <w:r>
        <w:rPr>
          <w:rFonts w:ascii="Arial" w:hAnsi="Arial" w:cs="Arial"/>
          <w:sz w:val="24"/>
          <w:szCs w:val="24"/>
        </w:rPr>
        <w:t xml:space="preserve"> the Divine: </w:t>
      </w:r>
      <w:proofErr w:type="spellStart"/>
      <w:r>
        <w:rPr>
          <w:rFonts w:ascii="Arial" w:hAnsi="Arial" w:cs="Arial"/>
          <w:sz w:val="24"/>
          <w:szCs w:val="24"/>
        </w:rPr>
        <w:t>Epiphanic</w:t>
      </w:r>
      <w:proofErr w:type="spellEnd"/>
      <w:r>
        <w:rPr>
          <w:rFonts w:ascii="Arial" w:hAnsi="Arial" w:cs="Arial"/>
          <w:sz w:val="24"/>
          <w:szCs w:val="24"/>
        </w:rPr>
        <w:t xml:space="preserve"> Narratives as Means of Enhancing Agency’, </w:t>
      </w:r>
      <w:r>
        <w:rPr>
          <w:rFonts w:ascii="Arial" w:hAnsi="Arial" w:cs="Arial"/>
          <w:i/>
          <w:sz w:val="24"/>
          <w:szCs w:val="24"/>
        </w:rPr>
        <w:t>Religion in the Roman Empire</w:t>
      </w:r>
      <w:r>
        <w:rPr>
          <w:rFonts w:ascii="Arial" w:hAnsi="Arial" w:cs="Arial"/>
          <w:sz w:val="24"/>
          <w:szCs w:val="24"/>
        </w:rPr>
        <w:t xml:space="preserve"> 1, 3 (2015), pp. 321-342.</w:t>
      </w:r>
    </w:p>
    <w:p w:rsidR="006B22DE" w:rsidRDefault="006B22DE" w:rsidP="006B22DE">
      <w:pPr>
        <w:spacing w:after="0"/>
        <w:ind w:left="720" w:hanging="720"/>
        <w:rPr>
          <w:rFonts w:ascii="Arial" w:hAnsi="Arial" w:cs="Arial"/>
          <w:sz w:val="24"/>
          <w:szCs w:val="24"/>
        </w:rPr>
      </w:pPr>
      <w:proofErr w:type="spellStart"/>
      <w:r>
        <w:rPr>
          <w:rFonts w:ascii="Arial" w:hAnsi="Arial" w:cs="Arial"/>
          <w:sz w:val="24"/>
          <w:szCs w:val="24"/>
        </w:rPr>
        <w:t>Petridou</w:t>
      </w:r>
      <w:proofErr w:type="spellEnd"/>
      <w:r>
        <w:rPr>
          <w:rFonts w:ascii="Arial" w:hAnsi="Arial" w:cs="Arial"/>
          <w:sz w:val="24"/>
          <w:szCs w:val="24"/>
        </w:rPr>
        <w:t xml:space="preserve">, G., ‘Introduction: Lived Ancient Religion and the Body’, </w:t>
      </w:r>
      <w:r>
        <w:rPr>
          <w:rFonts w:ascii="Arial" w:hAnsi="Arial" w:cs="Arial"/>
          <w:i/>
          <w:sz w:val="24"/>
          <w:szCs w:val="24"/>
        </w:rPr>
        <w:t>Religion in the Roman Empire</w:t>
      </w:r>
      <w:r>
        <w:rPr>
          <w:rFonts w:ascii="Arial" w:hAnsi="Arial" w:cs="Arial"/>
          <w:sz w:val="24"/>
          <w:szCs w:val="24"/>
        </w:rPr>
        <w:t xml:space="preserve"> 3, 2 (2017), pp. 137-142.</w:t>
      </w:r>
    </w:p>
    <w:p w:rsidR="006B22DE" w:rsidRDefault="006B22DE" w:rsidP="006B22DE">
      <w:pPr>
        <w:spacing w:after="0"/>
        <w:ind w:left="720" w:hanging="720"/>
        <w:rPr>
          <w:rFonts w:ascii="Arial" w:hAnsi="Arial" w:cs="Arial"/>
          <w:sz w:val="24"/>
          <w:szCs w:val="24"/>
        </w:rPr>
      </w:pPr>
      <w:r>
        <w:rPr>
          <w:rFonts w:ascii="Arial" w:hAnsi="Arial" w:cs="Arial"/>
          <w:sz w:val="24"/>
          <w:szCs w:val="24"/>
        </w:rPr>
        <w:t xml:space="preserve">Roberts, J., ‘Introduction’, in </w:t>
      </w:r>
      <w:r>
        <w:rPr>
          <w:rFonts w:ascii="Arial" w:hAnsi="Arial" w:cs="Arial"/>
          <w:i/>
          <w:sz w:val="24"/>
          <w:szCs w:val="24"/>
        </w:rPr>
        <w:t>The Oxford Handbook of the Reception History of the Bible</w:t>
      </w:r>
      <w:r>
        <w:rPr>
          <w:rFonts w:ascii="Arial" w:hAnsi="Arial" w:cs="Arial"/>
          <w:sz w:val="24"/>
          <w:szCs w:val="24"/>
        </w:rPr>
        <w:t xml:space="preserve">, eds. M. </w:t>
      </w:r>
      <w:proofErr w:type="spellStart"/>
      <w:r>
        <w:rPr>
          <w:rFonts w:ascii="Arial" w:hAnsi="Arial" w:cs="Arial"/>
          <w:sz w:val="24"/>
          <w:szCs w:val="24"/>
        </w:rPr>
        <w:t>Lieb</w:t>
      </w:r>
      <w:proofErr w:type="spellEnd"/>
      <w:r>
        <w:rPr>
          <w:rFonts w:ascii="Arial" w:hAnsi="Arial" w:cs="Arial"/>
          <w:sz w:val="24"/>
          <w:szCs w:val="24"/>
        </w:rPr>
        <w:t>, E.</w:t>
      </w:r>
      <w:r w:rsidR="00AA2C04">
        <w:rPr>
          <w:rFonts w:ascii="Arial" w:hAnsi="Arial" w:cs="Arial"/>
          <w:sz w:val="24"/>
          <w:szCs w:val="24"/>
        </w:rPr>
        <w:t xml:space="preserve"> </w:t>
      </w:r>
      <w:r>
        <w:rPr>
          <w:rFonts w:ascii="Arial" w:hAnsi="Arial" w:cs="Arial"/>
          <w:sz w:val="24"/>
          <w:szCs w:val="24"/>
        </w:rPr>
        <w:t>Mason, J. Roberts, and C. Rowland (Oxford: Oxford University Press, 2011), pp. 1-8.</w:t>
      </w:r>
    </w:p>
    <w:p w:rsidR="006B22DE" w:rsidRDefault="006B22DE" w:rsidP="006B22DE">
      <w:pPr>
        <w:spacing w:after="0"/>
        <w:ind w:left="720" w:hanging="720"/>
        <w:rPr>
          <w:rFonts w:ascii="Arial" w:hAnsi="Arial" w:cs="Arial"/>
          <w:sz w:val="24"/>
          <w:szCs w:val="24"/>
        </w:rPr>
      </w:pPr>
      <w:proofErr w:type="gramStart"/>
      <w:r>
        <w:rPr>
          <w:rFonts w:ascii="Arial" w:hAnsi="Arial" w:cs="Arial"/>
          <w:sz w:val="24"/>
          <w:szCs w:val="24"/>
        </w:rPr>
        <w:t xml:space="preserve">Sawyer, J.F.A., </w:t>
      </w:r>
      <w:r>
        <w:rPr>
          <w:rFonts w:ascii="Arial" w:hAnsi="Arial" w:cs="Arial"/>
          <w:i/>
          <w:sz w:val="24"/>
          <w:szCs w:val="24"/>
        </w:rPr>
        <w:t xml:space="preserve">Sacred Language and Sacred Texts </w:t>
      </w:r>
      <w:r>
        <w:rPr>
          <w:rFonts w:ascii="Arial" w:hAnsi="Arial" w:cs="Arial"/>
          <w:sz w:val="24"/>
          <w:szCs w:val="24"/>
        </w:rPr>
        <w:t>(London: Routledge, 1999).</w:t>
      </w:r>
      <w:proofErr w:type="gramEnd"/>
    </w:p>
    <w:p w:rsidR="006B22DE" w:rsidRPr="00A01553" w:rsidRDefault="006B22DE" w:rsidP="006B22DE">
      <w:pPr>
        <w:spacing w:after="0"/>
        <w:ind w:left="720" w:hanging="720"/>
        <w:rPr>
          <w:rFonts w:ascii="Arial" w:hAnsi="Arial" w:cs="Arial"/>
          <w:sz w:val="24"/>
          <w:szCs w:val="24"/>
        </w:rPr>
      </w:pPr>
      <w:r>
        <w:rPr>
          <w:rFonts w:ascii="Arial" w:hAnsi="Arial" w:cs="Arial"/>
          <w:sz w:val="24"/>
          <w:szCs w:val="24"/>
        </w:rPr>
        <w:lastRenderedPageBreak/>
        <w:t xml:space="preserve">Sawyer, J.F.A., </w:t>
      </w:r>
      <w:r>
        <w:rPr>
          <w:rFonts w:ascii="Arial" w:hAnsi="Arial" w:cs="Arial"/>
          <w:i/>
          <w:sz w:val="24"/>
          <w:szCs w:val="24"/>
        </w:rPr>
        <w:t>A Concise Dictionary of the Bible and its Reception</w:t>
      </w:r>
      <w:r>
        <w:rPr>
          <w:rFonts w:ascii="Arial" w:hAnsi="Arial" w:cs="Arial"/>
          <w:sz w:val="24"/>
          <w:szCs w:val="24"/>
        </w:rPr>
        <w:t xml:space="preserve"> (Louisville, KY: Westminster John Knox, 2009).</w:t>
      </w:r>
    </w:p>
    <w:p w:rsidR="006B22DE" w:rsidRDefault="006B22DE" w:rsidP="006B22DE">
      <w:pPr>
        <w:spacing w:after="0"/>
        <w:ind w:left="720" w:hanging="720"/>
        <w:rPr>
          <w:rFonts w:ascii="Arial" w:hAnsi="Arial" w:cs="Arial"/>
          <w:sz w:val="24"/>
          <w:szCs w:val="24"/>
        </w:rPr>
      </w:pPr>
      <w:r>
        <w:rPr>
          <w:rFonts w:ascii="Arial" w:hAnsi="Arial" w:cs="Arial"/>
          <w:sz w:val="24"/>
          <w:szCs w:val="24"/>
        </w:rPr>
        <w:t xml:space="preserve">Smith, W.C., ‘The Study of Religion and the Study of the Bible’, </w:t>
      </w:r>
      <w:r>
        <w:rPr>
          <w:rFonts w:ascii="Arial" w:hAnsi="Arial" w:cs="Arial"/>
          <w:i/>
          <w:sz w:val="24"/>
          <w:szCs w:val="24"/>
        </w:rPr>
        <w:t xml:space="preserve">Journal of the American Academy of Religion </w:t>
      </w:r>
      <w:r>
        <w:rPr>
          <w:rFonts w:ascii="Arial" w:hAnsi="Arial" w:cs="Arial"/>
          <w:sz w:val="24"/>
          <w:szCs w:val="24"/>
        </w:rPr>
        <w:t>39 (1971), pp. 131-140.</w:t>
      </w:r>
    </w:p>
    <w:p w:rsidR="00654A7E" w:rsidRPr="00F23835" w:rsidRDefault="00654A7E" w:rsidP="006B22DE">
      <w:pPr>
        <w:spacing w:after="0"/>
        <w:ind w:left="720" w:hanging="720"/>
        <w:rPr>
          <w:rFonts w:ascii="Arial" w:hAnsi="Arial" w:cs="Arial"/>
          <w:sz w:val="24"/>
          <w:szCs w:val="24"/>
        </w:rPr>
      </w:pPr>
      <w:bookmarkStart w:id="6" w:name="_GoBack"/>
      <w:bookmarkEnd w:id="6"/>
      <w:r>
        <w:rPr>
          <w:rFonts w:ascii="Arial" w:hAnsi="Arial" w:cs="Arial"/>
          <w:i/>
          <w:sz w:val="24"/>
          <w:szCs w:val="24"/>
        </w:rPr>
        <w:t>The New Oxford Annotated Bible: New Revised Standard Version with the Apocrypha</w:t>
      </w:r>
      <w:r>
        <w:rPr>
          <w:rFonts w:ascii="Arial" w:hAnsi="Arial" w:cs="Arial"/>
          <w:sz w:val="24"/>
          <w:szCs w:val="24"/>
        </w:rPr>
        <w:t xml:space="preserve">, </w:t>
      </w:r>
      <w:r>
        <w:rPr>
          <w:rFonts w:ascii="Arial" w:hAnsi="Arial" w:cs="Arial"/>
          <w:sz w:val="24"/>
          <w:szCs w:val="24"/>
        </w:rPr>
        <w:t xml:space="preserve">ed. M.D. </w:t>
      </w:r>
      <w:proofErr w:type="spellStart"/>
      <w:r>
        <w:rPr>
          <w:rFonts w:ascii="Arial" w:hAnsi="Arial" w:cs="Arial"/>
          <w:sz w:val="24"/>
          <w:szCs w:val="24"/>
        </w:rPr>
        <w:t>Coogan</w:t>
      </w:r>
      <w:proofErr w:type="spellEnd"/>
      <w:r>
        <w:rPr>
          <w:rFonts w:ascii="Arial" w:hAnsi="Arial" w:cs="Arial"/>
          <w:sz w:val="24"/>
          <w:szCs w:val="24"/>
        </w:rPr>
        <w:t xml:space="preserve">, </w:t>
      </w:r>
      <w:r w:rsidRPr="005D1708">
        <w:rPr>
          <w:rFonts w:ascii="Arial" w:hAnsi="Arial" w:cs="Arial"/>
          <w:sz w:val="24"/>
          <w:szCs w:val="24"/>
        </w:rPr>
        <w:t>5</w:t>
      </w:r>
      <w:r w:rsidRPr="005D1708">
        <w:rPr>
          <w:rFonts w:ascii="Arial" w:hAnsi="Arial" w:cs="Arial"/>
          <w:sz w:val="24"/>
          <w:szCs w:val="24"/>
          <w:vertAlign w:val="superscript"/>
        </w:rPr>
        <w:t>th</w:t>
      </w:r>
      <w:r w:rsidRPr="005D1708">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w:t>
      </w:r>
      <w:r>
        <w:rPr>
          <w:rFonts w:ascii="Arial" w:hAnsi="Arial" w:cs="Arial"/>
          <w:i/>
          <w:sz w:val="24"/>
          <w:szCs w:val="24"/>
        </w:rPr>
        <w:t xml:space="preserve"> </w:t>
      </w:r>
      <w:r>
        <w:rPr>
          <w:rFonts w:ascii="Arial" w:hAnsi="Arial" w:cs="Arial"/>
          <w:sz w:val="24"/>
          <w:szCs w:val="24"/>
        </w:rPr>
        <w:t>(Oxford: Oxford University Press, 2018).</w:t>
      </w:r>
    </w:p>
    <w:p w:rsidR="006B22DE" w:rsidRPr="00F23835" w:rsidRDefault="006B22DE" w:rsidP="006B22DE">
      <w:pPr>
        <w:spacing w:after="0"/>
        <w:ind w:left="720" w:hanging="720"/>
        <w:rPr>
          <w:rFonts w:ascii="Arial" w:hAnsi="Arial" w:cs="Arial"/>
          <w:sz w:val="24"/>
          <w:szCs w:val="24"/>
        </w:rPr>
      </w:pPr>
      <w:proofErr w:type="spellStart"/>
      <w:r>
        <w:rPr>
          <w:rFonts w:ascii="Arial" w:hAnsi="Arial" w:cs="Arial"/>
          <w:sz w:val="24"/>
          <w:szCs w:val="24"/>
        </w:rPr>
        <w:t>Thiselton</w:t>
      </w:r>
      <w:proofErr w:type="spellEnd"/>
      <w:r>
        <w:rPr>
          <w:rFonts w:ascii="Arial" w:hAnsi="Arial" w:cs="Arial"/>
          <w:sz w:val="24"/>
          <w:szCs w:val="24"/>
        </w:rPr>
        <w:t xml:space="preserve">, A., </w:t>
      </w:r>
      <w:proofErr w:type="spellStart"/>
      <w:r>
        <w:rPr>
          <w:rFonts w:ascii="Arial" w:hAnsi="Arial" w:cs="Arial"/>
          <w:i/>
          <w:sz w:val="24"/>
          <w:szCs w:val="24"/>
        </w:rPr>
        <w:t>Thiselton</w:t>
      </w:r>
      <w:proofErr w:type="spellEnd"/>
      <w:r>
        <w:rPr>
          <w:rFonts w:ascii="Arial" w:hAnsi="Arial" w:cs="Arial"/>
          <w:i/>
          <w:sz w:val="24"/>
          <w:szCs w:val="24"/>
        </w:rPr>
        <w:t xml:space="preserve"> on Hermeneutics: The Collected Works and New Essays of Anthony </w:t>
      </w:r>
      <w:proofErr w:type="spellStart"/>
      <w:r>
        <w:rPr>
          <w:rFonts w:ascii="Arial" w:hAnsi="Arial" w:cs="Arial"/>
          <w:i/>
          <w:sz w:val="24"/>
          <w:szCs w:val="24"/>
        </w:rPr>
        <w:t>Thiselton</w:t>
      </w:r>
      <w:proofErr w:type="spellEnd"/>
      <w:r>
        <w:rPr>
          <w:rFonts w:ascii="Arial" w:hAnsi="Arial" w:cs="Arial"/>
          <w:i/>
          <w:sz w:val="24"/>
          <w:szCs w:val="24"/>
        </w:rPr>
        <w:t xml:space="preserve"> </w:t>
      </w:r>
      <w:r>
        <w:rPr>
          <w:rFonts w:ascii="Arial" w:hAnsi="Arial" w:cs="Arial"/>
          <w:sz w:val="24"/>
          <w:szCs w:val="24"/>
        </w:rPr>
        <w:t xml:space="preserve">(Aldershot: </w:t>
      </w:r>
      <w:proofErr w:type="spellStart"/>
      <w:r>
        <w:rPr>
          <w:rFonts w:ascii="Arial" w:hAnsi="Arial" w:cs="Arial"/>
          <w:sz w:val="24"/>
          <w:szCs w:val="24"/>
        </w:rPr>
        <w:t>Ashgate</w:t>
      </w:r>
      <w:proofErr w:type="spellEnd"/>
      <w:r>
        <w:rPr>
          <w:rFonts w:ascii="Arial" w:hAnsi="Arial" w:cs="Arial"/>
          <w:sz w:val="24"/>
          <w:szCs w:val="24"/>
        </w:rPr>
        <w:t>, 2007).</w:t>
      </w:r>
    </w:p>
    <w:p w:rsidR="006B22DE" w:rsidRPr="009B4587" w:rsidRDefault="006B22DE" w:rsidP="00333C0A">
      <w:pPr>
        <w:spacing w:after="0"/>
        <w:jc w:val="both"/>
        <w:rPr>
          <w:rFonts w:ascii="Arial" w:hAnsi="Arial" w:cs="Arial"/>
          <w:sz w:val="24"/>
          <w:szCs w:val="24"/>
        </w:rPr>
      </w:pPr>
    </w:p>
    <w:p w:rsidR="00CB1C12" w:rsidRDefault="00B92AD9" w:rsidP="00333C0A">
      <w:pPr>
        <w:spacing w:after="0"/>
        <w:jc w:val="both"/>
        <w:rPr>
          <w:rFonts w:ascii="Arial" w:hAnsi="Arial" w:cs="Arial"/>
          <w:sz w:val="24"/>
          <w:szCs w:val="24"/>
        </w:rPr>
      </w:pPr>
      <w:r>
        <w:rPr>
          <w:rFonts w:ascii="Arial" w:hAnsi="Arial" w:cs="Arial"/>
          <w:sz w:val="24"/>
          <w:szCs w:val="24"/>
        </w:rPr>
        <w:tab/>
      </w:r>
      <w:r w:rsidR="00CB1C12">
        <w:rPr>
          <w:rFonts w:ascii="Arial" w:hAnsi="Arial" w:cs="Arial"/>
          <w:sz w:val="24"/>
          <w:szCs w:val="24"/>
        </w:rPr>
        <w:tab/>
      </w:r>
    </w:p>
    <w:p w:rsidR="009B4587" w:rsidRDefault="0026562E" w:rsidP="00682F03">
      <w:pPr>
        <w:spacing w:after="0"/>
        <w:jc w:val="both"/>
        <w:rPr>
          <w:rFonts w:ascii="Arial" w:hAnsi="Arial" w:cs="Arial"/>
          <w:sz w:val="24"/>
          <w:szCs w:val="24"/>
        </w:rPr>
      </w:pPr>
      <w:r>
        <w:rPr>
          <w:rFonts w:ascii="Arial" w:hAnsi="Arial" w:cs="Arial"/>
          <w:sz w:val="24"/>
          <w:szCs w:val="24"/>
        </w:rPr>
        <w:tab/>
      </w:r>
    </w:p>
    <w:p w:rsidR="00333C0A" w:rsidRPr="00333C0A" w:rsidRDefault="009B4587" w:rsidP="00333C0A">
      <w:pPr>
        <w:spacing w:after="0"/>
        <w:jc w:val="both"/>
        <w:rPr>
          <w:rFonts w:ascii="Arial" w:hAnsi="Arial" w:cs="Arial"/>
          <w:sz w:val="24"/>
          <w:szCs w:val="24"/>
        </w:rPr>
      </w:pPr>
      <w:r>
        <w:rPr>
          <w:rFonts w:ascii="Arial" w:hAnsi="Arial" w:cs="Arial"/>
          <w:sz w:val="24"/>
          <w:szCs w:val="24"/>
        </w:rPr>
        <w:tab/>
      </w:r>
      <w:r w:rsidR="006C0520">
        <w:rPr>
          <w:rFonts w:ascii="Arial" w:hAnsi="Arial" w:cs="Arial"/>
          <w:sz w:val="24"/>
          <w:szCs w:val="24"/>
        </w:rPr>
        <w:tab/>
      </w:r>
      <w:r w:rsidR="00333C0A">
        <w:rPr>
          <w:rFonts w:ascii="Arial" w:hAnsi="Arial" w:cs="Arial"/>
          <w:sz w:val="24"/>
          <w:szCs w:val="24"/>
        </w:rPr>
        <w:t xml:space="preserve"> </w:t>
      </w:r>
    </w:p>
    <w:p w:rsidR="00A81745" w:rsidRDefault="00A81745" w:rsidP="00333C0A">
      <w:pPr>
        <w:spacing w:after="0"/>
        <w:jc w:val="both"/>
        <w:rPr>
          <w:rFonts w:ascii="Arial" w:hAnsi="Arial" w:cs="Arial"/>
          <w:sz w:val="24"/>
          <w:szCs w:val="24"/>
        </w:rPr>
      </w:pPr>
    </w:p>
    <w:p w:rsidR="00A81745" w:rsidRDefault="00A81745" w:rsidP="00333C0A">
      <w:pPr>
        <w:spacing w:after="0"/>
        <w:jc w:val="both"/>
        <w:rPr>
          <w:rFonts w:ascii="Arial" w:hAnsi="Arial" w:cs="Arial"/>
          <w:sz w:val="24"/>
          <w:szCs w:val="24"/>
        </w:rPr>
      </w:pPr>
    </w:p>
    <w:p w:rsidR="00A81745" w:rsidRDefault="00A81745" w:rsidP="00333C0A">
      <w:pPr>
        <w:pStyle w:val="ListParagraph"/>
        <w:ind w:left="360"/>
        <w:jc w:val="both"/>
        <w:rPr>
          <w:rFonts w:ascii="Arial" w:hAnsi="Arial" w:cs="Arial"/>
          <w:sz w:val="24"/>
          <w:szCs w:val="24"/>
        </w:rPr>
      </w:pPr>
    </w:p>
    <w:p w:rsidR="00A81745" w:rsidRDefault="00A81745" w:rsidP="00333C0A">
      <w:pPr>
        <w:pStyle w:val="ListParagraph"/>
        <w:ind w:left="360"/>
        <w:jc w:val="both"/>
        <w:rPr>
          <w:rFonts w:ascii="Arial" w:hAnsi="Arial" w:cs="Arial"/>
          <w:sz w:val="24"/>
          <w:szCs w:val="24"/>
        </w:rPr>
      </w:pPr>
    </w:p>
    <w:p w:rsidR="00A81745" w:rsidRDefault="00A81745" w:rsidP="00333C0A">
      <w:pPr>
        <w:pStyle w:val="ListParagraph"/>
        <w:ind w:left="360"/>
        <w:jc w:val="both"/>
        <w:rPr>
          <w:rFonts w:ascii="Arial" w:hAnsi="Arial" w:cs="Arial"/>
          <w:sz w:val="24"/>
          <w:szCs w:val="24"/>
        </w:rPr>
      </w:pPr>
    </w:p>
    <w:p w:rsidR="00A81745" w:rsidRDefault="00A81745" w:rsidP="00A81745">
      <w:pPr>
        <w:pStyle w:val="ListParagraph"/>
        <w:ind w:left="360"/>
        <w:rPr>
          <w:rFonts w:ascii="Arial" w:hAnsi="Arial" w:cs="Arial"/>
          <w:sz w:val="24"/>
          <w:szCs w:val="24"/>
        </w:rPr>
      </w:pPr>
    </w:p>
    <w:p w:rsidR="00A81745" w:rsidRDefault="00A81745" w:rsidP="00A81745">
      <w:pPr>
        <w:pStyle w:val="ListParagraph"/>
        <w:ind w:left="360"/>
        <w:rPr>
          <w:rFonts w:ascii="Arial" w:hAnsi="Arial" w:cs="Arial"/>
          <w:sz w:val="24"/>
          <w:szCs w:val="24"/>
        </w:rPr>
      </w:pPr>
    </w:p>
    <w:p w:rsidR="00A81745" w:rsidRDefault="00A81745" w:rsidP="00A81745">
      <w:pPr>
        <w:pStyle w:val="ListParagraph"/>
        <w:ind w:left="360"/>
        <w:rPr>
          <w:rFonts w:ascii="Arial" w:hAnsi="Arial" w:cs="Arial"/>
          <w:sz w:val="24"/>
          <w:szCs w:val="24"/>
        </w:rPr>
      </w:pPr>
    </w:p>
    <w:p w:rsidR="00A81745" w:rsidRPr="00A81745" w:rsidRDefault="00A81745" w:rsidP="00A81745">
      <w:pPr>
        <w:pStyle w:val="ListParagraph"/>
        <w:ind w:left="360"/>
        <w:rPr>
          <w:rFonts w:ascii="Arial" w:hAnsi="Arial" w:cs="Arial"/>
          <w:sz w:val="24"/>
          <w:szCs w:val="24"/>
        </w:rPr>
      </w:pPr>
    </w:p>
    <w:p w:rsidR="00597E2E" w:rsidRPr="008F2712" w:rsidRDefault="00597E2E" w:rsidP="00566A94">
      <w:pPr>
        <w:spacing w:after="0"/>
        <w:rPr>
          <w:rFonts w:ascii="Arial" w:hAnsi="Arial" w:cs="Arial"/>
          <w:sz w:val="24"/>
          <w:szCs w:val="24"/>
        </w:rPr>
      </w:pPr>
      <w:r>
        <w:rPr>
          <w:rFonts w:ascii="Arial" w:hAnsi="Arial" w:cs="Arial"/>
          <w:sz w:val="24"/>
          <w:szCs w:val="24"/>
        </w:rPr>
        <w:t xml:space="preserve"> </w:t>
      </w:r>
    </w:p>
    <w:sectPr w:rsidR="00597E2E" w:rsidRPr="008F2712" w:rsidSect="00A81745">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0F6B" w:rsidRDefault="00850F6B" w:rsidP="00566A94">
      <w:pPr>
        <w:spacing w:after="0" w:line="240" w:lineRule="auto"/>
      </w:pPr>
      <w:r>
        <w:separator/>
      </w:r>
    </w:p>
  </w:endnote>
  <w:endnote w:type="continuationSeparator" w:id="0">
    <w:p w:rsidR="00850F6B" w:rsidRDefault="00850F6B" w:rsidP="00566A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0F6B" w:rsidRDefault="00850F6B" w:rsidP="00566A94">
      <w:pPr>
        <w:spacing w:after="0" w:line="240" w:lineRule="auto"/>
      </w:pPr>
      <w:r>
        <w:separator/>
      </w:r>
    </w:p>
  </w:footnote>
  <w:footnote w:type="continuationSeparator" w:id="0">
    <w:p w:rsidR="00850F6B" w:rsidRDefault="00850F6B" w:rsidP="00566A94">
      <w:pPr>
        <w:spacing w:after="0" w:line="240" w:lineRule="auto"/>
      </w:pPr>
      <w:r>
        <w:continuationSeparator/>
      </w:r>
    </w:p>
  </w:footnote>
  <w:footnote w:id="1">
    <w:p w:rsidR="00F254E4" w:rsidRPr="002B53BD" w:rsidRDefault="00F254E4" w:rsidP="002B53BD">
      <w:pPr>
        <w:spacing w:after="0" w:line="240" w:lineRule="auto"/>
        <w:ind w:left="720" w:hanging="720"/>
        <w:rPr>
          <w:rFonts w:cstheme="minorHAnsi"/>
          <w:sz w:val="20"/>
          <w:szCs w:val="20"/>
        </w:rPr>
      </w:pPr>
      <w:r>
        <w:rPr>
          <w:rStyle w:val="FootnoteReference"/>
        </w:rPr>
        <w:footnoteRef/>
      </w:r>
      <w:r>
        <w:t>Brennan Breed, ‘What is Reception History?</w:t>
      </w:r>
      <w:proofErr w:type="gramStart"/>
      <w:r>
        <w:t>’,</w:t>
      </w:r>
      <w:proofErr w:type="gramEnd"/>
      <w:r>
        <w:t xml:space="preserve"> </w:t>
      </w:r>
      <w:hyperlink r:id="rId1" w:history="1">
        <w:r w:rsidRPr="007842C5">
          <w:rPr>
            <w:rStyle w:val="Hyperlink"/>
          </w:rPr>
          <w:t>https://www.bibleodyssey.org:433</w:t>
        </w:r>
      </w:hyperlink>
      <w:r>
        <w:t>, 31</w:t>
      </w:r>
      <w:r w:rsidRPr="002B53BD">
        <w:rPr>
          <w:vertAlign w:val="superscript"/>
        </w:rPr>
        <w:t>st</w:t>
      </w:r>
      <w:r>
        <w:t xml:space="preserve"> May 2021.</w:t>
      </w:r>
    </w:p>
  </w:footnote>
  <w:footnote w:id="2">
    <w:p w:rsidR="00F254E4" w:rsidRDefault="00F254E4">
      <w:pPr>
        <w:pStyle w:val="FootnoteText"/>
      </w:pPr>
      <w:r>
        <w:rPr>
          <w:rStyle w:val="FootnoteReference"/>
        </w:rPr>
        <w:footnoteRef/>
      </w:r>
      <w:r>
        <w:t xml:space="preserve"> Timothy Beal, ‘Reception History and Beyond: Toward the Cultural History of Scriptures’, </w:t>
      </w:r>
      <w:r>
        <w:rPr>
          <w:i/>
        </w:rPr>
        <w:t>Biblical Interpretation</w:t>
      </w:r>
      <w:r>
        <w:t xml:space="preserve"> 19 (2011)</w:t>
      </w:r>
      <w:proofErr w:type="gramStart"/>
      <w:r>
        <w:t>,  p</w:t>
      </w:r>
      <w:proofErr w:type="gramEnd"/>
      <w:r>
        <w:t>. 359, p. 359n.6.</w:t>
      </w:r>
    </w:p>
  </w:footnote>
  <w:footnote w:id="3">
    <w:p w:rsidR="00F254E4" w:rsidRPr="00743689" w:rsidRDefault="00F254E4">
      <w:pPr>
        <w:pStyle w:val="FootnoteText"/>
      </w:pPr>
      <w:r>
        <w:rPr>
          <w:rStyle w:val="FootnoteReference"/>
        </w:rPr>
        <w:footnoteRef/>
      </w:r>
      <w:r>
        <w:t xml:space="preserve"> Christine </w:t>
      </w:r>
      <w:proofErr w:type="spellStart"/>
      <w:r>
        <w:t>Joynes</w:t>
      </w:r>
      <w:proofErr w:type="spellEnd"/>
      <w:r>
        <w:t xml:space="preserve">, ‘Changing Horizons: Reflections on a Decade at Oxford University’s Centre for Reception History of the Bible’, </w:t>
      </w:r>
      <w:r>
        <w:rPr>
          <w:i/>
        </w:rPr>
        <w:t>Journal of the Bible and its Reception</w:t>
      </w:r>
      <w:r>
        <w:t xml:space="preserve"> 1, 1 (2014), p.164.</w:t>
      </w:r>
    </w:p>
  </w:footnote>
  <w:footnote w:id="4">
    <w:p w:rsidR="00F254E4" w:rsidRPr="00123F82" w:rsidRDefault="00F254E4" w:rsidP="00AA3DD2">
      <w:pPr>
        <w:pStyle w:val="FootnoteText"/>
      </w:pPr>
      <w:r>
        <w:rPr>
          <w:rStyle w:val="FootnoteReference"/>
        </w:rPr>
        <w:footnoteRef/>
      </w:r>
      <w:r>
        <w:t xml:space="preserve"> Andrew </w:t>
      </w:r>
      <w:proofErr w:type="spellStart"/>
      <w:r>
        <w:t>Dearman</w:t>
      </w:r>
      <w:proofErr w:type="spellEnd"/>
      <w:r>
        <w:t xml:space="preserve">, </w:t>
      </w:r>
      <w:r>
        <w:rPr>
          <w:i/>
        </w:rPr>
        <w:t xml:space="preserve">Reading Hebrew Narratives </w:t>
      </w:r>
      <w:r>
        <w:t>(Oxford: Oxford University Press, 2018), p. 185.</w:t>
      </w:r>
    </w:p>
  </w:footnote>
  <w:footnote w:id="5">
    <w:p w:rsidR="00F254E4" w:rsidRDefault="00F254E4" w:rsidP="00AA3DD2">
      <w:pPr>
        <w:pStyle w:val="FootnoteText"/>
      </w:pPr>
      <w:r>
        <w:rPr>
          <w:rStyle w:val="FootnoteReference"/>
        </w:rPr>
        <w:footnoteRef/>
      </w:r>
      <w:r>
        <w:t xml:space="preserve"> Beal, Reception History and Beyond, p. 359.</w:t>
      </w:r>
    </w:p>
  </w:footnote>
  <w:footnote w:id="6">
    <w:p w:rsidR="00F254E4" w:rsidRPr="00F933D6" w:rsidRDefault="00F254E4" w:rsidP="00AA3DD2">
      <w:pPr>
        <w:pStyle w:val="FootnoteText"/>
      </w:pPr>
      <w:r>
        <w:rPr>
          <w:rStyle w:val="FootnoteReference"/>
        </w:rPr>
        <w:footnoteRef/>
      </w:r>
      <w:r>
        <w:t xml:space="preserve">  Mark Knight, ‘</w:t>
      </w:r>
      <w:proofErr w:type="spellStart"/>
      <w:r>
        <w:t>Wirkungsgeschichte</w:t>
      </w:r>
      <w:proofErr w:type="spellEnd"/>
      <w:r>
        <w:t xml:space="preserve">, Reception History, Reception Theory’, </w:t>
      </w:r>
      <w:r>
        <w:rPr>
          <w:i/>
        </w:rPr>
        <w:t>Journal for the Study of the New Testament</w:t>
      </w:r>
      <w:r>
        <w:t xml:space="preserve"> 33, 2 (2010), p. 137); Hans-Georg </w:t>
      </w:r>
      <w:proofErr w:type="spellStart"/>
      <w:r>
        <w:t>Gadamer</w:t>
      </w:r>
      <w:proofErr w:type="spellEnd"/>
      <w:r>
        <w:t xml:space="preserve">, </w:t>
      </w:r>
      <w:r>
        <w:rPr>
          <w:i/>
        </w:rPr>
        <w:t>Truth and Method</w:t>
      </w:r>
      <w:r>
        <w:t xml:space="preserve">, trans. J. </w:t>
      </w:r>
      <w:proofErr w:type="spellStart"/>
      <w:r>
        <w:t>Weinsheimer</w:t>
      </w:r>
      <w:proofErr w:type="spellEnd"/>
      <w:r>
        <w:t xml:space="preserve"> and D.G. Marshall, 2</w:t>
      </w:r>
      <w:r w:rsidRPr="00F933D6">
        <w:rPr>
          <w:vertAlign w:val="superscript"/>
        </w:rPr>
        <w:t>nd</w:t>
      </w:r>
      <w:r>
        <w:t xml:space="preserve"> </w:t>
      </w:r>
      <w:proofErr w:type="spellStart"/>
      <w:r>
        <w:t>edn</w:t>
      </w:r>
      <w:proofErr w:type="spellEnd"/>
      <w:r>
        <w:t>. (London: Continuum, 2004), pp. 137-146.</w:t>
      </w:r>
    </w:p>
  </w:footnote>
  <w:footnote w:id="7">
    <w:p w:rsidR="00F254E4" w:rsidRDefault="00F254E4" w:rsidP="00662ADD">
      <w:pPr>
        <w:spacing w:after="0" w:line="240" w:lineRule="auto"/>
        <w:ind w:left="720" w:hanging="720"/>
        <w:rPr>
          <w:rFonts w:cstheme="minorHAnsi"/>
          <w:sz w:val="20"/>
          <w:szCs w:val="20"/>
        </w:rPr>
      </w:pPr>
      <w:r>
        <w:rPr>
          <w:rStyle w:val="FootnoteReference"/>
        </w:rPr>
        <w:footnoteRef/>
      </w:r>
      <w:r>
        <w:rPr>
          <w:rFonts w:cstheme="minorHAnsi"/>
          <w:sz w:val="20"/>
          <w:szCs w:val="20"/>
        </w:rPr>
        <w:t xml:space="preserve">John Sawyer, </w:t>
      </w:r>
      <w:r w:rsidRPr="00CE72C5">
        <w:rPr>
          <w:rFonts w:cstheme="minorHAnsi"/>
          <w:i/>
          <w:sz w:val="20"/>
          <w:szCs w:val="20"/>
        </w:rPr>
        <w:t>A Concise Dictionar</w:t>
      </w:r>
      <w:r>
        <w:rPr>
          <w:rFonts w:cstheme="minorHAnsi"/>
          <w:i/>
          <w:sz w:val="20"/>
          <w:szCs w:val="20"/>
        </w:rPr>
        <w:t>y of the Bible and its Reception (</w:t>
      </w:r>
      <w:r>
        <w:rPr>
          <w:rFonts w:cstheme="minorHAnsi"/>
          <w:sz w:val="20"/>
          <w:szCs w:val="20"/>
        </w:rPr>
        <w:t xml:space="preserve">Louisville: Westminster John Knox, 2009), </w:t>
      </w:r>
    </w:p>
    <w:p w:rsidR="00F254E4" w:rsidRPr="002B53BD" w:rsidRDefault="00F254E4" w:rsidP="00662ADD">
      <w:pPr>
        <w:spacing w:after="0" w:line="240" w:lineRule="auto"/>
        <w:ind w:left="720" w:hanging="720"/>
        <w:rPr>
          <w:rFonts w:ascii="Arial" w:hAnsi="Arial" w:cs="Arial"/>
          <w:sz w:val="24"/>
          <w:szCs w:val="24"/>
        </w:rPr>
      </w:pPr>
      <w:proofErr w:type="gramStart"/>
      <w:r>
        <w:rPr>
          <w:rFonts w:cstheme="minorHAnsi"/>
          <w:sz w:val="20"/>
          <w:szCs w:val="20"/>
        </w:rPr>
        <w:t>p</w:t>
      </w:r>
      <w:proofErr w:type="gramEnd"/>
      <w:r>
        <w:rPr>
          <w:rFonts w:cstheme="minorHAnsi"/>
          <w:sz w:val="20"/>
          <w:szCs w:val="20"/>
        </w:rPr>
        <w:t xml:space="preserve">. ix; </w:t>
      </w:r>
      <w:proofErr w:type="spellStart"/>
      <w:r>
        <w:rPr>
          <w:rFonts w:cstheme="minorHAnsi"/>
          <w:sz w:val="20"/>
          <w:szCs w:val="20"/>
        </w:rPr>
        <w:t>Joynes</w:t>
      </w:r>
      <w:proofErr w:type="spellEnd"/>
      <w:r>
        <w:rPr>
          <w:rFonts w:cstheme="minorHAnsi"/>
          <w:sz w:val="20"/>
          <w:szCs w:val="20"/>
        </w:rPr>
        <w:t>, ‘Changing Horizons’, p. 162.</w:t>
      </w:r>
    </w:p>
  </w:footnote>
  <w:footnote w:id="8">
    <w:p w:rsidR="00F254E4" w:rsidRDefault="00F254E4" w:rsidP="00662ADD">
      <w:pPr>
        <w:pStyle w:val="FootnoteText"/>
      </w:pPr>
      <w:r>
        <w:rPr>
          <w:rStyle w:val="FootnoteReference"/>
        </w:rPr>
        <w:footnoteRef/>
      </w:r>
      <w:r>
        <w:t xml:space="preserve"> </w:t>
      </w:r>
      <w:proofErr w:type="spellStart"/>
      <w:proofErr w:type="gramStart"/>
      <w:r>
        <w:t>Gadamer</w:t>
      </w:r>
      <w:proofErr w:type="spellEnd"/>
      <w:r>
        <w:t xml:space="preserve">, Truth and Method, pp. 299-306; </w:t>
      </w:r>
      <w:proofErr w:type="spellStart"/>
      <w:r>
        <w:t>Joynes</w:t>
      </w:r>
      <w:proofErr w:type="spellEnd"/>
      <w:r>
        <w:t>, 2014, Changing Horizons, p. 162.</w:t>
      </w:r>
      <w:proofErr w:type="gramEnd"/>
    </w:p>
  </w:footnote>
  <w:footnote w:id="9">
    <w:p w:rsidR="00F254E4" w:rsidRDefault="00F254E4" w:rsidP="00662ADD">
      <w:pPr>
        <w:spacing w:after="0"/>
        <w:ind w:left="720" w:hanging="720"/>
        <w:rPr>
          <w:rFonts w:cstheme="minorHAnsi"/>
          <w:sz w:val="20"/>
          <w:szCs w:val="20"/>
        </w:rPr>
      </w:pPr>
      <w:r>
        <w:rPr>
          <w:rStyle w:val="FootnoteReference"/>
        </w:rPr>
        <w:footnoteRef/>
      </w:r>
      <w:r>
        <w:t xml:space="preserve"> Hans Georg </w:t>
      </w:r>
      <w:proofErr w:type="spellStart"/>
      <w:r>
        <w:t>Jauss</w:t>
      </w:r>
      <w:proofErr w:type="spellEnd"/>
      <w:r>
        <w:t xml:space="preserve">, </w:t>
      </w:r>
      <w:r w:rsidRPr="00CE72C5">
        <w:rPr>
          <w:rFonts w:cstheme="minorHAnsi"/>
          <w:i/>
          <w:sz w:val="20"/>
          <w:szCs w:val="20"/>
        </w:rPr>
        <w:t>Toward an Aesthetic of Reception</w:t>
      </w:r>
      <w:r>
        <w:rPr>
          <w:rFonts w:cstheme="minorHAnsi"/>
          <w:sz w:val="20"/>
          <w:szCs w:val="20"/>
        </w:rPr>
        <w:t xml:space="preserve">, trans. T. </w:t>
      </w:r>
      <w:proofErr w:type="spellStart"/>
      <w:r>
        <w:rPr>
          <w:rFonts w:cstheme="minorHAnsi"/>
          <w:sz w:val="20"/>
          <w:szCs w:val="20"/>
        </w:rPr>
        <w:t>Bahti</w:t>
      </w:r>
      <w:proofErr w:type="spellEnd"/>
      <w:r>
        <w:rPr>
          <w:rFonts w:cstheme="minorHAnsi"/>
          <w:sz w:val="20"/>
          <w:szCs w:val="20"/>
        </w:rPr>
        <w:t xml:space="preserve"> (Minneapolis: University of</w:t>
      </w:r>
    </w:p>
    <w:p w:rsidR="00F254E4" w:rsidRPr="00CE72C5" w:rsidRDefault="00F254E4" w:rsidP="00662ADD">
      <w:pPr>
        <w:spacing w:after="0"/>
        <w:ind w:left="720" w:hanging="720"/>
        <w:rPr>
          <w:rFonts w:cstheme="minorHAnsi"/>
          <w:sz w:val="20"/>
          <w:szCs w:val="20"/>
        </w:rPr>
      </w:pPr>
      <w:proofErr w:type="gramStart"/>
      <w:r>
        <w:rPr>
          <w:rFonts w:cstheme="minorHAnsi"/>
          <w:sz w:val="20"/>
          <w:szCs w:val="20"/>
        </w:rPr>
        <w:t xml:space="preserve">Minnesota Press, 1982, p. 15; </w:t>
      </w:r>
      <w:proofErr w:type="spellStart"/>
      <w:r>
        <w:rPr>
          <w:rFonts w:cstheme="minorHAnsi"/>
          <w:sz w:val="20"/>
          <w:szCs w:val="20"/>
        </w:rPr>
        <w:t>Gadamer</w:t>
      </w:r>
      <w:proofErr w:type="spellEnd"/>
      <w:r>
        <w:rPr>
          <w:rFonts w:cstheme="minorHAnsi"/>
          <w:sz w:val="20"/>
          <w:szCs w:val="20"/>
        </w:rPr>
        <w:t xml:space="preserve">, Truth and Method, p. xxvi; </w:t>
      </w:r>
      <w:proofErr w:type="spellStart"/>
      <w:r>
        <w:rPr>
          <w:rFonts w:cstheme="minorHAnsi"/>
          <w:sz w:val="20"/>
          <w:szCs w:val="20"/>
        </w:rPr>
        <w:t>Joynes</w:t>
      </w:r>
      <w:proofErr w:type="spellEnd"/>
      <w:r>
        <w:rPr>
          <w:rFonts w:cstheme="minorHAnsi"/>
          <w:sz w:val="20"/>
          <w:szCs w:val="20"/>
        </w:rPr>
        <w:t>, Changing Horizons, p. 163.</w:t>
      </w:r>
      <w:proofErr w:type="gramEnd"/>
    </w:p>
  </w:footnote>
  <w:footnote w:id="10">
    <w:p w:rsidR="00F254E4" w:rsidRPr="00A81745" w:rsidRDefault="00F254E4" w:rsidP="00AA3DD2">
      <w:pPr>
        <w:pStyle w:val="FootnoteText"/>
      </w:pPr>
      <w:r>
        <w:rPr>
          <w:rStyle w:val="FootnoteReference"/>
        </w:rPr>
        <w:footnoteRef/>
      </w:r>
      <w:r>
        <w:t xml:space="preserve"> </w:t>
      </w:r>
      <w:proofErr w:type="spellStart"/>
      <w:proofErr w:type="gramStart"/>
      <w:r>
        <w:t>Gadamer</w:t>
      </w:r>
      <w:proofErr w:type="spellEnd"/>
      <w:r>
        <w:t xml:space="preserve">, </w:t>
      </w:r>
      <w:r>
        <w:rPr>
          <w:i/>
        </w:rPr>
        <w:t>Truth and Method</w:t>
      </w:r>
      <w:r>
        <w:t xml:space="preserve">, trans. J. </w:t>
      </w:r>
      <w:proofErr w:type="spellStart"/>
      <w:r>
        <w:t>Weinsheimer</w:t>
      </w:r>
      <w:proofErr w:type="spellEnd"/>
      <w:r>
        <w:t xml:space="preserve"> and D.G. Marshall, 2</w:t>
      </w:r>
      <w:r w:rsidRPr="00123F82">
        <w:rPr>
          <w:vertAlign w:val="superscript"/>
        </w:rPr>
        <w:t>nd</w:t>
      </w:r>
      <w:r>
        <w:t xml:space="preserve"> </w:t>
      </w:r>
      <w:proofErr w:type="spellStart"/>
      <w:r>
        <w:t>edn</w:t>
      </w:r>
      <w:proofErr w:type="spellEnd"/>
      <w:r>
        <w:t>.</w:t>
      </w:r>
      <w:proofErr w:type="gramEnd"/>
      <w:r>
        <w:t xml:space="preserve"> (London: </w:t>
      </w:r>
      <w:proofErr w:type="gramStart"/>
      <w:r>
        <w:t>Continuum</w:t>
      </w:r>
      <w:r>
        <w:rPr>
          <w:i/>
        </w:rPr>
        <w:t xml:space="preserve"> </w:t>
      </w:r>
      <w:r>
        <w:t>,</w:t>
      </w:r>
      <w:proofErr w:type="gramEnd"/>
      <w:r>
        <w:t xml:space="preserve"> 2004), pp. 276-277.</w:t>
      </w:r>
    </w:p>
  </w:footnote>
  <w:footnote w:id="11">
    <w:p w:rsidR="00F254E4" w:rsidRPr="00597E2E" w:rsidRDefault="00F254E4" w:rsidP="00C61983">
      <w:pPr>
        <w:pStyle w:val="FootnoteText"/>
      </w:pPr>
      <w:r>
        <w:rPr>
          <w:rStyle w:val="FootnoteReference"/>
        </w:rPr>
        <w:footnoteRef/>
      </w:r>
      <w:r>
        <w:t xml:space="preserve"> Jonathan Roberts, Introduction, in </w:t>
      </w:r>
      <w:r>
        <w:rPr>
          <w:i/>
        </w:rPr>
        <w:t>The Oxford Handbook of the Reception History of the Bible</w:t>
      </w:r>
      <w:r>
        <w:t xml:space="preserve">, eds. M. </w:t>
      </w:r>
      <w:proofErr w:type="spellStart"/>
      <w:r>
        <w:t>Lieb</w:t>
      </w:r>
      <w:proofErr w:type="spellEnd"/>
      <w:r>
        <w:t>, E. Mason, J. Roberts, and C. Rowland (Oxford: Oxford University Press, 2011), p. 1.</w:t>
      </w:r>
    </w:p>
  </w:footnote>
  <w:footnote w:id="12">
    <w:p w:rsidR="00F254E4" w:rsidRPr="006B6D1B" w:rsidRDefault="00F254E4" w:rsidP="00726529">
      <w:pPr>
        <w:pStyle w:val="FootnoteText"/>
        <w:rPr>
          <w:rFonts w:cstheme="minorHAnsi"/>
        </w:rPr>
      </w:pPr>
      <w:r>
        <w:rPr>
          <w:rStyle w:val="FootnoteReference"/>
        </w:rPr>
        <w:footnoteRef/>
      </w:r>
      <w:r>
        <w:t xml:space="preserve"> Cheryl </w:t>
      </w:r>
      <w:proofErr w:type="spellStart"/>
      <w:r>
        <w:t>Exum</w:t>
      </w:r>
      <w:proofErr w:type="spellEnd"/>
      <w:r>
        <w:t xml:space="preserve">, </w:t>
      </w:r>
      <w:r w:rsidRPr="006B6D1B">
        <w:rPr>
          <w:rFonts w:cstheme="minorHAnsi"/>
        </w:rPr>
        <w:t xml:space="preserve">‘Feminist Study of the Old Testament’, in A.D.H. Mayes (ed.) </w:t>
      </w:r>
      <w:r w:rsidRPr="006B6D1B">
        <w:rPr>
          <w:rFonts w:cstheme="minorHAnsi"/>
          <w:i/>
        </w:rPr>
        <w:t>Text in Context: Essays by Members of the Society for Old Testament Studies</w:t>
      </w:r>
      <w:r w:rsidRPr="006B6D1B">
        <w:rPr>
          <w:rFonts w:cstheme="minorHAnsi"/>
        </w:rPr>
        <w:t xml:space="preserve"> (Oxford: Oxford University Press, 2000), pp. 86-115.</w:t>
      </w:r>
    </w:p>
  </w:footnote>
  <w:footnote w:id="13">
    <w:p w:rsidR="00F254E4" w:rsidRDefault="00F254E4" w:rsidP="00726529">
      <w:pPr>
        <w:pStyle w:val="FootnoteText"/>
      </w:pPr>
      <w:r>
        <w:rPr>
          <w:rStyle w:val="FootnoteReference"/>
        </w:rPr>
        <w:footnoteRef/>
      </w:r>
      <w:r>
        <w:t xml:space="preserve"> Roberts, Introduction, p. 1.</w:t>
      </w:r>
    </w:p>
  </w:footnote>
  <w:footnote w:id="14">
    <w:p w:rsidR="00F254E4" w:rsidRDefault="00F254E4" w:rsidP="00726529">
      <w:pPr>
        <w:pStyle w:val="FootnoteText"/>
      </w:pPr>
      <w:r>
        <w:rPr>
          <w:rStyle w:val="FootnoteReference"/>
        </w:rPr>
        <w:footnoteRef/>
      </w:r>
      <w:r>
        <w:t xml:space="preserve"> </w:t>
      </w:r>
      <w:proofErr w:type="gramStart"/>
      <w:r>
        <w:t>Beal, Reception History and Beyond, p.369.</w:t>
      </w:r>
      <w:proofErr w:type="gramEnd"/>
    </w:p>
  </w:footnote>
  <w:footnote w:id="15">
    <w:p w:rsidR="00F254E4" w:rsidRDefault="00F254E4">
      <w:pPr>
        <w:pStyle w:val="FootnoteText"/>
      </w:pPr>
      <w:r>
        <w:rPr>
          <w:rStyle w:val="FootnoteReference"/>
        </w:rPr>
        <w:footnoteRef/>
      </w:r>
      <w:r>
        <w:t xml:space="preserve"> Ulrich Luz, </w:t>
      </w:r>
      <w:r>
        <w:rPr>
          <w:i/>
        </w:rPr>
        <w:t>Matthew 1-7: A Commentary</w:t>
      </w:r>
      <w:r>
        <w:t xml:space="preserve"> (Minneapolis: Fortress Press, 2007), p. 65; </w:t>
      </w:r>
      <w:proofErr w:type="spellStart"/>
      <w:r>
        <w:t>Joynes</w:t>
      </w:r>
      <w:proofErr w:type="spellEnd"/>
      <w:r>
        <w:t>, Changing Horizons, p. 163.</w:t>
      </w:r>
    </w:p>
  </w:footnote>
  <w:footnote w:id="16">
    <w:p w:rsidR="00F254E4" w:rsidRPr="00207B83" w:rsidRDefault="00F254E4" w:rsidP="00AA3DD2">
      <w:pPr>
        <w:pStyle w:val="FootnoteText"/>
      </w:pPr>
      <w:r>
        <w:rPr>
          <w:rStyle w:val="FootnoteReference"/>
        </w:rPr>
        <w:footnoteRef/>
      </w:r>
      <w:r>
        <w:t xml:space="preserve"> Luz, </w:t>
      </w:r>
      <w:r w:rsidRPr="00C347BC">
        <w:t>Matthew 1-7,</w:t>
      </w:r>
      <w:r>
        <w:rPr>
          <w:i/>
        </w:rPr>
        <w:t xml:space="preserve"> </w:t>
      </w:r>
      <w:r>
        <w:t xml:space="preserve"> p. 95; </w:t>
      </w:r>
      <w:proofErr w:type="spellStart"/>
      <w:r>
        <w:t>Joynes</w:t>
      </w:r>
      <w:proofErr w:type="spellEnd"/>
      <w:r>
        <w:t xml:space="preserve">, Changing Horizon, pp. 163-164; Ulrich Luz, ‘Effective History and Art: A Hermeneutical Study with Examples from the Passion Narrative’, in E.E. </w:t>
      </w:r>
      <w:proofErr w:type="spellStart"/>
      <w:r>
        <w:t>Joynes</w:t>
      </w:r>
      <w:proofErr w:type="spellEnd"/>
      <w:r>
        <w:t xml:space="preserve"> (</w:t>
      </w:r>
      <w:proofErr w:type="spellStart"/>
      <w:r>
        <w:t>ed</w:t>
      </w:r>
      <w:proofErr w:type="spellEnd"/>
      <w:r>
        <w:t xml:space="preserve">) </w:t>
      </w:r>
      <w:r>
        <w:rPr>
          <w:i/>
        </w:rPr>
        <w:t xml:space="preserve">Perspectives on the Passion: Encountering the Bible Through the Arts </w:t>
      </w:r>
      <w:r>
        <w:t>(London: T.&amp;.T. Clark, 2007b), p.7.</w:t>
      </w:r>
    </w:p>
  </w:footnote>
  <w:footnote w:id="17">
    <w:p w:rsidR="00F254E4" w:rsidRDefault="00F254E4">
      <w:pPr>
        <w:pStyle w:val="FootnoteText"/>
      </w:pPr>
      <w:r>
        <w:rPr>
          <w:rStyle w:val="FootnoteReference"/>
        </w:rPr>
        <w:footnoteRef/>
      </w:r>
      <w:r>
        <w:t xml:space="preserve"> Breed, </w:t>
      </w:r>
      <w:proofErr w:type="gramStart"/>
      <w:r>
        <w:t>What</w:t>
      </w:r>
      <w:proofErr w:type="gramEnd"/>
      <w:r>
        <w:t xml:space="preserve"> is Reception History?</w:t>
      </w:r>
    </w:p>
  </w:footnote>
  <w:footnote w:id="18">
    <w:p w:rsidR="00F254E4" w:rsidRDefault="00F254E4" w:rsidP="00C92CDA">
      <w:pPr>
        <w:pStyle w:val="FootnoteText"/>
      </w:pPr>
      <w:r>
        <w:rPr>
          <w:rStyle w:val="FootnoteReference"/>
        </w:rPr>
        <w:footnoteRef/>
      </w:r>
      <w:r>
        <w:t xml:space="preserve"> Breed, </w:t>
      </w:r>
      <w:proofErr w:type="gramStart"/>
      <w:r>
        <w:t>What</w:t>
      </w:r>
      <w:proofErr w:type="gramEnd"/>
      <w:r>
        <w:t xml:space="preserve"> is Reception History?</w:t>
      </w:r>
    </w:p>
  </w:footnote>
  <w:footnote w:id="19">
    <w:p w:rsidR="00F254E4" w:rsidRDefault="00F254E4" w:rsidP="00682F03">
      <w:pPr>
        <w:pStyle w:val="FootnoteText"/>
      </w:pPr>
      <w:r>
        <w:rPr>
          <w:rStyle w:val="FootnoteReference"/>
        </w:rPr>
        <w:footnoteRef/>
      </w:r>
      <w:r>
        <w:t xml:space="preserve"> Breed, </w:t>
      </w:r>
      <w:proofErr w:type="gramStart"/>
      <w:r>
        <w:t>What</w:t>
      </w:r>
      <w:proofErr w:type="gramEnd"/>
      <w:r>
        <w:t xml:space="preserve"> is Reception History?</w:t>
      </w:r>
    </w:p>
  </w:footnote>
  <w:footnote w:id="20">
    <w:p w:rsidR="00F254E4" w:rsidRDefault="00F254E4" w:rsidP="00682F03">
      <w:pPr>
        <w:pStyle w:val="FootnoteText"/>
      </w:pPr>
      <w:r>
        <w:rPr>
          <w:rStyle w:val="FootnoteReference"/>
        </w:rPr>
        <w:footnoteRef/>
      </w:r>
      <w:r>
        <w:t xml:space="preserve"> Beal, Reception History and Beyond, pp. 368-369.</w:t>
      </w:r>
    </w:p>
  </w:footnote>
  <w:footnote w:id="21">
    <w:p w:rsidR="00F254E4" w:rsidRDefault="00F254E4">
      <w:pPr>
        <w:pStyle w:val="FootnoteText"/>
      </w:pPr>
      <w:r>
        <w:rPr>
          <w:rStyle w:val="FootnoteReference"/>
        </w:rPr>
        <w:footnoteRef/>
      </w:r>
      <w:r>
        <w:t xml:space="preserve"> Knight, Reception History, p. 145.</w:t>
      </w:r>
    </w:p>
  </w:footnote>
  <w:footnote w:id="22">
    <w:p w:rsidR="00F254E4" w:rsidRPr="0026562E" w:rsidRDefault="00F254E4" w:rsidP="00D87721">
      <w:pPr>
        <w:pStyle w:val="FootnoteText"/>
      </w:pPr>
      <w:r>
        <w:rPr>
          <w:rStyle w:val="FootnoteReference"/>
        </w:rPr>
        <w:footnoteRef/>
      </w:r>
      <w:r>
        <w:t xml:space="preserve"> Knight, Reception History, p. 144; </w:t>
      </w:r>
      <w:proofErr w:type="spellStart"/>
      <w:r>
        <w:t>Joyes</w:t>
      </w:r>
      <w:proofErr w:type="spellEnd"/>
      <w:r>
        <w:t xml:space="preserve">, Changing Horizons, p. 164; William Lamb, </w:t>
      </w:r>
      <w:r>
        <w:rPr>
          <w:i/>
        </w:rPr>
        <w:t xml:space="preserve">The Catena in Marcum: A Byzantine Anthology of Early Commentary on Mark </w:t>
      </w:r>
      <w:r>
        <w:t>(Leiden: Brill, 2012), p.5.</w:t>
      </w:r>
    </w:p>
  </w:footnote>
  <w:footnote w:id="23">
    <w:p w:rsidR="00F254E4" w:rsidRDefault="00F254E4">
      <w:pPr>
        <w:pStyle w:val="FootnoteText"/>
      </w:pPr>
      <w:r>
        <w:rPr>
          <w:rStyle w:val="FootnoteReference"/>
        </w:rPr>
        <w:footnoteRef/>
      </w:r>
      <w:r>
        <w:t xml:space="preserve"> </w:t>
      </w:r>
      <w:proofErr w:type="gramStart"/>
      <w:r>
        <w:t xml:space="preserve">Beal, Reception History and Beyond, pp. 359-369; </w:t>
      </w:r>
      <w:proofErr w:type="spellStart"/>
      <w:r>
        <w:t>Joynes</w:t>
      </w:r>
      <w:proofErr w:type="spellEnd"/>
      <w:r>
        <w:t>, Changing Horizons, p. 168.</w:t>
      </w:r>
      <w:proofErr w:type="gramEnd"/>
    </w:p>
  </w:footnote>
  <w:footnote w:id="24">
    <w:p w:rsidR="00F254E4" w:rsidRDefault="00F254E4" w:rsidP="00FA04E5">
      <w:pPr>
        <w:pStyle w:val="FootnoteText"/>
      </w:pPr>
      <w:r>
        <w:rPr>
          <w:rStyle w:val="FootnoteReference"/>
        </w:rPr>
        <w:footnoteRef/>
      </w:r>
      <w:r>
        <w:t xml:space="preserve"> Beal, Reception History and Beyond, pp. 370-371.</w:t>
      </w:r>
    </w:p>
  </w:footnote>
  <w:footnote w:id="25">
    <w:p w:rsidR="00F254E4" w:rsidRDefault="00F254E4">
      <w:pPr>
        <w:pStyle w:val="FootnoteText"/>
      </w:pPr>
      <w:r>
        <w:rPr>
          <w:rStyle w:val="FootnoteReference"/>
        </w:rPr>
        <w:footnoteRef/>
      </w:r>
      <w:r>
        <w:t xml:space="preserve"> </w:t>
      </w:r>
      <w:proofErr w:type="gramStart"/>
      <w:r>
        <w:t>Beal, Reception History and Beyond, pp. 364, 369.</w:t>
      </w:r>
      <w:proofErr w:type="gramEnd"/>
      <w:r>
        <w:t xml:space="preserve"> </w:t>
      </w:r>
    </w:p>
  </w:footnote>
  <w:footnote w:id="26">
    <w:p w:rsidR="00F254E4" w:rsidRDefault="00F254E4" w:rsidP="00AD6802">
      <w:pPr>
        <w:pStyle w:val="FootnoteText"/>
      </w:pPr>
      <w:r>
        <w:rPr>
          <w:rStyle w:val="FootnoteReference"/>
        </w:rPr>
        <w:footnoteRef/>
      </w:r>
      <w:r>
        <w:t xml:space="preserve"> Beal, Reception History and Beyond, pp. 365-368.</w:t>
      </w:r>
    </w:p>
  </w:footnote>
  <w:footnote w:id="27">
    <w:p w:rsidR="00F254E4" w:rsidRDefault="00F254E4">
      <w:pPr>
        <w:pStyle w:val="FootnoteText"/>
      </w:pPr>
      <w:r>
        <w:rPr>
          <w:rStyle w:val="FootnoteReference"/>
        </w:rPr>
        <w:footnoteRef/>
      </w:r>
      <w:r>
        <w:t xml:space="preserve"> </w:t>
      </w:r>
      <w:proofErr w:type="spellStart"/>
      <w:proofErr w:type="gramStart"/>
      <w:r>
        <w:t>Joynes</w:t>
      </w:r>
      <w:proofErr w:type="spellEnd"/>
      <w:r>
        <w:t>, Changing Horizons, p. 170.</w:t>
      </w:r>
      <w:proofErr w:type="gramEnd"/>
    </w:p>
  </w:footnote>
  <w:footnote w:id="28">
    <w:p w:rsidR="00F254E4" w:rsidRDefault="00F254E4" w:rsidP="00FF2DCD">
      <w:pPr>
        <w:pStyle w:val="FootnoteText"/>
      </w:pPr>
      <w:r>
        <w:rPr>
          <w:rStyle w:val="FootnoteReference"/>
        </w:rPr>
        <w:footnoteRef/>
      </w:r>
      <w:r>
        <w:t xml:space="preserve"> Roberts, Introduction, pp. 7-8.</w:t>
      </w:r>
    </w:p>
  </w:footnote>
  <w:footnote w:id="29">
    <w:p w:rsidR="00F254E4" w:rsidRDefault="00F254E4" w:rsidP="00FF2DCD">
      <w:pPr>
        <w:pStyle w:val="FootnoteText"/>
      </w:pPr>
      <w:r>
        <w:rPr>
          <w:rStyle w:val="FootnoteReference"/>
        </w:rPr>
        <w:footnoteRef/>
      </w:r>
      <w:r>
        <w:t xml:space="preserve"> Roberts, Introduction, p. 7.</w:t>
      </w:r>
    </w:p>
  </w:footnote>
  <w:footnote w:id="30">
    <w:p w:rsidR="00F254E4" w:rsidRDefault="00F254E4" w:rsidP="00FF2DCD">
      <w:pPr>
        <w:pStyle w:val="FootnoteText"/>
      </w:pPr>
      <w:r>
        <w:rPr>
          <w:rStyle w:val="FootnoteReference"/>
        </w:rPr>
        <w:footnoteRef/>
      </w:r>
      <w:r>
        <w:t xml:space="preserve"> Knight, Reception History, p. 144; </w:t>
      </w:r>
      <w:proofErr w:type="spellStart"/>
      <w:r>
        <w:t>Exum</w:t>
      </w:r>
      <w:proofErr w:type="spellEnd"/>
      <w:r>
        <w:t xml:space="preserve">, </w:t>
      </w:r>
      <w:r w:rsidRPr="006B6D1B">
        <w:rPr>
          <w:rFonts w:cstheme="minorHAnsi"/>
        </w:rPr>
        <w:t>Femi</w:t>
      </w:r>
      <w:r w:rsidR="00270B55">
        <w:rPr>
          <w:rFonts w:cstheme="minorHAnsi"/>
        </w:rPr>
        <w:t>nist Study</w:t>
      </w:r>
      <w:r>
        <w:rPr>
          <w:rFonts w:cstheme="minorHAnsi"/>
        </w:rPr>
        <w:t>, p</w:t>
      </w:r>
      <w:r w:rsidRPr="006B6D1B">
        <w:rPr>
          <w:rFonts w:cstheme="minorHAnsi"/>
        </w:rPr>
        <w:t>.</w:t>
      </w:r>
      <w:r>
        <w:rPr>
          <w:rFonts w:cstheme="minorHAnsi"/>
        </w:rPr>
        <w:t xml:space="preserve"> 87.</w:t>
      </w:r>
    </w:p>
  </w:footnote>
  <w:footnote w:id="31">
    <w:p w:rsidR="00F254E4" w:rsidRPr="009B4587" w:rsidRDefault="00F254E4" w:rsidP="00E37AB8">
      <w:pPr>
        <w:pStyle w:val="FootnoteText"/>
      </w:pPr>
      <w:r>
        <w:rPr>
          <w:rStyle w:val="FootnoteReference"/>
        </w:rPr>
        <w:footnoteRef/>
      </w:r>
      <w:r>
        <w:t xml:space="preserve"> </w:t>
      </w:r>
      <w:proofErr w:type="spellStart"/>
      <w:r>
        <w:t>Janico</w:t>
      </w:r>
      <w:proofErr w:type="spellEnd"/>
      <w:r>
        <w:t xml:space="preserve"> Albrecht et al, ‘Religion in the Making: The Lived Ancient Religion Approach’, </w:t>
      </w:r>
      <w:r>
        <w:rPr>
          <w:i/>
        </w:rPr>
        <w:t xml:space="preserve">Religion </w:t>
      </w:r>
      <w:r>
        <w:t>48, 4 (2018), pp. 570-571.</w:t>
      </w:r>
    </w:p>
  </w:footnote>
  <w:footnote w:id="32">
    <w:p w:rsidR="00F254E4" w:rsidRPr="004F6CCC" w:rsidRDefault="00F254E4" w:rsidP="00E37AB8">
      <w:pPr>
        <w:pStyle w:val="FootnoteText"/>
      </w:pPr>
      <w:r>
        <w:rPr>
          <w:rStyle w:val="FootnoteReference"/>
        </w:rPr>
        <w:footnoteRef/>
      </w:r>
      <w:r>
        <w:t xml:space="preserve"> Albrecht et al, ‘Religion in the Making’, pp.574-575; Georgia </w:t>
      </w:r>
      <w:proofErr w:type="spellStart"/>
      <w:r>
        <w:t>Petridou</w:t>
      </w:r>
      <w:proofErr w:type="spellEnd"/>
      <w:r>
        <w:t>, ‘</w:t>
      </w:r>
      <w:proofErr w:type="spellStart"/>
      <w:r>
        <w:t>Emplotting</w:t>
      </w:r>
      <w:proofErr w:type="spellEnd"/>
      <w:r>
        <w:t xml:space="preserve"> the Divine: </w:t>
      </w:r>
      <w:proofErr w:type="spellStart"/>
      <w:r>
        <w:t>Epiphanic</w:t>
      </w:r>
      <w:proofErr w:type="spellEnd"/>
      <w:r>
        <w:t xml:space="preserve"> Narratives as Means of Enhancing Agency’, </w:t>
      </w:r>
      <w:r>
        <w:rPr>
          <w:i/>
        </w:rPr>
        <w:t>Religion in the Roman Empire</w:t>
      </w:r>
      <w:r>
        <w:t xml:space="preserve"> 1, 3, (2015), pp. 321-342.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2015229"/>
      <w:docPartObj>
        <w:docPartGallery w:val="Page Numbers (Top of Page)"/>
        <w:docPartUnique/>
      </w:docPartObj>
    </w:sdtPr>
    <w:sdtEndPr>
      <w:rPr>
        <w:noProof/>
      </w:rPr>
    </w:sdtEndPr>
    <w:sdtContent>
      <w:p w:rsidR="00F254E4" w:rsidRDefault="00F254E4">
        <w:pPr>
          <w:pStyle w:val="Header"/>
          <w:jc w:val="right"/>
        </w:pPr>
        <w:r>
          <w:fldChar w:fldCharType="begin"/>
        </w:r>
        <w:r>
          <w:instrText xml:space="preserve"> PAGE   \* MERGEFORMAT </w:instrText>
        </w:r>
        <w:r>
          <w:fldChar w:fldCharType="separate"/>
        </w:r>
        <w:r w:rsidR="00654A7E">
          <w:rPr>
            <w:noProof/>
          </w:rPr>
          <w:t>9</w:t>
        </w:r>
        <w:r>
          <w:rPr>
            <w:noProof/>
          </w:rPr>
          <w:fldChar w:fldCharType="end"/>
        </w:r>
      </w:p>
    </w:sdtContent>
  </w:sdt>
  <w:p w:rsidR="00F254E4" w:rsidRDefault="00F254E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22272A"/>
    <w:multiLevelType w:val="hybridMultilevel"/>
    <w:tmpl w:val="70A263F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2712"/>
    <w:rsid w:val="00023954"/>
    <w:rsid w:val="00052AFE"/>
    <w:rsid w:val="000A784F"/>
    <w:rsid w:val="00123F82"/>
    <w:rsid w:val="001519E3"/>
    <w:rsid w:val="00151C61"/>
    <w:rsid w:val="00195EE8"/>
    <w:rsid w:val="001C110E"/>
    <w:rsid w:val="00204A91"/>
    <w:rsid w:val="00207B83"/>
    <w:rsid w:val="00241278"/>
    <w:rsid w:val="002549F8"/>
    <w:rsid w:val="00257CC7"/>
    <w:rsid w:val="0026562E"/>
    <w:rsid w:val="00270B55"/>
    <w:rsid w:val="002B53BD"/>
    <w:rsid w:val="00333C0A"/>
    <w:rsid w:val="00350BC9"/>
    <w:rsid w:val="00361C7A"/>
    <w:rsid w:val="003B68AF"/>
    <w:rsid w:val="003F71A3"/>
    <w:rsid w:val="004100A2"/>
    <w:rsid w:val="00450DFC"/>
    <w:rsid w:val="004F6CCC"/>
    <w:rsid w:val="00534F70"/>
    <w:rsid w:val="00553A57"/>
    <w:rsid w:val="00566A94"/>
    <w:rsid w:val="00597E2E"/>
    <w:rsid w:val="005A79B1"/>
    <w:rsid w:val="005D5AC4"/>
    <w:rsid w:val="005E62AA"/>
    <w:rsid w:val="00604C9E"/>
    <w:rsid w:val="00654A7E"/>
    <w:rsid w:val="00662ADD"/>
    <w:rsid w:val="00682F03"/>
    <w:rsid w:val="006B22DE"/>
    <w:rsid w:val="006B6D1B"/>
    <w:rsid w:val="006C0520"/>
    <w:rsid w:val="006F57CD"/>
    <w:rsid w:val="00726529"/>
    <w:rsid w:val="00743689"/>
    <w:rsid w:val="00780420"/>
    <w:rsid w:val="007C13D9"/>
    <w:rsid w:val="007D032F"/>
    <w:rsid w:val="008412BB"/>
    <w:rsid w:val="00850F6B"/>
    <w:rsid w:val="008D53B5"/>
    <w:rsid w:val="008E45CC"/>
    <w:rsid w:val="008F2712"/>
    <w:rsid w:val="0090642B"/>
    <w:rsid w:val="009504F7"/>
    <w:rsid w:val="00955C24"/>
    <w:rsid w:val="009B4587"/>
    <w:rsid w:val="009C4D28"/>
    <w:rsid w:val="00A069AF"/>
    <w:rsid w:val="00A31137"/>
    <w:rsid w:val="00A81745"/>
    <w:rsid w:val="00AA2C04"/>
    <w:rsid w:val="00AA3DD2"/>
    <w:rsid w:val="00AD6802"/>
    <w:rsid w:val="00AF13C9"/>
    <w:rsid w:val="00B0785F"/>
    <w:rsid w:val="00B8150A"/>
    <w:rsid w:val="00B9115B"/>
    <w:rsid w:val="00B92AD9"/>
    <w:rsid w:val="00C347BC"/>
    <w:rsid w:val="00C61983"/>
    <w:rsid w:val="00C92CDA"/>
    <w:rsid w:val="00CA7360"/>
    <w:rsid w:val="00CB1C12"/>
    <w:rsid w:val="00CE72C5"/>
    <w:rsid w:val="00CF394E"/>
    <w:rsid w:val="00D0431C"/>
    <w:rsid w:val="00D12739"/>
    <w:rsid w:val="00D24187"/>
    <w:rsid w:val="00D31B88"/>
    <w:rsid w:val="00D87721"/>
    <w:rsid w:val="00D94C82"/>
    <w:rsid w:val="00DD6B03"/>
    <w:rsid w:val="00E37AB8"/>
    <w:rsid w:val="00E431AF"/>
    <w:rsid w:val="00E50C52"/>
    <w:rsid w:val="00E51A2C"/>
    <w:rsid w:val="00EE234E"/>
    <w:rsid w:val="00F254E4"/>
    <w:rsid w:val="00F45912"/>
    <w:rsid w:val="00F933D6"/>
    <w:rsid w:val="00FA04E5"/>
    <w:rsid w:val="00FF2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qFormat/>
    <w:rsid w:val="009504F7"/>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66A9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66A94"/>
    <w:rPr>
      <w:sz w:val="20"/>
      <w:szCs w:val="20"/>
    </w:rPr>
  </w:style>
  <w:style w:type="character" w:styleId="FootnoteReference">
    <w:name w:val="footnote reference"/>
    <w:basedOn w:val="DefaultParagraphFont"/>
    <w:uiPriority w:val="99"/>
    <w:semiHidden/>
    <w:unhideWhenUsed/>
    <w:rsid w:val="00566A94"/>
    <w:rPr>
      <w:vertAlign w:val="superscript"/>
    </w:rPr>
  </w:style>
  <w:style w:type="character" w:styleId="Hyperlink">
    <w:name w:val="Hyperlink"/>
    <w:basedOn w:val="DefaultParagraphFont"/>
    <w:uiPriority w:val="99"/>
    <w:unhideWhenUsed/>
    <w:rsid w:val="00204A91"/>
    <w:rPr>
      <w:color w:val="0000FF" w:themeColor="hyperlink"/>
      <w:u w:val="single"/>
    </w:rPr>
  </w:style>
  <w:style w:type="paragraph" w:styleId="ListParagraph">
    <w:name w:val="List Paragraph"/>
    <w:basedOn w:val="Normal"/>
    <w:uiPriority w:val="34"/>
    <w:qFormat/>
    <w:rsid w:val="00A81745"/>
    <w:pPr>
      <w:ind w:left="720"/>
      <w:contextualSpacing/>
    </w:pPr>
  </w:style>
  <w:style w:type="paragraph" w:styleId="Header">
    <w:name w:val="header"/>
    <w:basedOn w:val="Normal"/>
    <w:link w:val="HeaderChar"/>
    <w:uiPriority w:val="99"/>
    <w:unhideWhenUsed/>
    <w:rsid w:val="007C13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13D9"/>
  </w:style>
  <w:style w:type="paragraph" w:styleId="Footer">
    <w:name w:val="footer"/>
    <w:basedOn w:val="Normal"/>
    <w:link w:val="FooterChar"/>
    <w:uiPriority w:val="99"/>
    <w:unhideWhenUsed/>
    <w:rsid w:val="007C13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13D9"/>
  </w:style>
  <w:style w:type="character" w:customStyle="1" w:styleId="Heading3Char">
    <w:name w:val="Heading 3 Char"/>
    <w:basedOn w:val="DefaultParagraphFont"/>
    <w:link w:val="Heading3"/>
    <w:rsid w:val="009504F7"/>
    <w:rPr>
      <w:rFonts w:ascii="Tahoma" w:eastAsia="SimSun" w:hAnsi="Tahoma" w:cs="Tahoma"/>
      <w:b/>
      <w:bCs/>
      <w:sz w:val="20"/>
      <w:szCs w:val="20"/>
      <w:lang w:eastAsia="zh-CN"/>
    </w:rPr>
  </w:style>
  <w:style w:type="paragraph" w:styleId="NormalWeb">
    <w:name w:val="Normal (Web)"/>
    <w:basedOn w:val="Normal"/>
    <w:rsid w:val="009504F7"/>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BalloonText">
    <w:name w:val="Balloon Text"/>
    <w:basedOn w:val="Normal"/>
    <w:link w:val="BalloonTextChar"/>
    <w:uiPriority w:val="99"/>
    <w:semiHidden/>
    <w:unhideWhenUsed/>
    <w:rsid w:val="009504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04F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qFormat/>
    <w:rsid w:val="009504F7"/>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66A9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66A94"/>
    <w:rPr>
      <w:sz w:val="20"/>
      <w:szCs w:val="20"/>
    </w:rPr>
  </w:style>
  <w:style w:type="character" w:styleId="FootnoteReference">
    <w:name w:val="footnote reference"/>
    <w:basedOn w:val="DefaultParagraphFont"/>
    <w:uiPriority w:val="99"/>
    <w:semiHidden/>
    <w:unhideWhenUsed/>
    <w:rsid w:val="00566A94"/>
    <w:rPr>
      <w:vertAlign w:val="superscript"/>
    </w:rPr>
  </w:style>
  <w:style w:type="character" w:styleId="Hyperlink">
    <w:name w:val="Hyperlink"/>
    <w:basedOn w:val="DefaultParagraphFont"/>
    <w:uiPriority w:val="99"/>
    <w:unhideWhenUsed/>
    <w:rsid w:val="00204A91"/>
    <w:rPr>
      <w:color w:val="0000FF" w:themeColor="hyperlink"/>
      <w:u w:val="single"/>
    </w:rPr>
  </w:style>
  <w:style w:type="paragraph" w:styleId="ListParagraph">
    <w:name w:val="List Paragraph"/>
    <w:basedOn w:val="Normal"/>
    <w:uiPriority w:val="34"/>
    <w:qFormat/>
    <w:rsid w:val="00A81745"/>
    <w:pPr>
      <w:ind w:left="720"/>
      <w:contextualSpacing/>
    </w:pPr>
  </w:style>
  <w:style w:type="paragraph" w:styleId="Header">
    <w:name w:val="header"/>
    <w:basedOn w:val="Normal"/>
    <w:link w:val="HeaderChar"/>
    <w:uiPriority w:val="99"/>
    <w:unhideWhenUsed/>
    <w:rsid w:val="007C13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13D9"/>
  </w:style>
  <w:style w:type="paragraph" w:styleId="Footer">
    <w:name w:val="footer"/>
    <w:basedOn w:val="Normal"/>
    <w:link w:val="FooterChar"/>
    <w:uiPriority w:val="99"/>
    <w:unhideWhenUsed/>
    <w:rsid w:val="007C13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13D9"/>
  </w:style>
  <w:style w:type="character" w:customStyle="1" w:styleId="Heading3Char">
    <w:name w:val="Heading 3 Char"/>
    <w:basedOn w:val="DefaultParagraphFont"/>
    <w:link w:val="Heading3"/>
    <w:rsid w:val="009504F7"/>
    <w:rPr>
      <w:rFonts w:ascii="Tahoma" w:eastAsia="SimSun" w:hAnsi="Tahoma" w:cs="Tahoma"/>
      <w:b/>
      <w:bCs/>
      <w:sz w:val="20"/>
      <w:szCs w:val="20"/>
      <w:lang w:eastAsia="zh-CN"/>
    </w:rPr>
  </w:style>
  <w:style w:type="paragraph" w:styleId="NormalWeb">
    <w:name w:val="Normal (Web)"/>
    <w:basedOn w:val="Normal"/>
    <w:rsid w:val="009504F7"/>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BalloonText">
    <w:name w:val="Balloon Text"/>
    <w:basedOn w:val="Normal"/>
    <w:link w:val="BalloonTextChar"/>
    <w:uiPriority w:val="99"/>
    <w:semiHidden/>
    <w:unhideWhenUsed/>
    <w:rsid w:val="009504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04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ww.bibleodyssey.org:433/en/tools/bible-basics/what-is-reception-history" TargetMode="External"/><Relationship Id="rId4" Type="http://schemas.microsoft.com/office/2007/relationships/stylesWithEffects" Target="stylesWithEffect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bibleodyssey.org:4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6BC961-7DBA-4682-ACA9-C9A566DC9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1944</Words>
  <Characters>11081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Diane</dc:creator>
  <cp:lastModifiedBy>Diane</cp:lastModifiedBy>
  <cp:revision>2</cp:revision>
  <cp:lastPrinted>2021-06-17T16:34:00Z</cp:lastPrinted>
  <dcterms:created xsi:type="dcterms:W3CDTF">2021-06-19T12:07:00Z</dcterms:created>
  <dcterms:modified xsi:type="dcterms:W3CDTF">2021-06-19T12:07:00Z</dcterms:modified>
</cp:coreProperties>
</file>