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297B" w14:textId="151CD616" w:rsidR="009D7FE9" w:rsidRDefault="009D7FE9" w:rsidP="00B30691">
      <w:pPr>
        <w:pStyle w:val="NormalWeb"/>
        <w:spacing w:before="0" w:beforeAutospacing="0" w:line="360" w:lineRule="auto"/>
        <w:jc w:val="right"/>
        <w:rPr>
          <w:color w:val="000000" w:themeColor="text1"/>
        </w:rPr>
      </w:pPr>
      <w:proofErr w:type="spellStart"/>
      <w:r>
        <w:rPr>
          <w:color w:val="000000" w:themeColor="text1"/>
        </w:rPr>
        <w:t>Anastasiia</w:t>
      </w:r>
      <w:proofErr w:type="spellEnd"/>
      <w:r>
        <w:rPr>
          <w:color w:val="000000" w:themeColor="text1"/>
        </w:rPr>
        <w:t xml:space="preserve"> </w:t>
      </w:r>
      <w:proofErr w:type="spellStart"/>
      <w:r>
        <w:rPr>
          <w:color w:val="000000" w:themeColor="text1"/>
        </w:rPr>
        <w:t>Patiuk</w:t>
      </w:r>
      <w:proofErr w:type="spellEnd"/>
    </w:p>
    <w:p w14:paraId="67F6EA7A" w14:textId="43775329" w:rsidR="00011ADA" w:rsidRPr="00A73A6E" w:rsidRDefault="00011ADA" w:rsidP="00B30691">
      <w:pPr>
        <w:pStyle w:val="NormalWeb"/>
        <w:spacing w:before="0" w:beforeAutospacing="0" w:line="360" w:lineRule="auto"/>
        <w:jc w:val="center"/>
        <w:rPr>
          <w:b/>
          <w:bCs/>
          <w:color w:val="000000" w:themeColor="text1"/>
        </w:rPr>
      </w:pPr>
      <w:r w:rsidRPr="00A73A6E">
        <w:rPr>
          <w:b/>
          <w:bCs/>
          <w:color w:val="000000" w:themeColor="text1"/>
        </w:rPr>
        <w:t>Individual narrative or cultural representations? Select and outline two different methodological approaches to memory studies.</w:t>
      </w:r>
    </w:p>
    <w:p w14:paraId="30072134" w14:textId="77777777" w:rsidR="00CA6A84" w:rsidRDefault="00CA6A84" w:rsidP="00CA6A84">
      <w:pPr>
        <w:spacing w:line="360" w:lineRule="auto"/>
        <w:ind w:firstLine="397"/>
        <w:jc w:val="both"/>
        <w:rPr>
          <w:rFonts w:ascii="Times New Roman" w:hAnsi="Times New Roman" w:cs="Times New Roman"/>
          <w:i/>
          <w:iCs/>
          <w:lang w:val="en-US"/>
        </w:rPr>
      </w:pPr>
      <w:r>
        <w:rPr>
          <w:rFonts w:ascii="Times New Roman" w:hAnsi="Times New Roman" w:cs="Times New Roman"/>
          <w:i/>
          <w:iCs/>
          <w:lang w:val="en-US"/>
        </w:rPr>
        <w:t>I</w:t>
      </w:r>
      <w:r w:rsidRPr="00CA6A84">
        <w:rPr>
          <w:rFonts w:ascii="Times New Roman" w:hAnsi="Times New Roman" w:cs="Times New Roman"/>
          <w:i/>
          <w:iCs/>
          <w:lang w:val="en-US"/>
        </w:rPr>
        <w:t>ntroduction</w:t>
      </w:r>
    </w:p>
    <w:p w14:paraId="33AA2FB1" w14:textId="7C1796F5"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 concept of collective memory is ambivalent and open to debates, disagreement, and additions to the present interpretation. Nevertheless, collective memory determines the way how we recollect our past. Many disciplines, from sociology, history, psychology, and culture to anthropology and literary studies, are intertwined with the concept of collective memory (</w:t>
      </w:r>
      <w:proofErr w:type="spellStart"/>
      <w:r w:rsidRPr="00CA6A84">
        <w:rPr>
          <w:rFonts w:ascii="Times New Roman" w:hAnsi="Times New Roman" w:cs="Times New Roman"/>
          <w:lang w:val="en-US"/>
        </w:rPr>
        <w:t>Vuckovic</w:t>
      </w:r>
      <w:proofErr w:type="spellEnd"/>
      <w:r w:rsidRPr="00CA6A84">
        <w:rPr>
          <w:rFonts w:ascii="Times New Roman" w:hAnsi="Times New Roman" w:cs="Times New Roman"/>
          <w:lang w:val="en-US"/>
        </w:rPr>
        <w:t>, 2012). Why?</w:t>
      </w:r>
    </w:p>
    <w:p w14:paraId="22F474F1" w14:textId="471F474E"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The studying of collective memory demands the sharing of knowledge from different science fields. For example, the need in psychology appears with interviewing the victims of the Second World War and analyzing their experiences and narratives in further to shape collective memory. The </w:t>
      </w:r>
      <w:r w:rsidR="006926CC">
        <w:rPr>
          <w:rFonts w:ascii="Times New Roman" w:hAnsi="Times New Roman" w:cs="Times New Roman"/>
          <w:lang w:val="en-US"/>
        </w:rPr>
        <w:t>memorialization</w:t>
      </w:r>
      <w:r w:rsidRPr="00CA6A84">
        <w:rPr>
          <w:rFonts w:ascii="Times New Roman" w:hAnsi="Times New Roman" w:cs="Times New Roman"/>
          <w:lang w:val="en-US"/>
        </w:rPr>
        <w:t xml:space="preserve"> of our past can have various forms and represent various narratives. Therefore, scholars use different methodological approaches to research collective memory to achieve a broad understanding of the event.</w:t>
      </w:r>
    </w:p>
    <w:p w14:paraId="1736FAA6" w14:textId="59806F1B"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First, Hirst et al. (2018, p.447) say that ‘personal memories need to be transmitted through conversations.</w:t>
      </w:r>
      <w:r w:rsidR="00F35296">
        <w:rPr>
          <w:rFonts w:ascii="Times New Roman" w:hAnsi="Times New Roman" w:cs="Times New Roman"/>
          <w:lang w:val="en-US"/>
        </w:rPr>
        <w:t xml:space="preserve"> </w:t>
      </w:r>
      <w:r w:rsidRPr="00CA6A84">
        <w:rPr>
          <w:rFonts w:ascii="Times New Roman" w:hAnsi="Times New Roman" w:cs="Times New Roman"/>
          <w:lang w:val="en-US"/>
        </w:rPr>
        <w:t>’The studying of collective memory, especially in terms of shared trauma, underlines communication. The victims should speak and share their personal feelings and stories about past events with next generations. It is the key to keeping memory living further in the symbols</w:t>
      </w:r>
      <w:r w:rsidR="00F35296">
        <w:rPr>
          <w:rFonts w:ascii="Times New Roman" w:hAnsi="Times New Roman" w:cs="Times New Roman"/>
          <w:lang w:val="en-US"/>
        </w:rPr>
        <w:t xml:space="preserve"> or symbolic places</w:t>
      </w:r>
      <w:r w:rsidRPr="00CA6A84">
        <w:rPr>
          <w:rFonts w:ascii="Times New Roman" w:hAnsi="Times New Roman" w:cs="Times New Roman"/>
          <w:lang w:val="en-US"/>
        </w:rPr>
        <w:t>.</w:t>
      </w:r>
    </w:p>
    <w:p w14:paraId="333A7584" w14:textId="7B1285B4" w:rsidR="00CA6A84" w:rsidRPr="00CA6A84" w:rsidRDefault="00F35296" w:rsidP="00CA6A84">
      <w:pPr>
        <w:spacing w:line="360" w:lineRule="auto"/>
        <w:ind w:firstLine="397"/>
        <w:jc w:val="both"/>
        <w:rPr>
          <w:rFonts w:ascii="Times New Roman" w:hAnsi="Times New Roman" w:cs="Times New Roman"/>
          <w:lang w:val="en-US"/>
        </w:rPr>
      </w:pPr>
      <w:proofErr w:type="spellStart"/>
      <w:r>
        <w:rPr>
          <w:rFonts w:ascii="Times New Roman" w:hAnsi="Times New Roman" w:cs="Times New Roman"/>
          <w:lang w:val="en-US"/>
        </w:rPr>
        <w:t>Erll</w:t>
      </w:r>
      <w:proofErr w:type="spellEnd"/>
      <w:r w:rsidR="00CA6A84" w:rsidRPr="00CA6A84">
        <w:rPr>
          <w:rFonts w:ascii="Times New Roman" w:hAnsi="Times New Roman" w:cs="Times New Roman"/>
          <w:lang w:val="en-US"/>
        </w:rPr>
        <w:t xml:space="preserve"> (2011, p.111) considers the shift from the narrow investigation of collective memory to the </w:t>
      </w:r>
      <w:r>
        <w:rPr>
          <w:rFonts w:ascii="Times New Roman" w:hAnsi="Times New Roman" w:cs="Times New Roman"/>
          <w:lang w:val="en-US"/>
        </w:rPr>
        <w:t xml:space="preserve">research </w:t>
      </w:r>
      <w:r w:rsidR="00CA6A84" w:rsidRPr="00CA6A84">
        <w:rPr>
          <w:rFonts w:ascii="Times New Roman" w:hAnsi="Times New Roman" w:cs="Times New Roman"/>
          <w:lang w:val="en-US"/>
        </w:rPr>
        <w:t>cultural memory</w:t>
      </w:r>
      <w:r>
        <w:rPr>
          <w:rFonts w:ascii="Times New Roman" w:hAnsi="Times New Roman" w:cs="Times New Roman"/>
          <w:lang w:val="en-US"/>
        </w:rPr>
        <w:t xml:space="preserve"> as a part of collective</w:t>
      </w:r>
      <w:r w:rsidR="00CA6A84" w:rsidRPr="00CA6A84">
        <w:rPr>
          <w:rFonts w:ascii="Times New Roman" w:hAnsi="Times New Roman" w:cs="Times New Roman"/>
          <w:lang w:val="en-US"/>
        </w:rPr>
        <w:t xml:space="preserve"> that shares the past events in various ways: ‘stories, both oral and written, images, museums, monuments. Along with </w:t>
      </w:r>
      <w:proofErr w:type="spellStart"/>
      <w:r w:rsidR="00CA6A84" w:rsidRPr="00CA6A84">
        <w:rPr>
          <w:rFonts w:ascii="Times New Roman" w:hAnsi="Times New Roman" w:cs="Times New Roman"/>
          <w:lang w:val="en-US"/>
        </w:rPr>
        <w:t>Assman</w:t>
      </w:r>
      <w:proofErr w:type="spellEnd"/>
      <w:r w:rsidR="007D119D">
        <w:rPr>
          <w:rFonts w:ascii="Times New Roman" w:hAnsi="Times New Roman" w:cs="Times New Roman"/>
          <w:lang w:val="en-US"/>
        </w:rPr>
        <w:t xml:space="preserve"> and </w:t>
      </w:r>
      <w:proofErr w:type="spellStart"/>
      <w:r w:rsidR="007D119D" w:rsidRPr="007D119D">
        <w:rPr>
          <w:rFonts w:ascii="Times New Roman" w:hAnsi="Times New Roman" w:cs="Times New Roman"/>
          <w:color w:val="000000"/>
        </w:rPr>
        <w:t>Czaplicka</w:t>
      </w:r>
      <w:proofErr w:type="spellEnd"/>
      <w:r w:rsidR="00CA6A84" w:rsidRPr="00CA6A84">
        <w:rPr>
          <w:rFonts w:ascii="Times New Roman" w:hAnsi="Times New Roman" w:cs="Times New Roman"/>
          <w:lang w:val="en-US"/>
        </w:rPr>
        <w:t xml:space="preserve"> (1995), this shift from collective to broader cultural memory becomes possible when memory develops into ‘objectivized’ cultural heritage. </w:t>
      </w:r>
      <w:r>
        <w:rPr>
          <w:rFonts w:ascii="Times New Roman" w:hAnsi="Times New Roman" w:cs="Times New Roman"/>
          <w:lang w:val="en-US"/>
        </w:rPr>
        <w:t>It allows to understand the collective memory through unpacking cultural objects</w:t>
      </w:r>
      <w:r w:rsidR="00CA6A84" w:rsidRPr="00CA6A84">
        <w:rPr>
          <w:rFonts w:ascii="Times New Roman" w:hAnsi="Times New Roman" w:cs="Times New Roman"/>
          <w:lang w:val="en-US"/>
        </w:rPr>
        <w:t xml:space="preserve">, such as monuments, memorials, </w:t>
      </w:r>
      <w:r>
        <w:rPr>
          <w:rFonts w:ascii="Times New Roman" w:hAnsi="Times New Roman" w:cs="Times New Roman"/>
          <w:lang w:val="en-US"/>
        </w:rPr>
        <w:t>practices</w:t>
      </w:r>
      <w:r w:rsidR="00CA6A84" w:rsidRPr="00CA6A84">
        <w:rPr>
          <w:rFonts w:ascii="Times New Roman" w:hAnsi="Times New Roman" w:cs="Times New Roman"/>
          <w:lang w:val="en-US"/>
        </w:rPr>
        <w:t xml:space="preserve">, or textbooks. </w:t>
      </w:r>
    </w:p>
    <w:p w14:paraId="5860CE74" w14:textId="64BB202B" w:rsidR="00491836"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 paper will describe the merits and limitations of two methodological approaches in researching collective memory: analyzing the literature and interpreting the meaning of memorials.</w:t>
      </w:r>
    </w:p>
    <w:p w14:paraId="0703B155" w14:textId="77777777" w:rsidR="00CA6A84" w:rsidRDefault="00CA6A84" w:rsidP="00CA6A84">
      <w:pPr>
        <w:spacing w:line="360" w:lineRule="auto"/>
        <w:ind w:firstLine="397"/>
        <w:jc w:val="both"/>
        <w:rPr>
          <w:rFonts w:ascii="Times New Roman" w:hAnsi="Times New Roman" w:cs="Times New Roman"/>
          <w:lang w:val="en-US"/>
        </w:rPr>
      </w:pPr>
    </w:p>
    <w:p w14:paraId="2AEFA22D" w14:textId="77777777" w:rsidR="00CA6A84" w:rsidRPr="00CA6A84" w:rsidRDefault="00CA6A84" w:rsidP="00CA6A84">
      <w:pPr>
        <w:spacing w:line="360" w:lineRule="auto"/>
        <w:ind w:firstLine="397"/>
        <w:jc w:val="both"/>
        <w:rPr>
          <w:rFonts w:ascii="Times New Roman" w:hAnsi="Times New Roman" w:cs="Times New Roman"/>
          <w:i/>
          <w:iCs/>
          <w:lang w:val="en-US"/>
        </w:rPr>
      </w:pPr>
      <w:r w:rsidRPr="00CA6A84">
        <w:rPr>
          <w:rFonts w:ascii="Times New Roman" w:hAnsi="Times New Roman" w:cs="Times New Roman"/>
          <w:i/>
          <w:iCs/>
          <w:lang w:val="en-US"/>
        </w:rPr>
        <w:t>Literature</w:t>
      </w:r>
    </w:p>
    <w:p w14:paraId="462D62AD" w14:textId="4D57A844"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lastRenderedPageBreak/>
        <w:t xml:space="preserve">One of the methods to study collective memory is literature. Since literature frequently reflects the attitudes, </w:t>
      </w:r>
      <w:r w:rsidR="00F35296">
        <w:rPr>
          <w:rFonts w:ascii="Times New Roman" w:hAnsi="Times New Roman" w:cs="Times New Roman"/>
          <w:lang w:val="en-US"/>
        </w:rPr>
        <w:t>beliefs</w:t>
      </w:r>
      <w:r w:rsidRPr="00CA6A84">
        <w:rPr>
          <w:rFonts w:ascii="Times New Roman" w:hAnsi="Times New Roman" w:cs="Times New Roman"/>
          <w:lang w:val="en-US"/>
        </w:rPr>
        <w:t xml:space="preserve">, and values of a community or a group of individuals, it can be a valuable tool for investigating collective memory. The term </w:t>
      </w:r>
      <w:r w:rsidR="00F35296">
        <w:rPr>
          <w:rFonts w:ascii="Times New Roman" w:hAnsi="Times New Roman" w:cs="Times New Roman"/>
          <w:lang w:val="en-US"/>
        </w:rPr>
        <w:t>‘</w:t>
      </w:r>
      <w:r w:rsidRPr="00CA6A84">
        <w:rPr>
          <w:rFonts w:ascii="Times New Roman" w:hAnsi="Times New Roman" w:cs="Times New Roman"/>
          <w:lang w:val="en-US"/>
        </w:rPr>
        <w:t>collective memory</w:t>
      </w:r>
      <w:r w:rsidR="00F35296">
        <w:rPr>
          <w:rFonts w:ascii="Times New Roman" w:hAnsi="Times New Roman" w:cs="Times New Roman"/>
          <w:lang w:val="en-US"/>
        </w:rPr>
        <w:t xml:space="preserve">’ </w:t>
      </w:r>
      <w:r w:rsidRPr="00CA6A84">
        <w:rPr>
          <w:rFonts w:ascii="Times New Roman" w:hAnsi="Times New Roman" w:cs="Times New Roman"/>
          <w:lang w:val="en-US"/>
        </w:rPr>
        <w:t>refers to a group or community’s shared experiences, narratives, and cultural knowledge, and literature can shed light on how these memories are created and preserved. Two analyzed articles below will demonstrate some roles of literature in memory studies.</w:t>
      </w:r>
    </w:p>
    <w:p w14:paraId="562F67E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Gannon (2001) uses poetry as a methodological tool for researching memories of girls from different countries and ages. </w:t>
      </w:r>
      <w:proofErr w:type="gramStart"/>
      <w:r w:rsidRPr="00CA6A84">
        <w:rPr>
          <w:rFonts w:ascii="Times New Roman" w:hAnsi="Times New Roman" w:cs="Times New Roman"/>
          <w:lang w:val="en-US"/>
        </w:rPr>
        <w:t>On the basis of</w:t>
      </w:r>
      <w:proofErr w:type="gramEnd"/>
      <w:r w:rsidRPr="00CA6A84">
        <w:rPr>
          <w:rFonts w:ascii="Times New Roman" w:hAnsi="Times New Roman" w:cs="Times New Roman"/>
          <w:lang w:val="en-US"/>
        </w:rPr>
        <w:t xml:space="preserve"> their personal memories, the author creates a collective image of experiences, highlighting them in a poem. If another scientist wants to analyze the poem, he will find a reflection of the collective. According to her, poetry provides a means of capturing the various experiences that adolescent girls have, and these experiences help to preserve the collective memory of girlhood. </w:t>
      </w:r>
    </w:p>
    <w:p w14:paraId="73B1053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Moreover, the contradiction in analyzing the individual narratives and comprising them in one collective story limits the effectiveness of this research instrument. The author of any book or novel gathers and analyzes the personal stories that can look like the ’a subversion of the very collectivity’. In collective memory studies, there are many dilemmas in defining the collective and the individual. The original work of </w:t>
      </w:r>
      <w:proofErr w:type="spellStart"/>
      <w:r w:rsidRPr="00CA6A84">
        <w:rPr>
          <w:rFonts w:ascii="Times New Roman" w:hAnsi="Times New Roman" w:cs="Times New Roman"/>
          <w:lang w:val="en-US"/>
        </w:rPr>
        <w:t>Halbwachs</w:t>
      </w:r>
      <w:proofErr w:type="spellEnd"/>
      <w:r w:rsidRPr="00CA6A84">
        <w:rPr>
          <w:rFonts w:ascii="Times New Roman" w:hAnsi="Times New Roman" w:cs="Times New Roman"/>
          <w:lang w:val="en-US"/>
        </w:rPr>
        <w:t xml:space="preserve"> (1992) represents that collective memory is the social construct, and individual memory is under the influence of society. Notwithstanding, a personal story is a basis for creating a novel and a part of a collective being. To overcome this issue, Gannon (2001) uses the term’ collective biography’: </w:t>
      </w:r>
    </w:p>
    <w:p w14:paraId="69211C90"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“It [collective biography] both describes the method of working with personal stories and the oxymoronic implication of the phrase foregrounds the tension between the individual and the collective that is both the crux of the method and the source of its dilemmas.”</w:t>
      </w:r>
    </w:p>
    <w:p w14:paraId="3F2DFBC7" w14:textId="64C899C6"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This method of ‘collective biography’ works in four phases: oral storytelling process in a group, collection of written stories from participants, analysis of those written memories, and the last one is reappraisal of the collectively analyzed materials following the theory of a particular discipline. So, Gannon (2001) uses the last stage, chooses the best way, in her opinion, of reflecting, then revises individual biographies of women and creates the poem with one collective image</w:t>
      </w:r>
      <w:r w:rsidR="004261A7">
        <w:rPr>
          <w:rFonts w:ascii="Times New Roman" w:hAnsi="Times New Roman" w:cs="Times New Roman"/>
          <w:lang w:val="en-US"/>
        </w:rPr>
        <w:t xml:space="preserve"> because of possibility to use symbols and artistic techniques.</w:t>
      </w:r>
      <w:r w:rsidRPr="00CA6A84">
        <w:rPr>
          <w:rFonts w:ascii="Times New Roman" w:hAnsi="Times New Roman" w:cs="Times New Roman"/>
          <w:lang w:val="en-US"/>
        </w:rPr>
        <w:t xml:space="preserve"> However, this approach</w:t>
      </w:r>
      <w:r w:rsidR="004261A7">
        <w:rPr>
          <w:rFonts w:ascii="Times New Roman" w:hAnsi="Times New Roman" w:cs="Times New Roman"/>
          <w:lang w:val="en-US"/>
        </w:rPr>
        <w:t xml:space="preserve"> of ‘collective biography’</w:t>
      </w:r>
      <w:r w:rsidRPr="00CA6A84">
        <w:rPr>
          <w:rFonts w:ascii="Times New Roman" w:hAnsi="Times New Roman" w:cs="Times New Roman"/>
          <w:lang w:val="en-US"/>
        </w:rPr>
        <w:t xml:space="preserve"> to </w:t>
      </w:r>
      <w:r w:rsidR="004261A7">
        <w:rPr>
          <w:rFonts w:ascii="Times New Roman" w:hAnsi="Times New Roman" w:cs="Times New Roman"/>
          <w:lang w:val="en-US"/>
        </w:rPr>
        <w:t>solving</w:t>
      </w:r>
      <w:r w:rsidRPr="00CA6A84">
        <w:rPr>
          <w:rFonts w:ascii="Times New Roman" w:hAnsi="Times New Roman" w:cs="Times New Roman"/>
          <w:lang w:val="en-US"/>
        </w:rPr>
        <w:t xml:space="preserve"> the problem</w:t>
      </w:r>
      <w:r w:rsidR="004261A7">
        <w:rPr>
          <w:rFonts w:ascii="Times New Roman" w:hAnsi="Times New Roman" w:cs="Times New Roman"/>
          <w:lang w:val="en-US"/>
        </w:rPr>
        <w:t xml:space="preserve"> of individual </w:t>
      </w:r>
      <w:proofErr w:type="gramStart"/>
      <w:r w:rsidR="004261A7">
        <w:rPr>
          <w:rFonts w:ascii="Times New Roman" w:hAnsi="Times New Roman" w:cs="Times New Roman"/>
          <w:lang w:val="en-US"/>
        </w:rPr>
        <w:t xml:space="preserve">perception </w:t>
      </w:r>
      <w:r w:rsidRPr="00CA6A84">
        <w:rPr>
          <w:rFonts w:ascii="Times New Roman" w:hAnsi="Times New Roman" w:cs="Times New Roman"/>
          <w:lang w:val="en-US"/>
        </w:rPr>
        <w:t xml:space="preserve"> is</w:t>
      </w:r>
      <w:proofErr w:type="gramEnd"/>
      <w:r w:rsidRPr="00CA6A84">
        <w:rPr>
          <w:rFonts w:ascii="Times New Roman" w:hAnsi="Times New Roman" w:cs="Times New Roman"/>
          <w:lang w:val="en-US"/>
        </w:rPr>
        <w:t xml:space="preserve"> not applicable in many cases and weakens the position of the literature.</w:t>
      </w:r>
    </w:p>
    <w:p w14:paraId="590AD945"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Following poetry and collective memory, I want to mention an example from Ukrainian literature. The great poet </w:t>
      </w:r>
      <w:proofErr w:type="spellStart"/>
      <w:r w:rsidRPr="00CA6A84">
        <w:rPr>
          <w:rFonts w:ascii="Times New Roman" w:hAnsi="Times New Roman" w:cs="Times New Roman"/>
          <w:lang w:val="en-US"/>
        </w:rPr>
        <w:t>Taras</w:t>
      </w:r>
      <w:proofErr w:type="spellEnd"/>
      <w:r w:rsidRPr="00CA6A84">
        <w:rPr>
          <w:rFonts w:ascii="Times New Roman" w:hAnsi="Times New Roman" w:cs="Times New Roman"/>
          <w:lang w:val="en-US"/>
        </w:rPr>
        <w:t xml:space="preserve"> Shevchenko, who lived in the 19th century, is regarded as a cultural icon and a symbol of Ukrainian national identity. His writings have contributed </w:t>
      </w:r>
      <w:r w:rsidRPr="00CA6A84">
        <w:rPr>
          <w:rFonts w:ascii="Times New Roman" w:hAnsi="Times New Roman" w:cs="Times New Roman"/>
          <w:lang w:val="en-US"/>
        </w:rPr>
        <w:lastRenderedPageBreak/>
        <w:t>significantly to the development of Ukrainian national identity and have been a source of opposition to hegemonic foreign control and cultural assimilation. Themes like independence, national pride and dignity, and the fight of the Ukrainian people against oppression are frequently present in Shevchenko's poetry. In addition, he wrote poems describing the collective trauma and suffering of Ukrainians under the Russian Empire. Those texts relate to nowadays and depict the collective Ukrainians' attitude to Russians. For instance, there are some lines from the poem "Katerina":</w:t>
      </w:r>
    </w:p>
    <w:p w14:paraId="103E121F"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"O lovely maidens, fall in love,</w:t>
      </w:r>
    </w:p>
    <w:p w14:paraId="3849F1E0"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But not with Muscovites,</w:t>
      </w:r>
    </w:p>
    <w:p w14:paraId="07D0E436"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For Muscovites are foreign folk,</w:t>
      </w:r>
    </w:p>
    <w:p w14:paraId="73CFAA2E"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They do not treat you right.</w:t>
      </w:r>
    </w:p>
    <w:p w14:paraId="00C09A4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A Muscovite will love for sport,</w:t>
      </w:r>
    </w:p>
    <w:p w14:paraId="77EA66AF"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And laughing go away…" (trans. by Weir, 1977).</w:t>
      </w:r>
    </w:p>
    <w:p w14:paraId="767234D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Therefore, poetry is a way of recollecting and linking the past and the present. Even the individual story in the shared context can describe society and point out the essential aspects of collective memory.</w:t>
      </w:r>
    </w:p>
    <w:p w14:paraId="16613B3A" w14:textId="70F29622"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To continue with analyzing literature as an instrument of researching memory, </w:t>
      </w:r>
      <w:proofErr w:type="spellStart"/>
      <w:r w:rsidR="004261A7">
        <w:rPr>
          <w:rFonts w:ascii="Times New Roman" w:hAnsi="Times New Roman" w:cs="Times New Roman"/>
          <w:lang w:val="en-US"/>
        </w:rPr>
        <w:t>Erll</w:t>
      </w:r>
      <w:r w:rsidRPr="00CA6A84">
        <w:rPr>
          <w:rFonts w:ascii="Times New Roman" w:hAnsi="Times New Roman" w:cs="Times New Roman"/>
          <w:lang w:val="en-US"/>
        </w:rPr>
        <w:t>&amp;Rigney</w:t>
      </w:r>
      <w:proofErr w:type="spellEnd"/>
      <w:r w:rsidRPr="00CA6A84">
        <w:rPr>
          <w:rFonts w:ascii="Times New Roman" w:hAnsi="Times New Roman" w:cs="Times New Roman"/>
          <w:lang w:val="en-US"/>
        </w:rPr>
        <w:t xml:space="preserve"> (2006, pp.111-112) illustrate the fact that repeated acts of recollection via a range of media platforms and genres actively create collective memories. Determining the role of literature in the creation of cultural memory, the authors focused on three: </w:t>
      </w:r>
    </w:p>
    <w:p w14:paraId="2B29D8F1"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1) literature as a medium of remembrance. </w:t>
      </w:r>
    </w:p>
    <w:p w14:paraId="7F746A37"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2) literature as an object of remembrance.</w:t>
      </w:r>
    </w:p>
    <w:p w14:paraId="301BC9ED" w14:textId="77777777"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3) literature as a medium for observing the production of cultural memory. </w:t>
      </w:r>
    </w:p>
    <w:p w14:paraId="351E4C02" w14:textId="5ABCF69D" w:rsidR="00CA6A84" w:rsidRPr="00CA6A84"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'Literature as a tool of remembrance' is an instrument for creating collective memories by recollecting the past through narratives. The genre conventions and literary techniques used in writing shape our views of the past. According to the authors, the most popular genres are historical novels, historical dramas, and autobiographies. Nevertheless, the new literary forms, such as the combination of written narrative and photographs in contemporary art, emerge as a respond to technological progress. </w:t>
      </w:r>
      <w:r w:rsidR="004261A7">
        <w:rPr>
          <w:rFonts w:ascii="Times New Roman" w:hAnsi="Times New Roman" w:cs="Times New Roman"/>
          <w:lang w:val="en-US"/>
        </w:rPr>
        <w:t xml:space="preserve">Using those texts and literary forms, scholars </w:t>
      </w:r>
      <w:r w:rsidR="003E755E">
        <w:rPr>
          <w:rFonts w:ascii="Times New Roman" w:hAnsi="Times New Roman" w:cs="Times New Roman"/>
          <w:lang w:val="en-US"/>
        </w:rPr>
        <w:t>research the collective memory via unpacking narratives</w:t>
      </w:r>
      <w:r w:rsidRPr="00CA6A84">
        <w:rPr>
          <w:rFonts w:ascii="Times New Roman" w:hAnsi="Times New Roman" w:cs="Times New Roman"/>
          <w:lang w:val="en-US"/>
        </w:rPr>
        <w:t>.</w:t>
      </w:r>
    </w:p>
    <w:p w14:paraId="313E2548" w14:textId="0FD7C880" w:rsidR="00A409F1" w:rsidRDefault="003E755E" w:rsidP="00CA6A84">
      <w:pPr>
        <w:spacing w:line="360" w:lineRule="auto"/>
        <w:ind w:firstLine="397"/>
        <w:jc w:val="both"/>
        <w:rPr>
          <w:rFonts w:ascii="Times New Roman" w:hAnsi="Times New Roman" w:cs="Times New Roman"/>
          <w:lang w:val="en-US"/>
        </w:rPr>
      </w:pPr>
      <w:r>
        <w:rPr>
          <w:rFonts w:ascii="Times New Roman" w:hAnsi="Times New Roman" w:cs="Times New Roman"/>
          <w:lang w:val="en-US"/>
        </w:rPr>
        <w:t xml:space="preserve">People remember some events because of emotional connection and reaction. Literature is the best platform to communicate feelings and emotions. Therefore, </w:t>
      </w:r>
      <w:r w:rsidR="00CA6A84" w:rsidRPr="00CA6A84">
        <w:rPr>
          <w:rFonts w:ascii="Times New Roman" w:hAnsi="Times New Roman" w:cs="Times New Roman"/>
          <w:lang w:val="en-US"/>
        </w:rPr>
        <w:t>'</w:t>
      </w:r>
      <w:r>
        <w:rPr>
          <w:rFonts w:ascii="Times New Roman" w:hAnsi="Times New Roman" w:cs="Times New Roman"/>
          <w:lang w:val="en-US"/>
        </w:rPr>
        <w:t>l</w:t>
      </w:r>
      <w:r w:rsidR="00CA6A84" w:rsidRPr="00CA6A84">
        <w:rPr>
          <w:rFonts w:ascii="Times New Roman" w:hAnsi="Times New Roman" w:cs="Times New Roman"/>
          <w:lang w:val="en-US"/>
        </w:rPr>
        <w:t>iterature as an object of remembrance' acts as a 'bridge between generations' (</w:t>
      </w:r>
      <w:proofErr w:type="spellStart"/>
      <w:r w:rsidR="004261A7">
        <w:rPr>
          <w:rFonts w:ascii="Times New Roman" w:hAnsi="Times New Roman" w:cs="Times New Roman"/>
          <w:lang w:val="en-US"/>
        </w:rPr>
        <w:t>Erll</w:t>
      </w:r>
      <w:r w:rsidR="00CA6A84" w:rsidRPr="00CA6A84">
        <w:rPr>
          <w:rFonts w:ascii="Times New Roman" w:hAnsi="Times New Roman" w:cs="Times New Roman"/>
          <w:lang w:val="en-US"/>
        </w:rPr>
        <w:t>&amp;Rigney</w:t>
      </w:r>
      <w:proofErr w:type="spellEnd"/>
      <w:r w:rsidR="00CA6A84" w:rsidRPr="00CA6A84">
        <w:rPr>
          <w:rFonts w:ascii="Times New Roman" w:hAnsi="Times New Roman" w:cs="Times New Roman"/>
          <w:lang w:val="en-US"/>
        </w:rPr>
        <w:t xml:space="preserve">, 2006, p.213). The old texts not only give the understanding of the actual past but become the source for building </w:t>
      </w:r>
      <w:r w:rsidR="00CA6A84" w:rsidRPr="00CA6A84">
        <w:rPr>
          <w:rFonts w:ascii="Times New Roman" w:hAnsi="Times New Roman" w:cs="Times New Roman"/>
          <w:lang w:val="en-US"/>
        </w:rPr>
        <w:lastRenderedPageBreak/>
        <w:t xml:space="preserve">intertextual connections in the present as possible new ways of commemoration. </w:t>
      </w:r>
      <w:r>
        <w:rPr>
          <w:rFonts w:ascii="Times New Roman" w:hAnsi="Times New Roman" w:cs="Times New Roman"/>
          <w:lang w:val="en-US"/>
        </w:rPr>
        <w:t>Thus</w:t>
      </w:r>
      <w:r w:rsidR="00CA6A84" w:rsidRPr="00CA6A84">
        <w:rPr>
          <w:rFonts w:ascii="Times New Roman" w:hAnsi="Times New Roman" w:cs="Times New Roman"/>
          <w:lang w:val="en-US"/>
        </w:rPr>
        <w:t xml:space="preserve">, the literature is a tool for reflection on memory. </w:t>
      </w:r>
      <w:r w:rsidR="00A409F1" w:rsidRPr="00A409F1">
        <w:rPr>
          <w:rFonts w:ascii="Times New Roman" w:hAnsi="Times New Roman" w:cs="Times New Roman"/>
          <w:lang w:val="en-US"/>
        </w:rPr>
        <w:t xml:space="preserve">Also, literature makes memory visible. It contributes to the formation of </w:t>
      </w:r>
      <w:r w:rsidR="00A409F1">
        <w:rPr>
          <w:rFonts w:ascii="Times New Roman" w:hAnsi="Times New Roman" w:cs="Times New Roman"/>
          <w:lang w:val="en-US"/>
        </w:rPr>
        <w:t>collective</w:t>
      </w:r>
      <w:r w:rsidR="00A409F1" w:rsidRPr="00A409F1">
        <w:rPr>
          <w:rFonts w:ascii="Times New Roman" w:hAnsi="Times New Roman" w:cs="Times New Roman"/>
          <w:lang w:val="en-US"/>
        </w:rPr>
        <w:t xml:space="preserve"> memory and cultural understanding of how both individual and group memory functions.</w:t>
      </w:r>
    </w:p>
    <w:p w14:paraId="5DE21379" w14:textId="1408D0C7" w:rsidR="00C9322A" w:rsidRDefault="00CA6A84" w:rsidP="00CA6A84">
      <w:pPr>
        <w:spacing w:line="360" w:lineRule="auto"/>
        <w:ind w:firstLine="397"/>
        <w:jc w:val="both"/>
        <w:rPr>
          <w:rFonts w:ascii="Times New Roman" w:hAnsi="Times New Roman" w:cs="Times New Roman"/>
          <w:lang w:val="en-US"/>
        </w:rPr>
      </w:pPr>
      <w:r w:rsidRPr="00CA6A84">
        <w:rPr>
          <w:rFonts w:ascii="Times New Roman" w:hAnsi="Times New Roman" w:cs="Times New Roman"/>
          <w:lang w:val="en-US"/>
        </w:rPr>
        <w:t xml:space="preserve">Nevertheless, history and current events can influence literature. According to Nora (1989), history and memory are not the same. History changes due to the present being, putting the collective memory in danger. Narratives or stories can be recollected to meet the current political or cultural challenges. </w:t>
      </w:r>
      <w:proofErr w:type="spellStart"/>
      <w:r w:rsidRPr="00CA6A84">
        <w:rPr>
          <w:rFonts w:ascii="Times New Roman" w:hAnsi="Times New Roman" w:cs="Times New Roman"/>
          <w:lang w:val="en-US"/>
        </w:rPr>
        <w:t>Neiger</w:t>
      </w:r>
      <w:proofErr w:type="spellEnd"/>
      <w:r w:rsidRPr="00CA6A84">
        <w:rPr>
          <w:rFonts w:ascii="Times New Roman" w:hAnsi="Times New Roman" w:cs="Times New Roman"/>
          <w:lang w:val="en-US"/>
        </w:rPr>
        <w:t xml:space="preserve"> et al. (2011, p.6) call it 'a process of selection and construction'. The characteristic features </w:t>
      </w:r>
      <w:r w:rsidR="003E755E">
        <w:rPr>
          <w:rFonts w:ascii="Times New Roman" w:hAnsi="Times New Roman" w:cs="Times New Roman"/>
          <w:lang w:val="en-US"/>
        </w:rPr>
        <w:t xml:space="preserve">of this process </w:t>
      </w:r>
      <w:r w:rsidRPr="00CA6A84">
        <w:rPr>
          <w:rFonts w:ascii="Times New Roman" w:hAnsi="Times New Roman" w:cs="Times New Roman"/>
          <w:lang w:val="en-US"/>
        </w:rPr>
        <w:t xml:space="preserve">can be the dismissal of some events or different interpretations. The dilemma is who </w:t>
      </w:r>
      <w:proofErr w:type="gramStart"/>
      <w:r w:rsidRPr="00CA6A84">
        <w:rPr>
          <w:rFonts w:ascii="Times New Roman" w:hAnsi="Times New Roman" w:cs="Times New Roman"/>
          <w:lang w:val="en-US"/>
        </w:rPr>
        <w:t>is in charge of</w:t>
      </w:r>
      <w:proofErr w:type="gramEnd"/>
      <w:r w:rsidRPr="00CA6A84">
        <w:rPr>
          <w:rFonts w:ascii="Times New Roman" w:hAnsi="Times New Roman" w:cs="Times New Roman"/>
          <w:lang w:val="en-US"/>
        </w:rPr>
        <w:t xml:space="preserve"> selection and construction. If, for example, it is a dictator like Putin, should society trust his version of literary works that depict the past?</w:t>
      </w:r>
    </w:p>
    <w:p w14:paraId="1412E24B" w14:textId="77777777" w:rsidR="00CA6A84" w:rsidRDefault="00CA6A84" w:rsidP="00CA6A84">
      <w:pPr>
        <w:spacing w:line="360" w:lineRule="auto"/>
        <w:ind w:firstLine="397"/>
        <w:jc w:val="both"/>
        <w:rPr>
          <w:rFonts w:ascii="Times New Roman" w:hAnsi="Times New Roman" w:cs="Times New Roman"/>
          <w:lang w:val="en-US"/>
        </w:rPr>
      </w:pPr>
    </w:p>
    <w:p w14:paraId="18D2E1E7" w14:textId="77777777" w:rsidR="00495B47" w:rsidRPr="00495B47" w:rsidRDefault="00495B47" w:rsidP="00495B47">
      <w:pPr>
        <w:spacing w:line="360" w:lineRule="auto"/>
        <w:ind w:firstLine="397"/>
        <w:jc w:val="both"/>
        <w:rPr>
          <w:rFonts w:ascii="Times New Roman" w:hAnsi="Times New Roman" w:cs="Times New Roman"/>
          <w:i/>
          <w:iCs/>
          <w:lang w:val="en-US"/>
        </w:rPr>
      </w:pPr>
      <w:r w:rsidRPr="00495B47">
        <w:rPr>
          <w:rFonts w:ascii="Times New Roman" w:hAnsi="Times New Roman" w:cs="Times New Roman"/>
          <w:i/>
          <w:iCs/>
          <w:lang w:val="en-US"/>
        </w:rPr>
        <w:t>Memorials</w:t>
      </w:r>
    </w:p>
    <w:p w14:paraId="6D310F84" w14:textId="7C38854A"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Nora</w:t>
      </w:r>
      <w:r w:rsidR="003E755E">
        <w:rPr>
          <w:rFonts w:ascii="Times New Roman" w:hAnsi="Times New Roman" w:cs="Times New Roman"/>
          <w:lang w:val="en-US"/>
        </w:rPr>
        <w:t xml:space="preserve"> (</w:t>
      </w:r>
      <w:r w:rsidR="002946D0">
        <w:rPr>
          <w:rFonts w:ascii="Times New Roman" w:hAnsi="Times New Roman" w:cs="Times New Roman"/>
          <w:lang w:val="en-US"/>
        </w:rPr>
        <w:t>1</w:t>
      </w:r>
      <w:r w:rsidR="003E755E">
        <w:rPr>
          <w:rFonts w:ascii="Times New Roman" w:hAnsi="Times New Roman" w:cs="Times New Roman"/>
          <w:lang w:val="en-US"/>
        </w:rPr>
        <w:t>989</w:t>
      </w:r>
      <w:r w:rsidR="002946D0">
        <w:rPr>
          <w:rFonts w:ascii="Times New Roman" w:hAnsi="Times New Roman" w:cs="Times New Roman"/>
          <w:lang w:val="en-US"/>
        </w:rPr>
        <w:t>, p.12-13</w:t>
      </w:r>
      <w:r w:rsidR="003E755E">
        <w:rPr>
          <w:rFonts w:ascii="Times New Roman" w:hAnsi="Times New Roman" w:cs="Times New Roman"/>
          <w:lang w:val="en-US"/>
        </w:rPr>
        <w:t>)</w:t>
      </w:r>
      <w:r w:rsidRPr="00495B47">
        <w:rPr>
          <w:rFonts w:ascii="Times New Roman" w:hAnsi="Times New Roman" w:cs="Times New Roman"/>
          <w:lang w:val="en-US"/>
        </w:rPr>
        <w:t xml:space="preserve"> invented the term ‘</w:t>
      </w:r>
      <w:proofErr w:type="spellStart"/>
      <w:r w:rsidRPr="00495B47">
        <w:rPr>
          <w:rFonts w:ascii="Times New Roman" w:hAnsi="Times New Roman" w:cs="Times New Roman"/>
          <w:lang w:val="en-US"/>
        </w:rPr>
        <w:t>lieux</w:t>
      </w:r>
      <w:proofErr w:type="spellEnd"/>
      <w:r w:rsidRPr="00495B47">
        <w:rPr>
          <w:rFonts w:ascii="Times New Roman" w:hAnsi="Times New Roman" w:cs="Times New Roman"/>
          <w:lang w:val="en-US"/>
        </w:rPr>
        <w:t xml:space="preserve"> de memoire’ – ‘places of memory’ that can be both symbolical, intangible, </w:t>
      </w:r>
      <w:r w:rsidR="003E755E">
        <w:rPr>
          <w:rFonts w:ascii="Times New Roman" w:hAnsi="Times New Roman" w:cs="Times New Roman"/>
          <w:lang w:val="en-US"/>
        </w:rPr>
        <w:t>and</w:t>
      </w:r>
      <w:r w:rsidRPr="00495B47">
        <w:rPr>
          <w:rFonts w:ascii="Times New Roman" w:hAnsi="Times New Roman" w:cs="Times New Roman"/>
          <w:lang w:val="en-US"/>
        </w:rPr>
        <w:t xml:space="preserve"> physical, tangible. The analysis of literature is an immaterial approach in studying collective memory, and the memorials are material. In this paper, memorials define as places ‘largely constructed to remember the dead’ and contradict the term ‘monument,’ which is a variant of a memorial (</w:t>
      </w:r>
      <w:proofErr w:type="spellStart"/>
      <w:r w:rsidRPr="00495B47">
        <w:rPr>
          <w:rFonts w:ascii="Times New Roman" w:hAnsi="Times New Roman" w:cs="Times New Roman"/>
          <w:lang w:val="en-US"/>
        </w:rPr>
        <w:t>Saundres</w:t>
      </w:r>
      <w:proofErr w:type="spellEnd"/>
      <w:r w:rsidRPr="00495B47">
        <w:rPr>
          <w:rFonts w:ascii="Times New Roman" w:hAnsi="Times New Roman" w:cs="Times New Roman"/>
          <w:lang w:val="en-US"/>
        </w:rPr>
        <w:t>, 2018, p.37).</w:t>
      </w:r>
    </w:p>
    <w:p w14:paraId="0E2D286D"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Memorials can be a valuable methodological tool in researching collective memory, as they provide physical spaces and artifacts that represent historical events, experiences, and values important to a particular group of people. </w:t>
      </w:r>
      <w:proofErr w:type="spellStart"/>
      <w:r w:rsidRPr="00495B47">
        <w:rPr>
          <w:rFonts w:ascii="Times New Roman" w:hAnsi="Times New Roman" w:cs="Times New Roman"/>
          <w:lang w:val="en-US"/>
        </w:rPr>
        <w:t>Straoud</w:t>
      </w:r>
      <w:proofErr w:type="spellEnd"/>
      <w:r w:rsidRPr="00495B47">
        <w:rPr>
          <w:rFonts w:ascii="Times New Roman" w:hAnsi="Times New Roman" w:cs="Times New Roman"/>
          <w:lang w:val="en-US"/>
        </w:rPr>
        <w:t xml:space="preserve"> and Hanson (2019, p.282) said that memorials serve those events and individuals worthwhile to recollection. The authors argue that memorialization is a complex discipline. </w:t>
      </w:r>
      <w:proofErr w:type="gramStart"/>
      <w:r w:rsidRPr="00495B47">
        <w:rPr>
          <w:rFonts w:ascii="Times New Roman" w:hAnsi="Times New Roman" w:cs="Times New Roman"/>
          <w:lang w:val="en-US"/>
        </w:rPr>
        <w:t>In analyzing the memorials, there</w:t>
      </w:r>
      <w:proofErr w:type="gramEnd"/>
      <w:r w:rsidRPr="00495B47">
        <w:rPr>
          <w:rFonts w:ascii="Times New Roman" w:hAnsi="Times New Roman" w:cs="Times New Roman"/>
          <w:lang w:val="en-US"/>
        </w:rPr>
        <w:t xml:space="preserve"> are two primary questions: ‘Who (or what) is the memorial honoring or focusing on?’ and ‘Is this memorial teaching us something or pushing one lesson or argument on us more than others?’ (</w:t>
      </w:r>
      <w:proofErr w:type="spellStart"/>
      <w:r w:rsidRPr="00495B47">
        <w:rPr>
          <w:rFonts w:ascii="Times New Roman" w:hAnsi="Times New Roman" w:cs="Times New Roman"/>
          <w:lang w:val="en-US"/>
        </w:rPr>
        <w:t>Straoud&amp;Hanson</w:t>
      </w:r>
      <w:proofErr w:type="spellEnd"/>
      <w:r w:rsidRPr="00495B47">
        <w:rPr>
          <w:rFonts w:ascii="Times New Roman" w:hAnsi="Times New Roman" w:cs="Times New Roman"/>
          <w:lang w:val="en-US"/>
        </w:rPr>
        <w:t>, 2019, p.286). Memorials aim to commemorate the person or even give a lesson for society in the past to remember it in the present time. Memorials are actual physical places where people can come and touch the past, which is an advantage.</w:t>
      </w:r>
    </w:p>
    <w:p w14:paraId="75749F9B" w14:textId="2456EC6B"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Essential factors to consider comprise the form and the content of memorials. It </w:t>
      </w:r>
      <w:r w:rsidR="003E755E">
        <w:rPr>
          <w:rFonts w:ascii="Times New Roman" w:hAnsi="Times New Roman" w:cs="Times New Roman"/>
          <w:lang w:val="en-US"/>
        </w:rPr>
        <w:t>is</w:t>
      </w:r>
      <w:r w:rsidRPr="00495B47">
        <w:rPr>
          <w:rFonts w:ascii="Times New Roman" w:hAnsi="Times New Roman" w:cs="Times New Roman"/>
          <w:lang w:val="en-US"/>
        </w:rPr>
        <w:t xml:space="preserve"> as a merit as a limitation. Stroud and Hanson</w:t>
      </w:r>
      <w:r w:rsidR="003E755E">
        <w:rPr>
          <w:rFonts w:ascii="Times New Roman" w:hAnsi="Times New Roman" w:cs="Times New Roman"/>
          <w:lang w:val="en-US"/>
        </w:rPr>
        <w:t xml:space="preserve"> (2019)</w:t>
      </w:r>
      <w:r w:rsidRPr="00495B47">
        <w:rPr>
          <w:rFonts w:ascii="Times New Roman" w:hAnsi="Times New Roman" w:cs="Times New Roman"/>
          <w:lang w:val="en-US"/>
        </w:rPr>
        <w:t xml:space="preserve"> emphasize that memorials are fundamentally aesthetic. Memorials make each attendant’s experience unique and creative. Each person interprets and perceives the message from their perspective and understanding. Therefore, the form and the content play a crucial role in emotional response. </w:t>
      </w:r>
    </w:p>
    <w:p w14:paraId="161BFE7D" w14:textId="08EEB0EC"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lastRenderedPageBreak/>
        <w:t>On the other hand, the form and the content can be misleading. The example in the article demonstrates how the memorial itself and its conte</w:t>
      </w:r>
      <w:r w:rsidR="003E755E">
        <w:rPr>
          <w:rFonts w:ascii="Times New Roman" w:hAnsi="Times New Roman" w:cs="Times New Roman"/>
          <w:lang w:val="en-US"/>
        </w:rPr>
        <w:t>x</w:t>
      </w:r>
      <w:r w:rsidRPr="00495B47">
        <w:rPr>
          <w:rFonts w:ascii="Times New Roman" w:hAnsi="Times New Roman" w:cs="Times New Roman"/>
          <w:lang w:val="en-US"/>
        </w:rPr>
        <w:t>t can be provocative. Authors describe the memorial ‘</w:t>
      </w:r>
      <w:proofErr w:type="spellStart"/>
      <w:r w:rsidRPr="00495B47">
        <w:rPr>
          <w:rFonts w:ascii="Times New Roman" w:hAnsi="Times New Roman" w:cs="Times New Roman"/>
          <w:lang w:val="en-US"/>
        </w:rPr>
        <w:t>Denkmal</w:t>
      </w:r>
      <w:proofErr w:type="spellEnd"/>
      <w:r w:rsidRPr="00495B47">
        <w:rPr>
          <w:rFonts w:ascii="Times New Roman" w:hAnsi="Times New Roman" w:cs="Times New Roman"/>
          <w:lang w:val="en-US"/>
        </w:rPr>
        <w:t>’ in Germany commemorating those who declined to participate in the Nazi regime. The contradiction here appears in the question of why these people refuse to be part of the regime. The unclear motives undermine the importance of the memorial and put ahead doubts</w:t>
      </w:r>
      <w:r w:rsidR="002946D0">
        <w:rPr>
          <w:rFonts w:ascii="Times New Roman" w:hAnsi="Times New Roman" w:cs="Times New Roman"/>
          <w:lang w:val="en-US"/>
        </w:rPr>
        <w:t xml:space="preserve"> </w:t>
      </w:r>
      <w:r w:rsidR="002946D0" w:rsidRPr="002946D0">
        <w:rPr>
          <w:rFonts w:ascii="Times New Roman" w:hAnsi="Times New Roman" w:cs="Times New Roman"/>
          <w:lang w:val="en-US"/>
        </w:rPr>
        <w:t>represented collective memory</w:t>
      </w:r>
      <w:r w:rsidRPr="00495B47">
        <w:rPr>
          <w:rFonts w:ascii="Times New Roman" w:hAnsi="Times New Roman" w:cs="Times New Roman"/>
          <w:lang w:val="en-US"/>
        </w:rPr>
        <w:t xml:space="preserve">. </w:t>
      </w:r>
    </w:p>
    <w:p w14:paraId="4AFEBA95"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Furthermore, memorials are not neutral objects but are shaped by the social and political contexts in which they are created and maintained. For example, according to Mayo (1988), war memorials convey political messages and act as a form of political memory. </w:t>
      </w:r>
    </w:p>
    <w:p w14:paraId="2948B04F"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Mayo (1988) examines how war memorials have been used throughout history to convey messages of nationalism, patriotism, and sacrifice. He argues that war memorials often create a sense of togetherness and promote a particular version of history that justifies political actions. </w:t>
      </w:r>
      <w:proofErr w:type="spellStart"/>
      <w:r w:rsidRPr="00495B47">
        <w:rPr>
          <w:rFonts w:ascii="Times New Roman" w:hAnsi="Times New Roman" w:cs="Times New Roman"/>
          <w:lang w:val="en-US"/>
        </w:rPr>
        <w:t>Saundres’s</w:t>
      </w:r>
      <w:proofErr w:type="spellEnd"/>
      <w:r w:rsidRPr="00495B47">
        <w:rPr>
          <w:rFonts w:ascii="Times New Roman" w:hAnsi="Times New Roman" w:cs="Times New Roman"/>
          <w:lang w:val="en-US"/>
        </w:rPr>
        <w:t xml:space="preserve"> (2018, p.34) work also agrees that memorials ‘prove to be a very real political force in the realignment of historical narratives.’ </w:t>
      </w:r>
    </w:p>
    <w:p w14:paraId="64A099CB" w14:textId="77777777" w:rsidR="00495B4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Mayo (1988) also considers the controversy surrounding war memorials and how they are seen as promoting militarism and glorifying war. In addition, it interconnects with political power and the desire to be great. He suggests that war memorials may be more effective as places of remembrance if they are designed to promote peace and reconciliation rather than conflict and be genuinely neutral places of remembrance. </w:t>
      </w:r>
    </w:p>
    <w:p w14:paraId="0E8AC894" w14:textId="602AA17C" w:rsidR="00906BD7" w:rsidRPr="00495B47" w:rsidRDefault="00495B47" w:rsidP="00495B47">
      <w:pPr>
        <w:spacing w:line="360" w:lineRule="auto"/>
        <w:ind w:firstLine="397"/>
        <w:jc w:val="both"/>
        <w:rPr>
          <w:rFonts w:ascii="Times New Roman" w:hAnsi="Times New Roman" w:cs="Times New Roman"/>
          <w:lang w:val="en-US"/>
        </w:rPr>
      </w:pPr>
      <w:r w:rsidRPr="00495B47">
        <w:rPr>
          <w:rFonts w:ascii="Times New Roman" w:hAnsi="Times New Roman" w:cs="Times New Roman"/>
          <w:lang w:val="en-US"/>
        </w:rPr>
        <w:t xml:space="preserve">Another </w:t>
      </w:r>
      <w:r w:rsidR="002946D0" w:rsidRPr="00495B47">
        <w:rPr>
          <w:rFonts w:ascii="Times New Roman" w:hAnsi="Times New Roman" w:cs="Times New Roman"/>
          <w:lang w:val="en-US"/>
        </w:rPr>
        <w:t>limitation</w:t>
      </w:r>
      <w:r w:rsidRPr="00495B47">
        <w:rPr>
          <w:rFonts w:ascii="Times New Roman" w:hAnsi="Times New Roman" w:cs="Times New Roman"/>
          <w:lang w:val="en-US"/>
        </w:rPr>
        <w:t xml:space="preserve"> of memorials and their interpretation resort to the limited scope of embod</w:t>
      </w:r>
      <w:r w:rsidR="002946D0">
        <w:rPr>
          <w:rFonts w:ascii="Times New Roman" w:hAnsi="Times New Roman" w:cs="Times New Roman"/>
          <w:lang w:val="en-US"/>
        </w:rPr>
        <w:t>ied meanings</w:t>
      </w:r>
      <w:r w:rsidRPr="00495B47">
        <w:rPr>
          <w:rFonts w:ascii="Times New Roman" w:hAnsi="Times New Roman" w:cs="Times New Roman"/>
          <w:lang w:val="en-US"/>
        </w:rPr>
        <w:t>. Memorials can only represent the perspectives and experiences of a specific group. For instance, Atkinson-Phillips (2022, p. 951) notes that ‘memorials that lived experience of loss and trauma do not always commemorate the experience of those who continue to be alive.’</w:t>
      </w:r>
      <w:r>
        <w:rPr>
          <w:rFonts w:ascii="Times New Roman" w:hAnsi="Times New Roman" w:cs="Times New Roman"/>
          <w:lang w:val="en-US"/>
        </w:rPr>
        <w:t xml:space="preserve"> </w:t>
      </w:r>
      <w:r w:rsidRPr="00495B47">
        <w:rPr>
          <w:rFonts w:ascii="Times New Roman" w:hAnsi="Times New Roman" w:cs="Times New Roman"/>
          <w:lang w:val="en-US"/>
        </w:rPr>
        <w:t>It prevents the shift in memorial meaning from a mourning place towards a focus on experience, as suggested by the author.</w:t>
      </w:r>
    </w:p>
    <w:p w14:paraId="6BA5FC0C" w14:textId="77777777" w:rsidR="00495B47" w:rsidRDefault="00495B47" w:rsidP="00495B47">
      <w:pPr>
        <w:spacing w:line="360" w:lineRule="auto"/>
        <w:ind w:firstLine="397"/>
        <w:jc w:val="both"/>
        <w:rPr>
          <w:rFonts w:ascii="Times New Roman" w:hAnsi="Times New Roman" w:cs="Times New Roman"/>
          <w:lang w:val="en-US"/>
        </w:rPr>
      </w:pPr>
    </w:p>
    <w:p w14:paraId="565A33DB" w14:textId="77777777" w:rsidR="006926CC" w:rsidRPr="006926CC" w:rsidRDefault="006926CC" w:rsidP="006926CC">
      <w:pPr>
        <w:spacing w:line="360" w:lineRule="auto"/>
        <w:ind w:firstLine="397"/>
        <w:jc w:val="both"/>
        <w:rPr>
          <w:rFonts w:ascii="Times New Roman" w:hAnsi="Times New Roman" w:cs="Times New Roman"/>
          <w:i/>
          <w:iCs/>
          <w:lang w:val="en-US"/>
        </w:rPr>
      </w:pPr>
      <w:r w:rsidRPr="006926CC">
        <w:rPr>
          <w:rFonts w:ascii="Times New Roman" w:hAnsi="Times New Roman" w:cs="Times New Roman"/>
          <w:i/>
          <w:iCs/>
          <w:lang w:val="en-US"/>
        </w:rPr>
        <w:t>Conclusions</w:t>
      </w:r>
    </w:p>
    <w:p w14:paraId="5D8449C6" w14:textId="77777777" w:rsidR="006926CC"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t xml:space="preserve">Collective memory and approaches through which </w:t>
      </w:r>
      <w:proofErr w:type="gramStart"/>
      <w:r w:rsidRPr="006926CC">
        <w:rPr>
          <w:rFonts w:ascii="Times New Roman" w:hAnsi="Times New Roman" w:cs="Times New Roman"/>
          <w:lang w:val="en-US"/>
        </w:rPr>
        <w:t>scholars</w:t>
      </w:r>
      <w:proofErr w:type="gramEnd"/>
      <w:r w:rsidRPr="006926CC">
        <w:rPr>
          <w:rFonts w:ascii="Times New Roman" w:hAnsi="Times New Roman" w:cs="Times New Roman"/>
          <w:lang w:val="en-US"/>
        </w:rPr>
        <w:t xml:space="preserve"> study collective memory are interrelated. Collective memory shapes tangible and intangible cultural heritage. It allows nations to remember and recollect the past, explore their national identity, and commemorate or mourn great people. In another case, this cultural heritage becomes the source for researching collective memory. Individual narratives, monuments, exhibitions, museums, and memorials are unpacked and analyzed to reach the roots of a collective memory of a group, community, or society. Each of them has its pros and cons. </w:t>
      </w:r>
    </w:p>
    <w:p w14:paraId="370F1C61" w14:textId="77777777" w:rsidR="006926CC"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lastRenderedPageBreak/>
        <w:t>This paper argues that literature is the decisive key to understanding the nation's past through symbols, meanings and metaphors and shows two approaches to using the literature. One is how the literature is used to organize collective memory research. Another is how the literature can be unpacked to clarify the collective memory. Nevertheless, personal bias and interpretation can mislead the original understanding and distort the collective memory.</w:t>
      </w:r>
    </w:p>
    <w:p w14:paraId="354B0026" w14:textId="59C07AD8" w:rsidR="00367688" w:rsidRPr="006926CC" w:rsidRDefault="006926CC" w:rsidP="006926CC">
      <w:pPr>
        <w:spacing w:line="360" w:lineRule="auto"/>
        <w:ind w:firstLine="397"/>
        <w:jc w:val="both"/>
        <w:rPr>
          <w:rFonts w:ascii="Times New Roman" w:hAnsi="Times New Roman" w:cs="Times New Roman"/>
          <w:lang w:val="en-US"/>
        </w:rPr>
      </w:pPr>
      <w:r w:rsidRPr="006926CC">
        <w:rPr>
          <w:rFonts w:ascii="Times New Roman" w:hAnsi="Times New Roman" w:cs="Times New Roman"/>
          <w:lang w:val="en-US"/>
        </w:rPr>
        <w:t>Besides, memorials can be a useful methodological tool for researchers seeking to understand how collective memory is constructed and transmitted within a particular society or community. The plus of the memorial is the possibility for people to feel the atmosphere and be close to the past. Memorials make people think and seek meaning but can also be manipulative. The political authority can construct the form and shape the context of memorials to support their regime.</w:t>
      </w:r>
    </w:p>
    <w:p w14:paraId="45C37680" w14:textId="77777777" w:rsidR="009E2CBA" w:rsidRDefault="009E2CBA" w:rsidP="00367688">
      <w:pPr>
        <w:spacing w:line="360" w:lineRule="auto"/>
        <w:ind w:firstLine="397"/>
        <w:jc w:val="center"/>
        <w:rPr>
          <w:rFonts w:ascii="Times New Roman" w:hAnsi="Times New Roman" w:cs="Times New Roman"/>
          <w:i/>
          <w:iCs/>
          <w:lang w:val="en-US"/>
        </w:rPr>
      </w:pPr>
    </w:p>
    <w:p w14:paraId="530CE599" w14:textId="77777777" w:rsidR="009E2CBA" w:rsidRDefault="009E2CBA" w:rsidP="00367688">
      <w:pPr>
        <w:spacing w:line="360" w:lineRule="auto"/>
        <w:ind w:firstLine="397"/>
        <w:jc w:val="center"/>
        <w:rPr>
          <w:rFonts w:ascii="Times New Roman" w:hAnsi="Times New Roman" w:cs="Times New Roman"/>
          <w:i/>
          <w:iCs/>
          <w:lang w:val="en-US"/>
        </w:rPr>
      </w:pPr>
    </w:p>
    <w:p w14:paraId="5ECDF6C3" w14:textId="77777777" w:rsidR="009E2CBA" w:rsidRDefault="009E2CBA" w:rsidP="00367688">
      <w:pPr>
        <w:spacing w:line="360" w:lineRule="auto"/>
        <w:ind w:firstLine="397"/>
        <w:jc w:val="center"/>
        <w:rPr>
          <w:rFonts w:ascii="Times New Roman" w:hAnsi="Times New Roman" w:cs="Times New Roman"/>
          <w:i/>
          <w:iCs/>
          <w:lang w:val="en-US"/>
        </w:rPr>
      </w:pPr>
    </w:p>
    <w:p w14:paraId="440D2B3D" w14:textId="77777777" w:rsidR="009E2CBA" w:rsidRDefault="009E2CBA" w:rsidP="00367688">
      <w:pPr>
        <w:spacing w:line="360" w:lineRule="auto"/>
        <w:ind w:firstLine="397"/>
        <w:jc w:val="center"/>
        <w:rPr>
          <w:rFonts w:ascii="Times New Roman" w:hAnsi="Times New Roman" w:cs="Times New Roman"/>
          <w:i/>
          <w:iCs/>
          <w:lang w:val="en-US"/>
        </w:rPr>
      </w:pPr>
    </w:p>
    <w:p w14:paraId="741E4049" w14:textId="77777777" w:rsidR="009E2CBA" w:rsidRDefault="009E2CBA" w:rsidP="00367688">
      <w:pPr>
        <w:spacing w:line="360" w:lineRule="auto"/>
        <w:ind w:firstLine="397"/>
        <w:jc w:val="center"/>
        <w:rPr>
          <w:rFonts w:ascii="Times New Roman" w:hAnsi="Times New Roman" w:cs="Times New Roman"/>
          <w:i/>
          <w:iCs/>
          <w:lang w:val="en-US"/>
        </w:rPr>
      </w:pPr>
    </w:p>
    <w:p w14:paraId="41E8360A" w14:textId="77777777" w:rsidR="009E2CBA" w:rsidRDefault="009E2CBA" w:rsidP="00367688">
      <w:pPr>
        <w:spacing w:line="360" w:lineRule="auto"/>
        <w:ind w:firstLine="397"/>
        <w:jc w:val="center"/>
        <w:rPr>
          <w:rFonts w:ascii="Times New Roman" w:hAnsi="Times New Roman" w:cs="Times New Roman"/>
          <w:i/>
          <w:iCs/>
          <w:lang w:val="en-US"/>
        </w:rPr>
      </w:pPr>
    </w:p>
    <w:p w14:paraId="0A3D08D0" w14:textId="77777777" w:rsidR="009E2CBA" w:rsidRDefault="009E2CBA" w:rsidP="00367688">
      <w:pPr>
        <w:spacing w:line="360" w:lineRule="auto"/>
        <w:ind w:firstLine="397"/>
        <w:jc w:val="center"/>
        <w:rPr>
          <w:rFonts w:ascii="Times New Roman" w:hAnsi="Times New Roman" w:cs="Times New Roman"/>
          <w:i/>
          <w:iCs/>
          <w:lang w:val="en-US"/>
        </w:rPr>
      </w:pPr>
    </w:p>
    <w:p w14:paraId="0ECEB217" w14:textId="77777777" w:rsidR="009E2CBA" w:rsidRDefault="009E2CBA" w:rsidP="00367688">
      <w:pPr>
        <w:spacing w:line="360" w:lineRule="auto"/>
        <w:ind w:firstLine="397"/>
        <w:jc w:val="center"/>
        <w:rPr>
          <w:rFonts w:ascii="Times New Roman" w:hAnsi="Times New Roman" w:cs="Times New Roman"/>
          <w:i/>
          <w:iCs/>
          <w:lang w:val="en-US"/>
        </w:rPr>
      </w:pPr>
    </w:p>
    <w:p w14:paraId="601EAED0" w14:textId="77777777" w:rsidR="009E2CBA" w:rsidRDefault="009E2CBA" w:rsidP="00367688">
      <w:pPr>
        <w:spacing w:line="360" w:lineRule="auto"/>
        <w:ind w:firstLine="397"/>
        <w:jc w:val="center"/>
        <w:rPr>
          <w:rFonts w:ascii="Times New Roman" w:hAnsi="Times New Roman" w:cs="Times New Roman"/>
          <w:i/>
          <w:iCs/>
          <w:lang w:val="en-US"/>
        </w:rPr>
      </w:pPr>
    </w:p>
    <w:p w14:paraId="759536DE" w14:textId="77777777" w:rsidR="009E2CBA" w:rsidRDefault="009E2CBA" w:rsidP="00367688">
      <w:pPr>
        <w:spacing w:line="360" w:lineRule="auto"/>
        <w:ind w:firstLine="397"/>
        <w:jc w:val="center"/>
        <w:rPr>
          <w:rFonts w:ascii="Times New Roman" w:hAnsi="Times New Roman" w:cs="Times New Roman"/>
          <w:i/>
          <w:iCs/>
          <w:lang w:val="en-US"/>
        </w:rPr>
      </w:pPr>
    </w:p>
    <w:p w14:paraId="1E55F427" w14:textId="77777777" w:rsidR="009E2CBA" w:rsidRDefault="009E2CBA" w:rsidP="00367688">
      <w:pPr>
        <w:spacing w:line="360" w:lineRule="auto"/>
        <w:ind w:firstLine="397"/>
        <w:jc w:val="center"/>
        <w:rPr>
          <w:rFonts w:ascii="Times New Roman" w:hAnsi="Times New Roman" w:cs="Times New Roman"/>
          <w:i/>
          <w:iCs/>
          <w:lang w:val="en-US"/>
        </w:rPr>
      </w:pPr>
    </w:p>
    <w:p w14:paraId="085D6DFE" w14:textId="77777777" w:rsidR="009E2CBA" w:rsidRDefault="009E2CBA" w:rsidP="00367688">
      <w:pPr>
        <w:spacing w:line="360" w:lineRule="auto"/>
        <w:ind w:firstLine="397"/>
        <w:jc w:val="center"/>
        <w:rPr>
          <w:rFonts w:ascii="Times New Roman" w:hAnsi="Times New Roman" w:cs="Times New Roman"/>
          <w:i/>
          <w:iCs/>
          <w:lang w:val="en-US"/>
        </w:rPr>
      </w:pPr>
    </w:p>
    <w:p w14:paraId="610FDE10" w14:textId="77777777" w:rsidR="009E2CBA" w:rsidRDefault="009E2CBA" w:rsidP="00367688">
      <w:pPr>
        <w:spacing w:line="360" w:lineRule="auto"/>
        <w:ind w:firstLine="397"/>
        <w:jc w:val="center"/>
        <w:rPr>
          <w:rFonts w:ascii="Times New Roman" w:hAnsi="Times New Roman" w:cs="Times New Roman"/>
          <w:i/>
          <w:iCs/>
          <w:lang w:val="en-US"/>
        </w:rPr>
      </w:pPr>
    </w:p>
    <w:p w14:paraId="42119895" w14:textId="77777777" w:rsidR="009E2CBA" w:rsidRDefault="009E2CBA" w:rsidP="00367688">
      <w:pPr>
        <w:spacing w:line="360" w:lineRule="auto"/>
        <w:ind w:firstLine="397"/>
        <w:jc w:val="center"/>
        <w:rPr>
          <w:rFonts w:ascii="Times New Roman" w:hAnsi="Times New Roman" w:cs="Times New Roman"/>
          <w:i/>
          <w:iCs/>
          <w:lang w:val="en-US"/>
        </w:rPr>
      </w:pPr>
    </w:p>
    <w:p w14:paraId="7672F875" w14:textId="77777777" w:rsidR="009E2CBA" w:rsidRDefault="009E2CBA" w:rsidP="00367688">
      <w:pPr>
        <w:spacing w:line="360" w:lineRule="auto"/>
        <w:ind w:firstLine="397"/>
        <w:jc w:val="center"/>
        <w:rPr>
          <w:rFonts w:ascii="Times New Roman" w:hAnsi="Times New Roman" w:cs="Times New Roman"/>
          <w:i/>
          <w:iCs/>
          <w:lang w:val="en-US"/>
        </w:rPr>
      </w:pPr>
    </w:p>
    <w:p w14:paraId="6781296D" w14:textId="77777777" w:rsidR="009E2CBA" w:rsidRDefault="009E2CBA" w:rsidP="00367688">
      <w:pPr>
        <w:spacing w:line="360" w:lineRule="auto"/>
        <w:ind w:firstLine="397"/>
        <w:jc w:val="center"/>
        <w:rPr>
          <w:rFonts w:ascii="Times New Roman" w:hAnsi="Times New Roman" w:cs="Times New Roman"/>
          <w:i/>
          <w:iCs/>
          <w:lang w:val="en-US"/>
        </w:rPr>
      </w:pPr>
    </w:p>
    <w:p w14:paraId="03BB57B2" w14:textId="77777777" w:rsidR="009E2CBA" w:rsidRDefault="009E2CBA" w:rsidP="00367688">
      <w:pPr>
        <w:spacing w:line="360" w:lineRule="auto"/>
        <w:ind w:firstLine="397"/>
        <w:jc w:val="center"/>
        <w:rPr>
          <w:rFonts w:ascii="Times New Roman" w:hAnsi="Times New Roman" w:cs="Times New Roman"/>
          <w:i/>
          <w:iCs/>
          <w:lang w:val="en-US"/>
        </w:rPr>
      </w:pPr>
    </w:p>
    <w:p w14:paraId="7631CE69" w14:textId="77777777" w:rsidR="009E2CBA" w:rsidRDefault="009E2CBA" w:rsidP="00367688">
      <w:pPr>
        <w:spacing w:line="360" w:lineRule="auto"/>
        <w:ind w:firstLine="397"/>
        <w:jc w:val="center"/>
        <w:rPr>
          <w:rFonts w:ascii="Times New Roman" w:hAnsi="Times New Roman" w:cs="Times New Roman"/>
          <w:i/>
          <w:iCs/>
          <w:lang w:val="en-US"/>
        </w:rPr>
      </w:pPr>
    </w:p>
    <w:p w14:paraId="7DB445DD" w14:textId="77777777" w:rsidR="009E2CBA" w:rsidRDefault="009E2CBA" w:rsidP="00367688">
      <w:pPr>
        <w:spacing w:line="360" w:lineRule="auto"/>
        <w:ind w:firstLine="397"/>
        <w:jc w:val="center"/>
        <w:rPr>
          <w:rFonts w:ascii="Times New Roman" w:hAnsi="Times New Roman" w:cs="Times New Roman"/>
          <w:i/>
          <w:iCs/>
          <w:lang w:val="en-US"/>
        </w:rPr>
      </w:pPr>
    </w:p>
    <w:p w14:paraId="18AA1655" w14:textId="77777777" w:rsidR="009E2CBA" w:rsidRDefault="009E2CBA" w:rsidP="00367688">
      <w:pPr>
        <w:spacing w:line="360" w:lineRule="auto"/>
        <w:ind w:firstLine="397"/>
        <w:jc w:val="center"/>
        <w:rPr>
          <w:rFonts w:ascii="Times New Roman" w:hAnsi="Times New Roman" w:cs="Times New Roman"/>
          <w:i/>
          <w:iCs/>
          <w:lang w:val="en-US"/>
        </w:rPr>
      </w:pPr>
    </w:p>
    <w:p w14:paraId="13CA0A58" w14:textId="77777777" w:rsidR="009E2CBA" w:rsidRDefault="009E2CBA" w:rsidP="00367688">
      <w:pPr>
        <w:spacing w:line="360" w:lineRule="auto"/>
        <w:ind w:firstLine="397"/>
        <w:jc w:val="center"/>
        <w:rPr>
          <w:rFonts w:ascii="Times New Roman" w:hAnsi="Times New Roman" w:cs="Times New Roman"/>
          <w:i/>
          <w:iCs/>
          <w:lang w:val="en-US"/>
        </w:rPr>
      </w:pPr>
    </w:p>
    <w:p w14:paraId="780F6BFC" w14:textId="77777777" w:rsidR="009E2CBA" w:rsidRDefault="009E2CBA" w:rsidP="00367688">
      <w:pPr>
        <w:spacing w:line="360" w:lineRule="auto"/>
        <w:ind w:firstLine="397"/>
        <w:jc w:val="center"/>
        <w:rPr>
          <w:rFonts w:ascii="Times New Roman" w:hAnsi="Times New Roman" w:cs="Times New Roman"/>
          <w:i/>
          <w:iCs/>
          <w:lang w:val="en-US"/>
        </w:rPr>
      </w:pPr>
    </w:p>
    <w:p w14:paraId="7CF4BC1E" w14:textId="77777777" w:rsidR="009E2CBA" w:rsidRDefault="009E2CBA" w:rsidP="00367688">
      <w:pPr>
        <w:spacing w:line="360" w:lineRule="auto"/>
        <w:ind w:firstLine="397"/>
        <w:jc w:val="center"/>
        <w:rPr>
          <w:rFonts w:ascii="Times New Roman" w:hAnsi="Times New Roman" w:cs="Times New Roman"/>
          <w:i/>
          <w:iCs/>
          <w:lang w:val="en-US"/>
        </w:rPr>
      </w:pPr>
    </w:p>
    <w:p w14:paraId="16764181" w14:textId="77777777" w:rsidR="009E2CBA" w:rsidRDefault="009E2CBA" w:rsidP="00367688">
      <w:pPr>
        <w:spacing w:line="360" w:lineRule="auto"/>
        <w:ind w:firstLine="397"/>
        <w:jc w:val="center"/>
        <w:rPr>
          <w:rFonts w:ascii="Times New Roman" w:hAnsi="Times New Roman" w:cs="Times New Roman"/>
          <w:i/>
          <w:iCs/>
          <w:lang w:val="en-US"/>
        </w:rPr>
      </w:pPr>
    </w:p>
    <w:p w14:paraId="259AB99A" w14:textId="77777777" w:rsidR="009E2CBA" w:rsidRDefault="009E2CBA" w:rsidP="00367688">
      <w:pPr>
        <w:spacing w:line="360" w:lineRule="auto"/>
        <w:ind w:firstLine="397"/>
        <w:jc w:val="center"/>
        <w:rPr>
          <w:rFonts w:ascii="Times New Roman" w:hAnsi="Times New Roman" w:cs="Times New Roman"/>
          <w:i/>
          <w:iCs/>
          <w:lang w:val="en-US"/>
        </w:rPr>
      </w:pPr>
    </w:p>
    <w:p w14:paraId="669DFF2D" w14:textId="557089C8" w:rsidR="00367688" w:rsidRPr="002946D0" w:rsidRDefault="00367688" w:rsidP="002946D0">
      <w:pPr>
        <w:spacing w:line="360" w:lineRule="auto"/>
        <w:jc w:val="center"/>
        <w:rPr>
          <w:rFonts w:ascii="Times New Roman" w:hAnsi="Times New Roman" w:cs="Times New Roman"/>
          <w:b/>
          <w:bCs/>
          <w:lang w:val="en-US"/>
        </w:rPr>
      </w:pPr>
      <w:r w:rsidRPr="002946D0">
        <w:rPr>
          <w:rFonts w:ascii="Times New Roman" w:hAnsi="Times New Roman" w:cs="Times New Roman"/>
          <w:b/>
          <w:bCs/>
          <w:lang w:val="en-US"/>
        </w:rPr>
        <w:t>Bibliography</w:t>
      </w:r>
    </w:p>
    <w:p w14:paraId="25376DCB" w14:textId="77777777" w:rsidR="009E2CBA" w:rsidRDefault="009E2CBA" w:rsidP="00367688">
      <w:pPr>
        <w:pStyle w:val="NormalWeb"/>
        <w:ind w:left="567" w:hanging="567"/>
        <w:jc w:val="both"/>
        <w:rPr>
          <w:color w:val="000000"/>
        </w:rPr>
      </w:pPr>
      <w:proofErr w:type="spellStart"/>
      <w:r w:rsidRPr="00844C15">
        <w:rPr>
          <w:color w:val="000000"/>
        </w:rPr>
        <w:t>Assmann</w:t>
      </w:r>
      <w:proofErr w:type="spellEnd"/>
      <w:r w:rsidRPr="00844C15">
        <w:rPr>
          <w:color w:val="000000"/>
        </w:rPr>
        <w:t xml:space="preserve">, J., &amp; </w:t>
      </w:r>
      <w:proofErr w:type="spellStart"/>
      <w:r w:rsidRPr="00844C15">
        <w:rPr>
          <w:color w:val="000000"/>
        </w:rPr>
        <w:t>Czaplicka</w:t>
      </w:r>
      <w:proofErr w:type="spellEnd"/>
      <w:r w:rsidRPr="00844C15">
        <w:rPr>
          <w:color w:val="000000"/>
        </w:rPr>
        <w:t xml:space="preserve">, J. (1995). </w:t>
      </w:r>
      <w:r>
        <w:rPr>
          <w:color w:val="000000"/>
        </w:rPr>
        <w:t>‘</w:t>
      </w:r>
      <w:r w:rsidRPr="00844C15">
        <w:rPr>
          <w:color w:val="000000"/>
        </w:rPr>
        <w:t>Collective Memory and Cultural Identity</w:t>
      </w:r>
      <w:r>
        <w:rPr>
          <w:color w:val="000000"/>
        </w:rPr>
        <w:t>’,</w:t>
      </w:r>
      <w:r w:rsidRPr="00844C15">
        <w:rPr>
          <w:rStyle w:val="apple-converted-space"/>
          <w:color w:val="000000"/>
        </w:rPr>
        <w:t> </w:t>
      </w:r>
      <w:r w:rsidRPr="00844C15">
        <w:rPr>
          <w:i/>
          <w:iCs/>
          <w:color w:val="000000"/>
        </w:rPr>
        <w:t>New German Critique</w:t>
      </w:r>
      <w:r w:rsidRPr="00844C15">
        <w:rPr>
          <w:color w:val="000000"/>
        </w:rPr>
        <w:t>,</w:t>
      </w:r>
      <w:r w:rsidRPr="00844C15">
        <w:rPr>
          <w:rStyle w:val="apple-converted-space"/>
          <w:color w:val="000000"/>
        </w:rPr>
        <w:t> </w:t>
      </w:r>
      <w:r w:rsidRPr="00844C15">
        <w:rPr>
          <w:i/>
          <w:iCs/>
          <w:color w:val="000000"/>
        </w:rPr>
        <w:t>65</w:t>
      </w:r>
      <w:r w:rsidRPr="00844C15">
        <w:rPr>
          <w:color w:val="000000"/>
        </w:rPr>
        <w:t xml:space="preserve">, pp. 125–133. </w:t>
      </w:r>
    </w:p>
    <w:p w14:paraId="74E5984D" w14:textId="77777777" w:rsidR="004261A7" w:rsidRDefault="009E2CBA" w:rsidP="004261A7">
      <w:pPr>
        <w:pStyle w:val="NormalWeb"/>
        <w:ind w:left="567" w:hanging="567"/>
        <w:jc w:val="both"/>
        <w:rPr>
          <w:color w:val="000000"/>
        </w:rPr>
      </w:pPr>
      <w:r w:rsidRPr="00EF4F59">
        <w:rPr>
          <w:color w:val="000000"/>
        </w:rPr>
        <w:t xml:space="preserve">Atkinson-Phillips, A. (2022). </w:t>
      </w:r>
      <w:r>
        <w:rPr>
          <w:color w:val="000000"/>
        </w:rPr>
        <w:t>‘</w:t>
      </w:r>
      <w:r w:rsidRPr="00EF4F59">
        <w:rPr>
          <w:color w:val="000000"/>
        </w:rPr>
        <w:t>Remembering experience: Public memorials are not just about the dead anymore</w:t>
      </w:r>
      <w:r>
        <w:rPr>
          <w:color w:val="000000"/>
        </w:rPr>
        <w:t>’,</w:t>
      </w:r>
      <w:r w:rsidRPr="00EF4F59">
        <w:rPr>
          <w:color w:val="000000"/>
        </w:rPr>
        <w:t xml:space="preserve"> </w:t>
      </w:r>
      <w:r w:rsidRPr="00EF4F59">
        <w:rPr>
          <w:i/>
          <w:iCs/>
          <w:color w:val="000000"/>
        </w:rPr>
        <w:t>Memory Studies</w:t>
      </w:r>
      <w:r w:rsidRPr="00EF4F59">
        <w:rPr>
          <w:color w:val="000000"/>
        </w:rPr>
        <w:t xml:space="preserve">, 15(5), 947–962. </w:t>
      </w:r>
    </w:p>
    <w:p w14:paraId="5879BA4B" w14:textId="522F1FD9" w:rsidR="004261A7" w:rsidRPr="004261A7" w:rsidRDefault="004261A7" w:rsidP="004261A7">
      <w:pPr>
        <w:pStyle w:val="NormalWeb"/>
        <w:ind w:left="567" w:hanging="567"/>
        <w:jc w:val="both"/>
        <w:rPr>
          <w:color w:val="000000"/>
        </w:rPr>
      </w:pPr>
      <w:proofErr w:type="spellStart"/>
      <w:r w:rsidRPr="008012E5">
        <w:rPr>
          <w:color w:val="000000" w:themeColor="text1"/>
          <w:shd w:val="clear" w:color="auto" w:fill="FFFFFF"/>
        </w:rPr>
        <w:t>Erll</w:t>
      </w:r>
      <w:proofErr w:type="spellEnd"/>
      <w:r w:rsidRPr="008012E5">
        <w:rPr>
          <w:color w:val="000000" w:themeColor="text1"/>
          <w:shd w:val="clear" w:color="auto" w:fill="FFFFFF"/>
        </w:rPr>
        <w:t>, A. (2011) ‘</w:t>
      </w:r>
      <w:r w:rsidRPr="008012E5">
        <w:rPr>
          <w:color w:val="000000" w:themeColor="text1"/>
        </w:rPr>
        <w:t>Travelling Memory’,</w:t>
      </w:r>
      <w:r w:rsidRPr="008012E5">
        <w:rPr>
          <w:i/>
          <w:iCs/>
          <w:color w:val="000000" w:themeColor="text1"/>
        </w:rPr>
        <w:t xml:space="preserve"> Parallax, </w:t>
      </w:r>
      <w:r w:rsidRPr="008012E5">
        <w:rPr>
          <w:color w:val="000000" w:themeColor="text1"/>
        </w:rPr>
        <w:t>17(4), pp. 4–18.</w:t>
      </w:r>
    </w:p>
    <w:p w14:paraId="57DE4E4D" w14:textId="77777777" w:rsidR="009E2CBA" w:rsidRDefault="009E2CBA" w:rsidP="00AB00D4">
      <w:pPr>
        <w:pStyle w:val="NormalWeb"/>
        <w:ind w:left="567" w:hanging="567"/>
        <w:jc w:val="both"/>
        <w:rPr>
          <w:color w:val="000000"/>
        </w:rPr>
      </w:pPr>
      <w:proofErr w:type="spellStart"/>
      <w:r w:rsidRPr="00AB00D4">
        <w:rPr>
          <w:color w:val="000000"/>
        </w:rPr>
        <w:t>Erll</w:t>
      </w:r>
      <w:proofErr w:type="spellEnd"/>
      <w:r w:rsidRPr="00AB00D4">
        <w:rPr>
          <w:color w:val="000000"/>
        </w:rPr>
        <w:t>, A. &amp; Rigney, A. (2006)</w:t>
      </w:r>
      <w:r>
        <w:rPr>
          <w:color w:val="000000"/>
        </w:rPr>
        <w:t>.</w:t>
      </w:r>
      <w:r w:rsidRPr="00AB00D4">
        <w:rPr>
          <w:color w:val="000000"/>
        </w:rPr>
        <w:t xml:space="preserve"> </w:t>
      </w:r>
      <w:r>
        <w:rPr>
          <w:color w:val="000000"/>
        </w:rPr>
        <w:t>‘</w:t>
      </w:r>
      <w:r w:rsidRPr="00AB00D4">
        <w:rPr>
          <w:color w:val="000000"/>
        </w:rPr>
        <w:t>Literature and The Production of Cultural Memory: Introduction</w:t>
      </w:r>
      <w:r>
        <w:rPr>
          <w:color w:val="000000"/>
        </w:rPr>
        <w:t xml:space="preserve">’, </w:t>
      </w:r>
      <w:r w:rsidRPr="00E23C0D">
        <w:rPr>
          <w:i/>
          <w:iCs/>
          <w:color w:val="000000"/>
        </w:rPr>
        <w:t>European Journal of English Studies</w:t>
      </w:r>
      <w:r>
        <w:rPr>
          <w:i/>
          <w:iCs/>
          <w:color w:val="000000"/>
        </w:rPr>
        <w:t>,</w:t>
      </w:r>
      <w:r w:rsidRPr="00AB00D4">
        <w:rPr>
          <w:color w:val="000000"/>
        </w:rPr>
        <w:t xml:space="preserve"> Vol. 10</w:t>
      </w:r>
      <w:r>
        <w:rPr>
          <w:color w:val="000000"/>
        </w:rPr>
        <w:t xml:space="preserve"> (</w:t>
      </w:r>
      <w:r w:rsidRPr="00AB00D4">
        <w:rPr>
          <w:color w:val="000000"/>
        </w:rPr>
        <w:t>2</w:t>
      </w:r>
      <w:r>
        <w:rPr>
          <w:color w:val="000000"/>
        </w:rPr>
        <w:t>)</w:t>
      </w:r>
      <w:r w:rsidRPr="00AB00D4">
        <w:rPr>
          <w:color w:val="000000"/>
        </w:rPr>
        <w:t>, pp. 111 – 115.</w:t>
      </w:r>
    </w:p>
    <w:p w14:paraId="066EB77E" w14:textId="77777777" w:rsidR="009E2CBA" w:rsidRDefault="009E2CBA" w:rsidP="00AB00D4">
      <w:pPr>
        <w:pStyle w:val="NormalWeb"/>
        <w:ind w:left="567" w:hanging="567"/>
        <w:jc w:val="both"/>
        <w:rPr>
          <w:color w:val="000000"/>
        </w:rPr>
      </w:pPr>
      <w:r w:rsidRPr="0094330B">
        <w:rPr>
          <w:color w:val="000000"/>
        </w:rPr>
        <w:t>Gannon, S. (2001)</w:t>
      </w:r>
      <w:r>
        <w:rPr>
          <w:color w:val="000000"/>
        </w:rPr>
        <w:t>. ‘</w:t>
      </w:r>
      <w:r w:rsidRPr="0094330B">
        <w:rPr>
          <w:color w:val="000000"/>
        </w:rPr>
        <w:t>(Re)presenting the Collective Girl: A Poetic Approach to a Methodological Dilemma</w:t>
      </w:r>
      <w:r>
        <w:rPr>
          <w:color w:val="000000"/>
        </w:rPr>
        <w:t>’</w:t>
      </w:r>
      <w:r w:rsidRPr="0094330B">
        <w:rPr>
          <w:color w:val="000000"/>
        </w:rPr>
        <w:t xml:space="preserve">. </w:t>
      </w:r>
      <w:r w:rsidRPr="00E23C0D">
        <w:rPr>
          <w:i/>
          <w:iCs/>
          <w:color w:val="000000"/>
        </w:rPr>
        <w:t>Qualitative Inquiry</w:t>
      </w:r>
      <w:r w:rsidRPr="0094330B">
        <w:rPr>
          <w:color w:val="000000"/>
        </w:rPr>
        <w:t xml:space="preserve">, 7(6), </w:t>
      </w:r>
      <w:r>
        <w:rPr>
          <w:color w:val="000000"/>
        </w:rPr>
        <w:t xml:space="preserve">pp. </w:t>
      </w:r>
      <w:r w:rsidRPr="0094330B">
        <w:rPr>
          <w:color w:val="000000"/>
        </w:rPr>
        <w:t xml:space="preserve">787–800. </w:t>
      </w:r>
    </w:p>
    <w:p w14:paraId="6082163E" w14:textId="77777777" w:rsidR="009E2CBA" w:rsidRPr="00AB00D4" w:rsidRDefault="009E2CBA" w:rsidP="00367688">
      <w:pPr>
        <w:pStyle w:val="NormalWeb"/>
        <w:ind w:left="567" w:hanging="567"/>
        <w:jc w:val="both"/>
        <w:rPr>
          <w:color w:val="000000"/>
        </w:rPr>
      </w:pPr>
      <w:proofErr w:type="spellStart"/>
      <w:r w:rsidRPr="00AB00D4">
        <w:rPr>
          <w:color w:val="000000"/>
        </w:rPr>
        <w:t>Halbwachs</w:t>
      </w:r>
      <w:proofErr w:type="spellEnd"/>
      <w:r w:rsidRPr="00AB00D4">
        <w:rPr>
          <w:color w:val="000000"/>
        </w:rPr>
        <w:t>, Maurice 1992 [1952]. </w:t>
      </w:r>
      <w:r w:rsidRPr="00AB00D4">
        <w:rPr>
          <w:i/>
          <w:iCs/>
          <w:color w:val="000000"/>
        </w:rPr>
        <w:t>On Collective Memory,</w:t>
      </w:r>
      <w:r w:rsidRPr="00AB00D4">
        <w:rPr>
          <w:color w:val="000000"/>
        </w:rPr>
        <w:t> </w:t>
      </w:r>
      <w:proofErr w:type="gramStart"/>
      <w:r w:rsidRPr="00AB00D4">
        <w:rPr>
          <w:color w:val="000000"/>
        </w:rPr>
        <w:t>ed.</w:t>
      </w:r>
      <w:proofErr w:type="gramEnd"/>
      <w:r w:rsidRPr="00AB00D4">
        <w:rPr>
          <w:color w:val="000000"/>
        </w:rPr>
        <w:t xml:space="preserve"> and trans. Lewis Coser. Chicago, Illinois: University of Chicago Press.</w:t>
      </w:r>
    </w:p>
    <w:p w14:paraId="799C2E93" w14:textId="77777777" w:rsidR="009E2CBA" w:rsidRDefault="009E2CBA" w:rsidP="0094330B">
      <w:pPr>
        <w:pStyle w:val="NormalWeb"/>
        <w:ind w:left="567" w:hanging="567"/>
        <w:jc w:val="both"/>
        <w:rPr>
          <w:color w:val="000000"/>
        </w:rPr>
      </w:pPr>
      <w:r>
        <w:rPr>
          <w:color w:val="000000"/>
        </w:rPr>
        <w:t xml:space="preserve">Hirst, W., Yamashiro, J.K. and </w:t>
      </w:r>
      <w:proofErr w:type="spellStart"/>
      <w:r>
        <w:rPr>
          <w:color w:val="000000"/>
        </w:rPr>
        <w:t>Coman</w:t>
      </w:r>
      <w:proofErr w:type="spellEnd"/>
      <w:r>
        <w:rPr>
          <w:color w:val="000000"/>
        </w:rPr>
        <w:t>, A. (2018). ‘Collective Memory from a Psychological Perspective’,</w:t>
      </w:r>
      <w:r w:rsidRPr="00AB00D4">
        <w:t> </w:t>
      </w:r>
      <w:r w:rsidRPr="00AB00D4">
        <w:rPr>
          <w:i/>
          <w:iCs/>
          <w:color w:val="000000"/>
        </w:rPr>
        <w:t>Trends in Cognitive Sciences</w:t>
      </w:r>
      <w:r>
        <w:rPr>
          <w:color w:val="000000"/>
        </w:rPr>
        <w:t xml:space="preserve">, 22(5), pp. 438–451. </w:t>
      </w:r>
    </w:p>
    <w:p w14:paraId="77B3A660" w14:textId="77777777" w:rsidR="009E2CBA" w:rsidRDefault="009E2CBA" w:rsidP="0094330B">
      <w:pPr>
        <w:pStyle w:val="NormalWeb"/>
        <w:ind w:left="567" w:hanging="567"/>
        <w:jc w:val="both"/>
        <w:rPr>
          <w:color w:val="000000"/>
        </w:rPr>
      </w:pPr>
      <w:r w:rsidRPr="0094330B">
        <w:rPr>
          <w:color w:val="000000"/>
        </w:rPr>
        <w:t xml:space="preserve">Mayo, J. M. (1988). </w:t>
      </w:r>
      <w:r>
        <w:rPr>
          <w:color w:val="000000"/>
        </w:rPr>
        <w:t>‘</w:t>
      </w:r>
      <w:r w:rsidRPr="0094330B">
        <w:rPr>
          <w:color w:val="000000"/>
        </w:rPr>
        <w:t>War Memorials as Political Memory</w:t>
      </w:r>
      <w:r>
        <w:rPr>
          <w:color w:val="000000"/>
        </w:rPr>
        <w:t>’,</w:t>
      </w:r>
      <w:r w:rsidRPr="0094330B">
        <w:rPr>
          <w:color w:val="000000"/>
        </w:rPr>
        <w:t> </w:t>
      </w:r>
      <w:r w:rsidRPr="0094330B">
        <w:rPr>
          <w:i/>
          <w:iCs/>
          <w:color w:val="000000"/>
        </w:rPr>
        <w:t>Geographical Review</w:t>
      </w:r>
      <w:r w:rsidRPr="0094330B">
        <w:rPr>
          <w:color w:val="000000"/>
        </w:rPr>
        <w:t xml:space="preserve">, 78(1), 62–75. </w:t>
      </w:r>
    </w:p>
    <w:p w14:paraId="42029D26" w14:textId="77777777" w:rsidR="009E2CBA" w:rsidRPr="00AB00D4" w:rsidRDefault="009E2CBA" w:rsidP="00367688">
      <w:pPr>
        <w:spacing w:line="360" w:lineRule="auto"/>
        <w:ind w:firstLine="397"/>
        <w:rPr>
          <w:rFonts w:ascii="Times New Roman" w:eastAsia="Times New Roman" w:hAnsi="Times New Roman" w:cs="Times New Roman"/>
          <w:color w:val="000000"/>
          <w:lang w:eastAsia="en-GB"/>
        </w:rPr>
      </w:pPr>
      <w:proofErr w:type="spellStart"/>
      <w:r w:rsidRPr="00AB00D4">
        <w:rPr>
          <w:rFonts w:ascii="Times New Roman" w:eastAsia="Times New Roman" w:hAnsi="Times New Roman" w:cs="Times New Roman"/>
          <w:color w:val="000000"/>
          <w:lang w:eastAsia="en-GB"/>
        </w:rPr>
        <w:t>Neiger</w:t>
      </w:r>
      <w:proofErr w:type="spellEnd"/>
      <w:r w:rsidRPr="00AB00D4">
        <w:rPr>
          <w:rFonts w:ascii="Times New Roman" w:eastAsia="Times New Roman" w:hAnsi="Times New Roman" w:cs="Times New Roman"/>
          <w:color w:val="000000"/>
          <w:lang w:eastAsia="en-GB"/>
        </w:rPr>
        <w:t xml:space="preserve">, M., Meyers, M. and </w:t>
      </w:r>
      <w:proofErr w:type="spellStart"/>
      <w:r w:rsidRPr="00AB00D4">
        <w:rPr>
          <w:rFonts w:ascii="Times New Roman" w:eastAsia="Times New Roman" w:hAnsi="Times New Roman" w:cs="Times New Roman"/>
          <w:color w:val="000000"/>
          <w:lang w:eastAsia="en-GB"/>
        </w:rPr>
        <w:t>Zandberg</w:t>
      </w:r>
      <w:proofErr w:type="spellEnd"/>
      <w:r w:rsidRPr="00AB00D4">
        <w:rPr>
          <w:rFonts w:ascii="Times New Roman" w:eastAsia="Times New Roman" w:hAnsi="Times New Roman" w:cs="Times New Roman"/>
          <w:color w:val="000000"/>
          <w:lang w:eastAsia="en-GB"/>
        </w:rPr>
        <w:t>, E. (2011)</w:t>
      </w:r>
      <w:r>
        <w:rPr>
          <w:rFonts w:ascii="Times New Roman" w:eastAsia="Times New Roman" w:hAnsi="Times New Roman" w:cs="Times New Roman"/>
          <w:color w:val="000000"/>
          <w:lang w:eastAsia="en-GB"/>
        </w:rPr>
        <w:t xml:space="preserve">. </w:t>
      </w:r>
      <w:r w:rsidRPr="00AB00D4">
        <w:rPr>
          <w:rFonts w:ascii="Times New Roman" w:eastAsia="Times New Roman" w:hAnsi="Times New Roman" w:cs="Times New Roman"/>
          <w:i/>
          <w:iCs/>
          <w:color w:val="000000"/>
          <w:lang w:eastAsia="en-GB"/>
        </w:rPr>
        <w:t>On Media Memory: Collective Memory in a New Media Age</w:t>
      </w:r>
      <w:r w:rsidRPr="00AB00D4">
        <w:rPr>
          <w:rFonts w:ascii="Times New Roman" w:eastAsia="Times New Roman" w:hAnsi="Times New Roman" w:cs="Times New Roman"/>
          <w:color w:val="000000"/>
          <w:lang w:eastAsia="en-GB"/>
        </w:rPr>
        <w:t>, Palgrave Macmillan, London, UK.</w:t>
      </w:r>
    </w:p>
    <w:p w14:paraId="79538069" w14:textId="77777777" w:rsidR="009E2CBA" w:rsidRPr="00AB00D4" w:rsidRDefault="009E2CBA" w:rsidP="0094330B">
      <w:pPr>
        <w:pStyle w:val="NormalWeb"/>
        <w:ind w:left="567" w:hanging="567"/>
        <w:jc w:val="both"/>
        <w:rPr>
          <w:color w:val="000000"/>
        </w:rPr>
      </w:pPr>
      <w:r w:rsidRPr="00AB00D4">
        <w:rPr>
          <w:color w:val="000000"/>
        </w:rPr>
        <w:t>Nora, P. (1989)</w:t>
      </w:r>
      <w:r>
        <w:rPr>
          <w:color w:val="000000"/>
        </w:rPr>
        <w:t>.</w:t>
      </w:r>
      <w:r w:rsidRPr="00AB00D4">
        <w:rPr>
          <w:color w:val="000000"/>
        </w:rPr>
        <w:t xml:space="preserve"> ‘Between memory and history: Les </w:t>
      </w:r>
      <w:proofErr w:type="spellStart"/>
      <w:r w:rsidRPr="00AB00D4">
        <w:rPr>
          <w:color w:val="000000"/>
        </w:rPr>
        <w:t>Lieux</w:t>
      </w:r>
      <w:proofErr w:type="spellEnd"/>
      <w:r w:rsidRPr="00AB00D4">
        <w:rPr>
          <w:color w:val="000000"/>
        </w:rPr>
        <w:t xml:space="preserve"> de </w:t>
      </w:r>
      <w:proofErr w:type="spellStart"/>
      <w:r w:rsidRPr="00AB00D4">
        <w:rPr>
          <w:color w:val="000000"/>
        </w:rPr>
        <w:t>Mémoire</w:t>
      </w:r>
      <w:proofErr w:type="spellEnd"/>
      <w:r w:rsidRPr="00AB00D4">
        <w:rPr>
          <w:color w:val="000000"/>
        </w:rPr>
        <w:t xml:space="preserve">’, </w:t>
      </w:r>
      <w:r w:rsidRPr="00AB00D4">
        <w:rPr>
          <w:i/>
          <w:iCs/>
          <w:color w:val="000000"/>
        </w:rPr>
        <w:t>Representations</w:t>
      </w:r>
      <w:r w:rsidRPr="00AB00D4">
        <w:rPr>
          <w:color w:val="000000"/>
        </w:rPr>
        <w:t>, 26, pp. 7–24. </w:t>
      </w:r>
    </w:p>
    <w:p w14:paraId="13723289" w14:textId="77777777" w:rsidR="009E2CBA" w:rsidRDefault="009E2CBA" w:rsidP="0094330B">
      <w:pPr>
        <w:pStyle w:val="NormalWeb"/>
        <w:ind w:left="567" w:hanging="567"/>
        <w:jc w:val="both"/>
        <w:rPr>
          <w:color w:val="000000"/>
        </w:rPr>
      </w:pPr>
      <w:r>
        <w:rPr>
          <w:color w:val="000000"/>
        </w:rPr>
        <w:t xml:space="preserve">Saunders, A. (2018). </w:t>
      </w:r>
      <w:r w:rsidRPr="00AB00D4">
        <w:rPr>
          <w:i/>
          <w:iCs/>
          <w:color w:val="000000"/>
        </w:rPr>
        <w:t>Memory, Monuments and Memorialization</w:t>
      </w:r>
      <w:r>
        <w:rPr>
          <w:color w:val="000000"/>
        </w:rPr>
        <w:t>. In</w:t>
      </w:r>
      <w:r w:rsidRPr="00AB00D4">
        <w:t> </w:t>
      </w:r>
      <w:r w:rsidRPr="00AB00D4">
        <w:rPr>
          <w:color w:val="000000"/>
        </w:rPr>
        <w:t>Memorializing the GDR: Monuments and Memory after 1989</w:t>
      </w:r>
      <w:r w:rsidRPr="00AB00D4">
        <w:t> </w:t>
      </w:r>
      <w:r>
        <w:rPr>
          <w:color w:val="000000"/>
        </w:rPr>
        <w:t xml:space="preserve">(1st ed., pp. 25–54). </w:t>
      </w:r>
      <w:proofErr w:type="spellStart"/>
      <w:r>
        <w:rPr>
          <w:color w:val="000000"/>
        </w:rPr>
        <w:t>Berghahn</w:t>
      </w:r>
      <w:proofErr w:type="spellEnd"/>
      <w:r>
        <w:rPr>
          <w:color w:val="000000"/>
        </w:rPr>
        <w:t xml:space="preserve"> Books. </w:t>
      </w:r>
    </w:p>
    <w:p w14:paraId="1F0964F3" w14:textId="77777777" w:rsidR="009E2CBA" w:rsidRDefault="009E2CBA" w:rsidP="0094330B">
      <w:pPr>
        <w:pStyle w:val="NormalWeb"/>
        <w:ind w:left="567" w:hanging="567"/>
        <w:jc w:val="both"/>
        <w:rPr>
          <w:color w:val="000000"/>
        </w:rPr>
      </w:pPr>
      <w:r>
        <w:rPr>
          <w:color w:val="000000"/>
        </w:rPr>
        <w:t xml:space="preserve">Shevchenko, T. (1977) </w:t>
      </w:r>
      <w:r w:rsidRPr="00AB00D4">
        <w:rPr>
          <w:color w:val="000000"/>
        </w:rPr>
        <w:t>“Katerina</w:t>
      </w:r>
      <w:r>
        <w:rPr>
          <w:color w:val="000000"/>
        </w:rPr>
        <w:t xml:space="preserve">” </w:t>
      </w:r>
      <w:r w:rsidRPr="00AB00D4">
        <w:rPr>
          <w:color w:val="000000"/>
        </w:rPr>
        <w:t>trans</w:t>
      </w:r>
      <w:r>
        <w:rPr>
          <w:color w:val="000000"/>
        </w:rPr>
        <w:t>.</w:t>
      </w:r>
      <w:r w:rsidRPr="00AB00D4">
        <w:rPr>
          <w:color w:val="000000"/>
        </w:rPr>
        <w:t xml:space="preserve"> by John Weir</w:t>
      </w:r>
      <w:r>
        <w:rPr>
          <w:color w:val="000000"/>
        </w:rPr>
        <w:t>, J. Available at:</w:t>
      </w:r>
      <w:r w:rsidRPr="00AB00D4">
        <w:t> </w:t>
      </w:r>
      <w:hyperlink r:id="rId4" w:history="1">
        <w:r w:rsidRPr="00AB00D4">
          <w:rPr>
            <w:color w:val="000000"/>
          </w:rPr>
          <w:t>https://taras-shevchenko.storinka.org/katerina-poem-of-taras-shevchenko-translated-by-john-weir.html</w:t>
        </w:r>
      </w:hyperlink>
      <w:r>
        <w:rPr>
          <w:color w:val="000000"/>
        </w:rPr>
        <w:t>.</w:t>
      </w:r>
    </w:p>
    <w:p w14:paraId="46727413" w14:textId="77777777" w:rsidR="009E2CBA" w:rsidRDefault="009E2CBA" w:rsidP="0094330B">
      <w:pPr>
        <w:pStyle w:val="NormalWeb"/>
        <w:ind w:left="567" w:hanging="567"/>
        <w:jc w:val="both"/>
        <w:rPr>
          <w:color w:val="000000"/>
        </w:rPr>
      </w:pPr>
      <w:r>
        <w:rPr>
          <w:color w:val="000000"/>
        </w:rPr>
        <w:t>Stroud, S. R., &amp; Henson, J. A. (2019). ‘Memory, Reconstruction, and Ethics in Memorialization’,</w:t>
      </w:r>
      <w:r w:rsidRPr="00AB00D4">
        <w:t> </w:t>
      </w:r>
      <w:r w:rsidRPr="00AB00D4">
        <w:rPr>
          <w:i/>
          <w:iCs/>
          <w:color w:val="000000"/>
        </w:rPr>
        <w:t>The Journal of Speculative Philosophy</w:t>
      </w:r>
      <w:r>
        <w:rPr>
          <w:color w:val="000000"/>
        </w:rPr>
        <w:t>,</w:t>
      </w:r>
      <w:r w:rsidRPr="00AB00D4">
        <w:t> </w:t>
      </w:r>
      <w:r w:rsidRPr="00AB00D4">
        <w:rPr>
          <w:color w:val="000000"/>
        </w:rPr>
        <w:t>33</w:t>
      </w:r>
      <w:r>
        <w:rPr>
          <w:color w:val="000000"/>
        </w:rPr>
        <w:t xml:space="preserve">(2), 282–299. </w:t>
      </w:r>
    </w:p>
    <w:p w14:paraId="2FDBE6C7" w14:textId="77777777" w:rsidR="009E2CBA" w:rsidRDefault="009E2CBA" w:rsidP="00AB00D4">
      <w:pPr>
        <w:pStyle w:val="NormalWeb"/>
        <w:ind w:left="567" w:hanging="567"/>
        <w:jc w:val="both"/>
        <w:rPr>
          <w:color w:val="000000"/>
        </w:rPr>
      </w:pPr>
      <w:proofErr w:type="spellStart"/>
      <w:r w:rsidRPr="00AB00D4">
        <w:rPr>
          <w:color w:val="000000"/>
        </w:rPr>
        <w:t>Vuckovic</w:t>
      </w:r>
      <w:proofErr w:type="spellEnd"/>
      <w:r w:rsidRPr="00AB00D4">
        <w:rPr>
          <w:color w:val="000000"/>
        </w:rPr>
        <w:t>, J. T. (2012)</w:t>
      </w:r>
      <w:r>
        <w:rPr>
          <w:color w:val="000000"/>
        </w:rPr>
        <w:t>.</w:t>
      </w:r>
      <w:r w:rsidRPr="00AB00D4">
        <w:rPr>
          <w:color w:val="000000"/>
        </w:rPr>
        <w:t xml:space="preserve"> </w:t>
      </w:r>
      <w:r>
        <w:rPr>
          <w:color w:val="000000"/>
        </w:rPr>
        <w:t>‘</w:t>
      </w:r>
      <w:r w:rsidRPr="00AB00D4">
        <w:rPr>
          <w:color w:val="000000"/>
        </w:rPr>
        <w:t>Intertwining research decisions and theoretical foundations: an example of collective memories research</w:t>
      </w:r>
      <w:r>
        <w:rPr>
          <w:color w:val="000000"/>
        </w:rPr>
        <w:t>’,</w:t>
      </w:r>
      <w:r w:rsidRPr="00AB00D4">
        <w:rPr>
          <w:color w:val="000000"/>
        </w:rPr>
        <w:t xml:space="preserve"> </w:t>
      </w:r>
      <w:proofErr w:type="spellStart"/>
      <w:r w:rsidRPr="00E23C0D">
        <w:rPr>
          <w:i/>
          <w:iCs/>
          <w:color w:val="000000"/>
        </w:rPr>
        <w:t>Revija</w:t>
      </w:r>
      <w:proofErr w:type="spellEnd"/>
      <w:r w:rsidRPr="00E23C0D">
        <w:rPr>
          <w:i/>
          <w:iCs/>
          <w:color w:val="000000"/>
        </w:rPr>
        <w:t xml:space="preserve"> za </w:t>
      </w:r>
      <w:proofErr w:type="spellStart"/>
      <w:r w:rsidRPr="00E23C0D">
        <w:rPr>
          <w:i/>
          <w:iCs/>
          <w:color w:val="000000"/>
        </w:rPr>
        <w:t>sociologiju</w:t>
      </w:r>
      <w:proofErr w:type="spellEnd"/>
      <w:r w:rsidRPr="00AB00D4">
        <w:rPr>
          <w:color w:val="000000"/>
        </w:rPr>
        <w:t>, 2012, Vol.</w:t>
      </w:r>
      <w:r>
        <w:rPr>
          <w:color w:val="000000"/>
        </w:rPr>
        <w:t xml:space="preserve"> </w:t>
      </w:r>
      <w:r w:rsidRPr="00AB00D4">
        <w:rPr>
          <w:color w:val="000000"/>
        </w:rPr>
        <w:t xml:space="preserve">42 (2), p.141-160. </w:t>
      </w:r>
    </w:p>
    <w:p w14:paraId="682CF455" w14:textId="669E7735" w:rsidR="00AB00D4" w:rsidRDefault="00AB00D4" w:rsidP="00AB00D4">
      <w:pPr>
        <w:pStyle w:val="NormalWeb"/>
      </w:pPr>
    </w:p>
    <w:p w14:paraId="6EDAE996" w14:textId="42612015" w:rsidR="000250C1" w:rsidRPr="009E2CBA" w:rsidRDefault="000250C1" w:rsidP="009E2CBA">
      <w:pPr>
        <w:pStyle w:val="NormalWeb"/>
        <w:rPr>
          <w:rFonts w:eastAsiaTheme="minorHAnsi"/>
          <w:lang w:val="en-US" w:eastAsia="en-US"/>
        </w:rPr>
      </w:pPr>
    </w:p>
    <w:sectPr w:rsidR="000250C1" w:rsidRPr="009E2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ADA"/>
    <w:rsid w:val="00011ADA"/>
    <w:rsid w:val="00011AF1"/>
    <w:rsid w:val="0001323D"/>
    <w:rsid w:val="00017E86"/>
    <w:rsid w:val="000216FD"/>
    <w:rsid w:val="000250C1"/>
    <w:rsid w:val="00030F59"/>
    <w:rsid w:val="000414AB"/>
    <w:rsid w:val="00043256"/>
    <w:rsid w:val="000440AE"/>
    <w:rsid w:val="00053E55"/>
    <w:rsid w:val="00054764"/>
    <w:rsid w:val="00086B46"/>
    <w:rsid w:val="000931D4"/>
    <w:rsid w:val="000946FE"/>
    <w:rsid w:val="000A150A"/>
    <w:rsid w:val="000B1F18"/>
    <w:rsid w:val="000D6916"/>
    <w:rsid w:val="000D7EAA"/>
    <w:rsid w:val="000E3D0E"/>
    <w:rsid w:val="000E608C"/>
    <w:rsid w:val="000F3943"/>
    <w:rsid w:val="001039FB"/>
    <w:rsid w:val="00110654"/>
    <w:rsid w:val="0011203A"/>
    <w:rsid w:val="00113637"/>
    <w:rsid w:val="0012018B"/>
    <w:rsid w:val="00133DB8"/>
    <w:rsid w:val="00150A15"/>
    <w:rsid w:val="001563B7"/>
    <w:rsid w:val="00176B6B"/>
    <w:rsid w:val="001837DB"/>
    <w:rsid w:val="00185CA7"/>
    <w:rsid w:val="0019358D"/>
    <w:rsid w:val="001A08A1"/>
    <w:rsid w:val="001C0B7E"/>
    <w:rsid w:val="001E2DA2"/>
    <w:rsid w:val="001E5F30"/>
    <w:rsid w:val="001E67A8"/>
    <w:rsid w:val="001F367E"/>
    <w:rsid w:val="001F390C"/>
    <w:rsid w:val="001F7409"/>
    <w:rsid w:val="00200EF5"/>
    <w:rsid w:val="00202AFA"/>
    <w:rsid w:val="00215D84"/>
    <w:rsid w:val="002403D7"/>
    <w:rsid w:val="00246AF4"/>
    <w:rsid w:val="0025615A"/>
    <w:rsid w:val="00270591"/>
    <w:rsid w:val="00272116"/>
    <w:rsid w:val="00293418"/>
    <w:rsid w:val="002946D0"/>
    <w:rsid w:val="002A2D59"/>
    <w:rsid w:val="002A4596"/>
    <w:rsid w:val="002A5B40"/>
    <w:rsid w:val="002A73D0"/>
    <w:rsid w:val="002A7755"/>
    <w:rsid w:val="002B1432"/>
    <w:rsid w:val="002B2EDB"/>
    <w:rsid w:val="002B6959"/>
    <w:rsid w:val="002C1AE1"/>
    <w:rsid w:val="002D3767"/>
    <w:rsid w:val="003033F5"/>
    <w:rsid w:val="0030417E"/>
    <w:rsid w:val="003056AE"/>
    <w:rsid w:val="00310102"/>
    <w:rsid w:val="00337F69"/>
    <w:rsid w:val="00363306"/>
    <w:rsid w:val="00363BCE"/>
    <w:rsid w:val="00367688"/>
    <w:rsid w:val="00370F3F"/>
    <w:rsid w:val="003C346C"/>
    <w:rsid w:val="003C791B"/>
    <w:rsid w:val="003D2C93"/>
    <w:rsid w:val="003E2A17"/>
    <w:rsid w:val="003E4FE2"/>
    <w:rsid w:val="003E755E"/>
    <w:rsid w:val="003F0EEA"/>
    <w:rsid w:val="003F3BFC"/>
    <w:rsid w:val="003F476C"/>
    <w:rsid w:val="004200E3"/>
    <w:rsid w:val="004261A7"/>
    <w:rsid w:val="00431A71"/>
    <w:rsid w:val="00451F1D"/>
    <w:rsid w:val="0045330A"/>
    <w:rsid w:val="00454B62"/>
    <w:rsid w:val="00455422"/>
    <w:rsid w:val="00455651"/>
    <w:rsid w:val="00474B98"/>
    <w:rsid w:val="00474E17"/>
    <w:rsid w:val="00491836"/>
    <w:rsid w:val="00492518"/>
    <w:rsid w:val="00492954"/>
    <w:rsid w:val="00495B47"/>
    <w:rsid w:val="004A0828"/>
    <w:rsid w:val="004A17BA"/>
    <w:rsid w:val="004A613F"/>
    <w:rsid w:val="004B1E3C"/>
    <w:rsid w:val="004C3F7F"/>
    <w:rsid w:val="004F49B7"/>
    <w:rsid w:val="00500719"/>
    <w:rsid w:val="00524D58"/>
    <w:rsid w:val="0053193F"/>
    <w:rsid w:val="005648C2"/>
    <w:rsid w:val="005803A2"/>
    <w:rsid w:val="005816E1"/>
    <w:rsid w:val="0058193D"/>
    <w:rsid w:val="00595066"/>
    <w:rsid w:val="005A4855"/>
    <w:rsid w:val="005A6221"/>
    <w:rsid w:val="005B5A86"/>
    <w:rsid w:val="005B6DAF"/>
    <w:rsid w:val="005D4685"/>
    <w:rsid w:val="005D5F1A"/>
    <w:rsid w:val="005E3755"/>
    <w:rsid w:val="005E7DCE"/>
    <w:rsid w:val="005F2B75"/>
    <w:rsid w:val="00620208"/>
    <w:rsid w:val="006244DF"/>
    <w:rsid w:val="006444D7"/>
    <w:rsid w:val="00650A84"/>
    <w:rsid w:val="00656C5F"/>
    <w:rsid w:val="00663743"/>
    <w:rsid w:val="006701C7"/>
    <w:rsid w:val="00683F54"/>
    <w:rsid w:val="0068772F"/>
    <w:rsid w:val="006926CC"/>
    <w:rsid w:val="0069635F"/>
    <w:rsid w:val="006C6BA5"/>
    <w:rsid w:val="006C7D5E"/>
    <w:rsid w:val="006F755B"/>
    <w:rsid w:val="007018A8"/>
    <w:rsid w:val="00744462"/>
    <w:rsid w:val="00750880"/>
    <w:rsid w:val="00751237"/>
    <w:rsid w:val="007558D6"/>
    <w:rsid w:val="0075772F"/>
    <w:rsid w:val="007616BE"/>
    <w:rsid w:val="00796DC0"/>
    <w:rsid w:val="007A4BCA"/>
    <w:rsid w:val="007A7A73"/>
    <w:rsid w:val="007C5C1B"/>
    <w:rsid w:val="007C751B"/>
    <w:rsid w:val="007D119D"/>
    <w:rsid w:val="007D71AE"/>
    <w:rsid w:val="007E11A6"/>
    <w:rsid w:val="007F52FA"/>
    <w:rsid w:val="00805A72"/>
    <w:rsid w:val="008063B3"/>
    <w:rsid w:val="008119AC"/>
    <w:rsid w:val="00812F72"/>
    <w:rsid w:val="0081325D"/>
    <w:rsid w:val="00834466"/>
    <w:rsid w:val="00840194"/>
    <w:rsid w:val="008412CB"/>
    <w:rsid w:val="008467B1"/>
    <w:rsid w:val="00853141"/>
    <w:rsid w:val="00872EC4"/>
    <w:rsid w:val="008B0455"/>
    <w:rsid w:val="008B4A1B"/>
    <w:rsid w:val="008E04A9"/>
    <w:rsid w:val="008E1545"/>
    <w:rsid w:val="008E74FF"/>
    <w:rsid w:val="008F798C"/>
    <w:rsid w:val="008F7AF3"/>
    <w:rsid w:val="00901E54"/>
    <w:rsid w:val="00906BD7"/>
    <w:rsid w:val="00910CB0"/>
    <w:rsid w:val="0094330B"/>
    <w:rsid w:val="00947AAF"/>
    <w:rsid w:val="00951F28"/>
    <w:rsid w:val="0097449A"/>
    <w:rsid w:val="009754AE"/>
    <w:rsid w:val="0098241E"/>
    <w:rsid w:val="00993AA4"/>
    <w:rsid w:val="009A20E3"/>
    <w:rsid w:val="009A4116"/>
    <w:rsid w:val="009B3274"/>
    <w:rsid w:val="009D2071"/>
    <w:rsid w:val="009D7FE9"/>
    <w:rsid w:val="009E2CBA"/>
    <w:rsid w:val="009E79D7"/>
    <w:rsid w:val="009F1A6E"/>
    <w:rsid w:val="00A00B37"/>
    <w:rsid w:val="00A23C62"/>
    <w:rsid w:val="00A31610"/>
    <w:rsid w:val="00A36314"/>
    <w:rsid w:val="00A409F1"/>
    <w:rsid w:val="00A45D95"/>
    <w:rsid w:val="00A46AAB"/>
    <w:rsid w:val="00A73A6E"/>
    <w:rsid w:val="00A84AB4"/>
    <w:rsid w:val="00A863AA"/>
    <w:rsid w:val="00A961A0"/>
    <w:rsid w:val="00AA24C9"/>
    <w:rsid w:val="00AA3E62"/>
    <w:rsid w:val="00AB00D4"/>
    <w:rsid w:val="00AB0C29"/>
    <w:rsid w:val="00AB2291"/>
    <w:rsid w:val="00AB35AA"/>
    <w:rsid w:val="00AB7DF1"/>
    <w:rsid w:val="00AC3865"/>
    <w:rsid w:val="00AD0F44"/>
    <w:rsid w:val="00AD16E2"/>
    <w:rsid w:val="00AD22A3"/>
    <w:rsid w:val="00AD49D4"/>
    <w:rsid w:val="00AE765A"/>
    <w:rsid w:val="00AF0484"/>
    <w:rsid w:val="00B267F7"/>
    <w:rsid w:val="00B27CA6"/>
    <w:rsid w:val="00B30691"/>
    <w:rsid w:val="00B36607"/>
    <w:rsid w:val="00B37CA2"/>
    <w:rsid w:val="00B41C97"/>
    <w:rsid w:val="00B4792C"/>
    <w:rsid w:val="00B554C3"/>
    <w:rsid w:val="00B968B3"/>
    <w:rsid w:val="00BA63E3"/>
    <w:rsid w:val="00BA6E55"/>
    <w:rsid w:val="00BB2380"/>
    <w:rsid w:val="00BB7191"/>
    <w:rsid w:val="00BD4071"/>
    <w:rsid w:val="00BE1AFD"/>
    <w:rsid w:val="00BE72E8"/>
    <w:rsid w:val="00C323CC"/>
    <w:rsid w:val="00C32523"/>
    <w:rsid w:val="00C412A8"/>
    <w:rsid w:val="00C710CD"/>
    <w:rsid w:val="00C7149C"/>
    <w:rsid w:val="00C73003"/>
    <w:rsid w:val="00C75B0B"/>
    <w:rsid w:val="00C77955"/>
    <w:rsid w:val="00C84E99"/>
    <w:rsid w:val="00C9322A"/>
    <w:rsid w:val="00C967BC"/>
    <w:rsid w:val="00CA6A84"/>
    <w:rsid w:val="00CD4721"/>
    <w:rsid w:val="00CD54D5"/>
    <w:rsid w:val="00CD56B3"/>
    <w:rsid w:val="00CD72C1"/>
    <w:rsid w:val="00CF5721"/>
    <w:rsid w:val="00CF7BAC"/>
    <w:rsid w:val="00D153CB"/>
    <w:rsid w:val="00D20EB1"/>
    <w:rsid w:val="00D210F8"/>
    <w:rsid w:val="00D60E7B"/>
    <w:rsid w:val="00D64635"/>
    <w:rsid w:val="00D91B9B"/>
    <w:rsid w:val="00D94C54"/>
    <w:rsid w:val="00DD6A72"/>
    <w:rsid w:val="00DD6FD0"/>
    <w:rsid w:val="00DE3AF1"/>
    <w:rsid w:val="00DE5D98"/>
    <w:rsid w:val="00E05F0E"/>
    <w:rsid w:val="00E23C0D"/>
    <w:rsid w:val="00E510DA"/>
    <w:rsid w:val="00E521D6"/>
    <w:rsid w:val="00E53CB3"/>
    <w:rsid w:val="00E67618"/>
    <w:rsid w:val="00E80346"/>
    <w:rsid w:val="00E85C4E"/>
    <w:rsid w:val="00E9682B"/>
    <w:rsid w:val="00EA0DC2"/>
    <w:rsid w:val="00EC175E"/>
    <w:rsid w:val="00EE5B85"/>
    <w:rsid w:val="00EF1F30"/>
    <w:rsid w:val="00EF4ADF"/>
    <w:rsid w:val="00EF4F59"/>
    <w:rsid w:val="00F17103"/>
    <w:rsid w:val="00F35296"/>
    <w:rsid w:val="00F35E64"/>
    <w:rsid w:val="00F566CF"/>
    <w:rsid w:val="00F665FB"/>
    <w:rsid w:val="00F70CE9"/>
    <w:rsid w:val="00F73F37"/>
    <w:rsid w:val="00F74E83"/>
    <w:rsid w:val="00F8040E"/>
    <w:rsid w:val="00F82AEF"/>
    <w:rsid w:val="00F90CAF"/>
    <w:rsid w:val="00FA49C8"/>
    <w:rsid w:val="00FC700B"/>
    <w:rsid w:val="00FD0E3C"/>
    <w:rsid w:val="00FD342D"/>
    <w:rsid w:val="00FD4BA3"/>
    <w:rsid w:val="00FD6890"/>
    <w:rsid w:val="00FE258E"/>
    <w:rsid w:val="00FF21F8"/>
    <w:rsid w:val="00FF3FB9"/>
    <w:rsid w:val="00FF4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F4DB2D"/>
  <w15:chartTrackingRefBased/>
  <w15:docId w15:val="{718F329C-442A-A24A-82E9-97EB34C39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4330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1ADA"/>
    <w:pPr>
      <w:spacing w:before="100" w:beforeAutospacing="1" w:after="100" w:afterAutospacing="1"/>
    </w:pPr>
    <w:rPr>
      <w:rFonts w:ascii="Times New Roman" w:eastAsia="Times New Roman" w:hAnsi="Times New Roman" w:cs="Times New Roman"/>
      <w:lang w:eastAsia="en-GB"/>
    </w:rPr>
  </w:style>
  <w:style w:type="character" w:customStyle="1" w:styleId="sw">
    <w:name w:val="sw"/>
    <w:basedOn w:val="DefaultParagraphFont"/>
    <w:rsid w:val="003033F5"/>
  </w:style>
  <w:style w:type="character" w:customStyle="1" w:styleId="apple-converted-space">
    <w:name w:val="apple-converted-space"/>
    <w:basedOn w:val="DefaultParagraphFont"/>
    <w:rsid w:val="00367688"/>
  </w:style>
  <w:style w:type="character" w:styleId="Emphasis">
    <w:name w:val="Emphasis"/>
    <w:basedOn w:val="DefaultParagraphFont"/>
    <w:uiPriority w:val="20"/>
    <w:qFormat/>
    <w:rsid w:val="00367688"/>
    <w:rPr>
      <w:i/>
      <w:iCs/>
    </w:rPr>
  </w:style>
  <w:style w:type="character" w:styleId="Hyperlink">
    <w:name w:val="Hyperlink"/>
    <w:basedOn w:val="DefaultParagraphFont"/>
    <w:uiPriority w:val="99"/>
    <w:unhideWhenUsed/>
    <w:rsid w:val="0094330B"/>
    <w:rPr>
      <w:color w:val="0563C1" w:themeColor="hyperlink"/>
      <w:u w:val="single"/>
    </w:rPr>
  </w:style>
  <w:style w:type="character" w:styleId="UnresolvedMention">
    <w:name w:val="Unresolved Mention"/>
    <w:basedOn w:val="DefaultParagraphFont"/>
    <w:uiPriority w:val="99"/>
    <w:semiHidden/>
    <w:unhideWhenUsed/>
    <w:rsid w:val="0094330B"/>
    <w:rPr>
      <w:color w:val="605E5C"/>
      <w:shd w:val="clear" w:color="auto" w:fill="E1DFDD"/>
    </w:rPr>
  </w:style>
  <w:style w:type="character" w:customStyle="1" w:styleId="Heading3Char">
    <w:name w:val="Heading 3 Char"/>
    <w:basedOn w:val="DefaultParagraphFont"/>
    <w:link w:val="Heading3"/>
    <w:uiPriority w:val="9"/>
    <w:rsid w:val="0094330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3321">
      <w:bodyDiv w:val="1"/>
      <w:marLeft w:val="0"/>
      <w:marRight w:val="0"/>
      <w:marTop w:val="0"/>
      <w:marBottom w:val="0"/>
      <w:divBdr>
        <w:top w:val="none" w:sz="0" w:space="0" w:color="auto"/>
        <w:left w:val="none" w:sz="0" w:space="0" w:color="auto"/>
        <w:bottom w:val="none" w:sz="0" w:space="0" w:color="auto"/>
        <w:right w:val="none" w:sz="0" w:space="0" w:color="auto"/>
      </w:divBdr>
      <w:divsChild>
        <w:div w:id="835726820">
          <w:marLeft w:val="0"/>
          <w:marRight w:val="0"/>
          <w:marTop w:val="0"/>
          <w:marBottom w:val="0"/>
          <w:divBdr>
            <w:top w:val="none" w:sz="0" w:space="0" w:color="auto"/>
            <w:left w:val="none" w:sz="0" w:space="0" w:color="auto"/>
            <w:bottom w:val="none" w:sz="0" w:space="0" w:color="auto"/>
            <w:right w:val="none" w:sz="0" w:space="0" w:color="auto"/>
          </w:divBdr>
          <w:divsChild>
            <w:div w:id="356547460">
              <w:marLeft w:val="0"/>
              <w:marRight w:val="0"/>
              <w:marTop w:val="0"/>
              <w:marBottom w:val="0"/>
              <w:divBdr>
                <w:top w:val="none" w:sz="0" w:space="0" w:color="auto"/>
                <w:left w:val="none" w:sz="0" w:space="0" w:color="auto"/>
                <w:bottom w:val="none" w:sz="0" w:space="0" w:color="auto"/>
                <w:right w:val="none" w:sz="0" w:space="0" w:color="auto"/>
              </w:divBdr>
              <w:divsChild>
                <w:div w:id="195035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1937">
      <w:bodyDiv w:val="1"/>
      <w:marLeft w:val="0"/>
      <w:marRight w:val="0"/>
      <w:marTop w:val="0"/>
      <w:marBottom w:val="0"/>
      <w:divBdr>
        <w:top w:val="none" w:sz="0" w:space="0" w:color="auto"/>
        <w:left w:val="none" w:sz="0" w:space="0" w:color="auto"/>
        <w:bottom w:val="none" w:sz="0" w:space="0" w:color="auto"/>
        <w:right w:val="none" w:sz="0" w:space="0" w:color="auto"/>
      </w:divBdr>
      <w:divsChild>
        <w:div w:id="503322572">
          <w:marLeft w:val="0"/>
          <w:marRight w:val="0"/>
          <w:marTop w:val="0"/>
          <w:marBottom w:val="0"/>
          <w:divBdr>
            <w:top w:val="none" w:sz="0" w:space="0" w:color="auto"/>
            <w:left w:val="none" w:sz="0" w:space="0" w:color="auto"/>
            <w:bottom w:val="none" w:sz="0" w:space="0" w:color="auto"/>
            <w:right w:val="none" w:sz="0" w:space="0" w:color="auto"/>
          </w:divBdr>
          <w:divsChild>
            <w:div w:id="1321999543">
              <w:marLeft w:val="0"/>
              <w:marRight w:val="0"/>
              <w:marTop w:val="0"/>
              <w:marBottom w:val="0"/>
              <w:divBdr>
                <w:top w:val="none" w:sz="0" w:space="0" w:color="auto"/>
                <w:left w:val="none" w:sz="0" w:space="0" w:color="auto"/>
                <w:bottom w:val="none" w:sz="0" w:space="0" w:color="auto"/>
                <w:right w:val="none" w:sz="0" w:space="0" w:color="auto"/>
              </w:divBdr>
              <w:divsChild>
                <w:div w:id="1631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062391">
      <w:bodyDiv w:val="1"/>
      <w:marLeft w:val="0"/>
      <w:marRight w:val="0"/>
      <w:marTop w:val="0"/>
      <w:marBottom w:val="0"/>
      <w:divBdr>
        <w:top w:val="none" w:sz="0" w:space="0" w:color="auto"/>
        <w:left w:val="none" w:sz="0" w:space="0" w:color="auto"/>
        <w:bottom w:val="none" w:sz="0" w:space="0" w:color="auto"/>
        <w:right w:val="none" w:sz="0" w:space="0" w:color="auto"/>
      </w:divBdr>
      <w:divsChild>
        <w:div w:id="590046175">
          <w:marLeft w:val="0"/>
          <w:marRight w:val="0"/>
          <w:marTop w:val="0"/>
          <w:marBottom w:val="0"/>
          <w:divBdr>
            <w:top w:val="none" w:sz="0" w:space="0" w:color="auto"/>
            <w:left w:val="none" w:sz="0" w:space="0" w:color="auto"/>
            <w:bottom w:val="none" w:sz="0" w:space="0" w:color="auto"/>
            <w:right w:val="none" w:sz="0" w:space="0" w:color="auto"/>
          </w:divBdr>
          <w:divsChild>
            <w:div w:id="1043218024">
              <w:marLeft w:val="0"/>
              <w:marRight w:val="0"/>
              <w:marTop w:val="0"/>
              <w:marBottom w:val="0"/>
              <w:divBdr>
                <w:top w:val="none" w:sz="0" w:space="0" w:color="auto"/>
                <w:left w:val="none" w:sz="0" w:space="0" w:color="auto"/>
                <w:bottom w:val="none" w:sz="0" w:space="0" w:color="auto"/>
                <w:right w:val="none" w:sz="0" w:space="0" w:color="auto"/>
              </w:divBdr>
              <w:divsChild>
                <w:div w:id="13871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257876">
      <w:bodyDiv w:val="1"/>
      <w:marLeft w:val="0"/>
      <w:marRight w:val="0"/>
      <w:marTop w:val="0"/>
      <w:marBottom w:val="0"/>
      <w:divBdr>
        <w:top w:val="none" w:sz="0" w:space="0" w:color="auto"/>
        <w:left w:val="none" w:sz="0" w:space="0" w:color="auto"/>
        <w:bottom w:val="none" w:sz="0" w:space="0" w:color="auto"/>
        <w:right w:val="none" w:sz="0" w:space="0" w:color="auto"/>
      </w:divBdr>
      <w:divsChild>
        <w:div w:id="1744789540">
          <w:marLeft w:val="0"/>
          <w:marRight w:val="0"/>
          <w:marTop w:val="0"/>
          <w:marBottom w:val="0"/>
          <w:divBdr>
            <w:top w:val="none" w:sz="0" w:space="0" w:color="auto"/>
            <w:left w:val="none" w:sz="0" w:space="0" w:color="auto"/>
            <w:bottom w:val="none" w:sz="0" w:space="0" w:color="auto"/>
            <w:right w:val="none" w:sz="0" w:space="0" w:color="auto"/>
          </w:divBdr>
        </w:div>
        <w:div w:id="1774671669">
          <w:marLeft w:val="0"/>
          <w:marRight w:val="0"/>
          <w:marTop w:val="0"/>
          <w:marBottom w:val="0"/>
          <w:divBdr>
            <w:top w:val="none" w:sz="0" w:space="0" w:color="auto"/>
            <w:left w:val="none" w:sz="0" w:space="0" w:color="auto"/>
            <w:bottom w:val="none" w:sz="0" w:space="0" w:color="auto"/>
            <w:right w:val="none" w:sz="0" w:space="0" w:color="auto"/>
          </w:divBdr>
        </w:div>
      </w:divsChild>
    </w:div>
    <w:div w:id="607350025">
      <w:bodyDiv w:val="1"/>
      <w:marLeft w:val="0"/>
      <w:marRight w:val="0"/>
      <w:marTop w:val="0"/>
      <w:marBottom w:val="0"/>
      <w:divBdr>
        <w:top w:val="none" w:sz="0" w:space="0" w:color="auto"/>
        <w:left w:val="none" w:sz="0" w:space="0" w:color="auto"/>
        <w:bottom w:val="none" w:sz="0" w:space="0" w:color="auto"/>
        <w:right w:val="none" w:sz="0" w:space="0" w:color="auto"/>
      </w:divBdr>
      <w:divsChild>
        <w:div w:id="1711102039">
          <w:marLeft w:val="0"/>
          <w:marRight w:val="0"/>
          <w:marTop w:val="0"/>
          <w:marBottom w:val="0"/>
          <w:divBdr>
            <w:top w:val="none" w:sz="0" w:space="0" w:color="auto"/>
            <w:left w:val="none" w:sz="0" w:space="0" w:color="auto"/>
            <w:bottom w:val="none" w:sz="0" w:space="0" w:color="auto"/>
            <w:right w:val="none" w:sz="0" w:space="0" w:color="auto"/>
          </w:divBdr>
          <w:divsChild>
            <w:div w:id="127672225">
              <w:marLeft w:val="0"/>
              <w:marRight w:val="0"/>
              <w:marTop w:val="0"/>
              <w:marBottom w:val="0"/>
              <w:divBdr>
                <w:top w:val="none" w:sz="0" w:space="0" w:color="auto"/>
                <w:left w:val="none" w:sz="0" w:space="0" w:color="auto"/>
                <w:bottom w:val="none" w:sz="0" w:space="0" w:color="auto"/>
                <w:right w:val="none" w:sz="0" w:space="0" w:color="auto"/>
              </w:divBdr>
              <w:divsChild>
                <w:div w:id="1982222976">
                  <w:marLeft w:val="0"/>
                  <w:marRight w:val="0"/>
                  <w:marTop w:val="0"/>
                  <w:marBottom w:val="0"/>
                  <w:divBdr>
                    <w:top w:val="none" w:sz="0" w:space="0" w:color="auto"/>
                    <w:left w:val="none" w:sz="0" w:space="0" w:color="auto"/>
                    <w:bottom w:val="none" w:sz="0" w:space="0" w:color="auto"/>
                    <w:right w:val="none" w:sz="0" w:space="0" w:color="auto"/>
                  </w:divBdr>
                  <w:divsChild>
                    <w:div w:id="21039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984328">
      <w:bodyDiv w:val="1"/>
      <w:marLeft w:val="0"/>
      <w:marRight w:val="0"/>
      <w:marTop w:val="0"/>
      <w:marBottom w:val="0"/>
      <w:divBdr>
        <w:top w:val="none" w:sz="0" w:space="0" w:color="auto"/>
        <w:left w:val="none" w:sz="0" w:space="0" w:color="auto"/>
        <w:bottom w:val="none" w:sz="0" w:space="0" w:color="auto"/>
        <w:right w:val="none" w:sz="0" w:space="0" w:color="auto"/>
      </w:divBdr>
    </w:div>
    <w:div w:id="1138567500">
      <w:bodyDiv w:val="1"/>
      <w:marLeft w:val="0"/>
      <w:marRight w:val="0"/>
      <w:marTop w:val="0"/>
      <w:marBottom w:val="0"/>
      <w:divBdr>
        <w:top w:val="none" w:sz="0" w:space="0" w:color="auto"/>
        <w:left w:val="none" w:sz="0" w:space="0" w:color="auto"/>
        <w:bottom w:val="none" w:sz="0" w:space="0" w:color="auto"/>
        <w:right w:val="none" w:sz="0" w:space="0" w:color="auto"/>
      </w:divBdr>
      <w:divsChild>
        <w:div w:id="1651862240">
          <w:marLeft w:val="0"/>
          <w:marRight w:val="0"/>
          <w:marTop w:val="0"/>
          <w:marBottom w:val="0"/>
          <w:divBdr>
            <w:top w:val="none" w:sz="0" w:space="0" w:color="auto"/>
            <w:left w:val="none" w:sz="0" w:space="0" w:color="auto"/>
            <w:bottom w:val="none" w:sz="0" w:space="0" w:color="auto"/>
            <w:right w:val="none" w:sz="0" w:space="0" w:color="auto"/>
          </w:divBdr>
          <w:divsChild>
            <w:div w:id="1083141404">
              <w:marLeft w:val="0"/>
              <w:marRight w:val="0"/>
              <w:marTop w:val="0"/>
              <w:marBottom w:val="0"/>
              <w:divBdr>
                <w:top w:val="none" w:sz="0" w:space="0" w:color="auto"/>
                <w:left w:val="none" w:sz="0" w:space="0" w:color="auto"/>
                <w:bottom w:val="none" w:sz="0" w:space="0" w:color="auto"/>
                <w:right w:val="none" w:sz="0" w:space="0" w:color="auto"/>
              </w:divBdr>
              <w:divsChild>
                <w:div w:id="1506434269">
                  <w:marLeft w:val="0"/>
                  <w:marRight w:val="0"/>
                  <w:marTop w:val="0"/>
                  <w:marBottom w:val="0"/>
                  <w:divBdr>
                    <w:top w:val="none" w:sz="0" w:space="0" w:color="auto"/>
                    <w:left w:val="none" w:sz="0" w:space="0" w:color="auto"/>
                    <w:bottom w:val="none" w:sz="0" w:space="0" w:color="auto"/>
                    <w:right w:val="none" w:sz="0" w:space="0" w:color="auto"/>
                  </w:divBdr>
                  <w:divsChild>
                    <w:div w:id="17850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066487">
      <w:bodyDiv w:val="1"/>
      <w:marLeft w:val="0"/>
      <w:marRight w:val="0"/>
      <w:marTop w:val="0"/>
      <w:marBottom w:val="0"/>
      <w:divBdr>
        <w:top w:val="none" w:sz="0" w:space="0" w:color="auto"/>
        <w:left w:val="none" w:sz="0" w:space="0" w:color="auto"/>
        <w:bottom w:val="none" w:sz="0" w:space="0" w:color="auto"/>
        <w:right w:val="none" w:sz="0" w:space="0" w:color="auto"/>
      </w:divBdr>
    </w:div>
    <w:div w:id="1684549549">
      <w:bodyDiv w:val="1"/>
      <w:marLeft w:val="0"/>
      <w:marRight w:val="0"/>
      <w:marTop w:val="0"/>
      <w:marBottom w:val="0"/>
      <w:divBdr>
        <w:top w:val="none" w:sz="0" w:space="0" w:color="auto"/>
        <w:left w:val="none" w:sz="0" w:space="0" w:color="auto"/>
        <w:bottom w:val="none" w:sz="0" w:space="0" w:color="auto"/>
        <w:right w:val="none" w:sz="0" w:space="0" w:color="auto"/>
      </w:divBdr>
      <w:divsChild>
        <w:div w:id="1193493968">
          <w:marLeft w:val="0"/>
          <w:marRight w:val="0"/>
          <w:marTop w:val="0"/>
          <w:marBottom w:val="0"/>
          <w:divBdr>
            <w:top w:val="none" w:sz="0" w:space="0" w:color="auto"/>
            <w:left w:val="none" w:sz="0" w:space="0" w:color="auto"/>
            <w:bottom w:val="none" w:sz="0" w:space="0" w:color="auto"/>
            <w:right w:val="none" w:sz="0" w:space="0" w:color="auto"/>
          </w:divBdr>
          <w:divsChild>
            <w:div w:id="145321910">
              <w:marLeft w:val="0"/>
              <w:marRight w:val="0"/>
              <w:marTop w:val="0"/>
              <w:marBottom w:val="0"/>
              <w:divBdr>
                <w:top w:val="none" w:sz="0" w:space="0" w:color="auto"/>
                <w:left w:val="none" w:sz="0" w:space="0" w:color="auto"/>
                <w:bottom w:val="none" w:sz="0" w:space="0" w:color="auto"/>
                <w:right w:val="none" w:sz="0" w:space="0" w:color="auto"/>
              </w:divBdr>
              <w:divsChild>
                <w:div w:id="49564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783999">
      <w:bodyDiv w:val="1"/>
      <w:marLeft w:val="0"/>
      <w:marRight w:val="0"/>
      <w:marTop w:val="0"/>
      <w:marBottom w:val="0"/>
      <w:divBdr>
        <w:top w:val="none" w:sz="0" w:space="0" w:color="auto"/>
        <w:left w:val="none" w:sz="0" w:space="0" w:color="auto"/>
        <w:bottom w:val="none" w:sz="0" w:space="0" w:color="auto"/>
        <w:right w:val="none" w:sz="0" w:space="0" w:color="auto"/>
      </w:divBdr>
      <w:divsChild>
        <w:div w:id="305361270">
          <w:marLeft w:val="0"/>
          <w:marRight w:val="0"/>
          <w:marTop w:val="0"/>
          <w:marBottom w:val="0"/>
          <w:divBdr>
            <w:top w:val="none" w:sz="0" w:space="0" w:color="auto"/>
            <w:left w:val="none" w:sz="0" w:space="0" w:color="auto"/>
            <w:bottom w:val="none" w:sz="0" w:space="0" w:color="auto"/>
            <w:right w:val="none" w:sz="0" w:space="0" w:color="auto"/>
          </w:divBdr>
          <w:divsChild>
            <w:div w:id="1351226555">
              <w:marLeft w:val="0"/>
              <w:marRight w:val="0"/>
              <w:marTop w:val="0"/>
              <w:marBottom w:val="0"/>
              <w:divBdr>
                <w:top w:val="none" w:sz="0" w:space="0" w:color="auto"/>
                <w:left w:val="none" w:sz="0" w:space="0" w:color="auto"/>
                <w:bottom w:val="none" w:sz="0" w:space="0" w:color="auto"/>
                <w:right w:val="none" w:sz="0" w:space="0" w:color="auto"/>
              </w:divBdr>
              <w:divsChild>
                <w:div w:id="2127963020">
                  <w:marLeft w:val="0"/>
                  <w:marRight w:val="0"/>
                  <w:marTop w:val="0"/>
                  <w:marBottom w:val="0"/>
                  <w:divBdr>
                    <w:top w:val="none" w:sz="0" w:space="0" w:color="auto"/>
                    <w:left w:val="none" w:sz="0" w:space="0" w:color="auto"/>
                    <w:bottom w:val="none" w:sz="0" w:space="0" w:color="auto"/>
                    <w:right w:val="none" w:sz="0" w:space="0" w:color="auto"/>
                  </w:divBdr>
                </w:div>
              </w:divsChild>
            </w:div>
            <w:div w:id="1518226297">
              <w:marLeft w:val="0"/>
              <w:marRight w:val="0"/>
              <w:marTop w:val="0"/>
              <w:marBottom w:val="0"/>
              <w:divBdr>
                <w:top w:val="none" w:sz="0" w:space="0" w:color="auto"/>
                <w:left w:val="none" w:sz="0" w:space="0" w:color="auto"/>
                <w:bottom w:val="none" w:sz="0" w:space="0" w:color="auto"/>
                <w:right w:val="none" w:sz="0" w:space="0" w:color="auto"/>
              </w:divBdr>
              <w:divsChild>
                <w:div w:id="120136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3796">
      <w:bodyDiv w:val="1"/>
      <w:marLeft w:val="0"/>
      <w:marRight w:val="0"/>
      <w:marTop w:val="0"/>
      <w:marBottom w:val="0"/>
      <w:divBdr>
        <w:top w:val="none" w:sz="0" w:space="0" w:color="auto"/>
        <w:left w:val="none" w:sz="0" w:space="0" w:color="auto"/>
        <w:bottom w:val="none" w:sz="0" w:space="0" w:color="auto"/>
        <w:right w:val="none" w:sz="0" w:space="0" w:color="auto"/>
      </w:divBdr>
      <w:divsChild>
        <w:div w:id="2121610206">
          <w:marLeft w:val="0"/>
          <w:marRight w:val="0"/>
          <w:marTop w:val="0"/>
          <w:marBottom w:val="0"/>
          <w:divBdr>
            <w:top w:val="none" w:sz="0" w:space="0" w:color="auto"/>
            <w:left w:val="none" w:sz="0" w:space="0" w:color="auto"/>
            <w:bottom w:val="none" w:sz="0" w:space="0" w:color="auto"/>
            <w:right w:val="none" w:sz="0" w:space="0" w:color="auto"/>
          </w:divBdr>
          <w:divsChild>
            <w:div w:id="1066877666">
              <w:marLeft w:val="0"/>
              <w:marRight w:val="0"/>
              <w:marTop w:val="0"/>
              <w:marBottom w:val="0"/>
              <w:divBdr>
                <w:top w:val="none" w:sz="0" w:space="0" w:color="auto"/>
                <w:left w:val="none" w:sz="0" w:space="0" w:color="auto"/>
                <w:bottom w:val="none" w:sz="0" w:space="0" w:color="auto"/>
                <w:right w:val="none" w:sz="0" w:space="0" w:color="auto"/>
              </w:divBdr>
              <w:divsChild>
                <w:div w:id="1223100912">
                  <w:marLeft w:val="0"/>
                  <w:marRight w:val="0"/>
                  <w:marTop w:val="0"/>
                  <w:marBottom w:val="0"/>
                  <w:divBdr>
                    <w:top w:val="none" w:sz="0" w:space="0" w:color="auto"/>
                    <w:left w:val="none" w:sz="0" w:space="0" w:color="auto"/>
                    <w:bottom w:val="none" w:sz="0" w:space="0" w:color="auto"/>
                    <w:right w:val="none" w:sz="0" w:space="0" w:color="auto"/>
                  </w:divBdr>
                  <w:divsChild>
                    <w:div w:id="40260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380782">
      <w:bodyDiv w:val="1"/>
      <w:marLeft w:val="0"/>
      <w:marRight w:val="0"/>
      <w:marTop w:val="0"/>
      <w:marBottom w:val="0"/>
      <w:divBdr>
        <w:top w:val="none" w:sz="0" w:space="0" w:color="auto"/>
        <w:left w:val="none" w:sz="0" w:space="0" w:color="auto"/>
        <w:bottom w:val="none" w:sz="0" w:space="0" w:color="auto"/>
        <w:right w:val="none" w:sz="0" w:space="0" w:color="auto"/>
      </w:divBdr>
    </w:div>
    <w:div w:id="1899586063">
      <w:bodyDiv w:val="1"/>
      <w:marLeft w:val="0"/>
      <w:marRight w:val="0"/>
      <w:marTop w:val="0"/>
      <w:marBottom w:val="0"/>
      <w:divBdr>
        <w:top w:val="none" w:sz="0" w:space="0" w:color="auto"/>
        <w:left w:val="none" w:sz="0" w:space="0" w:color="auto"/>
        <w:bottom w:val="none" w:sz="0" w:space="0" w:color="auto"/>
        <w:right w:val="none" w:sz="0" w:space="0" w:color="auto"/>
      </w:divBdr>
      <w:divsChild>
        <w:div w:id="769008228">
          <w:marLeft w:val="0"/>
          <w:marRight w:val="0"/>
          <w:marTop w:val="0"/>
          <w:marBottom w:val="0"/>
          <w:divBdr>
            <w:top w:val="none" w:sz="0" w:space="0" w:color="auto"/>
            <w:left w:val="none" w:sz="0" w:space="0" w:color="auto"/>
            <w:bottom w:val="none" w:sz="0" w:space="0" w:color="auto"/>
            <w:right w:val="none" w:sz="0" w:space="0" w:color="auto"/>
          </w:divBdr>
          <w:divsChild>
            <w:div w:id="103955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373740">
      <w:bodyDiv w:val="1"/>
      <w:marLeft w:val="0"/>
      <w:marRight w:val="0"/>
      <w:marTop w:val="0"/>
      <w:marBottom w:val="0"/>
      <w:divBdr>
        <w:top w:val="none" w:sz="0" w:space="0" w:color="auto"/>
        <w:left w:val="none" w:sz="0" w:space="0" w:color="auto"/>
        <w:bottom w:val="none" w:sz="0" w:space="0" w:color="auto"/>
        <w:right w:val="none" w:sz="0" w:space="0" w:color="auto"/>
      </w:divBdr>
      <w:divsChild>
        <w:div w:id="11687231">
          <w:marLeft w:val="0"/>
          <w:marRight w:val="0"/>
          <w:marTop w:val="0"/>
          <w:marBottom w:val="0"/>
          <w:divBdr>
            <w:top w:val="none" w:sz="0" w:space="0" w:color="auto"/>
            <w:left w:val="none" w:sz="0" w:space="0" w:color="auto"/>
            <w:bottom w:val="none" w:sz="0" w:space="0" w:color="auto"/>
            <w:right w:val="none" w:sz="0" w:space="0" w:color="auto"/>
          </w:divBdr>
          <w:divsChild>
            <w:div w:id="1499493067">
              <w:marLeft w:val="0"/>
              <w:marRight w:val="0"/>
              <w:marTop w:val="0"/>
              <w:marBottom w:val="0"/>
              <w:divBdr>
                <w:top w:val="none" w:sz="0" w:space="0" w:color="auto"/>
                <w:left w:val="none" w:sz="0" w:space="0" w:color="auto"/>
                <w:bottom w:val="none" w:sz="0" w:space="0" w:color="auto"/>
                <w:right w:val="none" w:sz="0" w:space="0" w:color="auto"/>
              </w:divBdr>
              <w:divsChild>
                <w:div w:id="2032756909">
                  <w:marLeft w:val="0"/>
                  <w:marRight w:val="0"/>
                  <w:marTop w:val="0"/>
                  <w:marBottom w:val="0"/>
                  <w:divBdr>
                    <w:top w:val="none" w:sz="0" w:space="0" w:color="auto"/>
                    <w:left w:val="none" w:sz="0" w:space="0" w:color="auto"/>
                    <w:bottom w:val="none" w:sz="0" w:space="0" w:color="auto"/>
                    <w:right w:val="none" w:sz="0" w:space="0" w:color="auto"/>
                  </w:divBdr>
                  <w:divsChild>
                    <w:div w:id="9398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taras-shevchenko.storinka.org/katerina-poem-of-taras-shevchenko-translated-by-john-wei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545</TotalTime>
  <Pages>8</Pages>
  <Words>2412</Words>
  <Characters>13751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261</cp:revision>
  <dcterms:created xsi:type="dcterms:W3CDTF">2023-03-08T14:38:00Z</dcterms:created>
  <dcterms:modified xsi:type="dcterms:W3CDTF">2023-03-17T22:21:00Z</dcterms:modified>
</cp:coreProperties>
</file>