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16AAE6B" w:rsidP="3EE3B214" w:rsidRDefault="016AAE6B" w14:paraId="44E664B3" w14:textId="3C00BABE">
      <w:pPr>
        <w:pStyle w:val="Normal"/>
        <w:jc w:val="center"/>
      </w:pPr>
      <w:r w:rsidR="244FB8F4">
        <w:drawing>
          <wp:inline wp14:editId="4050F5D6" wp14:anchorId="15002AD8">
            <wp:extent cx="2762250" cy="1657350"/>
            <wp:effectExtent l="0" t="0" r="0" b="0"/>
            <wp:docPr id="1518864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8864624" name="Picture 1518864624"/>
                    <pic:cNvPicPr/>
                  </pic:nvPicPr>
                  <pic:blipFill>
                    <a:blip xmlns:r="http://schemas.openxmlformats.org/officeDocument/2006/relationships" r:embed="rId1551601609">
                      <a:extLst>
                        <a:ext uri="{28A0092B-C50C-407E-A947-70E740481C1C}">
                          <a14:useLocalDpi xmlns:a14="http://schemas.microsoft.com/office/drawing/2010/main"/>
                        </a:ext>
                      </a:extLst>
                    </a:blip>
                    <a:stretch>
                      <a:fillRect/>
                    </a:stretch>
                  </pic:blipFill>
                  <pic:spPr>
                    <a:xfrm>
                      <a:off x="0" y="0"/>
                      <a:ext cx="2762250" cy="1657350"/>
                    </a:xfrm>
                    <a:prstGeom prst="rect">
                      <a:avLst/>
                    </a:prstGeom>
                  </pic:spPr>
                </pic:pic>
              </a:graphicData>
            </a:graphic>
          </wp:inline>
        </w:drawing>
      </w:r>
    </w:p>
    <w:p w:rsidR="016AAE6B" w:rsidP="3EE3B214" w:rsidRDefault="016AAE6B" w14:paraId="47ACD2AC" w14:textId="3F5B9CF2">
      <w:pPr>
        <w:pStyle w:val="Normal"/>
        <w:jc w:val="center"/>
      </w:pPr>
      <w:r w:rsidRPr="3EE3B214" w:rsidR="3EE3B214">
        <w:rPr>
          <w:rFonts w:ascii="Arial" w:hAnsi="Arial" w:eastAsia="Arial" w:cs="Arial"/>
          <w:b w:val="1"/>
          <w:bCs w:val="1"/>
          <w:noProof w:val="0"/>
          <w:sz w:val="22"/>
          <w:szCs w:val="22"/>
          <w:lang w:val="en-US"/>
        </w:rPr>
        <w:t>Programme</w:t>
      </w:r>
      <w:r w:rsidRPr="3EE3B214" w:rsidR="3EE3B214">
        <w:rPr>
          <w:rFonts w:ascii="Arial" w:hAnsi="Arial" w:eastAsia="Arial" w:cs="Arial"/>
          <w:b w:val="1"/>
          <w:bCs w:val="1"/>
          <w:noProof w:val="0"/>
          <w:sz w:val="22"/>
          <w:szCs w:val="22"/>
          <w:lang w:val="en-US"/>
        </w:rPr>
        <w:t>: (Hons) Leadership and Management Skills for the Workplace</w:t>
      </w:r>
    </w:p>
    <w:p w:rsidR="016AAE6B" w:rsidP="3EE3B214" w:rsidRDefault="016AAE6B" w14:paraId="616C067A" w14:textId="4B4D1CDA">
      <w:pPr>
        <w:pStyle w:val="Normal"/>
        <w:jc w:val="center"/>
        <w:rPr>
          <w:rFonts w:ascii="Arial" w:hAnsi="Arial" w:eastAsia="Arial" w:cs="Arial"/>
          <w:b w:val="1"/>
          <w:bCs w:val="1"/>
          <w:noProof w:val="0"/>
          <w:sz w:val="22"/>
          <w:szCs w:val="22"/>
          <w:lang w:val="en-US"/>
        </w:rPr>
      </w:pPr>
      <w:r w:rsidRPr="3EE3B214" w:rsidR="244FB8F4">
        <w:rPr>
          <w:rFonts w:ascii="Arial" w:hAnsi="Arial" w:eastAsia="Arial" w:cs="Arial"/>
          <w:b w:val="1"/>
          <w:bCs w:val="1"/>
          <w:noProof w:val="0"/>
          <w:sz w:val="22"/>
          <w:szCs w:val="22"/>
          <w:lang w:val="en-US"/>
        </w:rPr>
        <w:t xml:space="preserve">                Module: </w:t>
      </w:r>
      <w:r w:rsidRPr="3EE3B214" w:rsidR="244FB8F4">
        <w:rPr>
          <w:rFonts w:ascii="Times New Roman" w:hAnsi="Times New Roman" w:eastAsia="Times New Roman" w:cs="Times New Roman"/>
          <w:b w:val="1"/>
          <w:bCs w:val="1"/>
          <w:noProof w:val="0"/>
          <w:sz w:val="24"/>
          <w:szCs w:val="24"/>
          <w:lang w:val="en-US"/>
        </w:rPr>
        <w:t>Developing and Managing Individuals and Teams</w:t>
      </w:r>
    </w:p>
    <w:p w:rsidR="016AAE6B" w:rsidP="3EE3B214" w:rsidRDefault="016AAE6B" w14:paraId="23C41269" w14:textId="18B18580">
      <w:pPr>
        <w:pStyle w:val="Normal"/>
        <w:jc w:val="center"/>
      </w:pPr>
      <w:r w:rsidRPr="3EE3B214" w:rsidR="244FB8F4">
        <w:rPr>
          <w:rFonts w:ascii="Times New Roman" w:hAnsi="Times New Roman" w:eastAsia="Times New Roman" w:cs="Times New Roman"/>
          <w:b w:val="1"/>
          <w:bCs w:val="1"/>
          <w:noProof w:val="0"/>
          <w:sz w:val="24"/>
          <w:szCs w:val="24"/>
          <w:lang w:val="en-US"/>
        </w:rPr>
        <w:t xml:space="preserve">       Developing and Managing Individuals and Teams</w:t>
      </w:r>
    </w:p>
    <w:p w:rsidR="016AAE6B" w:rsidP="3EE3B214" w:rsidRDefault="016AAE6B" w14:paraId="2F603211" w14:textId="4E722208">
      <w:pPr>
        <w:pStyle w:val="Normal"/>
        <w:jc w:val="center"/>
        <w:rPr>
          <w:rFonts w:ascii="Times New Roman" w:hAnsi="Times New Roman" w:eastAsia="Times New Roman" w:cs="Times New Roman"/>
          <w:b w:val="1"/>
          <w:bCs w:val="1"/>
          <w:noProof w:val="0"/>
          <w:sz w:val="24"/>
          <w:szCs w:val="24"/>
          <w:lang w:val="en-US"/>
        </w:rPr>
      </w:pPr>
      <w:r w:rsidRPr="3EE3B214" w:rsidR="08F991D7">
        <w:rPr>
          <w:rFonts w:ascii="Times New Roman" w:hAnsi="Times New Roman" w:eastAsia="Times New Roman" w:cs="Times New Roman"/>
          <w:b w:val="1"/>
          <w:bCs w:val="1"/>
          <w:noProof w:val="0"/>
          <w:sz w:val="24"/>
          <w:szCs w:val="24"/>
          <w:lang w:val="en-US"/>
        </w:rPr>
        <w:t xml:space="preserve">Module code: </w:t>
      </w:r>
      <w:r w:rsidRPr="3EE3B214" w:rsidR="3DE1D929">
        <w:rPr>
          <w:rFonts w:ascii="Times New Roman" w:hAnsi="Times New Roman" w:eastAsia="Times New Roman" w:cs="Times New Roman"/>
          <w:b w:val="1"/>
          <w:bCs w:val="1"/>
          <w:noProof w:val="0"/>
          <w:sz w:val="24"/>
          <w:szCs w:val="24"/>
          <w:lang w:val="en-US"/>
        </w:rPr>
        <w:t>LCLM5002</w:t>
      </w:r>
    </w:p>
    <w:p w:rsidR="016AAE6B" w:rsidP="3EE3B214" w:rsidRDefault="016AAE6B" w14:paraId="5D8349F4" w14:textId="28FCFAA5">
      <w:pPr>
        <w:pStyle w:val="Normal"/>
        <w:jc w:val="center"/>
        <w:rPr>
          <w:rFonts w:ascii="Times New Roman" w:hAnsi="Times New Roman" w:eastAsia="Times New Roman" w:cs="Times New Roman"/>
          <w:b w:val="1"/>
          <w:bCs w:val="1"/>
          <w:noProof w:val="0"/>
          <w:sz w:val="24"/>
          <w:szCs w:val="24"/>
          <w:lang w:val="en-US"/>
        </w:rPr>
      </w:pPr>
      <w:r w:rsidRPr="3EE3B214" w:rsidR="7457ED44">
        <w:rPr>
          <w:rFonts w:ascii="Times New Roman" w:hAnsi="Times New Roman" w:eastAsia="Times New Roman" w:cs="Times New Roman"/>
          <w:b w:val="1"/>
          <w:bCs w:val="1"/>
          <w:noProof w:val="0"/>
          <w:sz w:val="24"/>
          <w:szCs w:val="24"/>
          <w:lang w:val="en-US"/>
        </w:rPr>
        <w:t>Name: Akeel</w:t>
      </w:r>
      <w:r w:rsidRPr="3EE3B214" w:rsidR="3DE1D929">
        <w:rPr>
          <w:rFonts w:ascii="Times New Roman" w:hAnsi="Times New Roman" w:eastAsia="Times New Roman" w:cs="Times New Roman"/>
          <w:b w:val="1"/>
          <w:bCs w:val="1"/>
          <w:noProof w:val="0"/>
          <w:sz w:val="24"/>
          <w:szCs w:val="24"/>
          <w:lang w:val="en-US"/>
        </w:rPr>
        <w:t xml:space="preserve"> Ali </w:t>
      </w:r>
    </w:p>
    <w:p w:rsidR="016AAE6B" w:rsidP="3EE3B214" w:rsidRDefault="016AAE6B" w14:paraId="128CE035" w14:textId="05CF8C48">
      <w:pPr>
        <w:pStyle w:val="Normal"/>
        <w:jc w:val="center"/>
        <w:rPr>
          <w:rFonts w:ascii="Times New Roman" w:hAnsi="Times New Roman" w:eastAsia="Times New Roman" w:cs="Times New Roman"/>
          <w:b w:val="1"/>
          <w:bCs w:val="1"/>
          <w:noProof w:val="0"/>
          <w:sz w:val="24"/>
          <w:szCs w:val="24"/>
          <w:lang w:val="en-US"/>
        </w:rPr>
      </w:pPr>
      <w:r w:rsidRPr="3EE3B214" w:rsidR="458BC546">
        <w:rPr>
          <w:rFonts w:ascii="Times New Roman" w:hAnsi="Times New Roman" w:eastAsia="Times New Roman" w:cs="Times New Roman"/>
          <w:b w:val="1"/>
          <w:bCs w:val="1"/>
          <w:noProof w:val="0"/>
          <w:sz w:val="24"/>
          <w:szCs w:val="24"/>
          <w:lang w:val="en-US"/>
        </w:rPr>
        <w:t>ID:</w:t>
      </w:r>
      <w:r w:rsidRPr="3EE3B214" w:rsidR="3DE1D929">
        <w:rPr>
          <w:rFonts w:ascii="Times New Roman" w:hAnsi="Times New Roman" w:eastAsia="Times New Roman" w:cs="Times New Roman"/>
          <w:b w:val="1"/>
          <w:bCs w:val="1"/>
          <w:noProof w:val="0"/>
          <w:sz w:val="24"/>
          <w:szCs w:val="24"/>
          <w:lang w:val="en-US"/>
        </w:rPr>
        <w:t>2410749</w:t>
      </w:r>
    </w:p>
    <w:p w:rsidR="016AAE6B" w:rsidP="3EE3B214" w:rsidRDefault="016AAE6B" w14:paraId="78FE4A00" w14:textId="23A8180C">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79FCBC2A" w14:textId="45ABD09B">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3BAC5694" w14:textId="060E9421">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713E8A5B" w14:textId="2ACEE987">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42B39414" w14:textId="1B220996">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2E5E7648" w14:textId="6F243BB2">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0E3EE563" w14:textId="1E0993A6">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4FA90E44" w14:textId="4DA748C6">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227EFF4C" w14:textId="4E0E365E">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558785A9" w14:textId="2437BD26">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4E284137" w14:textId="1BBA853E">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36660BC0" w14:textId="78CA8E4C">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14E47F1A" w14:textId="066DC617">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10483E08" w14:textId="01E2E4D0">
      <w:pPr>
        <w:pStyle w:val="NoSpacing"/>
        <w:jc w:val="center"/>
        <w:rPr>
          <w:rFonts w:ascii="Times New Roman" w:hAnsi="Times New Roman" w:eastAsia="Times New Roman" w:cs="Times New Roman"/>
          <w:b w:val="1"/>
          <w:bCs w:val="1"/>
          <w:noProof w:val="0"/>
          <w:sz w:val="24"/>
          <w:szCs w:val="24"/>
          <w:lang w:val="en-US"/>
        </w:rPr>
      </w:pPr>
      <w:r w:rsidRPr="3EE3B214" w:rsidR="38DAF51D">
        <w:rPr>
          <w:noProof w:val="0"/>
          <w:lang w:val="en-US"/>
        </w:rPr>
        <w:t>.</w:t>
      </w:r>
    </w:p>
    <w:p w:rsidR="016AAE6B" w:rsidP="3EE3B214" w:rsidRDefault="016AAE6B" w14:paraId="5D50562F" w14:textId="3E354E17">
      <w:pPr>
        <w:pStyle w:val="Normal"/>
        <w:jc w:val="center"/>
      </w:pPr>
    </w:p>
    <w:p w:rsidR="016AAE6B" w:rsidP="3EE3B214" w:rsidRDefault="016AAE6B" w14:paraId="1535D1F0" w14:textId="2F7D56C2">
      <w:pPr>
        <w:pStyle w:val="Normal"/>
        <w:jc w:val="center"/>
        <w:rPr>
          <w:rFonts w:ascii="Times New Roman" w:hAnsi="Times New Roman" w:eastAsia="Times New Roman" w:cs="Times New Roman"/>
          <w:b w:val="1"/>
          <w:bCs w:val="1"/>
          <w:noProof w:val="0"/>
          <w:sz w:val="24"/>
          <w:szCs w:val="24"/>
          <w:lang w:val="en-US"/>
        </w:rPr>
      </w:pPr>
    </w:p>
    <w:p w:rsidR="016AAE6B" w:rsidP="3EE3B214" w:rsidRDefault="016AAE6B" w14:paraId="016A4B0B" w14:textId="072C50D2">
      <w:pPr>
        <w:pStyle w:val="Heading1"/>
        <w:spacing w:before="322" w:beforeAutospacing="off" w:after="322" w:afterAutospacing="off"/>
      </w:pPr>
      <w:r w:rsidRPr="3EE3B214" w:rsidR="4FDD505A">
        <w:rPr>
          <w:b w:val="1"/>
          <w:bCs w:val="1"/>
          <w:noProof w:val="0"/>
          <w:sz w:val="48"/>
          <w:szCs w:val="48"/>
          <w:lang w:val="en-US"/>
        </w:rPr>
        <w:t>1. Introduction</w:t>
      </w:r>
      <w:r w:rsidRPr="3EE3B214" w:rsidR="7E5555C6">
        <w:rPr>
          <w:b w:val="1"/>
          <w:bCs w:val="1"/>
          <w:noProof w:val="0"/>
          <w:sz w:val="48"/>
          <w:szCs w:val="48"/>
          <w:lang w:val="en-US"/>
        </w:rPr>
        <w:t xml:space="preserve"> to JLR Birmingham</w:t>
      </w:r>
    </w:p>
    <w:p w:rsidR="016AAE6B" w:rsidP="3EE3B214" w:rsidRDefault="016AAE6B" w14:paraId="2AECE0AE" w14:textId="1FCF1F95">
      <w:pPr>
        <w:spacing w:before="240" w:beforeAutospacing="off" w:after="240" w:afterAutospacing="off"/>
      </w:pPr>
      <w:r w:rsidRPr="3EE3B214" w:rsidR="4FDD505A">
        <w:rPr>
          <w:noProof w:val="0"/>
          <w:lang w:val="en-US"/>
        </w:rPr>
        <w:t xml:space="preserve">Human Resource Management (HRM) is undergoing significant transformation as </w:t>
      </w:r>
      <w:r w:rsidRPr="3EE3B214" w:rsidR="5C5E3F3C">
        <w:rPr>
          <w:noProof w:val="0"/>
          <w:lang w:val="en-US"/>
        </w:rPr>
        <w:t>organizations</w:t>
      </w:r>
      <w:r w:rsidRPr="3EE3B214" w:rsidR="4FDD505A">
        <w:rPr>
          <w:noProof w:val="0"/>
          <w:lang w:val="en-US"/>
        </w:rPr>
        <w:t xml:space="preserve"> respond to rapid technological change, </w:t>
      </w:r>
      <w:r w:rsidRPr="3EE3B214" w:rsidR="4FDD505A">
        <w:rPr>
          <w:noProof w:val="0"/>
          <w:lang w:val="en-US"/>
        </w:rPr>
        <w:t>labour</w:t>
      </w:r>
      <w:r w:rsidRPr="3EE3B214" w:rsidR="4FDD505A">
        <w:rPr>
          <w:noProof w:val="0"/>
          <w:lang w:val="en-US"/>
        </w:rPr>
        <w:t xml:space="preserve"> market shortages, and increasing expectations around Diversity, </w:t>
      </w:r>
      <w:r w:rsidRPr="3EE3B214" w:rsidR="4FDD505A">
        <w:rPr>
          <w:noProof w:val="0"/>
          <w:lang w:val="en-US"/>
        </w:rPr>
        <w:t>Equity</w:t>
      </w:r>
      <w:r w:rsidRPr="3EE3B214" w:rsidR="4FDD505A">
        <w:rPr>
          <w:noProof w:val="0"/>
          <w:lang w:val="en-US"/>
        </w:rPr>
        <w:t xml:space="preserve"> and Inclusion (DEI). These pressures are particularly pronounced in the UK automotive sector, which is experiencing unprecedented disruption due to electrification, </w:t>
      </w:r>
      <w:r w:rsidRPr="3EE3B214" w:rsidR="0BF4383C">
        <w:rPr>
          <w:noProof w:val="0"/>
          <w:lang w:val="en-US"/>
        </w:rPr>
        <w:t>digitalization</w:t>
      </w:r>
      <w:r w:rsidRPr="3EE3B214" w:rsidR="4FDD505A">
        <w:rPr>
          <w:noProof w:val="0"/>
          <w:lang w:val="en-US"/>
        </w:rPr>
        <w:t>, sustainability demands, and global competition (Deloitte, 2023). Jaguar Land Rover (JLR), headquartered in the West Midlands with major operations in Birmingham and Solihull, provides a highly relevant case study for examining contemporary HR challenges. As the UK’s largest automotive manufacturer, employing over 30,000 people, JLR is currently implementing its ambitious “Reimagine Strategy,” which aims to transition the business towards electric vehicles (EVs), modern luxury, and digital-first operations (JLR, 2024).</w:t>
      </w:r>
    </w:p>
    <w:p w:rsidR="016AAE6B" w:rsidP="3EE3B214" w:rsidRDefault="016AAE6B" w14:paraId="470C4D29" w14:textId="34B06646">
      <w:pPr>
        <w:spacing w:before="240" w:beforeAutospacing="off" w:after="240" w:afterAutospacing="off"/>
      </w:pPr>
      <w:r w:rsidRPr="3EE3B214" w:rsidR="4FDD505A">
        <w:rPr>
          <w:noProof w:val="0"/>
          <w:lang w:val="en-US"/>
        </w:rPr>
        <w:t xml:space="preserve">This strategic shift places considerable pressure on HR functions to ensure the </w:t>
      </w:r>
      <w:r w:rsidRPr="3EE3B214" w:rsidR="1809216D">
        <w:rPr>
          <w:noProof w:val="0"/>
          <w:lang w:val="en-US"/>
        </w:rPr>
        <w:t>organization</w:t>
      </w:r>
      <w:r w:rsidRPr="3EE3B214" w:rsidR="4FDD505A">
        <w:rPr>
          <w:noProof w:val="0"/>
          <w:lang w:val="en-US"/>
        </w:rPr>
        <w:t xml:space="preserve"> has the right skills, talent pipelines, and inclusive culture to support long-term competitiveness. JLR Birmingham faces specific challenges related to technological advancement, talent acquisition and retention, and DEI. These issues are intensified by the region’s competitive </w:t>
      </w:r>
      <w:r w:rsidRPr="3EE3B214" w:rsidR="4FDD505A">
        <w:rPr>
          <w:noProof w:val="0"/>
          <w:lang w:val="en-US"/>
        </w:rPr>
        <w:t>labour</w:t>
      </w:r>
      <w:r w:rsidRPr="3EE3B214" w:rsidR="4FDD505A">
        <w:rPr>
          <w:noProof w:val="0"/>
          <w:lang w:val="en-US"/>
        </w:rPr>
        <w:t xml:space="preserve"> market, the global shortage of engineering and digital skills, and the automotive industry’s historical lack of diversity (McKinsey, 2020). Furthermore, the shift from traditional mechanical engineering to software-driven automotive design requires a fundamental rethinking of workforce capability and </w:t>
      </w:r>
      <w:r w:rsidRPr="3EE3B214" w:rsidR="55E48CF1">
        <w:rPr>
          <w:noProof w:val="0"/>
          <w:lang w:val="en-US"/>
        </w:rPr>
        <w:t>organizational</w:t>
      </w:r>
      <w:r w:rsidRPr="3EE3B214" w:rsidR="4FDD505A">
        <w:rPr>
          <w:noProof w:val="0"/>
          <w:lang w:val="en-US"/>
        </w:rPr>
        <w:t xml:space="preserve"> culture.</w:t>
      </w:r>
    </w:p>
    <w:p w:rsidR="016AAE6B" w:rsidP="3EE3B214" w:rsidRDefault="016AAE6B" w14:paraId="25F319CE" w14:textId="44FE902F">
      <w:pPr>
        <w:spacing w:before="240" w:beforeAutospacing="off" w:after="240" w:afterAutospacing="off"/>
      </w:pPr>
      <w:r w:rsidRPr="3EE3B214" w:rsidR="4FDD505A">
        <w:rPr>
          <w:noProof w:val="0"/>
          <w:lang w:val="en-US"/>
        </w:rPr>
        <w:t>This report critically examines these three HR challenges and evaluates contemporary HR practices that JLR can adopt to address them. It also explores the role of departmental managers in ensuring these practices are implemented urgently and effectively. The report concludes with recommendations to strengthen JLR’s HR capability and support its transformation into a modern, sustainable, and inclusive automotive leader.</w:t>
      </w:r>
    </w:p>
    <w:p w:rsidR="016AAE6B" w:rsidP="3EE3B214" w:rsidRDefault="016AAE6B" w14:paraId="12C41A7F" w14:textId="56E8B09C">
      <w:pPr>
        <w:pStyle w:val="Heading1"/>
        <w:spacing w:before="322" w:beforeAutospacing="off" w:after="322" w:afterAutospacing="off"/>
      </w:pPr>
      <w:r w:rsidRPr="3EE3B214" w:rsidR="4FDD505A">
        <w:rPr>
          <w:b w:val="1"/>
          <w:bCs w:val="1"/>
          <w:noProof w:val="0"/>
          <w:sz w:val="48"/>
          <w:szCs w:val="48"/>
          <w:lang w:val="en-US"/>
        </w:rPr>
        <w:t>2. Explanation of Key HR Factors</w:t>
      </w:r>
      <w:r w:rsidRPr="3EE3B214" w:rsidR="26F67F63">
        <w:rPr>
          <w:b w:val="1"/>
          <w:bCs w:val="1"/>
          <w:noProof w:val="0"/>
          <w:sz w:val="48"/>
          <w:szCs w:val="48"/>
          <w:lang w:val="en-US"/>
        </w:rPr>
        <w:t xml:space="preserve"> of JLR</w:t>
      </w:r>
    </w:p>
    <w:p w:rsidR="016AAE6B" w:rsidP="3EE3B214" w:rsidRDefault="016AAE6B" w14:paraId="1E670D3E" w14:textId="557C0B9E">
      <w:pPr>
        <w:pStyle w:val="Heading2"/>
        <w:spacing w:before="299" w:beforeAutospacing="off" w:after="299" w:afterAutospacing="off"/>
      </w:pPr>
      <w:r w:rsidRPr="3EE3B214" w:rsidR="4FDD505A">
        <w:rPr>
          <w:b w:val="1"/>
          <w:bCs w:val="1"/>
          <w:noProof w:val="0"/>
          <w:sz w:val="36"/>
          <w:szCs w:val="36"/>
          <w:lang w:val="en-US"/>
        </w:rPr>
        <w:t>2.1 Meeting Technological Advancement</w:t>
      </w:r>
    </w:p>
    <w:p w:rsidR="016AAE6B" w:rsidP="3EE3B214" w:rsidRDefault="016AAE6B" w14:paraId="649E743C" w14:textId="7120A696">
      <w:pPr>
        <w:spacing w:before="240" w:beforeAutospacing="off" w:after="240" w:afterAutospacing="off"/>
      </w:pPr>
      <w:r w:rsidRPr="3EE3B214" w:rsidR="4FDD505A">
        <w:rPr>
          <w:noProof w:val="0"/>
          <w:lang w:val="en-US"/>
        </w:rPr>
        <w:t>Technological advancement is reshaping the automotive industry at an unprecedented pace. The shift towards electric vehicles, autonomous systems, and digital manufacturing requires new competencies in software engineering, battery technology, robotics, and data analytics (Deloitte, 2023). For JLR Birmingham, this means transitioning from traditional mechanical engineering roles to digital-first skill sets. The introduction of advanced manufacturing technologies—such as AI-driven quality control, automated assembly lines, and digital twins—requires employees to possess higher levels of digital literacy and adaptability (JLR, 2023).</w:t>
      </w:r>
    </w:p>
    <w:p w:rsidR="016AAE6B" w:rsidP="3EE3B214" w:rsidRDefault="016AAE6B" w14:paraId="45E5A2DE" w14:textId="67F87410">
      <w:pPr>
        <w:spacing w:before="240" w:beforeAutospacing="off" w:after="240" w:afterAutospacing="off"/>
      </w:pPr>
      <w:r w:rsidRPr="3EE3B214" w:rsidR="4FDD505A">
        <w:rPr>
          <w:noProof w:val="0"/>
          <w:lang w:val="en-US"/>
        </w:rPr>
        <w:t>HR departments must therefore anticipate future skill needs, redesign job roles, and support employees through reskilling and upskilling initiatives. The CIPD (2022) emphasises that strategic workforce planning is essential for organisations undergoing technological transformation. Without proactive planning, JLR risks skill shortages, operational inefficiencies, and resistance to technological change. The challenge is intensified by global competition for digital talent, with technology firms often offering more attractive compensation and flexible working arrangements (CIPD, 2023).</w:t>
      </w:r>
    </w:p>
    <w:p w:rsidR="016AAE6B" w:rsidP="3EE3B214" w:rsidRDefault="016AAE6B" w14:paraId="6F12591F" w14:textId="29ADFC5F">
      <w:pPr>
        <w:spacing w:before="240" w:beforeAutospacing="off" w:after="240" w:afterAutospacing="off"/>
      </w:pPr>
      <w:r w:rsidRPr="3EE3B214" w:rsidR="4FDD505A">
        <w:rPr>
          <w:noProof w:val="0"/>
          <w:lang w:val="en-US"/>
        </w:rPr>
        <w:t>The psychological contract is also shifting, as employees increasingly expect opportunities for continuous learning and career development (Armstrong, 2021). If JLR fails to meet these expectations, it may face disengagement and turnover. Therefore, technological advancement is not only a technical challenge but also a cultural and strategic HR issue.</w:t>
      </w:r>
    </w:p>
    <w:p w:rsidR="016AAE6B" w:rsidP="3EE3B214" w:rsidRDefault="016AAE6B" w14:paraId="17B743D7" w14:textId="048543AE">
      <w:pPr>
        <w:pStyle w:val="Heading2"/>
        <w:spacing w:before="299" w:beforeAutospacing="off" w:after="299" w:afterAutospacing="off"/>
      </w:pPr>
      <w:r w:rsidRPr="3EE3B214" w:rsidR="4FDD505A">
        <w:rPr>
          <w:b w:val="1"/>
          <w:bCs w:val="1"/>
          <w:noProof w:val="0"/>
          <w:sz w:val="36"/>
          <w:szCs w:val="36"/>
          <w:lang w:val="en-US"/>
        </w:rPr>
        <w:t>2.2 Talent Acquisition and Retention</w:t>
      </w:r>
      <w:r w:rsidRPr="3EE3B214" w:rsidR="74576B73">
        <w:rPr>
          <w:b w:val="1"/>
          <w:bCs w:val="1"/>
          <w:noProof w:val="0"/>
          <w:sz w:val="36"/>
          <w:szCs w:val="36"/>
          <w:lang w:val="en-US"/>
        </w:rPr>
        <w:t xml:space="preserve"> of JLR</w:t>
      </w:r>
    </w:p>
    <w:p w:rsidR="016AAE6B" w:rsidP="3EE3B214" w:rsidRDefault="016AAE6B" w14:paraId="424698C6" w14:textId="727AFA30">
      <w:pPr>
        <w:spacing w:before="240" w:beforeAutospacing="off" w:after="240" w:afterAutospacing="off"/>
      </w:pPr>
      <w:r w:rsidRPr="3EE3B214" w:rsidR="4FDD505A">
        <w:rPr>
          <w:noProof w:val="0"/>
          <w:lang w:val="en-US"/>
        </w:rPr>
        <w:t>The UK automotive sector faces significant talent shortages due to Brexit, global supply chain disruption, and competition from emerging EV manufacturers (CIPD, 2023). JLR Birmingham must attract engineers, software developers, and manufacturing specialists in a highly competitive labour market. Recruitment is further complicated by the perception that automotive roles are less attractive compared to technology or renewable energy sectors (BBC News, 2023).</w:t>
      </w:r>
    </w:p>
    <w:p w:rsidR="016AAE6B" w:rsidP="3EE3B214" w:rsidRDefault="016AAE6B" w14:paraId="2CBA344D" w14:textId="15734544">
      <w:pPr>
        <w:spacing w:before="240" w:beforeAutospacing="off" w:after="240" w:afterAutospacing="off"/>
      </w:pPr>
      <w:r w:rsidRPr="3EE3B214" w:rsidR="4FDD505A">
        <w:rPr>
          <w:noProof w:val="0"/>
          <w:lang w:val="en-US"/>
        </w:rPr>
        <w:t>Retention is equally challenging. High workloads, shift patterns, and uncertainty caused by industry transformation can lead to employee turnover. Younger employees increasingly prioritise career development, wellbeing, and flexible working—areas where traditional manufacturing environments often struggle (Shaw, 2021). Herzberg’s Two-Factor Theory suggests that intrinsic motivators such as recognition, achievement, and development opportunities are essential for retention (Herzberg, 1968). HR must therefore strengthen JLR’s employer value proposition (EVP), enhance career pathways, and create a supportive work environment that encourages long-term commitment.</w:t>
      </w:r>
    </w:p>
    <w:p w:rsidR="016AAE6B" w:rsidP="3EE3B214" w:rsidRDefault="016AAE6B" w14:paraId="5792EB33" w14:textId="32991465">
      <w:pPr>
        <w:pStyle w:val="Heading2"/>
        <w:spacing w:before="299" w:beforeAutospacing="off" w:after="299" w:afterAutospacing="off"/>
        <w:rPr>
          <w:b w:val="1"/>
          <w:bCs w:val="1"/>
          <w:noProof w:val="0"/>
          <w:sz w:val="36"/>
          <w:szCs w:val="36"/>
          <w:lang w:val="en-US"/>
        </w:rPr>
      </w:pPr>
      <w:r w:rsidRPr="3EE3B214" w:rsidR="4FDD505A">
        <w:rPr>
          <w:b w:val="1"/>
          <w:bCs w:val="1"/>
          <w:noProof w:val="0"/>
          <w:sz w:val="36"/>
          <w:szCs w:val="36"/>
          <w:lang w:val="en-US"/>
        </w:rPr>
        <w:t xml:space="preserve">2.3 Diversity, </w:t>
      </w:r>
      <w:r w:rsidRPr="3EE3B214" w:rsidR="4FDD505A">
        <w:rPr>
          <w:b w:val="1"/>
          <w:bCs w:val="1"/>
          <w:noProof w:val="0"/>
          <w:sz w:val="36"/>
          <w:szCs w:val="36"/>
          <w:lang w:val="en-US"/>
        </w:rPr>
        <w:t>Equity</w:t>
      </w:r>
      <w:r w:rsidRPr="3EE3B214" w:rsidR="4FDD505A">
        <w:rPr>
          <w:b w:val="1"/>
          <w:bCs w:val="1"/>
          <w:noProof w:val="0"/>
          <w:sz w:val="36"/>
          <w:szCs w:val="36"/>
          <w:lang w:val="en-US"/>
        </w:rPr>
        <w:t xml:space="preserve"> and Inclusion (DEI)</w:t>
      </w:r>
      <w:r w:rsidRPr="3EE3B214" w:rsidR="371DB346">
        <w:rPr>
          <w:b w:val="1"/>
          <w:bCs w:val="1"/>
          <w:noProof w:val="0"/>
          <w:sz w:val="36"/>
          <w:szCs w:val="36"/>
          <w:lang w:val="en-US"/>
        </w:rPr>
        <w:t xml:space="preserve"> of JLR</w:t>
      </w:r>
    </w:p>
    <w:p w:rsidR="016AAE6B" w:rsidP="3EE3B214" w:rsidRDefault="016AAE6B" w14:paraId="6843A60C" w14:textId="448FB4C3">
      <w:pPr>
        <w:spacing w:before="240" w:beforeAutospacing="off" w:after="240" w:afterAutospacing="off"/>
      </w:pPr>
      <w:r w:rsidRPr="3EE3B214" w:rsidR="4FDD505A">
        <w:rPr>
          <w:noProof w:val="0"/>
          <w:lang w:val="en-US"/>
        </w:rPr>
        <w:t>DEI has become a strategic priority for organisations seeking to improve innovation, employee engagement, and corporate reputation. The automotive industry has historically lacked gender and ethnic diversity, particularly in engineering and leadership roles (McKinsey, 2020). JLR Birmingham must address these disparities to build a workforce that reflects the diverse communities of the West Midlands.</w:t>
      </w:r>
    </w:p>
    <w:p w:rsidR="016AAE6B" w:rsidP="3EE3B214" w:rsidRDefault="016AAE6B" w14:paraId="670F210D" w14:textId="595F3BE0">
      <w:pPr>
        <w:spacing w:before="240" w:beforeAutospacing="off" w:after="240" w:afterAutospacing="off"/>
      </w:pPr>
      <w:r w:rsidRPr="3EE3B214" w:rsidR="4FDD505A">
        <w:rPr>
          <w:noProof w:val="0"/>
          <w:lang w:val="en-US"/>
        </w:rPr>
        <w:t xml:space="preserve">DEI challenges include underrepresentation of women in technical roles, limited progression opportunities for minority groups, and unconscious bias in recruitment and promotion. The CIPD (2023) highlights that inclusive cultures improve </w:t>
      </w:r>
      <w:r w:rsidRPr="3EE3B214" w:rsidR="51D20A04">
        <w:rPr>
          <w:noProof w:val="0"/>
          <w:lang w:val="en-US"/>
        </w:rPr>
        <w:t>organizational</w:t>
      </w:r>
      <w:r w:rsidRPr="3EE3B214" w:rsidR="4FDD505A">
        <w:rPr>
          <w:noProof w:val="0"/>
          <w:lang w:val="en-US"/>
        </w:rPr>
        <w:t xml:space="preserve"> performance and employee wellbeing. Shore et al</w:t>
      </w:r>
      <w:r w:rsidRPr="3EE3B214" w:rsidR="4FDD505A">
        <w:rPr>
          <w:noProof w:val="0"/>
          <w:lang w:val="en-US"/>
        </w:rPr>
        <w:t>.’s</w:t>
      </w:r>
      <w:r w:rsidRPr="3EE3B214" w:rsidR="4FDD505A">
        <w:rPr>
          <w:noProof w:val="0"/>
          <w:lang w:val="en-US"/>
        </w:rPr>
        <w:t xml:space="preserve"> (2011) Inclusion Framework </w:t>
      </w:r>
      <w:r w:rsidRPr="3EE3B214" w:rsidR="212C9CCB">
        <w:rPr>
          <w:noProof w:val="0"/>
          <w:lang w:val="en-US"/>
        </w:rPr>
        <w:t>emphasizes</w:t>
      </w:r>
      <w:r w:rsidRPr="3EE3B214" w:rsidR="4FDD505A">
        <w:rPr>
          <w:noProof w:val="0"/>
          <w:lang w:val="en-US"/>
        </w:rPr>
        <w:t xml:space="preserve"> the importance of belongingness and uniqueness, suggesting that employees must feel valued and respected to contribute fully.</w:t>
      </w:r>
    </w:p>
    <w:p w:rsidR="016AAE6B" w:rsidP="3EE3B214" w:rsidRDefault="016AAE6B" w14:paraId="6B483953" w14:textId="1D811BBB">
      <w:pPr>
        <w:spacing w:before="240" w:beforeAutospacing="off" w:after="240" w:afterAutospacing="off"/>
      </w:pPr>
      <w:r w:rsidRPr="3EE3B214" w:rsidR="4FDD505A">
        <w:rPr>
          <w:noProof w:val="0"/>
          <w:lang w:val="en-US"/>
        </w:rPr>
        <w:t xml:space="preserve">DEI is not only a moral imperative but also enhances </w:t>
      </w:r>
      <w:r w:rsidRPr="3EE3B214" w:rsidR="561780DF">
        <w:rPr>
          <w:noProof w:val="0"/>
          <w:lang w:val="en-US"/>
        </w:rPr>
        <w:t>organizational</w:t>
      </w:r>
      <w:r w:rsidRPr="3EE3B214" w:rsidR="4FDD505A">
        <w:rPr>
          <w:noProof w:val="0"/>
          <w:lang w:val="en-US"/>
        </w:rPr>
        <w:t xml:space="preserve"> performance by fostering creativity and improving decision-making (Armstrong, 2021). For JLR, improving DEI is essential for attracting diverse talent, meeting customer expectations, and strengthening its brand reputation.</w:t>
      </w:r>
    </w:p>
    <w:p w:rsidR="016AAE6B" w:rsidP="3EE3B214" w:rsidRDefault="016AAE6B" w14:paraId="21388728" w14:textId="54130DCD">
      <w:pPr>
        <w:pStyle w:val="Heading1"/>
        <w:spacing w:before="322" w:beforeAutospacing="off" w:after="322" w:afterAutospacing="off"/>
      </w:pPr>
      <w:r w:rsidRPr="3EE3B214" w:rsidR="4FDD505A">
        <w:rPr>
          <w:b w:val="1"/>
          <w:bCs w:val="1"/>
          <w:noProof w:val="0"/>
          <w:sz w:val="48"/>
          <w:szCs w:val="48"/>
          <w:lang w:val="en-US"/>
        </w:rPr>
        <w:t>3. Evaluation of Contemporary HR Practices</w:t>
      </w:r>
      <w:r w:rsidRPr="3EE3B214" w:rsidR="15524928">
        <w:rPr>
          <w:b w:val="1"/>
          <w:bCs w:val="1"/>
          <w:noProof w:val="0"/>
          <w:sz w:val="48"/>
          <w:szCs w:val="48"/>
          <w:lang w:val="en-US"/>
        </w:rPr>
        <w:t xml:space="preserve"> of JLR</w:t>
      </w:r>
    </w:p>
    <w:p w:rsidR="016AAE6B" w:rsidP="3EE3B214" w:rsidRDefault="016AAE6B" w14:paraId="6260880A" w14:textId="1B45131A">
      <w:pPr>
        <w:pStyle w:val="Heading2"/>
        <w:spacing w:before="299" w:beforeAutospacing="off" w:after="299" w:afterAutospacing="off"/>
      </w:pPr>
      <w:r w:rsidRPr="3EE3B214" w:rsidR="4FDD505A">
        <w:rPr>
          <w:b w:val="1"/>
          <w:bCs w:val="1"/>
          <w:noProof w:val="0"/>
          <w:sz w:val="36"/>
          <w:szCs w:val="36"/>
          <w:lang w:val="en-US"/>
        </w:rPr>
        <w:t>3.1 Practices for Meeting Technological Advancement</w:t>
      </w:r>
    </w:p>
    <w:p w:rsidR="016AAE6B" w:rsidP="3EE3B214" w:rsidRDefault="016AAE6B" w14:paraId="01A2D838" w14:textId="6AE88B4F">
      <w:pPr>
        <w:pStyle w:val="Heading3"/>
        <w:spacing w:before="281" w:beforeAutospacing="off" w:after="281" w:afterAutospacing="off"/>
      </w:pPr>
      <w:r w:rsidRPr="3EE3B214" w:rsidR="4FDD505A">
        <w:rPr>
          <w:b w:val="1"/>
          <w:bCs w:val="1"/>
          <w:noProof w:val="0"/>
          <w:sz w:val="28"/>
          <w:szCs w:val="28"/>
          <w:lang w:val="en-US"/>
        </w:rPr>
        <w:t>Strategic Workforce Planning</w:t>
      </w:r>
    </w:p>
    <w:p w:rsidR="016AAE6B" w:rsidP="3EE3B214" w:rsidRDefault="016AAE6B" w14:paraId="1EAD7C4F" w14:textId="1D1000E9">
      <w:pPr>
        <w:spacing w:before="240" w:beforeAutospacing="off" w:after="240" w:afterAutospacing="off"/>
      </w:pPr>
      <w:r w:rsidRPr="3EE3B214" w:rsidR="4FDD505A">
        <w:rPr>
          <w:noProof w:val="0"/>
          <w:lang w:val="en-US"/>
        </w:rPr>
        <w:t>Predictive analytics can help JLR forecast future skill needs and develop targeted training programmes (CIPD, 2022). This ensures alignment between workforce capability and technological strategy.</w:t>
      </w:r>
    </w:p>
    <w:p w:rsidR="016AAE6B" w:rsidP="3EE3B214" w:rsidRDefault="016AAE6B" w14:paraId="06A35003" w14:textId="7C057FEA">
      <w:pPr>
        <w:pStyle w:val="Heading3"/>
        <w:spacing w:before="281" w:beforeAutospacing="off" w:after="281" w:afterAutospacing="off"/>
      </w:pPr>
      <w:r w:rsidRPr="3EE3B214" w:rsidR="4FDD505A">
        <w:rPr>
          <w:b w:val="1"/>
          <w:bCs w:val="1"/>
          <w:noProof w:val="0"/>
          <w:sz w:val="28"/>
          <w:szCs w:val="28"/>
          <w:lang w:val="en-US"/>
        </w:rPr>
        <w:t>Digital Learning and Reskilling Platforms</w:t>
      </w:r>
    </w:p>
    <w:p w:rsidR="016AAE6B" w:rsidP="3EE3B214" w:rsidRDefault="016AAE6B" w14:paraId="40AE8C6F" w14:textId="4CF328FE">
      <w:pPr>
        <w:spacing w:before="240" w:beforeAutospacing="off" w:after="240" w:afterAutospacing="off"/>
      </w:pPr>
      <w:r w:rsidRPr="3EE3B214" w:rsidR="4FDD505A">
        <w:rPr>
          <w:noProof w:val="0"/>
          <w:lang w:val="en-US"/>
        </w:rPr>
        <w:t xml:space="preserve">E-learning platforms, virtual reality (VR) training, and AI-based </w:t>
      </w:r>
      <w:r w:rsidRPr="3EE3B214" w:rsidR="2DDB62F1">
        <w:rPr>
          <w:noProof w:val="0"/>
          <w:lang w:val="en-US"/>
        </w:rPr>
        <w:t>personalized</w:t>
      </w:r>
      <w:r w:rsidRPr="3EE3B214" w:rsidR="4FDD505A">
        <w:rPr>
          <w:noProof w:val="0"/>
          <w:lang w:val="en-US"/>
        </w:rPr>
        <w:t xml:space="preserve"> learning support continuous development. JLR’s learning academies can be expanded to include digital manufacturing modules, coding basics, and EV technology training (JLR, 2023).</w:t>
      </w:r>
    </w:p>
    <w:p w:rsidR="016AAE6B" w:rsidP="3EE3B214" w:rsidRDefault="016AAE6B" w14:paraId="5BDD04E5" w14:textId="0F6E8C32">
      <w:pPr>
        <w:pStyle w:val="Heading3"/>
        <w:spacing w:before="281" w:beforeAutospacing="off" w:after="281" w:afterAutospacing="off"/>
      </w:pPr>
      <w:r w:rsidRPr="3EE3B214" w:rsidR="4FDD505A">
        <w:rPr>
          <w:b w:val="1"/>
          <w:bCs w:val="1"/>
          <w:noProof w:val="0"/>
          <w:sz w:val="28"/>
          <w:szCs w:val="28"/>
          <w:lang w:val="en-US"/>
        </w:rPr>
        <w:t>Partnerships with Universities and Technical Colleges</w:t>
      </w:r>
    </w:p>
    <w:p w:rsidR="016AAE6B" w:rsidP="3EE3B214" w:rsidRDefault="016AAE6B" w14:paraId="2C3C3DF5" w14:textId="05361F81">
      <w:pPr>
        <w:spacing w:before="240" w:beforeAutospacing="off" w:after="240" w:afterAutospacing="off"/>
      </w:pPr>
      <w:r w:rsidRPr="3EE3B214" w:rsidR="4FDD505A">
        <w:rPr>
          <w:noProof w:val="0"/>
          <w:lang w:val="en-US"/>
        </w:rPr>
        <w:t>Collaborations with Birmingham City University, Aston University, and local colleges can create pipelines for engineering and digital talent (Aston University, 2023). Degree apprenticeships and industry placements are effective tools for building long-term capability.</w:t>
      </w:r>
    </w:p>
    <w:p w:rsidR="016AAE6B" w:rsidP="3EE3B214" w:rsidRDefault="016AAE6B" w14:paraId="5D855E55" w14:textId="22422A88">
      <w:pPr>
        <w:pStyle w:val="Heading3"/>
        <w:spacing w:before="281" w:beforeAutospacing="off" w:after="281" w:afterAutospacing="off"/>
      </w:pPr>
      <w:r w:rsidRPr="3EE3B214" w:rsidR="4FDD505A">
        <w:rPr>
          <w:b w:val="1"/>
          <w:bCs w:val="1"/>
          <w:noProof w:val="0"/>
          <w:sz w:val="28"/>
          <w:szCs w:val="28"/>
          <w:lang w:val="en-US"/>
        </w:rPr>
        <w:t>Change Management Frameworks</w:t>
      </w:r>
    </w:p>
    <w:p w:rsidR="016AAE6B" w:rsidP="3EE3B214" w:rsidRDefault="016AAE6B" w14:paraId="1449E6EE" w14:textId="442FEE01">
      <w:pPr>
        <w:spacing w:before="240" w:beforeAutospacing="off" w:after="240" w:afterAutospacing="off"/>
      </w:pPr>
      <w:r w:rsidRPr="3EE3B214" w:rsidR="4FDD505A">
        <w:rPr>
          <w:noProof w:val="0"/>
          <w:lang w:val="en-US"/>
        </w:rPr>
        <w:t>Using structured change models (e.g., Kotter’s 8-Step Model) helps reduce resistance and ensures employees understand the benefits of technological transformation (Kotter, 2012).</w:t>
      </w:r>
    </w:p>
    <w:p w:rsidR="016AAE6B" w:rsidP="3EE3B214" w:rsidRDefault="016AAE6B" w14:paraId="708C1F2B" w14:textId="478E68C2">
      <w:pPr>
        <w:pStyle w:val="Heading2"/>
        <w:spacing w:before="299" w:beforeAutospacing="off" w:after="299" w:afterAutospacing="off"/>
      </w:pPr>
      <w:r w:rsidRPr="3EE3B214" w:rsidR="4FDD505A">
        <w:rPr>
          <w:b w:val="1"/>
          <w:bCs w:val="1"/>
          <w:noProof w:val="0"/>
          <w:sz w:val="36"/>
          <w:szCs w:val="36"/>
          <w:lang w:val="en-US"/>
        </w:rPr>
        <w:t>3.2 Practices for Talent Acquisition and Retention</w:t>
      </w:r>
      <w:r w:rsidRPr="3EE3B214" w:rsidR="3FD6FA37">
        <w:rPr>
          <w:b w:val="1"/>
          <w:bCs w:val="1"/>
          <w:noProof w:val="0"/>
          <w:sz w:val="36"/>
          <w:szCs w:val="36"/>
          <w:lang w:val="en-US"/>
        </w:rPr>
        <w:t xml:space="preserve"> of JLR</w:t>
      </w:r>
    </w:p>
    <w:p w:rsidR="016AAE6B" w:rsidP="3EE3B214" w:rsidRDefault="016AAE6B" w14:paraId="6FC4F2CE" w14:textId="5989E3B4">
      <w:pPr>
        <w:pStyle w:val="Heading3"/>
        <w:spacing w:before="281" w:beforeAutospacing="off" w:after="281" w:afterAutospacing="off"/>
      </w:pPr>
      <w:r w:rsidRPr="3EE3B214" w:rsidR="4FDD505A">
        <w:rPr>
          <w:b w:val="1"/>
          <w:bCs w:val="1"/>
          <w:noProof w:val="0"/>
          <w:sz w:val="28"/>
          <w:szCs w:val="28"/>
          <w:lang w:val="en-US"/>
        </w:rPr>
        <w:t>Employer Branding and EVP Enhancement</w:t>
      </w:r>
    </w:p>
    <w:p w:rsidR="016AAE6B" w:rsidP="3EE3B214" w:rsidRDefault="016AAE6B" w14:paraId="164F3D4D" w14:textId="394147A5">
      <w:pPr>
        <w:spacing w:before="240" w:beforeAutospacing="off" w:after="240" w:afterAutospacing="off"/>
      </w:pPr>
      <w:r w:rsidRPr="3EE3B214" w:rsidR="4FDD505A">
        <w:rPr>
          <w:noProof w:val="0"/>
          <w:lang w:val="en-US"/>
        </w:rPr>
        <w:t>A strong EVP highlighting sustainability, innovation, and career development can differentiate JLR from competitors (Backhaus &amp; Tikoo, 2004).</w:t>
      </w:r>
    </w:p>
    <w:p w:rsidR="016AAE6B" w:rsidP="3EE3B214" w:rsidRDefault="016AAE6B" w14:paraId="72ED9988" w14:textId="4134BDA1">
      <w:pPr>
        <w:pStyle w:val="Heading3"/>
        <w:spacing w:before="281" w:beforeAutospacing="off" w:after="281" w:afterAutospacing="off"/>
      </w:pPr>
      <w:r w:rsidRPr="3EE3B214" w:rsidR="4FDD505A">
        <w:rPr>
          <w:b w:val="1"/>
          <w:bCs w:val="1"/>
          <w:noProof w:val="0"/>
          <w:sz w:val="28"/>
          <w:szCs w:val="28"/>
          <w:lang w:val="en-US"/>
        </w:rPr>
        <w:t>AI-Enabled Recruitment</w:t>
      </w:r>
    </w:p>
    <w:p w:rsidR="016AAE6B" w:rsidP="3EE3B214" w:rsidRDefault="016AAE6B" w14:paraId="5D3765B8" w14:textId="2F35A266">
      <w:pPr>
        <w:spacing w:before="240" w:beforeAutospacing="off" w:after="240" w:afterAutospacing="off"/>
      </w:pPr>
      <w:r w:rsidRPr="3EE3B214" w:rsidR="4FDD505A">
        <w:rPr>
          <w:noProof w:val="0"/>
          <w:lang w:val="en-US"/>
        </w:rPr>
        <w:t>AI tools can streamline candidate screening, reduce bias, and improve hiring speed. Predictive analytics can identify high-potential candidates and improve workforce diversity (Huselid, 1995).</w:t>
      </w:r>
    </w:p>
    <w:p w:rsidR="016AAE6B" w:rsidP="3EE3B214" w:rsidRDefault="016AAE6B" w14:paraId="58A01C3D" w14:textId="0E36B2CC">
      <w:pPr>
        <w:pStyle w:val="Heading3"/>
        <w:spacing w:before="281" w:beforeAutospacing="off" w:after="281" w:afterAutospacing="off"/>
      </w:pPr>
      <w:r w:rsidRPr="3EE3B214" w:rsidR="4FDD505A">
        <w:rPr>
          <w:b w:val="1"/>
          <w:bCs w:val="1"/>
          <w:noProof w:val="0"/>
          <w:sz w:val="28"/>
          <w:szCs w:val="28"/>
          <w:lang w:val="en-US"/>
        </w:rPr>
        <w:t>Flexible Working and Hybrid Models</w:t>
      </w:r>
    </w:p>
    <w:p w:rsidR="016AAE6B" w:rsidP="3EE3B214" w:rsidRDefault="016AAE6B" w14:paraId="44646FE8" w14:textId="44BAF591">
      <w:pPr>
        <w:spacing w:before="240" w:beforeAutospacing="off" w:after="240" w:afterAutospacing="off"/>
      </w:pPr>
      <w:r w:rsidRPr="3EE3B214" w:rsidR="4FDD505A">
        <w:rPr>
          <w:noProof w:val="0"/>
          <w:lang w:val="en-US"/>
        </w:rPr>
        <w:t>Although manufacturing roles require on-site presence, JLR can offer flexible scheduling, job-sharing, and hybrid options for engineering and corporate roles (CIPD, 2023).</w:t>
      </w:r>
    </w:p>
    <w:p w:rsidR="016AAE6B" w:rsidP="3EE3B214" w:rsidRDefault="016AAE6B" w14:paraId="7E2D84D2" w14:textId="18A87637">
      <w:pPr>
        <w:pStyle w:val="Heading3"/>
        <w:spacing w:before="281" w:beforeAutospacing="off" w:after="281" w:afterAutospacing="off"/>
      </w:pPr>
      <w:r w:rsidRPr="3EE3B214" w:rsidR="4FDD505A">
        <w:rPr>
          <w:b w:val="1"/>
          <w:bCs w:val="1"/>
          <w:noProof w:val="0"/>
          <w:sz w:val="28"/>
          <w:szCs w:val="28"/>
          <w:lang w:val="en-US"/>
        </w:rPr>
        <w:t>Career Development and Internal Mobility</w:t>
      </w:r>
    </w:p>
    <w:p w:rsidR="016AAE6B" w:rsidP="3EE3B214" w:rsidRDefault="016AAE6B" w14:paraId="3D3F4358" w14:textId="325BBCA4">
      <w:pPr>
        <w:spacing w:before="240" w:beforeAutospacing="off" w:after="240" w:afterAutospacing="off"/>
      </w:pPr>
      <w:r w:rsidRPr="3EE3B214" w:rsidR="4FDD505A">
        <w:rPr>
          <w:noProof w:val="0"/>
          <w:lang w:val="en-US"/>
        </w:rPr>
        <w:t>Clear progression pathways, leadership development programmes, and internal mobility platforms help retain talent. JLR’s apprenticeship schemes can be expanded to include digital and EV-related roles (JLR, 2024).</w:t>
      </w:r>
    </w:p>
    <w:p w:rsidR="016AAE6B" w:rsidP="3EE3B214" w:rsidRDefault="016AAE6B" w14:paraId="7C52DAF7" w14:textId="428FCA79">
      <w:pPr>
        <w:pStyle w:val="Heading3"/>
        <w:spacing w:before="281" w:beforeAutospacing="off" w:after="281" w:afterAutospacing="off"/>
      </w:pPr>
      <w:r w:rsidRPr="3EE3B214" w:rsidR="4FDD505A">
        <w:rPr>
          <w:b w:val="1"/>
          <w:bCs w:val="1"/>
          <w:noProof w:val="0"/>
          <w:sz w:val="28"/>
          <w:szCs w:val="28"/>
          <w:lang w:val="en-US"/>
        </w:rPr>
        <w:t>Wellbeing and Mental Health Support</w:t>
      </w:r>
    </w:p>
    <w:p w:rsidR="016AAE6B" w:rsidP="3EE3B214" w:rsidRDefault="016AAE6B" w14:paraId="127D4375" w14:textId="0D55BC33">
      <w:pPr>
        <w:spacing w:before="240" w:beforeAutospacing="off" w:after="240" w:afterAutospacing="off"/>
      </w:pPr>
      <w:r w:rsidRPr="3EE3B214" w:rsidR="4FDD505A">
        <w:rPr>
          <w:noProof w:val="0"/>
          <w:lang w:val="en-US"/>
        </w:rPr>
        <w:t xml:space="preserve">Contemporary HR </w:t>
      </w:r>
      <w:r w:rsidRPr="3EE3B214" w:rsidR="4FDD505A">
        <w:rPr>
          <w:noProof w:val="0"/>
          <w:lang w:val="en-US"/>
        </w:rPr>
        <w:t>emphasizes</w:t>
      </w:r>
      <w:r w:rsidRPr="3EE3B214" w:rsidR="4FDD505A">
        <w:rPr>
          <w:noProof w:val="0"/>
          <w:lang w:val="en-US"/>
        </w:rPr>
        <w:t xml:space="preserve"> holistic wellbeing. JLR can enhance mental health resources, financial wellbeing </w:t>
      </w:r>
      <w:r w:rsidRPr="3EE3B214" w:rsidR="4FDD505A">
        <w:rPr>
          <w:noProof w:val="0"/>
          <w:lang w:val="en-US"/>
        </w:rPr>
        <w:t>programmes</w:t>
      </w:r>
      <w:r w:rsidRPr="3EE3B214" w:rsidR="4FDD505A">
        <w:rPr>
          <w:noProof w:val="0"/>
          <w:lang w:val="en-US"/>
        </w:rPr>
        <w:t>, and workload management initiatives to reduce burnout (Shaw, 2021).</w:t>
      </w:r>
    </w:p>
    <w:p w:rsidR="016AAE6B" w:rsidP="3EE3B214" w:rsidRDefault="016AAE6B" w14:paraId="6BF7CB87" w14:textId="26A9BA7E">
      <w:pPr>
        <w:pStyle w:val="Heading2"/>
        <w:spacing w:before="299" w:beforeAutospacing="off" w:after="299" w:afterAutospacing="off"/>
      </w:pPr>
      <w:r w:rsidRPr="3EE3B214" w:rsidR="4FDD505A">
        <w:rPr>
          <w:b w:val="1"/>
          <w:bCs w:val="1"/>
          <w:noProof w:val="0"/>
          <w:sz w:val="36"/>
          <w:szCs w:val="36"/>
          <w:lang w:val="en-US"/>
        </w:rPr>
        <w:t>3.3 Practices for DEI</w:t>
      </w:r>
      <w:r w:rsidRPr="3EE3B214" w:rsidR="5ED67113">
        <w:rPr>
          <w:b w:val="1"/>
          <w:bCs w:val="1"/>
          <w:noProof w:val="0"/>
          <w:sz w:val="36"/>
          <w:szCs w:val="36"/>
          <w:lang w:val="en-US"/>
        </w:rPr>
        <w:t xml:space="preserve"> of JLR</w:t>
      </w:r>
    </w:p>
    <w:p w:rsidR="016AAE6B" w:rsidP="3EE3B214" w:rsidRDefault="016AAE6B" w14:paraId="587FE7EC" w14:textId="1EB6DD55">
      <w:pPr>
        <w:pStyle w:val="Heading3"/>
        <w:spacing w:before="281" w:beforeAutospacing="off" w:after="281" w:afterAutospacing="off"/>
      </w:pPr>
      <w:r w:rsidRPr="3EE3B214" w:rsidR="4FDD505A">
        <w:rPr>
          <w:b w:val="1"/>
          <w:bCs w:val="1"/>
          <w:noProof w:val="0"/>
          <w:sz w:val="28"/>
          <w:szCs w:val="28"/>
          <w:lang w:val="en-US"/>
        </w:rPr>
        <w:t>Inclusive Recruitment Practices</w:t>
      </w:r>
    </w:p>
    <w:p w:rsidR="016AAE6B" w:rsidP="3EE3B214" w:rsidRDefault="016AAE6B" w14:paraId="39AFDC14" w14:textId="6E99D25B">
      <w:pPr>
        <w:spacing w:before="240" w:beforeAutospacing="off" w:after="240" w:afterAutospacing="off"/>
      </w:pPr>
      <w:r w:rsidRPr="3EE3B214" w:rsidR="4FDD505A">
        <w:rPr>
          <w:noProof w:val="0"/>
          <w:lang w:val="en-US"/>
        </w:rPr>
        <w:t>Blind recruitment, diverse interview panels, and community outreach programmes help attract diverse talent (McKinsey, 2020).</w:t>
      </w:r>
    </w:p>
    <w:p w:rsidR="016AAE6B" w:rsidP="3EE3B214" w:rsidRDefault="016AAE6B" w14:paraId="484205DE" w14:textId="010E143C">
      <w:pPr>
        <w:pStyle w:val="Heading3"/>
        <w:spacing w:before="281" w:beforeAutospacing="off" w:after="281" w:afterAutospacing="off"/>
      </w:pPr>
      <w:r w:rsidRPr="3EE3B214" w:rsidR="4FDD505A">
        <w:rPr>
          <w:b w:val="1"/>
          <w:bCs w:val="1"/>
          <w:noProof w:val="0"/>
          <w:sz w:val="28"/>
          <w:szCs w:val="28"/>
          <w:lang w:val="en-US"/>
        </w:rPr>
        <w:t>DEI Training and Inclusive Leadership</w:t>
      </w:r>
    </w:p>
    <w:p w:rsidR="016AAE6B" w:rsidP="3EE3B214" w:rsidRDefault="016AAE6B" w14:paraId="5277B590" w14:textId="3C9C24EF">
      <w:pPr>
        <w:spacing w:before="240" w:beforeAutospacing="off" w:after="240" w:afterAutospacing="off"/>
      </w:pPr>
      <w:r w:rsidRPr="3EE3B214" w:rsidR="4FDD505A">
        <w:rPr>
          <w:noProof w:val="0"/>
          <w:lang w:val="en-US"/>
        </w:rPr>
        <w:t xml:space="preserve">Training managers on unconscious bias, inclusive communication, and cultural competence strengthens </w:t>
      </w:r>
      <w:r w:rsidRPr="3EE3B214" w:rsidR="4FDD505A">
        <w:rPr>
          <w:noProof w:val="0"/>
          <w:lang w:val="en-US"/>
        </w:rPr>
        <w:t>organizational</w:t>
      </w:r>
      <w:r w:rsidRPr="3EE3B214" w:rsidR="4FDD505A">
        <w:rPr>
          <w:noProof w:val="0"/>
          <w:lang w:val="en-US"/>
        </w:rPr>
        <w:t xml:space="preserve"> culture (Armstrong, 2021).</w:t>
      </w:r>
    </w:p>
    <w:p w:rsidR="016AAE6B" w:rsidP="3EE3B214" w:rsidRDefault="016AAE6B" w14:paraId="7AB75CBD" w14:textId="4E966475">
      <w:pPr>
        <w:pStyle w:val="Heading3"/>
        <w:spacing w:before="281" w:beforeAutospacing="off" w:after="281" w:afterAutospacing="off"/>
      </w:pPr>
      <w:r w:rsidRPr="3EE3B214" w:rsidR="4FDD505A">
        <w:rPr>
          <w:b w:val="1"/>
          <w:bCs w:val="1"/>
          <w:noProof w:val="0"/>
          <w:sz w:val="28"/>
          <w:szCs w:val="28"/>
          <w:lang w:val="en-US"/>
        </w:rPr>
        <w:t>Pay Equity Audits</w:t>
      </w:r>
    </w:p>
    <w:p w:rsidR="016AAE6B" w:rsidP="3EE3B214" w:rsidRDefault="016AAE6B" w14:paraId="309C88A1" w14:textId="2EE0986A">
      <w:pPr>
        <w:spacing w:before="240" w:beforeAutospacing="off" w:after="240" w:afterAutospacing="off"/>
      </w:pPr>
      <w:r w:rsidRPr="3EE3B214" w:rsidR="4FDD505A">
        <w:rPr>
          <w:noProof w:val="0"/>
          <w:lang w:val="en-US"/>
        </w:rPr>
        <w:t>Regular audits ensure fairness in compensation and help close gender and ethnicity pay gaps (JLR, 2023).</w:t>
      </w:r>
    </w:p>
    <w:p w:rsidR="016AAE6B" w:rsidP="3EE3B214" w:rsidRDefault="016AAE6B" w14:paraId="1C545CB3" w14:textId="4FEA774C">
      <w:pPr>
        <w:pStyle w:val="Heading3"/>
        <w:spacing w:before="281" w:beforeAutospacing="off" w:after="281" w:afterAutospacing="off"/>
      </w:pPr>
      <w:r w:rsidRPr="3EE3B214" w:rsidR="4FDD505A">
        <w:rPr>
          <w:b w:val="1"/>
          <w:bCs w:val="1"/>
          <w:noProof w:val="0"/>
          <w:sz w:val="28"/>
          <w:szCs w:val="28"/>
          <w:lang w:val="en-US"/>
        </w:rPr>
        <w:t>Employee Resource Groups (ERGs)</w:t>
      </w:r>
    </w:p>
    <w:p w:rsidR="016AAE6B" w:rsidP="3EE3B214" w:rsidRDefault="016AAE6B" w14:paraId="70EA82DB" w14:textId="6255439E">
      <w:pPr>
        <w:spacing w:before="240" w:beforeAutospacing="off" w:after="240" w:afterAutospacing="off"/>
      </w:pPr>
      <w:r w:rsidRPr="3EE3B214" w:rsidR="4FDD505A">
        <w:rPr>
          <w:noProof w:val="0"/>
          <w:lang w:val="en-US"/>
        </w:rPr>
        <w:t>ERGs empower underrepresented groups and provide feedback to HR on inclusion barriers (McKinsey, 2020).</w:t>
      </w:r>
    </w:p>
    <w:p w:rsidR="016AAE6B" w:rsidP="3EE3B214" w:rsidRDefault="016AAE6B" w14:paraId="261BDD0B" w14:textId="74734873">
      <w:pPr>
        <w:pStyle w:val="Heading3"/>
        <w:spacing w:before="281" w:beforeAutospacing="off" w:after="281" w:afterAutospacing="off"/>
      </w:pPr>
      <w:r w:rsidRPr="3EE3B214" w:rsidR="4FDD505A">
        <w:rPr>
          <w:b w:val="1"/>
          <w:bCs w:val="1"/>
          <w:noProof w:val="0"/>
          <w:sz w:val="28"/>
          <w:szCs w:val="28"/>
          <w:lang w:val="en-US"/>
        </w:rPr>
        <w:t>DEI Metrics and Accountability</w:t>
      </w:r>
    </w:p>
    <w:p w:rsidR="016AAE6B" w:rsidP="3EE3B214" w:rsidRDefault="016AAE6B" w14:paraId="0AE7F7D3" w14:textId="7205F621">
      <w:pPr>
        <w:spacing w:before="240" w:beforeAutospacing="off" w:after="240" w:afterAutospacing="off"/>
      </w:pPr>
      <w:r w:rsidRPr="3EE3B214" w:rsidR="4FDD505A">
        <w:rPr>
          <w:noProof w:val="0"/>
          <w:lang w:val="en-US"/>
        </w:rPr>
        <w:t>Publishing DEI dashboards and linking leadership bonuses to DEI outcomes ensures accountability and transparency (JLR, 2023).</w:t>
      </w:r>
    </w:p>
    <w:p w:rsidR="016AAE6B" w:rsidP="3EE3B214" w:rsidRDefault="016AAE6B" w14:paraId="4A2A33BE" w14:textId="5BD76B2D">
      <w:pPr>
        <w:pStyle w:val="Heading1"/>
        <w:spacing w:before="322" w:beforeAutospacing="off" w:after="322" w:afterAutospacing="off"/>
      </w:pPr>
      <w:r w:rsidRPr="3EE3B214" w:rsidR="4FDD505A">
        <w:rPr>
          <w:b w:val="1"/>
          <w:bCs w:val="1"/>
          <w:noProof w:val="0"/>
          <w:sz w:val="48"/>
          <w:szCs w:val="48"/>
          <w:lang w:val="en-US"/>
        </w:rPr>
        <w:t>4. Critical Evaluation of Managerial Implementation</w:t>
      </w:r>
      <w:r w:rsidRPr="3EE3B214" w:rsidR="3584AE75">
        <w:rPr>
          <w:b w:val="1"/>
          <w:bCs w:val="1"/>
          <w:noProof w:val="0"/>
          <w:sz w:val="48"/>
          <w:szCs w:val="48"/>
          <w:lang w:val="en-US"/>
        </w:rPr>
        <w:t xml:space="preserve"> of JLR</w:t>
      </w:r>
    </w:p>
    <w:p w:rsidR="016AAE6B" w:rsidP="3EE3B214" w:rsidRDefault="016AAE6B" w14:paraId="378052C8" w14:textId="2204FDB4">
      <w:pPr>
        <w:spacing w:before="240" w:beforeAutospacing="off" w:after="240" w:afterAutospacing="off"/>
      </w:pPr>
      <w:r w:rsidRPr="3EE3B214" w:rsidR="4FDD505A">
        <w:rPr>
          <w:noProof w:val="0"/>
          <w:lang w:val="en-US"/>
        </w:rPr>
        <w:t xml:space="preserve">Departmental managers play a crucial role in implementing HR practices. Their leadership, communication, and decision-making directly influence employee engagement and </w:t>
      </w:r>
      <w:r w:rsidRPr="3EE3B214" w:rsidR="4FDD505A">
        <w:rPr>
          <w:noProof w:val="0"/>
          <w:lang w:val="en-US"/>
        </w:rPr>
        <w:t>organizational</w:t>
      </w:r>
      <w:r w:rsidRPr="3EE3B214" w:rsidR="4FDD505A">
        <w:rPr>
          <w:noProof w:val="0"/>
          <w:lang w:val="en-US"/>
        </w:rPr>
        <w:t xml:space="preserve"> performance.</w:t>
      </w:r>
    </w:p>
    <w:p w:rsidR="016AAE6B" w:rsidP="3EE3B214" w:rsidRDefault="016AAE6B" w14:paraId="19D1CA06" w14:textId="6CC21825">
      <w:pPr>
        <w:pStyle w:val="Heading2"/>
        <w:spacing w:before="299" w:beforeAutospacing="off" w:after="299" w:afterAutospacing="off"/>
      </w:pPr>
      <w:r w:rsidRPr="3EE3B214" w:rsidR="4FDD505A">
        <w:rPr>
          <w:b w:val="1"/>
          <w:bCs w:val="1"/>
          <w:noProof w:val="0"/>
          <w:sz w:val="36"/>
          <w:szCs w:val="36"/>
          <w:lang w:val="en-US"/>
        </w:rPr>
        <w:t>4.1 Implementing Technological Advancement Practices</w:t>
      </w:r>
    </w:p>
    <w:p w:rsidR="016AAE6B" w:rsidP="3EE3B214" w:rsidRDefault="016AAE6B" w14:paraId="1D92A7E9" w14:textId="20223A6E">
      <w:pPr>
        <w:spacing w:before="240" w:beforeAutospacing="off" w:after="240" w:afterAutospacing="off"/>
      </w:pPr>
      <w:r w:rsidRPr="3EE3B214" w:rsidR="4FDD505A">
        <w:rPr>
          <w:noProof w:val="0"/>
          <w:lang w:val="en-US"/>
        </w:rPr>
        <w:t xml:space="preserve">Managers must champion digital transformation by modelling digital </w:t>
      </w:r>
      <w:r w:rsidRPr="3EE3B214" w:rsidR="4FDD505A">
        <w:rPr>
          <w:noProof w:val="0"/>
          <w:lang w:val="en-US"/>
        </w:rPr>
        <w:t>behaviors</w:t>
      </w:r>
      <w:r w:rsidRPr="3EE3B214" w:rsidR="4FDD505A">
        <w:rPr>
          <w:noProof w:val="0"/>
          <w:lang w:val="en-US"/>
        </w:rPr>
        <w:t xml:space="preserve"> and encouraging continuous learning. They should </w:t>
      </w:r>
      <w:r w:rsidRPr="3EE3B214" w:rsidR="4FDD505A">
        <w:rPr>
          <w:noProof w:val="0"/>
          <w:lang w:val="en-US"/>
        </w:rPr>
        <w:t>allocate</w:t>
      </w:r>
      <w:r w:rsidRPr="3EE3B214" w:rsidR="4FDD505A">
        <w:rPr>
          <w:noProof w:val="0"/>
          <w:lang w:val="en-US"/>
        </w:rPr>
        <w:t xml:space="preserve"> time for training, provide coaching, and ensure employees understand the benefits of </w:t>
      </w:r>
      <w:r w:rsidRPr="3EE3B214" w:rsidR="4FDD505A">
        <w:rPr>
          <w:noProof w:val="0"/>
          <w:lang w:val="en-US"/>
        </w:rPr>
        <w:t>new technologies</w:t>
      </w:r>
      <w:r w:rsidRPr="3EE3B214" w:rsidR="4FDD505A">
        <w:rPr>
          <w:noProof w:val="0"/>
          <w:lang w:val="en-US"/>
        </w:rPr>
        <w:t>. However, many managers may lack digital confidence themselves, which can hinder implementation. JLR must therefore invest in managerial digital literacy and provide support through HR business partners (Deloitte, 2023).</w:t>
      </w:r>
    </w:p>
    <w:p w:rsidR="016AAE6B" w:rsidP="3EE3B214" w:rsidRDefault="016AAE6B" w14:paraId="1F813A5E" w14:textId="1B285369">
      <w:pPr>
        <w:pStyle w:val="Heading2"/>
        <w:spacing w:before="299" w:beforeAutospacing="off" w:after="299" w:afterAutospacing="off"/>
      </w:pPr>
      <w:r w:rsidRPr="3EE3B214" w:rsidR="4FDD505A">
        <w:rPr>
          <w:b w:val="1"/>
          <w:bCs w:val="1"/>
          <w:noProof w:val="0"/>
          <w:sz w:val="36"/>
          <w:szCs w:val="36"/>
          <w:lang w:val="en-US"/>
        </w:rPr>
        <w:t>4.2 Implementing Talent Acquisition and Retention Practices</w:t>
      </w:r>
    </w:p>
    <w:p w:rsidR="016AAE6B" w:rsidP="3EE3B214" w:rsidRDefault="016AAE6B" w14:paraId="42ADDB53" w14:textId="3474E6BC">
      <w:pPr>
        <w:spacing w:before="240" w:beforeAutospacing="off" w:after="240" w:afterAutospacing="off"/>
      </w:pPr>
      <w:r w:rsidRPr="3EE3B214" w:rsidR="4FDD505A">
        <w:rPr>
          <w:noProof w:val="0"/>
          <w:lang w:val="en-US"/>
        </w:rPr>
        <w:t>Managers influence retention through day-to-day interactions, workload management, and recognition practices. To implement contemporary practices urgently, managers must adopt data-driven decision-making, use HR analytics tools, and collaborate closely with HR teams. However, operational pressures in manufacturing environments may limit their capacity to focus on long-term talent strategies. JLR should therefore streamline administrative tasks and empower managers with HR support teams (CIPD, 2023).</w:t>
      </w:r>
    </w:p>
    <w:p w:rsidR="016AAE6B" w:rsidP="3EE3B214" w:rsidRDefault="016AAE6B" w14:paraId="7A396D77" w14:textId="4BACE01B">
      <w:pPr>
        <w:pStyle w:val="Heading2"/>
        <w:spacing w:before="299" w:beforeAutospacing="off" w:after="299" w:afterAutospacing="off"/>
      </w:pPr>
      <w:r w:rsidRPr="3EE3B214" w:rsidR="4FDD505A">
        <w:rPr>
          <w:b w:val="1"/>
          <w:bCs w:val="1"/>
          <w:noProof w:val="0"/>
          <w:sz w:val="36"/>
          <w:szCs w:val="36"/>
          <w:lang w:val="en-US"/>
        </w:rPr>
        <w:t>4.3 Implementing DEI Practices</w:t>
      </w:r>
    </w:p>
    <w:p w:rsidR="016AAE6B" w:rsidP="3EE3B214" w:rsidRDefault="016AAE6B" w14:paraId="66D84B88" w14:textId="4D07F4A1">
      <w:pPr>
        <w:spacing w:before="240" w:beforeAutospacing="off" w:after="240" w:afterAutospacing="off"/>
      </w:pPr>
      <w:r w:rsidRPr="3EE3B214" w:rsidR="4FDD505A">
        <w:rPr>
          <w:noProof w:val="0"/>
          <w:lang w:val="en-US"/>
        </w:rPr>
        <w:t>Managers are central to creating inclusive environments. They must enforce fair recruitment practices, address bias, and support ERGs. Yet, DEI implementation often fails due to lack of accountability. JLR can address this by integrating DEI metrics into performance reviews and providing managers with DEI coaching. Urgency can be reinforced through regular reporting, leadership communication, and linking DEI outcomes to departmental KPIs (JLR, 2023).</w:t>
      </w:r>
    </w:p>
    <w:p w:rsidR="016AAE6B" w:rsidP="3EE3B214" w:rsidRDefault="016AAE6B" w14:paraId="5EF2F272" w14:textId="1F4B09D3">
      <w:pPr>
        <w:pStyle w:val="Heading1"/>
        <w:spacing w:before="322" w:beforeAutospacing="off" w:after="322" w:afterAutospacing="off"/>
      </w:pPr>
      <w:r w:rsidRPr="3EE3B214" w:rsidR="4FDD505A">
        <w:rPr>
          <w:b w:val="1"/>
          <w:bCs w:val="1"/>
          <w:noProof w:val="0"/>
          <w:sz w:val="48"/>
          <w:szCs w:val="48"/>
          <w:lang w:val="en-US"/>
        </w:rPr>
        <w:t>5. Conclusion and Recommendations</w:t>
      </w:r>
    </w:p>
    <w:p w:rsidR="016AAE6B" w:rsidP="3EE3B214" w:rsidRDefault="016AAE6B" w14:paraId="13F103ED" w14:textId="6C0BC645">
      <w:pPr>
        <w:spacing w:before="240" w:beforeAutospacing="off" w:after="240" w:afterAutospacing="off"/>
        <w:rPr>
          <w:noProof w:val="0"/>
          <w:lang w:val="en-US"/>
        </w:rPr>
      </w:pPr>
      <w:r w:rsidRPr="3EE3B214" w:rsidR="4FDD505A">
        <w:rPr>
          <w:noProof w:val="0"/>
          <w:lang w:val="en-US"/>
        </w:rPr>
        <w:t xml:space="preserve">JLR Birmingham faces significant HR challenges driven by technological change, </w:t>
      </w:r>
      <w:r w:rsidRPr="3EE3B214" w:rsidR="4FDD505A">
        <w:rPr>
          <w:noProof w:val="0"/>
          <w:lang w:val="en-US"/>
        </w:rPr>
        <w:t>labour</w:t>
      </w:r>
      <w:r w:rsidRPr="3EE3B214" w:rsidR="4FDD505A">
        <w:rPr>
          <w:noProof w:val="0"/>
          <w:lang w:val="en-US"/>
        </w:rPr>
        <w:t xml:space="preserve"> shortages, and increasing expectations around DEI. Contemporary HR practices—such as digital learning, data-driven recruitment, flexible working, and DEI accountability—offer effective solutions. However, successful implementation requires strong managerial capability, clear communication, and </w:t>
      </w:r>
      <w:r w:rsidRPr="3EE3B214" w:rsidR="0E687EF2">
        <w:rPr>
          <w:noProof w:val="0"/>
          <w:lang w:val="en-US"/>
        </w:rPr>
        <w:t>organizational</w:t>
      </w:r>
      <w:r w:rsidRPr="3EE3B214" w:rsidR="4FDD505A">
        <w:rPr>
          <w:noProof w:val="0"/>
          <w:lang w:val="en-US"/>
        </w:rPr>
        <w:t xml:space="preserve"> commitment.</w:t>
      </w:r>
      <w:r w:rsidRPr="3EE3B214" w:rsidR="2357DC77">
        <w:rPr>
          <w:noProof w:val="0"/>
          <w:lang w:val="en-US"/>
        </w:rPr>
        <w:t xml:space="preserve"> But also working with different departments can empower each other and hel</w:t>
      </w:r>
      <w:r w:rsidRPr="3EE3B214" w:rsidR="28D8C4B4">
        <w:rPr>
          <w:noProof w:val="0"/>
          <w:lang w:val="en-US"/>
        </w:rPr>
        <w:t xml:space="preserve">p </w:t>
      </w:r>
      <w:r w:rsidRPr="3EE3B214" w:rsidR="2357DC77">
        <w:rPr>
          <w:noProof w:val="0"/>
          <w:lang w:val="en-US"/>
        </w:rPr>
        <w:t>support others easily</w:t>
      </w:r>
    </w:p>
    <w:p w:rsidR="016AAE6B" w:rsidP="3EE3B214" w:rsidRDefault="016AAE6B" w14:paraId="5A59F2E8" w14:textId="09318F15">
      <w:pPr>
        <w:pStyle w:val="Heading3"/>
        <w:spacing w:before="281" w:beforeAutospacing="off" w:after="281" w:afterAutospacing="off"/>
      </w:pPr>
      <w:r w:rsidRPr="3EE3B214" w:rsidR="4FDD505A">
        <w:rPr>
          <w:b w:val="1"/>
          <w:bCs w:val="1"/>
          <w:noProof w:val="0"/>
          <w:sz w:val="28"/>
          <w:szCs w:val="28"/>
          <w:lang w:val="en-US"/>
        </w:rPr>
        <w:t>Recommendations</w:t>
      </w:r>
    </w:p>
    <w:p w:rsidR="016AAE6B" w:rsidP="3EE3B214" w:rsidRDefault="016AAE6B" w14:paraId="27A3D0FB" w14:textId="76F3CD20">
      <w:pPr>
        <w:pStyle w:val="ListParagraph"/>
        <w:numPr>
          <w:ilvl w:val="0"/>
          <w:numId w:val="14"/>
        </w:numPr>
        <w:spacing w:before="240" w:beforeAutospacing="off" w:after="240" w:afterAutospacing="off"/>
        <w:rPr>
          <w:noProof w:val="0"/>
          <w:lang w:val="en-US"/>
        </w:rPr>
      </w:pPr>
      <w:r w:rsidRPr="3EE3B214" w:rsidR="4FDD505A">
        <w:rPr>
          <w:noProof w:val="0"/>
          <w:lang w:val="en-US"/>
        </w:rPr>
        <w:t>Invest in digital upskilling for all employees, with a focus on managerial capability.</w:t>
      </w:r>
    </w:p>
    <w:p w:rsidR="016AAE6B" w:rsidP="3EE3B214" w:rsidRDefault="016AAE6B" w14:paraId="09300616" w14:textId="79B127DB">
      <w:pPr>
        <w:pStyle w:val="ListParagraph"/>
        <w:numPr>
          <w:ilvl w:val="0"/>
          <w:numId w:val="14"/>
        </w:numPr>
        <w:spacing w:before="240" w:beforeAutospacing="off" w:after="240" w:afterAutospacing="off"/>
        <w:rPr>
          <w:noProof w:val="0"/>
          <w:lang w:val="en-US"/>
        </w:rPr>
      </w:pPr>
      <w:r w:rsidRPr="3EE3B214" w:rsidR="4FDD505A">
        <w:rPr>
          <w:noProof w:val="0"/>
          <w:lang w:val="en-US"/>
        </w:rPr>
        <w:t>Strengthen EVP and employer branding to attract high-quality talent.</w:t>
      </w:r>
    </w:p>
    <w:p w:rsidR="016AAE6B" w:rsidP="3EE3B214" w:rsidRDefault="016AAE6B" w14:paraId="49BF6ED0" w14:textId="727502B8">
      <w:pPr>
        <w:pStyle w:val="ListParagraph"/>
        <w:numPr>
          <w:ilvl w:val="0"/>
          <w:numId w:val="14"/>
        </w:numPr>
        <w:spacing w:before="240" w:beforeAutospacing="off" w:after="240" w:afterAutospacing="off"/>
        <w:rPr>
          <w:noProof w:val="0"/>
          <w:lang w:val="en-US"/>
        </w:rPr>
      </w:pPr>
      <w:r w:rsidRPr="3EE3B214" w:rsidR="4FDD505A">
        <w:rPr>
          <w:noProof w:val="0"/>
          <w:lang w:val="en-US"/>
        </w:rPr>
        <w:t>Expand flexible working options across engineering and corporate roles.</w:t>
      </w:r>
    </w:p>
    <w:p w:rsidR="016AAE6B" w:rsidP="3EE3B214" w:rsidRDefault="016AAE6B" w14:paraId="47738200" w14:textId="414BDECD">
      <w:pPr>
        <w:pStyle w:val="ListParagraph"/>
        <w:numPr>
          <w:ilvl w:val="0"/>
          <w:numId w:val="14"/>
        </w:numPr>
        <w:spacing w:before="240" w:beforeAutospacing="off" w:after="240" w:afterAutospacing="off"/>
        <w:rPr>
          <w:noProof w:val="0"/>
          <w:lang w:val="en-US"/>
        </w:rPr>
      </w:pPr>
      <w:r w:rsidRPr="3EE3B214" w:rsidR="4FDD505A">
        <w:rPr>
          <w:noProof w:val="0"/>
          <w:lang w:val="en-US"/>
        </w:rPr>
        <w:t>Enhance DEI accountability through metrics, audits, and leadership incentives.</w:t>
      </w:r>
    </w:p>
    <w:p w:rsidR="016AAE6B" w:rsidP="3EE3B214" w:rsidRDefault="016AAE6B" w14:paraId="2AECB4C8" w14:textId="0535BD1A">
      <w:pPr>
        <w:pStyle w:val="ListParagraph"/>
        <w:numPr>
          <w:ilvl w:val="0"/>
          <w:numId w:val="14"/>
        </w:numPr>
        <w:spacing w:before="240" w:beforeAutospacing="off" w:after="240" w:afterAutospacing="off"/>
        <w:rPr>
          <w:noProof w:val="0"/>
          <w:lang w:val="en-US"/>
        </w:rPr>
      </w:pPr>
      <w:r w:rsidRPr="3EE3B214" w:rsidR="4FDD505A">
        <w:rPr>
          <w:noProof w:val="0"/>
          <w:lang w:val="en-US"/>
        </w:rPr>
        <w:t>Increase HR–manager collaboration to ensure consistent implementation.</w:t>
      </w:r>
    </w:p>
    <w:p w:rsidR="016AAE6B" w:rsidP="3EE3B214" w:rsidRDefault="016AAE6B" w14:paraId="7292D350" w14:textId="6BDFFD92">
      <w:pPr>
        <w:pStyle w:val="Heading1"/>
        <w:spacing w:before="322" w:beforeAutospacing="off" w:after="322" w:afterAutospacing="off"/>
      </w:pPr>
      <w:r w:rsidRPr="3EE3B214" w:rsidR="4FDD505A">
        <w:rPr>
          <w:b w:val="1"/>
          <w:bCs w:val="1"/>
          <w:noProof w:val="0"/>
          <w:sz w:val="48"/>
          <w:szCs w:val="48"/>
          <w:lang w:val="en-US"/>
        </w:rPr>
        <w:t>6. References (Harvard Style)</w:t>
      </w:r>
    </w:p>
    <w:p w:rsidR="016AAE6B" w:rsidP="3EE3B214" w:rsidRDefault="016AAE6B" w14:paraId="0101B3FF" w14:textId="6C71F61C">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Armstrong, M. (2021)</w:t>
      </w:r>
      <w:r w:rsidRPr="3EE3B214" w:rsidR="2EF044A4">
        <w:rPr>
          <w:rFonts w:ascii="Calibri" w:hAnsi="Calibri" w:eastAsia="Calibri" w:cs="Calibri"/>
          <w:noProof w:val="0"/>
          <w:sz w:val="24"/>
          <w:szCs w:val="24"/>
          <w:lang w:val="en-US"/>
        </w:rPr>
        <w:t xml:space="preserve"> </w:t>
      </w:r>
      <w:r w:rsidRPr="3EE3B214" w:rsidR="2EF044A4">
        <w:rPr>
          <w:rFonts w:ascii="Calibri" w:hAnsi="Calibri" w:eastAsia="Calibri" w:cs="Calibri"/>
          <w:i w:val="1"/>
          <w:iCs w:val="1"/>
          <w:noProof w:val="0"/>
          <w:sz w:val="24"/>
          <w:szCs w:val="24"/>
          <w:lang w:val="en-US"/>
        </w:rPr>
        <w:t>Armstrong’s</w:t>
      </w:r>
      <w:r w:rsidRPr="3EE3B214" w:rsidR="2EF044A4">
        <w:rPr>
          <w:rFonts w:ascii="Calibri" w:hAnsi="Calibri" w:eastAsia="Calibri" w:cs="Calibri"/>
          <w:i w:val="1"/>
          <w:iCs w:val="1"/>
          <w:noProof w:val="0"/>
          <w:sz w:val="24"/>
          <w:szCs w:val="24"/>
          <w:lang w:val="en-US"/>
        </w:rPr>
        <w:t xml:space="preserve"> Handbook of Human Resource Management Practice.</w:t>
      </w:r>
      <w:r w:rsidRPr="3EE3B214" w:rsidR="2EF044A4">
        <w:rPr>
          <w:rFonts w:ascii="Calibri" w:hAnsi="Calibri" w:eastAsia="Calibri" w:cs="Calibri"/>
          <w:noProof w:val="0"/>
          <w:sz w:val="24"/>
          <w:szCs w:val="24"/>
          <w:lang w:val="en-US"/>
        </w:rPr>
        <w:t xml:space="preserve"> London: Kogan Page.</w:t>
      </w:r>
    </w:p>
    <w:p w:rsidR="016AAE6B" w:rsidP="3EE3B214" w:rsidRDefault="016AAE6B" w14:paraId="317FEEF6" w14:textId="277B3ADF">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Aston University (2023) </w:t>
      </w:r>
      <w:r w:rsidRPr="3EE3B214" w:rsidR="2EF044A4">
        <w:rPr>
          <w:rFonts w:ascii="Calibri" w:hAnsi="Calibri" w:eastAsia="Calibri" w:cs="Calibri"/>
          <w:i w:val="1"/>
          <w:iCs w:val="1"/>
          <w:noProof w:val="0"/>
          <w:sz w:val="24"/>
          <w:szCs w:val="24"/>
          <w:lang w:val="en-US"/>
        </w:rPr>
        <w:t>Industry Partnerships Report.</w:t>
      </w:r>
      <w:r w:rsidRPr="3EE3B214" w:rsidR="2EF044A4">
        <w:rPr>
          <w:rFonts w:ascii="Calibri" w:hAnsi="Calibri" w:eastAsia="Calibri" w:cs="Calibri"/>
          <w:noProof w:val="0"/>
          <w:sz w:val="24"/>
          <w:szCs w:val="24"/>
          <w:lang w:val="en-US"/>
        </w:rPr>
        <w:t xml:space="preserve"> Birmingham: Aston University.</w:t>
      </w:r>
    </w:p>
    <w:p w:rsidR="016AAE6B" w:rsidP="3EE3B214" w:rsidRDefault="016AAE6B" w14:paraId="4E61BE49" w14:textId="1F426AE9">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Backhaus, </w:t>
      </w:r>
      <w:r w:rsidRPr="3EE3B214" w:rsidR="2EF044A4">
        <w:rPr>
          <w:rFonts w:ascii="Calibri" w:hAnsi="Calibri" w:eastAsia="Calibri" w:cs="Calibri"/>
          <w:noProof w:val="0"/>
          <w:sz w:val="24"/>
          <w:szCs w:val="24"/>
          <w:lang w:val="en-US"/>
        </w:rPr>
        <w:t>K.</w:t>
      </w:r>
      <w:r w:rsidRPr="3EE3B214" w:rsidR="2EF044A4">
        <w:rPr>
          <w:rFonts w:ascii="Calibri" w:hAnsi="Calibri" w:eastAsia="Calibri" w:cs="Calibri"/>
          <w:noProof w:val="0"/>
          <w:sz w:val="24"/>
          <w:szCs w:val="24"/>
          <w:lang w:val="en-US"/>
        </w:rPr>
        <w:t xml:space="preserve"> and Tikoo, S. (2004) ‘Employer </w:t>
      </w:r>
      <w:r w:rsidRPr="3EE3B214" w:rsidR="2EF044A4">
        <w:rPr>
          <w:rFonts w:ascii="Calibri" w:hAnsi="Calibri" w:eastAsia="Calibri" w:cs="Calibri"/>
          <w:noProof w:val="0"/>
          <w:sz w:val="24"/>
          <w:szCs w:val="24"/>
          <w:lang w:val="en-US"/>
        </w:rPr>
        <w:t>branding</w:t>
      </w:r>
      <w:r w:rsidRPr="3EE3B214" w:rsidR="2EF044A4">
        <w:rPr>
          <w:rFonts w:ascii="Calibri" w:hAnsi="Calibri" w:eastAsia="Calibri" w:cs="Calibri"/>
          <w:noProof w:val="0"/>
          <w:sz w:val="24"/>
          <w:szCs w:val="24"/>
          <w:lang w:val="en-US"/>
        </w:rPr>
        <w:t xml:space="preserve">: A </w:t>
      </w:r>
      <w:r w:rsidRPr="3EE3B214" w:rsidR="2EF044A4">
        <w:rPr>
          <w:rFonts w:ascii="Calibri" w:hAnsi="Calibri" w:eastAsia="Calibri" w:cs="Calibri"/>
          <w:noProof w:val="0"/>
          <w:sz w:val="24"/>
          <w:szCs w:val="24"/>
          <w:lang w:val="en-US"/>
        </w:rPr>
        <w:t>review</w:t>
      </w:r>
      <w:r w:rsidRPr="3EE3B214" w:rsidR="2EF044A4">
        <w:rPr>
          <w:rFonts w:ascii="Calibri" w:hAnsi="Calibri" w:eastAsia="Calibri" w:cs="Calibri"/>
          <w:noProof w:val="0"/>
          <w:sz w:val="24"/>
          <w:szCs w:val="24"/>
          <w:lang w:val="en-US"/>
        </w:rPr>
        <w:t xml:space="preserve">’, </w:t>
      </w:r>
      <w:r w:rsidRPr="3EE3B214" w:rsidR="2EF044A4">
        <w:rPr>
          <w:rFonts w:ascii="Calibri" w:hAnsi="Calibri" w:eastAsia="Calibri" w:cs="Calibri"/>
          <w:i w:val="1"/>
          <w:iCs w:val="1"/>
          <w:noProof w:val="0"/>
          <w:sz w:val="24"/>
          <w:szCs w:val="24"/>
          <w:lang w:val="en-US"/>
        </w:rPr>
        <w:t>Journal of Brand Management</w:t>
      </w:r>
      <w:r w:rsidRPr="3EE3B214" w:rsidR="2EF044A4">
        <w:rPr>
          <w:rFonts w:ascii="Calibri" w:hAnsi="Calibri" w:eastAsia="Calibri" w:cs="Calibri"/>
          <w:noProof w:val="0"/>
          <w:sz w:val="24"/>
          <w:szCs w:val="24"/>
          <w:lang w:val="en-US"/>
        </w:rPr>
        <w:t>, 12(2), pp. 113–123.</w:t>
      </w:r>
    </w:p>
    <w:p w:rsidR="016AAE6B" w:rsidP="3EE3B214" w:rsidRDefault="016AAE6B" w14:paraId="72F26713" w14:textId="022A71A2">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BBC News (2023) ‘JLR warns of engineering skills </w:t>
      </w:r>
      <w:r w:rsidRPr="3EE3B214" w:rsidR="2EF044A4">
        <w:rPr>
          <w:rFonts w:ascii="Calibri" w:hAnsi="Calibri" w:eastAsia="Calibri" w:cs="Calibri"/>
          <w:noProof w:val="0"/>
          <w:sz w:val="24"/>
          <w:szCs w:val="24"/>
          <w:lang w:val="en-US"/>
        </w:rPr>
        <w:t>shortage’.</w:t>
      </w:r>
      <w:r w:rsidRPr="3EE3B214" w:rsidR="2EF044A4">
        <w:rPr>
          <w:rFonts w:ascii="Calibri" w:hAnsi="Calibri" w:eastAsia="Calibri" w:cs="Calibri"/>
          <w:noProof w:val="0"/>
          <w:sz w:val="24"/>
          <w:szCs w:val="24"/>
          <w:lang w:val="en-US"/>
        </w:rPr>
        <w:t xml:space="preserve"> Available at: </w:t>
      </w:r>
      <w:hyperlink r:id="R8d2f20a863ba4055">
        <w:r w:rsidRPr="3EE3B214" w:rsidR="2EF044A4">
          <w:rPr>
            <w:rStyle w:val="Hyperlink"/>
            <w:rFonts w:ascii="Calibri" w:hAnsi="Calibri" w:eastAsia="Calibri" w:cs="Calibri"/>
            <w:noProof w:val="0"/>
            <w:sz w:val="24"/>
            <w:szCs w:val="24"/>
            <w:lang w:val="en-US"/>
          </w:rPr>
          <w:t>https://www.bbc.co.uk/news</w:t>
        </w:r>
      </w:hyperlink>
      <w:r w:rsidRPr="3EE3B214" w:rsidR="2EF044A4">
        <w:rPr>
          <w:rFonts w:ascii="Calibri" w:hAnsi="Calibri" w:eastAsia="Calibri" w:cs="Calibri"/>
          <w:noProof w:val="0"/>
          <w:sz w:val="24"/>
          <w:szCs w:val="24"/>
          <w:lang w:val="en-US"/>
        </w:rPr>
        <w:t xml:space="preserve"> (Accessed: [insert date]).</w:t>
      </w:r>
    </w:p>
    <w:p w:rsidR="016AAE6B" w:rsidP="3EE3B214" w:rsidRDefault="016AAE6B" w14:paraId="7D9795B2" w14:textId="11CE5987">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Birmingham City University (2023) </w:t>
      </w:r>
      <w:r w:rsidRPr="3EE3B214" w:rsidR="2EF044A4">
        <w:rPr>
          <w:rFonts w:ascii="Calibri" w:hAnsi="Calibri" w:eastAsia="Calibri" w:cs="Calibri"/>
          <w:i w:val="1"/>
          <w:iCs w:val="1"/>
          <w:noProof w:val="0"/>
          <w:sz w:val="24"/>
          <w:szCs w:val="24"/>
          <w:lang w:val="en-US"/>
        </w:rPr>
        <w:t>Engineering Skills Pipeline Study.</w:t>
      </w:r>
      <w:r w:rsidRPr="3EE3B214" w:rsidR="2EF044A4">
        <w:rPr>
          <w:rFonts w:ascii="Calibri" w:hAnsi="Calibri" w:eastAsia="Calibri" w:cs="Calibri"/>
          <w:noProof w:val="0"/>
          <w:sz w:val="24"/>
          <w:szCs w:val="24"/>
          <w:lang w:val="en-US"/>
        </w:rPr>
        <w:t xml:space="preserve"> Birmingham: BCU Press.</w:t>
      </w:r>
    </w:p>
    <w:p w:rsidR="016AAE6B" w:rsidP="3EE3B214" w:rsidRDefault="016AAE6B" w14:paraId="4D57A42C" w14:textId="7D23D223">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CIPD (2022) </w:t>
      </w:r>
      <w:r w:rsidRPr="3EE3B214" w:rsidR="2EF044A4">
        <w:rPr>
          <w:rFonts w:ascii="Calibri" w:hAnsi="Calibri" w:eastAsia="Calibri" w:cs="Calibri"/>
          <w:i w:val="1"/>
          <w:iCs w:val="1"/>
          <w:noProof w:val="0"/>
          <w:sz w:val="24"/>
          <w:szCs w:val="24"/>
          <w:lang w:val="en-US"/>
        </w:rPr>
        <w:t>Workforce Planning Guide.</w:t>
      </w:r>
      <w:r w:rsidRPr="3EE3B214" w:rsidR="2EF044A4">
        <w:rPr>
          <w:rFonts w:ascii="Calibri" w:hAnsi="Calibri" w:eastAsia="Calibri" w:cs="Calibri"/>
          <w:noProof w:val="0"/>
          <w:sz w:val="24"/>
          <w:szCs w:val="24"/>
          <w:lang w:val="en-US"/>
        </w:rPr>
        <w:t xml:space="preserve"> London: Chartered Institute of Personnel and Development.</w:t>
      </w:r>
    </w:p>
    <w:p w:rsidR="016AAE6B" w:rsidP="3EE3B214" w:rsidRDefault="016AAE6B" w14:paraId="4C78FAAB" w14:textId="018BD8C4">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CIPD (2023) </w:t>
      </w:r>
      <w:r w:rsidRPr="3EE3B214" w:rsidR="2EF044A4">
        <w:rPr>
          <w:rFonts w:ascii="Calibri" w:hAnsi="Calibri" w:eastAsia="Calibri" w:cs="Calibri"/>
          <w:i w:val="1"/>
          <w:iCs w:val="1"/>
          <w:noProof w:val="0"/>
          <w:sz w:val="24"/>
          <w:szCs w:val="24"/>
          <w:lang w:val="en-US"/>
        </w:rPr>
        <w:t>Labour</w:t>
      </w:r>
      <w:r w:rsidRPr="3EE3B214" w:rsidR="2EF044A4">
        <w:rPr>
          <w:rFonts w:ascii="Calibri" w:hAnsi="Calibri" w:eastAsia="Calibri" w:cs="Calibri"/>
          <w:i w:val="1"/>
          <w:iCs w:val="1"/>
          <w:noProof w:val="0"/>
          <w:sz w:val="24"/>
          <w:szCs w:val="24"/>
          <w:lang w:val="en-US"/>
        </w:rPr>
        <w:t xml:space="preserve"> Market Outlook.</w:t>
      </w:r>
      <w:r w:rsidRPr="3EE3B214" w:rsidR="2EF044A4">
        <w:rPr>
          <w:rFonts w:ascii="Calibri" w:hAnsi="Calibri" w:eastAsia="Calibri" w:cs="Calibri"/>
          <w:noProof w:val="0"/>
          <w:sz w:val="24"/>
          <w:szCs w:val="24"/>
          <w:lang w:val="en-US"/>
        </w:rPr>
        <w:t xml:space="preserve"> London: Chartered Institute of Personnel and Development.</w:t>
      </w:r>
    </w:p>
    <w:p w:rsidR="016AAE6B" w:rsidP="3EE3B214" w:rsidRDefault="016AAE6B" w14:paraId="7698E326" w14:textId="0E489D25">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Deloitte (2023) </w:t>
      </w:r>
      <w:r w:rsidRPr="3EE3B214" w:rsidR="2EF044A4">
        <w:rPr>
          <w:rFonts w:ascii="Calibri" w:hAnsi="Calibri" w:eastAsia="Calibri" w:cs="Calibri"/>
          <w:i w:val="1"/>
          <w:iCs w:val="1"/>
          <w:noProof w:val="0"/>
          <w:sz w:val="24"/>
          <w:szCs w:val="24"/>
          <w:lang w:val="en-US"/>
        </w:rPr>
        <w:t>Automotive Industry Outlook 2023.</w:t>
      </w:r>
      <w:r w:rsidRPr="3EE3B214" w:rsidR="2EF044A4">
        <w:rPr>
          <w:rFonts w:ascii="Calibri" w:hAnsi="Calibri" w:eastAsia="Calibri" w:cs="Calibri"/>
          <w:noProof w:val="0"/>
          <w:sz w:val="24"/>
          <w:szCs w:val="24"/>
          <w:lang w:val="en-US"/>
        </w:rPr>
        <w:t xml:space="preserve"> London: Deloitte Insights.</w:t>
      </w:r>
    </w:p>
    <w:p w:rsidR="016AAE6B" w:rsidP="3EE3B214" w:rsidRDefault="016AAE6B" w14:paraId="5A9E847E" w14:textId="182B8965">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Herzberg, F. (1968) ‘One more time: How do you motivate employees?’, </w:t>
      </w:r>
      <w:r w:rsidRPr="3EE3B214" w:rsidR="2EF044A4">
        <w:rPr>
          <w:rFonts w:ascii="Calibri" w:hAnsi="Calibri" w:eastAsia="Calibri" w:cs="Calibri"/>
          <w:i w:val="1"/>
          <w:iCs w:val="1"/>
          <w:noProof w:val="0"/>
          <w:sz w:val="24"/>
          <w:szCs w:val="24"/>
          <w:lang w:val="en-US"/>
        </w:rPr>
        <w:t>Harvard Business Review</w:t>
      </w:r>
      <w:r w:rsidRPr="3EE3B214" w:rsidR="2EF044A4">
        <w:rPr>
          <w:rFonts w:ascii="Calibri" w:hAnsi="Calibri" w:eastAsia="Calibri" w:cs="Calibri"/>
          <w:noProof w:val="0"/>
          <w:sz w:val="24"/>
          <w:szCs w:val="24"/>
          <w:lang w:val="en-US"/>
        </w:rPr>
        <w:t>, 46(1), pp. 53–62.</w:t>
      </w:r>
    </w:p>
    <w:p w:rsidR="016AAE6B" w:rsidP="3EE3B214" w:rsidRDefault="016AAE6B" w14:paraId="38DBD5EE" w14:textId="3969B05E">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Huselid</w:t>
      </w:r>
      <w:r w:rsidRPr="3EE3B214" w:rsidR="2EF044A4">
        <w:rPr>
          <w:rFonts w:ascii="Calibri" w:hAnsi="Calibri" w:eastAsia="Calibri" w:cs="Calibri"/>
          <w:noProof w:val="0"/>
          <w:sz w:val="24"/>
          <w:szCs w:val="24"/>
          <w:lang w:val="en-US"/>
        </w:rPr>
        <w:t xml:space="preserve">, M. (1995) ‘The impact of human resource management practices on turnover, productivity, and corporate financial performance’, </w:t>
      </w:r>
      <w:r w:rsidRPr="3EE3B214" w:rsidR="2EF044A4">
        <w:rPr>
          <w:rFonts w:ascii="Calibri" w:hAnsi="Calibri" w:eastAsia="Calibri" w:cs="Calibri"/>
          <w:i w:val="1"/>
          <w:iCs w:val="1"/>
          <w:noProof w:val="0"/>
          <w:sz w:val="24"/>
          <w:szCs w:val="24"/>
          <w:lang w:val="en-US"/>
        </w:rPr>
        <w:t>Academy of Management Journal</w:t>
      </w:r>
      <w:r w:rsidRPr="3EE3B214" w:rsidR="2EF044A4">
        <w:rPr>
          <w:rFonts w:ascii="Calibri" w:hAnsi="Calibri" w:eastAsia="Calibri" w:cs="Calibri"/>
          <w:noProof w:val="0"/>
          <w:sz w:val="24"/>
          <w:szCs w:val="24"/>
          <w:lang w:val="en-US"/>
        </w:rPr>
        <w:t>, 38(3), pp. 635–672.</w:t>
      </w:r>
    </w:p>
    <w:p w:rsidR="016AAE6B" w:rsidP="3EE3B214" w:rsidRDefault="016AAE6B" w14:paraId="323DCE5F" w14:textId="2200EDF4">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Jaguar Land Rover (2023) </w:t>
      </w:r>
      <w:r w:rsidRPr="3EE3B214" w:rsidR="2EF044A4">
        <w:rPr>
          <w:rFonts w:ascii="Calibri" w:hAnsi="Calibri" w:eastAsia="Calibri" w:cs="Calibri"/>
          <w:i w:val="1"/>
          <w:iCs w:val="1"/>
          <w:noProof w:val="0"/>
          <w:sz w:val="24"/>
          <w:szCs w:val="24"/>
          <w:lang w:val="en-US"/>
        </w:rPr>
        <w:t>Diversity and Inclusion Report.</w:t>
      </w:r>
      <w:r w:rsidRPr="3EE3B214" w:rsidR="2EF044A4">
        <w:rPr>
          <w:rFonts w:ascii="Calibri" w:hAnsi="Calibri" w:eastAsia="Calibri" w:cs="Calibri"/>
          <w:noProof w:val="0"/>
          <w:sz w:val="24"/>
          <w:szCs w:val="24"/>
          <w:lang w:val="en-US"/>
        </w:rPr>
        <w:t xml:space="preserve"> Coventry: JLR Corporate Publications.</w:t>
      </w:r>
    </w:p>
    <w:p w:rsidR="016AAE6B" w:rsidP="3EE3B214" w:rsidRDefault="016AAE6B" w14:paraId="35940289" w14:textId="35323E68">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Jaguar Land Rover (2024) </w:t>
      </w:r>
      <w:r w:rsidRPr="3EE3B214" w:rsidR="2EF044A4">
        <w:rPr>
          <w:rFonts w:ascii="Calibri" w:hAnsi="Calibri" w:eastAsia="Calibri" w:cs="Calibri"/>
          <w:i w:val="1"/>
          <w:iCs w:val="1"/>
          <w:noProof w:val="0"/>
          <w:sz w:val="24"/>
          <w:szCs w:val="24"/>
          <w:lang w:val="en-US"/>
        </w:rPr>
        <w:t>Reimagine Strategy.</w:t>
      </w:r>
      <w:r w:rsidRPr="3EE3B214" w:rsidR="2EF044A4">
        <w:rPr>
          <w:rFonts w:ascii="Calibri" w:hAnsi="Calibri" w:eastAsia="Calibri" w:cs="Calibri"/>
          <w:noProof w:val="0"/>
          <w:sz w:val="24"/>
          <w:szCs w:val="24"/>
          <w:lang w:val="en-US"/>
        </w:rPr>
        <w:t xml:space="preserve"> Coventry: JLR Corporate Publications.</w:t>
      </w:r>
    </w:p>
    <w:p w:rsidR="016AAE6B" w:rsidP="3EE3B214" w:rsidRDefault="016AAE6B" w14:paraId="45EFB747" w14:textId="60B4EA8C">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Kotter, J. (2012)</w:t>
      </w:r>
      <w:r w:rsidRPr="3EE3B214" w:rsidR="2EF044A4">
        <w:rPr>
          <w:rFonts w:ascii="Calibri" w:hAnsi="Calibri" w:eastAsia="Calibri" w:cs="Calibri"/>
          <w:noProof w:val="0"/>
          <w:sz w:val="24"/>
          <w:szCs w:val="24"/>
          <w:lang w:val="en-US"/>
        </w:rPr>
        <w:t xml:space="preserve"> </w:t>
      </w:r>
      <w:r w:rsidRPr="3EE3B214" w:rsidR="2EF044A4">
        <w:rPr>
          <w:rFonts w:ascii="Calibri" w:hAnsi="Calibri" w:eastAsia="Calibri" w:cs="Calibri"/>
          <w:i w:val="1"/>
          <w:iCs w:val="1"/>
          <w:noProof w:val="0"/>
          <w:sz w:val="24"/>
          <w:szCs w:val="24"/>
          <w:lang w:val="en-US"/>
        </w:rPr>
        <w:t>Leading</w:t>
      </w:r>
      <w:r w:rsidRPr="3EE3B214" w:rsidR="2EF044A4">
        <w:rPr>
          <w:rFonts w:ascii="Calibri" w:hAnsi="Calibri" w:eastAsia="Calibri" w:cs="Calibri"/>
          <w:i w:val="1"/>
          <w:iCs w:val="1"/>
          <w:noProof w:val="0"/>
          <w:sz w:val="24"/>
          <w:szCs w:val="24"/>
          <w:lang w:val="en-US"/>
        </w:rPr>
        <w:t xml:space="preserve"> Change.</w:t>
      </w:r>
      <w:r w:rsidRPr="3EE3B214" w:rsidR="2EF044A4">
        <w:rPr>
          <w:rFonts w:ascii="Calibri" w:hAnsi="Calibri" w:eastAsia="Calibri" w:cs="Calibri"/>
          <w:noProof w:val="0"/>
          <w:sz w:val="24"/>
          <w:szCs w:val="24"/>
          <w:lang w:val="en-US"/>
        </w:rPr>
        <w:t xml:space="preserve"> Boston: Harvard Business Review Press.</w:t>
      </w:r>
    </w:p>
    <w:p w:rsidR="016AAE6B" w:rsidP="3EE3B214" w:rsidRDefault="016AAE6B" w14:paraId="63814B9A" w14:textId="75D60311">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McKinsey &amp; Company (2020) </w:t>
      </w:r>
      <w:r w:rsidRPr="3EE3B214" w:rsidR="2EF044A4">
        <w:rPr>
          <w:rFonts w:ascii="Calibri" w:hAnsi="Calibri" w:eastAsia="Calibri" w:cs="Calibri"/>
          <w:i w:val="1"/>
          <w:iCs w:val="1"/>
          <w:noProof w:val="0"/>
          <w:sz w:val="24"/>
          <w:szCs w:val="24"/>
          <w:lang w:val="en-US"/>
        </w:rPr>
        <w:t>Diversity Wins: How Inclusion Matters.</w:t>
      </w:r>
      <w:r w:rsidRPr="3EE3B214" w:rsidR="2EF044A4">
        <w:rPr>
          <w:rFonts w:ascii="Calibri" w:hAnsi="Calibri" w:eastAsia="Calibri" w:cs="Calibri"/>
          <w:noProof w:val="0"/>
          <w:sz w:val="24"/>
          <w:szCs w:val="24"/>
          <w:lang w:val="en-US"/>
        </w:rPr>
        <w:t xml:space="preserve"> New York: McKinsey Global Institute.</w:t>
      </w:r>
    </w:p>
    <w:p w:rsidR="016AAE6B" w:rsidP="3EE3B214" w:rsidRDefault="016AAE6B" w14:paraId="1CDB7A23" w14:textId="53617C16">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PwC (2023) </w:t>
      </w:r>
      <w:r w:rsidRPr="3EE3B214" w:rsidR="2EF044A4">
        <w:rPr>
          <w:rFonts w:ascii="Calibri" w:hAnsi="Calibri" w:eastAsia="Calibri" w:cs="Calibri"/>
          <w:i w:val="1"/>
          <w:iCs w:val="1"/>
          <w:noProof w:val="0"/>
          <w:sz w:val="24"/>
          <w:szCs w:val="24"/>
          <w:lang w:val="en-US"/>
        </w:rPr>
        <w:t>Future of Automotive Workforce Report.</w:t>
      </w:r>
      <w:r w:rsidRPr="3EE3B214" w:rsidR="2EF044A4">
        <w:rPr>
          <w:rFonts w:ascii="Calibri" w:hAnsi="Calibri" w:eastAsia="Calibri" w:cs="Calibri"/>
          <w:noProof w:val="0"/>
          <w:sz w:val="24"/>
          <w:szCs w:val="24"/>
          <w:lang w:val="en-US"/>
        </w:rPr>
        <w:t xml:space="preserve"> London: PricewaterhouseCoopers.</w:t>
      </w:r>
    </w:p>
    <w:p w:rsidR="016AAE6B" w:rsidP="3EE3B214" w:rsidRDefault="016AAE6B" w14:paraId="2049CC63" w14:textId="56D774F7">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Shaw, J. (2021) ‘Employee engagement in manufacturing: A contemporary review’, </w:t>
      </w:r>
      <w:r w:rsidRPr="3EE3B214" w:rsidR="2EF044A4">
        <w:rPr>
          <w:rFonts w:ascii="Calibri" w:hAnsi="Calibri" w:eastAsia="Calibri" w:cs="Calibri"/>
          <w:i w:val="1"/>
          <w:iCs w:val="1"/>
          <w:noProof w:val="0"/>
          <w:sz w:val="24"/>
          <w:szCs w:val="24"/>
          <w:lang w:val="en-US"/>
        </w:rPr>
        <w:t>International Journal of Human Resource Management</w:t>
      </w:r>
      <w:r w:rsidRPr="3EE3B214" w:rsidR="2EF044A4">
        <w:rPr>
          <w:rFonts w:ascii="Calibri" w:hAnsi="Calibri" w:eastAsia="Calibri" w:cs="Calibri"/>
          <w:noProof w:val="0"/>
          <w:sz w:val="24"/>
          <w:szCs w:val="24"/>
          <w:lang w:val="en-US"/>
        </w:rPr>
        <w:t>, 32(4), pp. 550–567.</w:t>
      </w:r>
    </w:p>
    <w:p w:rsidR="016AAE6B" w:rsidP="3EE3B214" w:rsidRDefault="016AAE6B" w14:paraId="48354F9F" w14:textId="45F2883B">
      <w:pPr>
        <w:pStyle w:val="ListParagraph"/>
        <w:numPr>
          <w:ilvl w:val="0"/>
          <w:numId w:val="15"/>
        </w:numPr>
        <w:spacing w:before="240" w:beforeAutospacing="off" w:after="240" w:afterAutospacing="off"/>
        <w:rPr>
          <w:rFonts w:ascii="Calibri" w:hAnsi="Calibri" w:eastAsia="Calibri" w:cs="Calibri"/>
          <w:noProof w:val="0"/>
          <w:sz w:val="24"/>
          <w:szCs w:val="24"/>
          <w:lang w:val="en-US"/>
        </w:rPr>
      </w:pPr>
      <w:r w:rsidRPr="3EE3B214" w:rsidR="2EF044A4">
        <w:rPr>
          <w:rFonts w:ascii="Calibri" w:hAnsi="Calibri" w:eastAsia="Calibri" w:cs="Calibri"/>
          <w:noProof w:val="0"/>
          <w:sz w:val="24"/>
          <w:szCs w:val="24"/>
          <w:lang w:val="en-US"/>
        </w:rPr>
        <w:t xml:space="preserve">Shore, L., Randel, A., Chung, B., Dean, M., Ehrhart, K. and Singh, G. (2011) ‘Inclusion and diversity in work groups: A review and model for future research’, </w:t>
      </w:r>
      <w:r w:rsidRPr="3EE3B214" w:rsidR="2EF044A4">
        <w:rPr>
          <w:rFonts w:ascii="Calibri" w:hAnsi="Calibri" w:eastAsia="Calibri" w:cs="Calibri"/>
          <w:i w:val="1"/>
          <w:iCs w:val="1"/>
          <w:noProof w:val="0"/>
          <w:sz w:val="24"/>
          <w:szCs w:val="24"/>
          <w:lang w:val="en-US"/>
        </w:rPr>
        <w:t>Journal of Management</w:t>
      </w:r>
      <w:r w:rsidRPr="3EE3B214" w:rsidR="2EF044A4">
        <w:rPr>
          <w:rFonts w:ascii="Calibri" w:hAnsi="Calibri" w:eastAsia="Calibri" w:cs="Calibri"/>
          <w:noProof w:val="0"/>
          <w:sz w:val="24"/>
          <w:szCs w:val="24"/>
          <w:lang w:val="en-US"/>
        </w:rPr>
        <w:t>, 37(4), pp. 1262–1289.</w:t>
      </w:r>
    </w:p>
    <w:p w:rsidR="016AAE6B" w:rsidP="3EE3B214" w:rsidRDefault="016AAE6B" w14:paraId="31A5B883" w14:textId="080FA966">
      <w:pPr>
        <w:pStyle w:val="Normal"/>
        <w:rPr>
          <w:noProof w:val="0"/>
          <w:lang w:val="en-US"/>
        </w:rPr>
      </w:pPr>
    </w:p>
    <w:p w:rsidR="016AAE6B" w:rsidP="3EE3B214" w:rsidRDefault="016AAE6B" w14:paraId="1B79D0EC" w14:textId="573A8B98">
      <w:pPr>
        <w:pStyle w:val="Normal"/>
        <w:rPr>
          <w:noProof w:val="0"/>
          <w:lang w:val="en-US"/>
        </w:rPr>
      </w:pPr>
    </w:p>
    <w:p w:rsidR="016AAE6B" w:rsidP="3EE3B214" w:rsidRDefault="016AAE6B" w14:paraId="318E82D9" w14:textId="2E85FFA8">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2DCC9BF7" w14:textId="40584E68">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527B7C61" w14:textId="0B2682CB">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7DF96301" w14:textId="758F0BE5">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07C3FB4E" w14:textId="68F29027">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737620BC" w14:textId="73B22CEA">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05873380" w14:textId="5365EF06">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2B9F4776" w14:textId="57C2C94F">
      <w:pPr>
        <w:pStyle w:val="Heading1"/>
        <w:spacing w:before="322" w:beforeAutospacing="off" w:after="322" w:afterAutospacing="off"/>
        <w:rPr>
          <w:rFonts w:ascii="Calibri" w:hAnsi="Calibri" w:eastAsia="Calibri" w:cs="Calibri"/>
          <w:b w:val="1"/>
          <w:bCs w:val="1"/>
          <w:noProof w:val="0"/>
          <w:sz w:val="48"/>
          <w:szCs w:val="48"/>
          <w:lang w:val="en-US"/>
        </w:rPr>
      </w:pPr>
    </w:p>
    <w:p w:rsidR="016AAE6B" w:rsidP="3EE3B214" w:rsidRDefault="016AAE6B" w14:paraId="3F923D4F" w14:textId="4EDAB128">
      <w:pPr>
        <w:pStyle w:val="Heading1"/>
        <w:spacing w:before="322" w:beforeAutospacing="off" w:after="322" w:afterAutospacing="off"/>
        <w:rPr>
          <w:rFonts w:ascii="Calibri" w:hAnsi="Calibri" w:eastAsia="Calibri" w:cs="Calibri"/>
          <w:b w:val="1"/>
          <w:bCs w:val="1"/>
          <w:noProof w:val="0"/>
          <w:sz w:val="48"/>
          <w:szCs w:val="48"/>
          <w:lang w:val="en-US"/>
        </w:rPr>
      </w:pPr>
    </w:p>
    <w:p w:rsidR="016AAE6B" w:rsidRDefault="016AAE6B" w14:paraId="13C0AC8F" w14:textId="0AD70B20"/>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8UUdXdlt6RIo" int2:id="d8cOy696">
      <int2:state int2:type="spell" int2:value="Rejected"/>
    </int2:textHash>
    <int2:textHash int2:hashCode="QRzTRe2PnPjF0T" int2:id="AixX0PrG">
      <int2:state int2:type="spell" int2:value="Rejected"/>
    </int2:textHash>
    <int2:textHash int2:hashCode="OrtZNwJC/JiGrS" int2:id="9IDYcm3w">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635e772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4">
    <w:nsid w:val="7111e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4b4b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233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b4713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e3f6a7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9">
    <w:nsid w:val="59813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0d8b0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6288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159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c7441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6dfe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99f5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d8b60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4624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62F26B"/>
    <w:rsid w:val="016AAE6B"/>
    <w:rsid w:val="01E3003F"/>
    <w:rsid w:val="04573987"/>
    <w:rsid w:val="0513A023"/>
    <w:rsid w:val="08F991D7"/>
    <w:rsid w:val="0BB92A21"/>
    <w:rsid w:val="0BF4383C"/>
    <w:rsid w:val="0E687EF2"/>
    <w:rsid w:val="15524928"/>
    <w:rsid w:val="17238EEF"/>
    <w:rsid w:val="17EA35EA"/>
    <w:rsid w:val="1809216D"/>
    <w:rsid w:val="185AA693"/>
    <w:rsid w:val="197B160E"/>
    <w:rsid w:val="19BB80CF"/>
    <w:rsid w:val="19BB80CF"/>
    <w:rsid w:val="212C9CCB"/>
    <w:rsid w:val="2357DC77"/>
    <w:rsid w:val="23CAE24B"/>
    <w:rsid w:val="244FB8F4"/>
    <w:rsid w:val="2562F26B"/>
    <w:rsid w:val="26868AF3"/>
    <w:rsid w:val="26F67F63"/>
    <w:rsid w:val="280C0DF9"/>
    <w:rsid w:val="280C0DF9"/>
    <w:rsid w:val="28D8C4B4"/>
    <w:rsid w:val="2B14584A"/>
    <w:rsid w:val="2DDB62F1"/>
    <w:rsid w:val="2EF044A4"/>
    <w:rsid w:val="32A6733D"/>
    <w:rsid w:val="3584AE75"/>
    <w:rsid w:val="3591844F"/>
    <w:rsid w:val="35FDD9EB"/>
    <w:rsid w:val="371DB346"/>
    <w:rsid w:val="38DAF51D"/>
    <w:rsid w:val="39130270"/>
    <w:rsid w:val="3C1D233F"/>
    <w:rsid w:val="3D3BCD77"/>
    <w:rsid w:val="3DE1D929"/>
    <w:rsid w:val="3EE3B214"/>
    <w:rsid w:val="3EF7CF4E"/>
    <w:rsid w:val="3FD6FA37"/>
    <w:rsid w:val="458BC546"/>
    <w:rsid w:val="47FD425E"/>
    <w:rsid w:val="498C5B90"/>
    <w:rsid w:val="4BC1594E"/>
    <w:rsid w:val="4D5CAADC"/>
    <w:rsid w:val="4FDD505A"/>
    <w:rsid w:val="51D20A04"/>
    <w:rsid w:val="55E48CF1"/>
    <w:rsid w:val="561780DF"/>
    <w:rsid w:val="57DC9E48"/>
    <w:rsid w:val="5892A854"/>
    <w:rsid w:val="58CAC6E7"/>
    <w:rsid w:val="5B427841"/>
    <w:rsid w:val="5C5E3F3C"/>
    <w:rsid w:val="5ED67113"/>
    <w:rsid w:val="608405AE"/>
    <w:rsid w:val="608405AE"/>
    <w:rsid w:val="608FA09D"/>
    <w:rsid w:val="61EE6F38"/>
    <w:rsid w:val="6302FA5C"/>
    <w:rsid w:val="6465AAEA"/>
    <w:rsid w:val="6465AAEA"/>
    <w:rsid w:val="74576B73"/>
    <w:rsid w:val="7457ED44"/>
    <w:rsid w:val="76DF34F6"/>
    <w:rsid w:val="7A6298D1"/>
    <w:rsid w:val="7CE10BCA"/>
    <w:rsid w:val="7D31F3C8"/>
    <w:rsid w:val="7E1A9F57"/>
    <w:rsid w:val="7E5555C6"/>
    <w:rsid w:val="7FCD9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2F26B"/>
  <w15:chartTrackingRefBased/>
  <w15:docId w15:val="{589D555F-8B66-43E6-828C-581D0FF018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16AAE6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16AAE6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16AAE6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16AAE6B"/>
    <w:pPr>
      <w:spacing/>
      <w:ind w:left="720"/>
      <w:contextualSpacing/>
    </w:pPr>
  </w:style>
  <w:style w:type="paragraph" w:styleId="NoSpacing">
    <w:uiPriority w:val="1"/>
    <w:name w:val="No Spacing"/>
    <w:qFormat/>
    <w:rsid w:val="3EE3B214"/>
    <w:pPr>
      <w:spacing w:after="0"/>
    </w:pPr>
  </w:style>
  <w:style w:type="character" w:styleId="Hyperlink">
    <w:uiPriority w:val="99"/>
    <w:name w:val="Hyperlink"/>
    <w:basedOn w:val="DefaultParagraphFont"/>
    <w:unhideWhenUsed/>
    <w:rsid w:val="3EE3B2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e16fa99fb0f4b07" /><Relationship Type="http://schemas.openxmlformats.org/officeDocument/2006/relationships/image" Target="/media/image.png" Id="rId1551601609" /><Relationship Type="http://schemas.openxmlformats.org/officeDocument/2006/relationships/hyperlink" Target="https://www.bbc.co.uk/news" TargetMode="External" Id="R8d2f20a863ba4055" /><Relationship Type="http://schemas.microsoft.com/office/2020/10/relationships/intelligence" Target="intelligence2.xml" Id="R16858c8fc7f545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2026-03-08T10:06:19.8426527Z</dcterms:created>
  <dcterms:modified xsi:type="dcterms:W3CDTF">2026-03-22T10:46:02.5466740Z</dcterms:modified>
  <dc:creator>Akeel Ali (2410749)</dc:creator>
  <lastModifiedBy>Akeel Ali (2410749)</lastModifiedBy>
</coreProperties>
</file>