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DF267C" w:rsidP="008150DF">
            <w:pPr>
              <w:spacing w:before="120" w:after="120"/>
              <w:jc w:val="left"/>
            </w:pPr>
            <w:r>
              <w:t>ECSS6001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DF267C" w:rsidP="008150DF">
            <w:pPr>
              <w:spacing w:before="120" w:after="120"/>
              <w:jc w:val="left"/>
            </w:pPr>
            <w:r>
              <w:t>Diversity of Language and Communication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2E24CB" w:rsidRDefault="002E24CB" w:rsidP="002E24CB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understand diverse language and communication styles.</w:t>
            </w:r>
          </w:p>
          <w:p w:rsidR="002E24CB" w:rsidRDefault="002E24CB" w:rsidP="002E24CB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reflect upon the ethnocentrism versus cultural relativism paradigms.</w:t>
            </w:r>
          </w:p>
          <w:p w:rsidR="008150DF" w:rsidRDefault="002E24CB" w:rsidP="002E24CB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bookmarkStart w:id="0" w:name="_GoBack"/>
            <w:bookmarkEnd w:id="0"/>
            <w:r>
              <w:t>Relate this knowledge to current policy and practice in supporting individuals with diverse language and communication backgrounds.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DF267C" w:rsidTr="00FA6671">
        <w:tc>
          <w:tcPr>
            <w:tcW w:w="10065" w:type="dxa"/>
            <w:gridSpan w:val="9"/>
          </w:tcPr>
          <w:p w:rsidR="00DF267C" w:rsidRPr="00454402" w:rsidRDefault="00DF267C" w:rsidP="00DF267C">
            <w:pPr>
              <w:spacing w:before="120" w:after="120"/>
            </w:pPr>
            <w:r>
              <w:t xml:space="preserve">Discuss each of Hofstede’s cultural dimension and how each of them could </w:t>
            </w:r>
            <w:proofErr w:type="gramStart"/>
            <w:r>
              <w:t>impact on</w:t>
            </w:r>
            <w:proofErr w:type="gramEnd"/>
            <w:r>
              <w:t xml:space="preserve"> communication.</w:t>
            </w:r>
          </w:p>
        </w:tc>
      </w:tr>
      <w:tr w:rsidR="00CF0FA8" w:rsidTr="004257A5">
        <w:tc>
          <w:tcPr>
            <w:tcW w:w="852" w:type="dxa"/>
          </w:tcPr>
          <w:p w:rsidR="00CF0FA8" w:rsidRDefault="00DF267C" w:rsidP="00454402">
            <w:pPr>
              <w:spacing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CF0FA8" w:rsidRPr="00DF267C" w:rsidRDefault="00DF267C" w:rsidP="00A15F95">
            <w:pPr>
              <w:spacing w:before="120" w:after="120"/>
              <w:jc w:val="left"/>
            </w:pPr>
            <w:r w:rsidRPr="00DF267C">
              <w:t>Individualism versus collectivism</w:t>
            </w:r>
          </w:p>
        </w:tc>
        <w:tc>
          <w:tcPr>
            <w:tcW w:w="689" w:type="dxa"/>
          </w:tcPr>
          <w:p w:rsidR="00CF0FA8" w:rsidRPr="00454402" w:rsidRDefault="00CF0FA8" w:rsidP="00454402">
            <w:pPr>
              <w:spacing w:after="120"/>
              <w:jc w:val="left"/>
            </w:pPr>
          </w:p>
        </w:tc>
        <w:tc>
          <w:tcPr>
            <w:tcW w:w="689" w:type="dxa"/>
          </w:tcPr>
          <w:p w:rsidR="00CF0FA8" w:rsidRDefault="00CF0FA8" w:rsidP="00CF0FA8">
            <w:pPr>
              <w:spacing w:after="120"/>
            </w:pPr>
          </w:p>
        </w:tc>
        <w:tc>
          <w:tcPr>
            <w:tcW w:w="689" w:type="dxa"/>
          </w:tcPr>
          <w:p w:rsidR="00CF0FA8" w:rsidRPr="00454402" w:rsidRDefault="00CF0FA8" w:rsidP="00454402">
            <w:pPr>
              <w:spacing w:after="120"/>
              <w:jc w:val="left"/>
            </w:pPr>
          </w:p>
        </w:tc>
      </w:tr>
      <w:tr w:rsidR="00DF267C" w:rsidTr="00B5316D">
        <w:tc>
          <w:tcPr>
            <w:tcW w:w="10065" w:type="dxa"/>
            <w:gridSpan w:val="9"/>
          </w:tcPr>
          <w:p w:rsidR="00DF267C" w:rsidRDefault="00DF267C" w:rsidP="00454402">
            <w:pPr>
              <w:spacing w:before="120" w:after="120"/>
              <w:jc w:val="left"/>
            </w:pPr>
          </w:p>
          <w:p w:rsidR="00DF267C" w:rsidRDefault="00DF267C" w:rsidP="00454402">
            <w:pPr>
              <w:spacing w:before="120" w:after="120"/>
              <w:jc w:val="left"/>
            </w:pPr>
          </w:p>
          <w:p w:rsidR="00DF267C" w:rsidRDefault="00DF267C" w:rsidP="00454402">
            <w:pPr>
              <w:spacing w:before="120" w:after="120"/>
              <w:jc w:val="left"/>
            </w:pPr>
          </w:p>
          <w:p w:rsidR="00DF267C" w:rsidRPr="00454402" w:rsidRDefault="00DF267C" w:rsidP="00454402">
            <w:pPr>
              <w:spacing w:before="120"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DF267C" w:rsidP="00A15F95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:rsidR="00A15F95" w:rsidRPr="00454402" w:rsidRDefault="00DF267C" w:rsidP="00A15F95">
            <w:pPr>
              <w:spacing w:before="120" w:after="120"/>
              <w:jc w:val="left"/>
            </w:pPr>
            <w:r w:rsidRPr="00DF267C">
              <w:t>Masculinity versus femininity</w:t>
            </w: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</w:tr>
      <w:tr w:rsidR="00DF267C" w:rsidTr="00407248">
        <w:tc>
          <w:tcPr>
            <w:tcW w:w="10065" w:type="dxa"/>
            <w:gridSpan w:val="9"/>
          </w:tcPr>
          <w:p w:rsidR="00DF267C" w:rsidRDefault="00DF267C" w:rsidP="00A15F95">
            <w:pPr>
              <w:spacing w:before="120" w:after="120"/>
              <w:jc w:val="left"/>
            </w:pPr>
          </w:p>
          <w:p w:rsidR="00DF267C" w:rsidRDefault="00DF267C" w:rsidP="00A15F95">
            <w:pPr>
              <w:spacing w:before="120" w:after="120"/>
              <w:jc w:val="left"/>
            </w:pPr>
          </w:p>
          <w:p w:rsidR="00DF267C" w:rsidRDefault="00DF267C" w:rsidP="00A15F95">
            <w:pPr>
              <w:spacing w:before="120" w:after="120"/>
              <w:jc w:val="left"/>
            </w:pPr>
          </w:p>
          <w:p w:rsidR="00DF267C" w:rsidRPr="00454402" w:rsidRDefault="00DF267C" w:rsidP="00A15F95">
            <w:pPr>
              <w:spacing w:before="120"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DF267C" w:rsidP="00A15F95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:rsidR="00A15F95" w:rsidRPr="00454402" w:rsidRDefault="00DF267C" w:rsidP="00A15F95">
            <w:pPr>
              <w:spacing w:before="120" w:after="120"/>
              <w:jc w:val="left"/>
            </w:pPr>
            <w:r w:rsidRPr="00DF267C">
              <w:t>Uncertainty avoidance</w:t>
            </w: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</w:tr>
      <w:tr w:rsidR="00DF267C" w:rsidTr="00986302">
        <w:tc>
          <w:tcPr>
            <w:tcW w:w="10065" w:type="dxa"/>
            <w:gridSpan w:val="9"/>
          </w:tcPr>
          <w:p w:rsidR="00DF267C" w:rsidRDefault="00DF267C" w:rsidP="00A15F95">
            <w:pPr>
              <w:spacing w:before="120" w:after="120"/>
              <w:jc w:val="left"/>
            </w:pPr>
          </w:p>
          <w:p w:rsidR="00DF267C" w:rsidRDefault="00DF267C" w:rsidP="00A15F95">
            <w:pPr>
              <w:spacing w:before="120" w:after="120"/>
              <w:jc w:val="left"/>
            </w:pPr>
          </w:p>
          <w:p w:rsidR="00DF267C" w:rsidRDefault="00DF267C" w:rsidP="00A15F95">
            <w:pPr>
              <w:spacing w:before="120" w:after="120"/>
              <w:jc w:val="left"/>
            </w:pPr>
          </w:p>
          <w:p w:rsidR="00DF267C" w:rsidRPr="00454402" w:rsidRDefault="00DF267C" w:rsidP="00A15F95">
            <w:pPr>
              <w:spacing w:before="120"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DF267C" w:rsidP="00A15F95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:rsidR="00A15F95" w:rsidRPr="00454402" w:rsidRDefault="00DF267C" w:rsidP="00A15F95">
            <w:pPr>
              <w:spacing w:before="120" w:after="120"/>
              <w:jc w:val="left"/>
            </w:pPr>
            <w:r w:rsidRPr="00DF267C">
              <w:t>Power distance</w:t>
            </w: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A15F95" w:rsidP="00A15F95">
            <w:pPr>
              <w:spacing w:before="120" w:after="120"/>
              <w:jc w:val="left"/>
            </w:pPr>
          </w:p>
        </w:tc>
      </w:tr>
      <w:tr w:rsidR="00DF267C" w:rsidTr="00316012">
        <w:tc>
          <w:tcPr>
            <w:tcW w:w="10065" w:type="dxa"/>
            <w:gridSpan w:val="9"/>
          </w:tcPr>
          <w:p w:rsidR="00DF267C" w:rsidRDefault="00DF267C" w:rsidP="00A15F95">
            <w:pPr>
              <w:spacing w:before="120" w:after="120"/>
              <w:jc w:val="left"/>
            </w:pPr>
          </w:p>
          <w:p w:rsidR="00DF267C" w:rsidRDefault="00DF267C" w:rsidP="00A15F95">
            <w:pPr>
              <w:spacing w:before="120" w:after="120"/>
              <w:jc w:val="left"/>
            </w:pPr>
          </w:p>
          <w:p w:rsidR="00DF267C" w:rsidRDefault="00DF267C" w:rsidP="00A15F95">
            <w:pPr>
              <w:spacing w:before="120" w:after="120"/>
              <w:jc w:val="left"/>
            </w:pPr>
          </w:p>
          <w:p w:rsidR="00DF267C" w:rsidRPr="00454402" w:rsidRDefault="00DF267C" w:rsidP="00A15F95">
            <w:pPr>
              <w:spacing w:before="120" w:after="120"/>
              <w:jc w:val="left"/>
            </w:pPr>
          </w:p>
        </w:tc>
      </w:tr>
      <w:tr w:rsidR="00DF267C" w:rsidTr="004257A5">
        <w:tc>
          <w:tcPr>
            <w:tcW w:w="852" w:type="dxa"/>
          </w:tcPr>
          <w:p w:rsidR="00DF267C" w:rsidRPr="00454402" w:rsidRDefault="00DF267C" w:rsidP="00DF267C">
            <w:pPr>
              <w:spacing w:before="120" w:after="120"/>
            </w:pPr>
            <w:r>
              <w:t>5</w:t>
            </w:r>
          </w:p>
        </w:tc>
        <w:tc>
          <w:tcPr>
            <w:tcW w:w="7146" w:type="dxa"/>
            <w:gridSpan w:val="5"/>
          </w:tcPr>
          <w:p w:rsidR="00DF267C" w:rsidRPr="00454402" w:rsidRDefault="00DF267C" w:rsidP="00DF267C">
            <w:pPr>
              <w:spacing w:before="120" w:after="120"/>
              <w:jc w:val="left"/>
            </w:pPr>
            <w:r w:rsidRPr="00DF267C">
              <w:t>Confucian work dynamism</w:t>
            </w:r>
          </w:p>
        </w:tc>
        <w:tc>
          <w:tcPr>
            <w:tcW w:w="689" w:type="dxa"/>
          </w:tcPr>
          <w:p w:rsidR="00DF267C" w:rsidRPr="00454402" w:rsidRDefault="00DF267C" w:rsidP="00DF267C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DF267C" w:rsidRPr="00454402" w:rsidRDefault="00DF267C" w:rsidP="00DF267C">
            <w:pPr>
              <w:spacing w:before="120" w:after="120"/>
            </w:pPr>
          </w:p>
        </w:tc>
        <w:tc>
          <w:tcPr>
            <w:tcW w:w="689" w:type="dxa"/>
          </w:tcPr>
          <w:p w:rsidR="00DF267C" w:rsidRPr="00454402" w:rsidRDefault="00DF267C" w:rsidP="00DF267C">
            <w:pPr>
              <w:spacing w:before="120" w:after="120"/>
              <w:jc w:val="left"/>
            </w:pPr>
          </w:p>
        </w:tc>
      </w:tr>
      <w:tr w:rsidR="00DF267C" w:rsidTr="00B30926">
        <w:tc>
          <w:tcPr>
            <w:tcW w:w="10065" w:type="dxa"/>
            <w:gridSpan w:val="9"/>
          </w:tcPr>
          <w:p w:rsidR="00DF267C" w:rsidRDefault="00DF267C" w:rsidP="00DF267C">
            <w:pPr>
              <w:spacing w:before="120" w:after="120"/>
              <w:jc w:val="left"/>
            </w:pPr>
          </w:p>
          <w:p w:rsidR="00DF267C" w:rsidRDefault="00DF267C" w:rsidP="00DF267C">
            <w:pPr>
              <w:spacing w:before="120" w:after="120"/>
              <w:jc w:val="left"/>
            </w:pPr>
          </w:p>
          <w:p w:rsidR="00DF267C" w:rsidRDefault="00DF267C" w:rsidP="00DF267C">
            <w:pPr>
              <w:spacing w:before="120" w:after="120"/>
              <w:jc w:val="left"/>
            </w:pPr>
          </w:p>
          <w:p w:rsidR="00DF267C" w:rsidRPr="00454402" w:rsidRDefault="00DF267C" w:rsidP="00DF267C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DF267C">
      <w:headerReference w:type="default" r:id="rId7"/>
      <w:pgSz w:w="11906" w:h="16838"/>
      <w:pgMar w:top="1440" w:right="1440" w:bottom="142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F267C" w:rsidRDefault="00DF267C" w:rsidP="008150DF">
      <w:pPr>
        <w:spacing w:before="0"/>
      </w:pPr>
      <w:r>
        <w:separator/>
      </w:r>
    </w:p>
  </w:endnote>
  <w:endnote w:type="continuationSeparator" w:id="0">
    <w:p w:rsidR="00DF267C" w:rsidRDefault="00DF267C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F267C" w:rsidRDefault="00DF267C" w:rsidP="008150DF">
      <w:pPr>
        <w:spacing w:before="0"/>
      </w:pPr>
      <w:r>
        <w:separator/>
      </w:r>
    </w:p>
  </w:footnote>
  <w:footnote w:type="continuationSeparator" w:id="0">
    <w:p w:rsidR="00DF267C" w:rsidRDefault="00DF267C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DF267C">
      <w:rPr>
        <w:sz w:val="32"/>
        <w:szCs w:val="32"/>
      </w:rPr>
      <w:t xml:space="preserve"> – Hofstede’s cultural dimensions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365471"/>
    <w:multiLevelType w:val="hybridMultilevel"/>
    <w:tmpl w:val="9AF42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F267C"/>
    <w:rsid w:val="002E24CB"/>
    <w:rsid w:val="003F568A"/>
    <w:rsid w:val="004257A5"/>
    <w:rsid w:val="00454402"/>
    <w:rsid w:val="008150DF"/>
    <w:rsid w:val="00A15F95"/>
    <w:rsid w:val="00AF00D7"/>
    <w:rsid w:val="00CF0FA8"/>
    <w:rsid w:val="00D5353F"/>
    <w:rsid w:val="00DF267C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7D9AD"/>
  <w15:docId w15:val="{96BDE03A-5061-4513-B88C-C4F7EC6C7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6</TotalTime>
  <Pages>2</Pages>
  <Words>112</Words>
  <Characters>640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2019-03-14T09:35:00Z</dcterms:created>
  <dcterms:modified xsi:type="dcterms:W3CDTF">2019-03-14T14:13:00Z</dcterms:modified>
</cp:coreProperties>
</file>