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0F230" w14:textId="1BF15B3C" w:rsidR="004F0E20" w:rsidRPr="005B2FFD" w:rsidRDefault="006130C5" w:rsidP="005B2FFD">
      <w:pPr>
        <w:rPr>
          <w:rFonts w:ascii="Arial" w:hAnsi="Arial" w:cs="Arial"/>
          <w:b/>
          <w:szCs w:val="24"/>
        </w:rPr>
      </w:pPr>
      <w:bookmarkStart w:id="0" w:name="_Hlk100684708"/>
      <w:r w:rsidRPr="005B2FFD">
        <w:rPr>
          <w:rFonts w:ascii="Arial" w:hAnsi="Arial" w:cs="Arial"/>
          <w:noProof/>
          <w:szCs w:val="24"/>
        </w:rPr>
        <w:drawing>
          <wp:anchor distT="0" distB="0" distL="114300" distR="114300" simplePos="0" relativeHeight="251658240" behindDoc="1" locked="0" layoutInCell="1" allowOverlap="1" wp14:anchorId="1D339C39" wp14:editId="3008F3B2">
            <wp:simplePos x="0" y="0"/>
            <wp:positionH relativeFrom="margin">
              <wp:posOffset>1727200</wp:posOffset>
            </wp:positionH>
            <wp:positionV relativeFrom="margin">
              <wp:posOffset>88900</wp:posOffset>
            </wp:positionV>
            <wp:extent cx="2781300" cy="1270000"/>
            <wp:effectExtent l="0" t="0" r="0" b="635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81300" cy="1270000"/>
                    </a:xfrm>
                    <a:prstGeom prst="rect">
                      <a:avLst/>
                    </a:prstGeom>
                  </pic:spPr>
                </pic:pic>
              </a:graphicData>
            </a:graphic>
            <wp14:sizeRelH relativeFrom="margin">
              <wp14:pctWidth>0</wp14:pctWidth>
            </wp14:sizeRelH>
            <wp14:sizeRelV relativeFrom="margin">
              <wp14:pctHeight>0</wp14:pctHeight>
            </wp14:sizeRelV>
          </wp:anchor>
        </w:drawing>
      </w:r>
    </w:p>
    <w:p w14:paraId="7BB7D25B" w14:textId="6A26BF89" w:rsidR="004F0E20" w:rsidRPr="005B2FFD" w:rsidRDefault="004F0E20" w:rsidP="005B2FFD">
      <w:pPr>
        <w:rPr>
          <w:rFonts w:ascii="Arial" w:hAnsi="Arial" w:cs="Arial"/>
          <w:b/>
          <w:szCs w:val="24"/>
        </w:rPr>
      </w:pPr>
    </w:p>
    <w:p w14:paraId="560DF2BB" w14:textId="77777777" w:rsidR="004F0E20" w:rsidRPr="005B2FFD" w:rsidRDefault="004F0E20" w:rsidP="005B2FFD">
      <w:pPr>
        <w:rPr>
          <w:rFonts w:ascii="Arial" w:hAnsi="Arial" w:cs="Arial"/>
          <w:b/>
          <w:szCs w:val="24"/>
        </w:rPr>
      </w:pPr>
    </w:p>
    <w:p w14:paraId="198E7983" w14:textId="77777777" w:rsidR="004F0E20" w:rsidRPr="005B2FFD" w:rsidRDefault="004F0E20" w:rsidP="005B2FFD">
      <w:pPr>
        <w:rPr>
          <w:rFonts w:ascii="Arial" w:hAnsi="Arial" w:cs="Arial"/>
          <w:b/>
          <w:szCs w:val="24"/>
        </w:rPr>
      </w:pPr>
    </w:p>
    <w:p w14:paraId="05396863" w14:textId="77777777" w:rsidR="00FB2657" w:rsidRDefault="008F0B7D" w:rsidP="008F0B7D">
      <w:pPr>
        <w:jc w:val="center"/>
        <w:rPr>
          <w:rFonts w:ascii="Arial" w:hAnsi="Arial" w:cs="Arial"/>
          <w:color w:val="202124"/>
          <w:sz w:val="48"/>
          <w:szCs w:val="33"/>
          <w:shd w:val="clear" w:color="auto" w:fill="FFFFFF"/>
        </w:rPr>
      </w:pPr>
      <w:r w:rsidRPr="008F0B7D">
        <w:rPr>
          <w:rFonts w:ascii="Arial" w:hAnsi="Arial" w:cs="Arial"/>
          <w:color w:val="202124"/>
          <w:sz w:val="48"/>
          <w:szCs w:val="33"/>
          <w:shd w:val="clear" w:color="auto" w:fill="FFFFFF"/>
        </w:rPr>
        <w:t>LCBB4002 Community Engagement</w:t>
      </w:r>
      <w:r>
        <w:rPr>
          <w:rFonts w:ascii="Arial" w:hAnsi="Arial" w:cs="Arial"/>
          <w:color w:val="202124"/>
          <w:sz w:val="48"/>
          <w:szCs w:val="33"/>
          <w:shd w:val="clear" w:color="auto" w:fill="FFFFFF"/>
        </w:rPr>
        <w:br/>
        <w:t>(Assessment 1</w:t>
      </w:r>
      <w:r w:rsidR="00AC369D">
        <w:rPr>
          <w:rFonts w:ascii="Arial" w:hAnsi="Arial" w:cs="Arial"/>
          <w:color w:val="202124"/>
          <w:sz w:val="48"/>
          <w:szCs w:val="33"/>
          <w:shd w:val="clear" w:color="auto" w:fill="FFFFFF"/>
        </w:rPr>
        <w:t>)</w:t>
      </w:r>
      <w:bookmarkEnd w:id="0"/>
    </w:p>
    <w:p w14:paraId="1EBF48AE" w14:textId="77777777" w:rsidR="00FB2657" w:rsidRDefault="00FB2657" w:rsidP="008F0B7D">
      <w:pPr>
        <w:jc w:val="center"/>
        <w:rPr>
          <w:rFonts w:ascii="Arial" w:hAnsi="Arial" w:cs="Arial"/>
          <w:color w:val="202124"/>
          <w:sz w:val="48"/>
          <w:szCs w:val="33"/>
          <w:shd w:val="clear" w:color="auto" w:fill="FFFFFF"/>
        </w:rPr>
      </w:pPr>
    </w:p>
    <w:p w14:paraId="529052B7" w14:textId="77777777" w:rsidR="00FB2657" w:rsidRDefault="00FB2657" w:rsidP="008F0B7D">
      <w:pPr>
        <w:jc w:val="center"/>
        <w:rPr>
          <w:rFonts w:ascii="Arial" w:hAnsi="Arial" w:cs="Arial"/>
          <w:color w:val="202124"/>
          <w:sz w:val="48"/>
          <w:szCs w:val="33"/>
          <w:shd w:val="clear" w:color="auto" w:fill="FFFFFF"/>
        </w:rPr>
      </w:pPr>
    </w:p>
    <w:p w14:paraId="014687F9" w14:textId="77777777" w:rsidR="00FB2657" w:rsidRDefault="00FB2657" w:rsidP="008F0B7D">
      <w:pPr>
        <w:jc w:val="center"/>
        <w:rPr>
          <w:rFonts w:ascii="Arial" w:hAnsi="Arial" w:cs="Arial"/>
          <w:color w:val="202124"/>
          <w:sz w:val="48"/>
          <w:szCs w:val="33"/>
          <w:shd w:val="clear" w:color="auto" w:fill="FFFFFF"/>
        </w:rPr>
      </w:pPr>
    </w:p>
    <w:p w14:paraId="345A12AE" w14:textId="77777777" w:rsidR="00FB2657" w:rsidRDefault="00FB2657" w:rsidP="008F0B7D">
      <w:pPr>
        <w:jc w:val="center"/>
        <w:rPr>
          <w:rFonts w:ascii="Arial" w:hAnsi="Arial" w:cs="Arial"/>
          <w:color w:val="202124"/>
          <w:sz w:val="48"/>
          <w:szCs w:val="33"/>
          <w:shd w:val="clear" w:color="auto" w:fill="FFFFFF"/>
        </w:rPr>
      </w:pPr>
    </w:p>
    <w:p w14:paraId="443F938B" w14:textId="77777777" w:rsidR="00FB2657" w:rsidRDefault="00FB2657" w:rsidP="008F0B7D">
      <w:pPr>
        <w:jc w:val="center"/>
        <w:rPr>
          <w:rFonts w:ascii="Arial" w:hAnsi="Arial" w:cs="Arial"/>
          <w:color w:val="202124"/>
          <w:sz w:val="48"/>
          <w:szCs w:val="33"/>
          <w:shd w:val="clear" w:color="auto" w:fill="FFFFFF"/>
        </w:rPr>
      </w:pPr>
    </w:p>
    <w:p w14:paraId="28B4A8E4" w14:textId="77777777" w:rsidR="00FB2657" w:rsidRPr="002522AC" w:rsidRDefault="00FB2657" w:rsidP="00FB2657">
      <w:pPr>
        <w:rPr>
          <w:rFonts w:cs="Times New Roman"/>
          <w:b/>
          <w:bCs/>
          <w:sz w:val="28"/>
          <w:szCs w:val="24"/>
        </w:rPr>
      </w:pPr>
      <w:r w:rsidRPr="002522AC">
        <w:rPr>
          <w:rFonts w:cs="Times New Roman"/>
          <w:b/>
          <w:bCs/>
          <w:sz w:val="28"/>
          <w:szCs w:val="24"/>
        </w:rPr>
        <w:t>Student ID:  2115325</w:t>
      </w:r>
    </w:p>
    <w:p w14:paraId="35C00301" w14:textId="77777777" w:rsidR="00FB2657" w:rsidRPr="002522AC" w:rsidRDefault="00FB2657" w:rsidP="00FB2657">
      <w:pPr>
        <w:rPr>
          <w:rFonts w:cs="Times New Roman"/>
          <w:b/>
          <w:bCs/>
          <w:sz w:val="28"/>
          <w:szCs w:val="24"/>
        </w:rPr>
      </w:pPr>
      <w:r w:rsidRPr="002522AC">
        <w:rPr>
          <w:rFonts w:cs="Times New Roman"/>
          <w:b/>
          <w:bCs/>
          <w:sz w:val="28"/>
          <w:szCs w:val="24"/>
        </w:rPr>
        <w:t xml:space="preserve">Student Name: Madalina Emilia Stan </w:t>
      </w:r>
    </w:p>
    <w:p w14:paraId="1B3930AF" w14:textId="0F8662E1" w:rsidR="006E4C21" w:rsidRPr="002522AC" w:rsidRDefault="00FB2657" w:rsidP="002522AC">
      <w:pPr>
        <w:rPr>
          <w:rFonts w:ascii="Arial" w:hAnsi="Arial" w:cs="Arial"/>
          <w:b/>
          <w:bCs/>
          <w:sz w:val="28"/>
          <w:szCs w:val="28"/>
        </w:rPr>
      </w:pPr>
      <w:r w:rsidRPr="002522AC">
        <w:rPr>
          <w:rFonts w:cs="Times New Roman"/>
          <w:b/>
          <w:bCs/>
          <w:sz w:val="28"/>
          <w:szCs w:val="28"/>
        </w:rPr>
        <w:t xml:space="preserve">Lecturer: Dr </w:t>
      </w:r>
      <w:proofErr w:type="spellStart"/>
      <w:r w:rsidRPr="002522AC">
        <w:rPr>
          <w:rFonts w:cs="Times New Roman"/>
          <w:b/>
          <w:bCs/>
          <w:sz w:val="28"/>
          <w:szCs w:val="28"/>
        </w:rPr>
        <w:t>Faizu</w:t>
      </w:r>
      <w:proofErr w:type="spellEnd"/>
      <w:r w:rsidRPr="002522AC">
        <w:rPr>
          <w:rFonts w:cs="Times New Roman"/>
          <w:b/>
          <w:bCs/>
          <w:sz w:val="28"/>
          <w:szCs w:val="28"/>
        </w:rPr>
        <w:t xml:space="preserve"> Edu</w:t>
      </w:r>
      <w:r w:rsidR="006E4C21" w:rsidRPr="002522AC">
        <w:rPr>
          <w:rFonts w:ascii="Arial" w:hAnsi="Arial" w:cs="Arial"/>
          <w:b/>
          <w:bCs/>
          <w:sz w:val="28"/>
          <w:szCs w:val="28"/>
        </w:rPr>
        <w:br w:type="page"/>
      </w:r>
    </w:p>
    <w:sdt>
      <w:sdtPr>
        <w:rPr>
          <w:rFonts w:ascii="Times New Roman" w:eastAsiaTheme="minorHAnsi" w:hAnsi="Times New Roman" w:cstheme="minorBidi"/>
          <w:color w:val="auto"/>
          <w:sz w:val="24"/>
          <w:szCs w:val="22"/>
        </w:rPr>
        <w:id w:val="2035459655"/>
        <w:docPartObj>
          <w:docPartGallery w:val="Table of Contents"/>
          <w:docPartUnique/>
        </w:docPartObj>
      </w:sdtPr>
      <w:sdtEndPr>
        <w:rPr>
          <w:b/>
          <w:bCs/>
          <w:noProof/>
        </w:rPr>
      </w:sdtEndPr>
      <w:sdtContent>
        <w:p w14:paraId="58D0AB08" w14:textId="7185FF8C" w:rsidR="005B2FFD" w:rsidRDefault="005B2FFD">
          <w:pPr>
            <w:pStyle w:val="ac"/>
          </w:pPr>
          <w:r>
            <w:t>Table of Contents</w:t>
          </w:r>
        </w:p>
        <w:p w14:paraId="04A9EB8C" w14:textId="3690C5B3" w:rsidR="00AC369D" w:rsidRDefault="005B2FFD">
          <w:pPr>
            <w:pStyle w:val="1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100684691" w:history="1">
            <w:r w:rsidR="00AC369D" w:rsidRPr="00530265">
              <w:rPr>
                <w:rStyle w:val="a5"/>
                <w:rFonts w:ascii="Arial" w:hAnsi="Arial" w:cs="Arial"/>
                <w:noProof/>
              </w:rPr>
              <w:t>Part A</w:t>
            </w:r>
            <w:r w:rsidR="00AC369D">
              <w:rPr>
                <w:noProof/>
                <w:webHidden/>
              </w:rPr>
              <w:tab/>
            </w:r>
            <w:r w:rsidR="00AC369D">
              <w:rPr>
                <w:noProof/>
                <w:webHidden/>
              </w:rPr>
              <w:fldChar w:fldCharType="begin"/>
            </w:r>
            <w:r w:rsidR="00AC369D">
              <w:rPr>
                <w:noProof/>
                <w:webHidden/>
              </w:rPr>
              <w:instrText xml:space="preserve"> PAGEREF _Toc100684691 \h </w:instrText>
            </w:r>
            <w:r w:rsidR="00AC369D">
              <w:rPr>
                <w:noProof/>
                <w:webHidden/>
              </w:rPr>
            </w:r>
            <w:r w:rsidR="00AC369D">
              <w:rPr>
                <w:noProof/>
                <w:webHidden/>
              </w:rPr>
              <w:fldChar w:fldCharType="separate"/>
            </w:r>
            <w:r w:rsidR="00AC369D">
              <w:rPr>
                <w:noProof/>
                <w:webHidden/>
              </w:rPr>
              <w:t>3</w:t>
            </w:r>
            <w:r w:rsidR="00AC369D">
              <w:rPr>
                <w:noProof/>
                <w:webHidden/>
              </w:rPr>
              <w:fldChar w:fldCharType="end"/>
            </w:r>
          </w:hyperlink>
        </w:p>
        <w:p w14:paraId="05BE1488" w14:textId="089ED5EB" w:rsidR="00AC369D" w:rsidRDefault="00054DCF">
          <w:pPr>
            <w:pStyle w:val="21"/>
            <w:tabs>
              <w:tab w:val="right" w:leader="dot" w:pos="9016"/>
            </w:tabs>
            <w:rPr>
              <w:rFonts w:asciiTheme="minorHAnsi" w:eastAsiaTheme="minorEastAsia" w:hAnsiTheme="minorHAnsi"/>
              <w:noProof/>
              <w:sz w:val="22"/>
            </w:rPr>
          </w:pPr>
          <w:hyperlink w:anchor="_Toc100684692" w:history="1">
            <w:r w:rsidR="00AC369D" w:rsidRPr="00530265">
              <w:rPr>
                <w:rStyle w:val="a5"/>
                <w:rFonts w:ascii="Arial" w:hAnsi="Arial" w:cs="Arial"/>
                <w:noProof/>
              </w:rPr>
              <w:t>Introduction</w:t>
            </w:r>
            <w:r w:rsidR="00AC369D">
              <w:rPr>
                <w:noProof/>
                <w:webHidden/>
              </w:rPr>
              <w:tab/>
            </w:r>
            <w:r w:rsidR="00AC369D">
              <w:rPr>
                <w:noProof/>
                <w:webHidden/>
              </w:rPr>
              <w:fldChar w:fldCharType="begin"/>
            </w:r>
            <w:r w:rsidR="00AC369D">
              <w:rPr>
                <w:noProof/>
                <w:webHidden/>
              </w:rPr>
              <w:instrText xml:space="preserve"> PAGEREF _Toc100684692 \h </w:instrText>
            </w:r>
            <w:r w:rsidR="00AC369D">
              <w:rPr>
                <w:noProof/>
                <w:webHidden/>
              </w:rPr>
            </w:r>
            <w:r w:rsidR="00AC369D">
              <w:rPr>
                <w:noProof/>
                <w:webHidden/>
              </w:rPr>
              <w:fldChar w:fldCharType="separate"/>
            </w:r>
            <w:r w:rsidR="00AC369D">
              <w:rPr>
                <w:noProof/>
                <w:webHidden/>
              </w:rPr>
              <w:t>3</w:t>
            </w:r>
            <w:r w:rsidR="00AC369D">
              <w:rPr>
                <w:noProof/>
                <w:webHidden/>
              </w:rPr>
              <w:fldChar w:fldCharType="end"/>
            </w:r>
          </w:hyperlink>
        </w:p>
        <w:p w14:paraId="6826617F" w14:textId="370A17F2" w:rsidR="00AC369D" w:rsidRDefault="00054DCF">
          <w:pPr>
            <w:pStyle w:val="21"/>
            <w:tabs>
              <w:tab w:val="right" w:leader="dot" w:pos="9016"/>
            </w:tabs>
            <w:rPr>
              <w:rFonts w:asciiTheme="minorHAnsi" w:eastAsiaTheme="minorEastAsia" w:hAnsiTheme="minorHAnsi"/>
              <w:noProof/>
              <w:sz w:val="22"/>
            </w:rPr>
          </w:pPr>
          <w:hyperlink w:anchor="_Toc100684693" w:history="1">
            <w:r w:rsidR="00AC369D" w:rsidRPr="00530265">
              <w:rPr>
                <w:rStyle w:val="a5"/>
                <w:rFonts w:ascii="Arial" w:hAnsi="Arial" w:cs="Arial"/>
                <w:noProof/>
              </w:rPr>
              <w:t>The Project and Local Perspective</w:t>
            </w:r>
            <w:r w:rsidR="00AC369D">
              <w:rPr>
                <w:noProof/>
                <w:webHidden/>
              </w:rPr>
              <w:tab/>
            </w:r>
            <w:r w:rsidR="00AC369D">
              <w:rPr>
                <w:noProof/>
                <w:webHidden/>
              </w:rPr>
              <w:fldChar w:fldCharType="begin"/>
            </w:r>
            <w:r w:rsidR="00AC369D">
              <w:rPr>
                <w:noProof/>
                <w:webHidden/>
              </w:rPr>
              <w:instrText xml:space="preserve"> PAGEREF _Toc100684693 \h </w:instrText>
            </w:r>
            <w:r w:rsidR="00AC369D">
              <w:rPr>
                <w:noProof/>
                <w:webHidden/>
              </w:rPr>
            </w:r>
            <w:r w:rsidR="00AC369D">
              <w:rPr>
                <w:noProof/>
                <w:webHidden/>
              </w:rPr>
              <w:fldChar w:fldCharType="separate"/>
            </w:r>
            <w:r w:rsidR="00AC369D">
              <w:rPr>
                <w:noProof/>
                <w:webHidden/>
              </w:rPr>
              <w:t>4</w:t>
            </w:r>
            <w:r w:rsidR="00AC369D">
              <w:rPr>
                <w:noProof/>
                <w:webHidden/>
              </w:rPr>
              <w:fldChar w:fldCharType="end"/>
            </w:r>
          </w:hyperlink>
        </w:p>
        <w:p w14:paraId="237738E7" w14:textId="514F40FE" w:rsidR="00AC369D" w:rsidRDefault="00054DCF">
          <w:pPr>
            <w:pStyle w:val="21"/>
            <w:tabs>
              <w:tab w:val="right" w:leader="dot" w:pos="9016"/>
            </w:tabs>
            <w:rPr>
              <w:rFonts w:asciiTheme="minorHAnsi" w:eastAsiaTheme="minorEastAsia" w:hAnsiTheme="minorHAnsi"/>
              <w:noProof/>
              <w:sz w:val="22"/>
            </w:rPr>
          </w:pPr>
          <w:hyperlink w:anchor="_Toc100684694" w:history="1">
            <w:r w:rsidR="00AC369D" w:rsidRPr="00530265">
              <w:rPr>
                <w:rStyle w:val="a5"/>
                <w:rFonts w:ascii="Arial" w:hAnsi="Arial" w:cs="Arial"/>
                <w:noProof/>
              </w:rPr>
              <w:t>Strategies for Engagement</w:t>
            </w:r>
            <w:r w:rsidR="00AC369D">
              <w:rPr>
                <w:noProof/>
                <w:webHidden/>
              </w:rPr>
              <w:tab/>
            </w:r>
            <w:r w:rsidR="00AC369D">
              <w:rPr>
                <w:noProof/>
                <w:webHidden/>
              </w:rPr>
              <w:fldChar w:fldCharType="begin"/>
            </w:r>
            <w:r w:rsidR="00AC369D">
              <w:rPr>
                <w:noProof/>
                <w:webHidden/>
              </w:rPr>
              <w:instrText xml:space="preserve"> PAGEREF _Toc100684694 \h </w:instrText>
            </w:r>
            <w:r w:rsidR="00AC369D">
              <w:rPr>
                <w:noProof/>
                <w:webHidden/>
              </w:rPr>
            </w:r>
            <w:r w:rsidR="00AC369D">
              <w:rPr>
                <w:noProof/>
                <w:webHidden/>
              </w:rPr>
              <w:fldChar w:fldCharType="separate"/>
            </w:r>
            <w:r w:rsidR="00AC369D">
              <w:rPr>
                <w:noProof/>
                <w:webHidden/>
              </w:rPr>
              <w:t>6</w:t>
            </w:r>
            <w:r w:rsidR="00AC369D">
              <w:rPr>
                <w:noProof/>
                <w:webHidden/>
              </w:rPr>
              <w:fldChar w:fldCharType="end"/>
            </w:r>
          </w:hyperlink>
        </w:p>
        <w:p w14:paraId="2FCEC1BF" w14:textId="2E22B15E" w:rsidR="00AC369D" w:rsidRDefault="00054DCF">
          <w:pPr>
            <w:pStyle w:val="21"/>
            <w:tabs>
              <w:tab w:val="right" w:leader="dot" w:pos="9016"/>
            </w:tabs>
            <w:rPr>
              <w:rFonts w:asciiTheme="minorHAnsi" w:eastAsiaTheme="minorEastAsia" w:hAnsiTheme="minorHAnsi"/>
              <w:noProof/>
              <w:sz w:val="22"/>
            </w:rPr>
          </w:pPr>
          <w:hyperlink w:anchor="_Toc100684695" w:history="1">
            <w:r w:rsidR="00AC369D" w:rsidRPr="00530265">
              <w:rPr>
                <w:rStyle w:val="a5"/>
                <w:rFonts w:ascii="Arial" w:hAnsi="Arial" w:cs="Arial"/>
                <w:noProof/>
              </w:rPr>
              <w:t>Limitations and future view</w:t>
            </w:r>
            <w:r w:rsidR="00AC369D">
              <w:rPr>
                <w:noProof/>
                <w:webHidden/>
              </w:rPr>
              <w:tab/>
            </w:r>
            <w:r w:rsidR="00AC369D">
              <w:rPr>
                <w:noProof/>
                <w:webHidden/>
              </w:rPr>
              <w:fldChar w:fldCharType="begin"/>
            </w:r>
            <w:r w:rsidR="00AC369D">
              <w:rPr>
                <w:noProof/>
                <w:webHidden/>
              </w:rPr>
              <w:instrText xml:space="preserve"> PAGEREF _Toc100684695 \h </w:instrText>
            </w:r>
            <w:r w:rsidR="00AC369D">
              <w:rPr>
                <w:noProof/>
                <w:webHidden/>
              </w:rPr>
            </w:r>
            <w:r w:rsidR="00AC369D">
              <w:rPr>
                <w:noProof/>
                <w:webHidden/>
              </w:rPr>
              <w:fldChar w:fldCharType="separate"/>
            </w:r>
            <w:r w:rsidR="00AC369D">
              <w:rPr>
                <w:noProof/>
                <w:webHidden/>
              </w:rPr>
              <w:t>8</w:t>
            </w:r>
            <w:r w:rsidR="00AC369D">
              <w:rPr>
                <w:noProof/>
                <w:webHidden/>
              </w:rPr>
              <w:fldChar w:fldCharType="end"/>
            </w:r>
          </w:hyperlink>
        </w:p>
        <w:p w14:paraId="29EB8F56" w14:textId="667A4CB5" w:rsidR="00AC369D" w:rsidRDefault="00054DCF">
          <w:pPr>
            <w:pStyle w:val="21"/>
            <w:tabs>
              <w:tab w:val="right" w:leader="dot" w:pos="9016"/>
            </w:tabs>
            <w:rPr>
              <w:rFonts w:asciiTheme="minorHAnsi" w:eastAsiaTheme="minorEastAsia" w:hAnsiTheme="minorHAnsi"/>
              <w:noProof/>
              <w:sz w:val="22"/>
            </w:rPr>
          </w:pPr>
          <w:hyperlink w:anchor="_Toc100684696" w:history="1">
            <w:r w:rsidR="00AC369D" w:rsidRPr="00530265">
              <w:rPr>
                <w:rStyle w:val="a5"/>
                <w:rFonts w:ascii="Arial" w:hAnsi="Arial" w:cs="Arial"/>
                <w:noProof/>
              </w:rPr>
              <w:t>Conclusion</w:t>
            </w:r>
            <w:r w:rsidR="00AC369D">
              <w:rPr>
                <w:noProof/>
                <w:webHidden/>
              </w:rPr>
              <w:tab/>
            </w:r>
            <w:r w:rsidR="00AC369D">
              <w:rPr>
                <w:noProof/>
                <w:webHidden/>
              </w:rPr>
              <w:fldChar w:fldCharType="begin"/>
            </w:r>
            <w:r w:rsidR="00AC369D">
              <w:rPr>
                <w:noProof/>
                <w:webHidden/>
              </w:rPr>
              <w:instrText xml:space="preserve"> PAGEREF _Toc100684696 \h </w:instrText>
            </w:r>
            <w:r w:rsidR="00AC369D">
              <w:rPr>
                <w:noProof/>
                <w:webHidden/>
              </w:rPr>
            </w:r>
            <w:r w:rsidR="00AC369D">
              <w:rPr>
                <w:noProof/>
                <w:webHidden/>
              </w:rPr>
              <w:fldChar w:fldCharType="separate"/>
            </w:r>
            <w:r w:rsidR="00AC369D">
              <w:rPr>
                <w:noProof/>
                <w:webHidden/>
              </w:rPr>
              <w:t>9</w:t>
            </w:r>
            <w:r w:rsidR="00AC369D">
              <w:rPr>
                <w:noProof/>
                <w:webHidden/>
              </w:rPr>
              <w:fldChar w:fldCharType="end"/>
            </w:r>
          </w:hyperlink>
        </w:p>
        <w:p w14:paraId="4CE68CA4" w14:textId="25EA6763" w:rsidR="00AC369D" w:rsidRDefault="00054DCF">
          <w:pPr>
            <w:pStyle w:val="11"/>
            <w:tabs>
              <w:tab w:val="right" w:leader="dot" w:pos="9016"/>
            </w:tabs>
            <w:rPr>
              <w:rFonts w:asciiTheme="minorHAnsi" w:eastAsiaTheme="minorEastAsia" w:hAnsiTheme="minorHAnsi"/>
              <w:noProof/>
              <w:sz w:val="22"/>
            </w:rPr>
          </w:pPr>
          <w:hyperlink w:anchor="_Toc100684697" w:history="1">
            <w:r w:rsidR="00AC369D" w:rsidRPr="00530265">
              <w:rPr>
                <w:rStyle w:val="a5"/>
                <w:rFonts w:ascii="Arial" w:hAnsi="Arial" w:cs="Arial"/>
                <w:noProof/>
              </w:rPr>
              <w:t>References</w:t>
            </w:r>
            <w:r w:rsidR="00AC369D">
              <w:rPr>
                <w:noProof/>
                <w:webHidden/>
              </w:rPr>
              <w:tab/>
            </w:r>
            <w:r w:rsidR="00AC369D">
              <w:rPr>
                <w:noProof/>
                <w:webHidden/>
              </w:rPr>
              <w:fldChar w:fldCharType="begin"/>
            </w:r>
            <w:r w:rsidR="00AC369D">
              <w:rPr>
                <w:noProof/>
                <w:webHidden/>
              </w:rPr>
              <w:instrText xml:space="preserve"> PAGEREF _Toc100684697 \h </w:instrText>
            </w:r>
            <w:r w:rsidR="00AC369D">
              <w:rPr>
                <w:noProof/>
                <w:webHidden/>
              </w:rPr>
            </w:r>
            <w:r w:rsidR="00AC369D">
              <w:rPr>
                <w:noProof/>
                <w:webHidden/>
              </w:rPr>
              <w:fldChar w:fldCharType="separate"/>
            </w:r>
            <w:r w:rsidR="00AC369D">
              <w:rPr>
                <w:noProof/>
                <w:webHidden/>
              </w:rPr>
              <w:t>10</w:t>
            </w:r>
            <w:r w:rsidR="00AC369D">
              <w:rPr>
                <w:noProof/>
                <w:webHidden/>
              </w:rPr>
              <w:fldChar w:fldCharType="end"/>
            </w:r>
          </w:hyperlink>
        </w:p>
        <w:p w14:paraId="583E3722" w14:textId="791062C4" w:rsidR="005B2FFD" w:rsidRDefault="005B2FFD">
          <w:r>
            <w:rPr>
              <w:b/>
              <w:bCs/>
              <w:noProof/>
            </w:rPr>
            <w:fldChar w:fldCharType="end"/>
          </w:r>
        </w:p>
      </w:sdtContent>
    </w:sdt>
    <w:p w14:paraId="04068BDC" w14:textId="0A301738" w:rsidR="006E4C21" w:rsidRPr="005B2FFD" w:rsidRDefault="006E4C21" w:rsidP="005B2FFD">
      <w:pPr>
        <w:rPr>
          <w:rFonts w:ascii="Arial" w:hAnsi="Arial" w:cs="Arial"/>
          <w:szCs w:val="24"/>
        </w:rPr>
      </w:pPr>
      <w:r w:rsidRPr="005B2FFD">
        <w:rPr>
          <w:rFonts w:ascii="Arial" w:hAnsi="Arial" w:cs="Arial"/>
          <w:szCs w:val="24"/>
        </w:rPr>
        <w:br w:type="page"/>
      </w:r>
    </w:p>
    <w:p w14:paraId="71F77DD5" w14:textId="4CE0D49D" w:rsidR="00DF4FE1" w:rsidRPr="005B2FFD" w:rsidRDefault="006E4C21" w:rsidP="005314AD">
      <w:pPr>
        <w:pStyle w:val="1"/>
        <w:pBdr>
          <w:bottom w:val="single" w:sz="4" w:space="1" w:color="auto"/>
        </w:pBdr>
        <w:spacing w:before="120"/>
        <w:rPr>
          <w:rFonts w:ascii="Arial" w:hAnsi="Arial" w:cs="Arial"/>
          <w:sz w:val="24"/>
          <w:szCs w:val="24"/>
        </w:rPr>
      </w:pPr>
      <w:bookmarkStart w:id="1" w:name="_Toc100664832"/>
      <w:bookmarkStart w:id="2" w:name="_Toc100684691"/>
      <w:r w:rsidRPr="005B2FFD">
        <w:rPr>
          <w:rFonts w:ascii="Arial" w:hAnsi="Arial" w:cs="Arial"/>
          <w:sz w:val="24"/>
          <w:szCs w:val="24"/>
        </w:rPr>
        <w:lastRenderedPageBreak/>
        <w:t>Part A</w:t>
      </w:r>
      <w:bookmarkEnd w:id="1"/>
      <w:bookmarkEnd w:id="2"/>
    </w:p>
    <w:p w14:paraId="68495C55" w14:textId="47074FB4" w:rsidR="006E4C21" w:rsidRPr="005B2FFD" w:rsidRDefault="006E4C21" w:rsidP="005314AD">
      <w:pPr>
        <w:pStyle w:val="2"/>
        <w:pBdr>
          <w:bottom w:val="single" w:sz="4" w:space="1" w:color="auto"/>
        </w:pBdr>
        <w:spacing w:before="120"/>
        <w:rPr>
          <w:rFonts w:ascii="Arial" w:hAnsi="Arial" w:cs="Arial"/>
          <w:sz w:val="24"/>
          <w:szCs w:val="24"/>
        </w:rPr>
      </w:pPr>
      <w:bookmarkStart w:id="3" w:name="_Toc100664833"/>
      <w:bookmarkStart w:id="4" w:name="_Toc100684692"/>
      <w:r w:rsidRPr="005B2FFD">
        <w:rPr>
          <w:rFonts w:ascii="Arial" w:hAnsi="Arial" w:cs="Arial"/>
          <w:sz w:val="24"/>
          <w:szCs w:val="24"/>
        </w:rPr>
        <w:t>Introduction</w:t>
      </w:r>
      <w:bookmarkEnd w:id="3"/>
      <w:bookmarkEnd w:id="4"/>
    </w:p>
    <w:p w14:paraId="6D4148A5" w14:textId="189AEE8A" w:rsidR="00F22D28" w:rsidRPr="005B2FFD" w:rsidRDefault="008C294F" w:rsidP="005B2FFD">
      <w:pPr>
        <w:rPr>
          <w:rFonts w:ascii="Arial" w:hAnsi="Arial" w:cs="Arial"/>
          <w:szCs w:val="24"/>
        </w:rPr>
      </w:pPr>
      <w:r w:rsidRPr="005B2FFD">
        <w:rPr>
          <w:rFonts w:ascii="Arial" w:hAnsi="Arial" w:cs="Arial"/>
          <w:szCs w:val="24"/>
        </w:rPr>
        <w:t>Community Engagement is a method of engaging groups of people to work collaboratively within a region that is connected either by geography, interest</w:t>
      </w:r>
      <w:r w:rsidR="00F100FE" w:rsidRPr="005B2FFD">
        <w:rPr>
          <w:rFonts w:ascii="Arial" w:hAnsi="Arial" w:cs="Arial"/>
          <w:szCs w:val="24"/>
        </w:rPr>
        <w:t>,</w:t>
      </w:r>
      <w:r w:rsidRPr="005B2FFD">
        <w:rPr>
          <w:rFonts w:ascii="Arial" w:hAnsi="Arial" w:cs="Arial"/>
          <w:szCs w:val="24"/>
        </w:rPr>
        <w:t xml:space="preserve"> or issues relating to the well-being of people. It is considered a game-changer in engaging people </w:t>
      </w:r>
      <w:r w:rsidR="00F100FE" w:rsidRPr="005B2FFD">
        <w:rPr>
          <w:rFonts w:ascii="Arial" w:hAnsi="Arial" w:cs="Arial"/>
          <w:szCs w:val="24"/>
        </w:rPr>
        <w:t>in</w:t>
      </w:r>
      <w:r w:rsidRPr="005B2FFD">
        <w:rPr>
          <w:rFonts w:ascii="Arial" w:hAnsi="Arial" w:cs="Arial"/>
          <w:szCs w:val="24"/>
        </w:rPr>
        <w:t xml:space="preserve"> working for the environment or social issues that can improve the future outlook of the community and its members. </w:t>
      </w:r>
    </w:p>
    <w:p w14:paraId="59FB8B90" w14:textId="7C4487E0" w:rsidR="008C294F" w:rsidRPr="005B2FFD" w:rsidRDefault="008C294F" w:rsidP="005B2FFD">
      <w:pPr>
        <w:rPr>
          <w:rFonts w:ascii="Arial" w:hAnsi="Arial" w:cs="Arial"/>
          <w:szCs w:val="24"/>
        </w:rPr>
      </w:pPr>
      <w:r w:rsidRPr="005B2FFD">
        <w:rPr>
          <w:rFonts w:ascii="Arial" w:hAnsi="Arial" w:cs="Arial"/>
          <w:szCs w:val="24"/>
        </w:rPr>
        <w:t xml:space="preserve">The concept has been active for a long time, with the CDC (1997) putting its exact definition to involve partnerships and coalitions for the </w:t>
      </w:r>
      <w:r w:rsidR="004F12E3" w:rsidRPr="005B2FFD">
        <w:rPr>
          <w:rFonts w:ascii="Arial" w:hAnsi="Arial" w:cs="Arial"/>
          <w:szCs w:val="24"/>
        </w:rPr>
        <w:t>mobilization</w:t>
      </w:r>
      <w:r w:rsidRPr="005B2FFD">
        <w:rPr>
          <w:rFonts w:ascii="Arial" w:hAnsi="Arial" w:cs="Arial"/>
          <w:szCs w:val="24"/>
        </w:rPr>
        <w:t xml:space="preserve"> of resources and influence changes within systems. The purpose of this report is to examine how community engagement is carried out within a community taking an example of a project already in use. This project will be examined its method of engaging stakeholders, their work, and how they orient themselves through pressing issues. Particular attention will be given to the statistics and the type of work that they do. </w:t>
      </w:r>
    </w:p>
    <w:p w14:paraId="45165C60" w14:textId="28F9D8AC" w:rsidR="006E4C21" w:rsidRPr="005B2FFD" w:rsidRDefault="006E4C21" w:rsidP="005B2FFD">
      <w:pPr>
        <w:rPr>
          <w:rFonts w:ascii="Arial" w:hAnsi="Arial" w:cs="Arial"/>
          <w:szCs w:val="24"/>
        </w:rPr>
      </w:pPr>
      <w:r w:rsidRPr="005B2FFD">
        <w:rPr>
          <w:rFonts w:ascii="Arial" w:hAnsi="Arial" w:cs="Arial"/>
          <w:szCs w:val="24"/>
        </w:rPr>
        <w:br w:type="page"/>
      </w:r>
    </w:p>
    <w:p w14:paraId="61569260" w14:textId="6C0FC64D" w:rsidR="006E4C21" w:rsidRPr="005B2FFD" w:rsidRDefault="00DB52BB" w:rsidP="005B2FFD">
      <w:pPr>
        <w:pStyle w:val="2"/>
        <w:spacing w:before="120"/>
        <w:rPr>
          <w:rFonts w:ascii="Arial" w:hAnsi="Arial" w:cs="Arial"/>
          <w:sz w:val="24"/>
          <w:szCs w:val="24"/>
        </w:rPr>
      </w:pPr>
      <w:bookmarkStart w:id="5" w:name="_Toc100664834"/>
      <w:bookmarkStart w:id="6" w:name="_Toc100684693"/>
      <w:r w:rsidRPr="005B2FFD">
        <w:rPr>
          <w:rFonts w:ascii="Arial" w:hAnsi="Arial" w:cs="Arial"/>
          <w:sz w:val="24"/>
          <w:szCs w:val="24"/>
        </w:rPr>
        <w:lastRenderedPageBreak/>
        <w:t xml:space="preserve">The Project and </w:t>
      </w:r>
      <w:r w:rsidR="006E4C21" w:rsidRPr="005B2FFD">
        <w:rPr>
          <w:rFonts w:ascii="Arial" w:hAnsi="Arial" w:cs="Arial"/>
          <w:sz w:val="24"/>
          <w:szCs w:val="24"/>
        </w:rPr>
        <w:t>Local Perspective</w:t>
      </w:r>
      <w:bookmarkEnd w:id="5"/>
      <w:bookmarkEnd w:id="6"/>
    </w:p>
    <w:p w14:paraId="4654E019" w14:textId="01E2AEB4" w:rsidR="00560C8C" w:rsidRPr="005B2FFD" w:rsidRDefault="008C294F" w:rsidP="005B2FFD">
      <w:pPr>
        <w:rPr>
          <w:rFonts w:ascii="Arial" w:hAnsi="Arial" w:cs="Arial"/>
          <w:szCs w:val="24"/>
        </w:rPr>
      </w:pPr>
      <w:r w:rsidRPr="005B2FFD">
        <w:rPr>
          <w:rFonts w:ascii="Arial" w:hAnsi="Arial" w:cs="Arial"/>
          <w:szCs w:val="24"/>
        </w:rPr>
        <w:t xml:space="preserve">The project that will be discussed is the Urban Community Projects, </w:t>
      </w:r>
      <w:r w:rsidR="00E56B87" w:rsidRPr="005B2FFD">
        <w:rPr>
          <w:rFonts w:ascii="Arial" w:hAnsi="Arial" w:cs="Arial"/>
          <w:szCs w:val="24"/>
        </w:rPr>
        <w:t>working in London. The project has been active for over ten years working with local people by encouraging, empowering, and inspiring them to create new opportunities for each other. While they are officially stated as a charity, their main purpose is to engage their local community, giving them the tools that they need to break down any barriers that they are faced with. They particularly want to focus on making stronger communities through which they can make a difference in local lives.</w:t>
      </w:r>
    </w:p>
    <w:p w14:paraId="69E4B0B9" w14:textId="2EFD7278" w:rsidR="00E56B87" w:rsidRPr="005B2FFD" w:rsidRDefault="00E56B87" w:rsidP="005B2FFD">
      <w:pPr>
        <w:rPr>
          <w:rFonts w:ascii="Arial" w:hAnsi="Arial" w:cs="Arial"/>
          <w:szCs w:val="24"/>
        </w:rPr>
      </w:pPr>
      <w:r w:rsidRPr="005B2FFD">
        <w:rPr>
          <w:rFonts w:ascii="Arial" w:hAnsi="Arial" w:cs="Arial"/>
          <w:szCs w:val="24"/>
        </w:rPr>
        <w:t xml:space="preserve">The specific services and programs they undertake are based on trust and determination to help people’s lives better through challenging times. They work within many avenues, including food </w:t>
      </w:r>
      <w:r w:rsidR="004F12E3" w:rsidRPr="005B2FFD">
        <w:rPr>
          <w:rFonts w:ascii="Arial" w:hAnsi="Arial" w:cs="Arial"/>
          <w:szCs w:val="24"/>
        </w:rPr>
        <w:t>banks</w:t>
      </w:r>
      <w:r w:rsidRPr="005B2FFD">
        <w:rPr>
          <w:rFonts w:ascii="Arial" w:hAnsi="Arial" w:cs="Arial"/>
          <w:szCs w:val="24"/>
        </w:rPr>
        <w:t xml:space="preserve">, employment training, </w:t>
      </w:r>
      <w:r w:rsidR="00546D51" w:rsidRPr="005B2FFD">
        <w:rPr>
          <w:rFonts w:ascii="Arial" w:hAnsi="Arial" w:cs="Arial"/>
          <w:szCs w:val="24"/>
        </w:rPr>
        <w:t xml:space="preserve">and crime awareness to prevent youth </w:t>
      </w:r>
      <w:r w:rsidR="00F100FE" w:rsidRPr="005B2FFD">
        <w:rPr>
          <w:rFonts w:ascii="Arial" w:hAnsi="Arial" w:cs="Arial"/>
          <w:szCs w:val="24"/>
        </w:rPr>
        <w:t xml:space="preserve">from </w:t>
      </w:r>
      <w:r w:rsidR="00546D51" w:rsidRPr="005B2FFD">
        <w:rPr>
          <w:rFonts w:ascii="Arial" w:hAnsi="Arial" w:cs="Arial"/>
          <w:szCs w:val="24"/>
        </w:rPr>
        <w:t xml:space="preserve">being attracted </w:t>
      </w:r>
      <w:r w:rsidR="00F100FE" w:rsidRPr="005B2FFD">
        <w:rPr>
          <w:rFonts w:ascii="Arial" w:hAnsi="Arial" w:cs="Arial"/>
          <w:szCs w:val="24"/>
        </w:rPr>
        <w:t>to</w:t>
      </w:r>
      <w:r w:rsidR="00546D51" w:rsidRPr="005B2FFD">
        <w:rPr>
          <w:rFonts w:ascii="Arial" w:hAnsi="Arial" w:cs="Arial"/>
          <w:szCs w:val="24"/>
        </w:rPr>
        <w:t xml:space="preserve"> what they call the ‘knife game’. </w:t>
      </w:r>
    </w:p>
    <w:p w14:paraId="4D4F7553" w14:textId="7C44B2DE" w:rsidR="00546D51" w:rsidRPr="005B2FFD" w:rsidRDefault="00546D51" w:rsidP="005B2FFD">
      <w:pPr>
        <w:rPr>
          <w:rFonts w:ascii="Arial" w:hAnsi="Arial" w:cs="Arial"/>
          <w:szCs w:val="24"/>
        </w:rPr>
      </w:pPr>
      <w:r w:rsidRPr="005B2FFD">
        <w:rPr>
          <w:rFonts w:ascii="Arial" w:hAnsi="Arial" w:cs="Arial"/>
          <w:szCs w:val="24"/>
        </w:rPr>
        <w:t xml:space="preserve">To fully understand their range of work, it is necessary to talk about their work in detail. Their most recent initiative is their food bank which they run as a Camden Mobile Food Bank. This was inspired by their younger volunteers and accelerated due to the COVID-19 pandemic. They support vulnerable families with the help of their main group of locals, giving them food parcels so that they can survive. What is interesting about their approach is that they are not only focused on giving food parcels but also on encouraging them to work for their food. This puts a different meaning on charity, instead of making them seem like hand-outs but rather as a vocation. Additionally, this initiative also showed </w:t>
      </w:r>
      <w:r w:rsidR="004F12E3" w:rsidRPr="005B2FFD">
        <w:rPr>
          <w:rFonts w:ascii="Arial" w:hAnsi="Arial" w:cs="Arial"/>
          <w:szCs w:val="24"/>
        </w:rPr>
        <w:t>the</w:t>
      </w:r>
      <w:r w:rsidRPr="005B2FFD">
        <w:rPr>
          <w:rFonts w:ascii="Arial" w:hAnsi="Arial" w:cs="Arial"/>
          <w:szCs w:val="24"/>
        </w:rPr>
        <w:t xml:space="preserve"> </w:t>
      </w:r>
      <w:r w:rsidR="00261C33" w:rsidRPr="005B2FFD">
        <w:rPr>
          <w:rFonts w:ascii="Arial" w:hAnsi="Arial" w:cs="Arial"/>
          <w:szCs w:val="24"/>
        </w:rPr>
        <w:t>encouragement</w:t>
      </w:r>
      <w:r w:rsidRPr="005B2FFD">
        <w:rPr>
          <w:rFonts w:ascii="Arial" w:hAnsi="Arial" w:cs="Arial"/>
          <w:szCs w:val="24"/>
        </w:rPr>
        <w:t xml:space="preserve"> of younger members, engaging them and ensuring that their ideas are also heard</w:t>
      </w:r>
      <w:r w:rsidR="00D027F3" w:rsidRPr="005B2FFD">
        <w:rPr>
          <w:rFonts w:ascii="Arial" w:hAnsi="Arial" w:cs="Arial"/>
          <w:szCs w:val="24"/>
        </w:rPr>
        <w:t xml:space="preserve"> (Bowen, </w:t>
      </w:r>
      <w:proofErr w:type="spellStart"/>
      <w:r w:rsidR="00D027F3" w:rsidRPr="005B2FFD">
        <w:rPr>
          <w:rFonts w:ascii="Arial" w:hAnsi="Arial" w:cs="Arial"/>
          <w:szCs w:val="24"/>
        </w:rPr>
        <w:t>Newenham-Kahindi</w:t>
      </w:r>
      <w:proofErr w:type="spellEnd"/>
      <w:r w:rsidR="004F12E3" w:rsidRPr="005B2FFD">
        <w:rPr>
          <w:rFonts w:ascii="Arial" w:hAnsi="Arial" w:cs="Arial"/>
          <w:szCs w:val="24"/>
        </w:rPr>
        <w:t>,</w:t>
      </w:r>
      <w:r w:rsidR="00D027F3" w:rsidRPr="005B2FFD">
        <w:rPr>
          <w:rFonts w:ascii="Arial" w:hAnsi="Arial" w:cs="Arial"/>
          <w:szCs w:val="24"/>
        </w:rPr>
        <w:t xml:space="preserve"> and </w:t>
      </w:r>
      <w:proofErr w:type="spellStart"/>
      <w:r w:rsidR="00D027F3" w:rsidRPr="005B2FFD">
        <w:rPr>
          <w:rFonts w:ascii="Arial" w:hAnsi="Arial" w:cs="Arial"/>
          <w:szCs w:val="24"/>
        </w:rPr>
        <w:t>Herremans</w:t>
      </w:r>
      <w:proofErr w:type="spellEnd"/>
      <w:r w:rsidR="00D027F3" w:rsidRPr="005B2FFD">
        <w:rPr>
          <w:rFonts w:ascii="Arial" w:hAnsi="Arial" w:cs="Arial"/>
          <w:szCs w:val="24"/>
        </w:rPr>
        <w:t>, 2010)</w:t>
      </w:r>
      <w:r w:rsidRPr="005B2FFD">
        <w:rPr>
          <w:rFonts w:ascii="Arial" w:hAnsi="Arial" w:cs="Arial"/>
          <w:szCs w:val="24"/>
        </w:rPr>
        <w:t xml:space="preserve">. </w:t>
      </w:r>
      <w:r w:rsidR="00261C33" w:rsidRPr="005B2FFD">
        <w:rPr>
          <w:rFonts w:ascii="Arial" w:hAnsi="Arial" w:cs="Arial"/>
          <w:szCs w:val="24"/>
        </w:rPr>
        <w:t>Within only a year, their food bank helped 482 people out of food poverty and has a record of giving out over £17,477 worth of food donations to 782 local people and families.</w:t>
      </w:r>
      <w:r w:rsidR="003E1B82" w:rsidRPr="005B2FFD">
        <w:rPr>
          <w:rFonts w:ascii="Arial" w:hAnsi="Arial" w:cs="Arial"/>
          <w:szCs w:val="24"/>
        </w:rPr>
        <w:t xml:space="preserve"> </w:t>
      </w:r>
      <w:r w:rsidR="00261C33" w:rsidRPr="005B2FFD">
        <w:rPr>
          <w:rFonts w:ascii="Arial" w:hAnsi="Arial" w:cs="Arial"/>
          <w:szCs w:val="24"/>
        </w:rPr>
        <w:t xml:space="preserve">They have also helped over 918 service users in Camden with 14% being among the most deprived families in London. </w:t>
      </w:r>
    </w:p>
    <w:p w14:paraId="756F3733" w14:textId="47D28BAE" w:rsidR="00261C33" w:rsidRPr="005B2FFD" w:rsidRDefault="00546D51" w:rsidP="005B2FFD">
      <w:pPr>
        <w:rPr>
          <w:rFonts w:ascii="Arial" w:hAnsi="Arial" w:cs="Arial"/>
          <w:szCs w:val="24"/>
        </w:rPr>
      </w:pPr>
      <w:r w:rsidRPr="005B2FFD">
        <w:rPr>
          <w:rFonts w:ascii="Arial" w:hAnsi="Arial" w:cs="Arial"/>
          <w:szCs w:val="24"/>
        </w:rPr>
        <w:t xml:space="preserve">Their second work is on Employment and Training in community </w:t>
      </w:r>
      <w:proofErr w:type="spellStart"/>
      <w:r w:rsidRPr="005B2FFD">
        <w:rPr>
          <w:rFonts w:ascii="Arial" w:hAnsi="Arial" w:cs="Arial"/>
          <w:szCs w:val="24"/>
        </w:rPr>
        <w:t>cent</w:t>
      </w:r>
      <w:r w:rsidR="00002641">
        <w:rPr>
          <w:rFonts w:ascii="Arial" w:hAnsi="Arial" w:cs="Arial"/>
          <w:szCs w:val="24"/>
        </w:rPr>
        <w:t>re</w:t>
      </w:r>
      <w:r w:rsidRPr="005B2FFD">
        <w:rPr>
          <w:rFonts w:ascii="Arial" w:hAnsi="Arial" w:cs="Arial"/>
          <w:szCs w:val="24"/>
        </w:rPr>
        <w:t>s</w:t>
      </w:r>
      <w:proofErr w:type="spellEnd"/>
      <w:r w:rsidRPr="005B2FFD">
        <w:rPr>
          <w:rFonts w:ascii="Arial" w:hAnsi="Arial" w:cs="Arial"/>
          <w:szCs w:val="24"/>
        </w:rPr>
        <w:t xml:space="preserve">. </w:t>
      </w:r>
      <w:r w:rsidR="00E76004" w:rsidRPr="005B2FFD">
        <w:rPr>
          <w:rFonts w:ascii="Arial" w:hAnsi="Arial" w:cs="Arial"/>
          <w:szCs w:val="24"/>
        </w:rPr>
        <w:t xml:space="preserve">The UK employment rate stands at 75.5% as of February 2022 (ONS, 2022) which is one point lower than it was before the pandemic. Even before the pandemic, </w:t>
      </w:r>
      <w:r w:rsidR="00F100FE" w:rsidRPr="005B2FFD">
        <w:rPr>
          <w:rFonts w:ascii="Arial" w:hAnsi="Arial" w:cs="Arial"/>
          <w:szCs w:val="24"/>
        </w:rPr>
        <w:t>people were suffering</w:t>
      </w:r>
      <w:r w:rsidR="00E76004" w:rsidRPr="005B2FFD">
        <w:rPr>
          <w:rFonts w:ascii="Arial" w:hAnsi="Arial" w:cs="Arial"/>
          <w:szCs w:val="24"/>
        </w:rPr>
        <w:t xml:space="preserve"> due to having no jobs, especially those of vulnerable backgrounds. The project engages these individuals by delivering weekly employment sessions and consequently, decreasing the </w:t>
      </w:r>
      <w:r w:rsidR="00261C33" w:rsidRPr="005B2FFD">
        <w:rPr>
          <w:rFonts w:ascii="Arial" w:hAnsi="Arial" w:cs="Arial"/>
          <w:szCs w:val="24"/>
        </w:rPr>
        <w:t>youth’s</w:t>
      </w:r>
      <w:r w:rsidR="00E76004" w:rsidRPr="005B2FFD">
        <w:rPr>
          <w:rFonts w:ascii="Arial" w:hAnsi="Arial" w:cs="Arial"/>
          <w:szCs w:val="24"/>
        </w:rPr>
        <w:t xml:space="preserve"> interest in crime. Their interest is particularly </w:t>
      </w:r>
      <w:r w:rsidR="00261C33" w:rsidRPr="005B2FFD">
        <w:rPr>
          <w:rFonts w:ascii="Arial" w:hAnsi="Arial" w:cs="Arial"/>
          <w:szCs w:val="24"/>
        </w:rPr>
        <w:t xml:space="preserve">in </w:t>
      </w:r>
      <w:r w:rsidR="00E76004" w:rsidRPr="005B2FFD">
        <w:rPr>
          <w:rFonts w:ascii="Arial" w:hAnsi="Arial" w:cs="Arial"/>
          <w:szCs w:val="24"/>
        </w:rPr>
        <w:lastRenderedPageBreak/>
        <w:t xml:space="preserve">working with younger individuals to ensure that every child is safe. They fill the gap between employment and youth by bringing up their confidence and teaching them new skills that can help them improve their well-being and health. They thus create different accessible pathways that allow them to learn and deliver the quality services that the community needs. They have already helped more than 162 people to gain employment and 128 are in paid work. </w:t>
      </w:r>
    </w:p>
    <w:p w14:paraId="5131B7A8" w14:textId="43DEC432" w:rsidR="00261C33" w:rsidRPr="005B2FFD" w:rsidRDefault="00261C33" w:rsidP="005B2FFD">
      <w:pPr>
        <w:rPr>
          <w:rFonts w:ascii="Arial" w:hAnsi="Arial" w:cs="Arial"/>
          <w:szCs w:val="24"/>
        </w:rPr>
      </w:pPr>
      <w:r w:rsidRPr="005B2FFD">
        <w:rPr>
          <w:rFonts w:ascii="Arial" w:hAnsi="Arial" w:cs="Arial"/>
          <w:szCs w:val="24"/>
        </w:rPr>
        <w:t>Going along the employment route, they also have a financial awareness course that they undertake with local credit unions where the two-day courses address the lack of financial awareness and financial exclusion that is faced by people that work in social estates. People in the Catelowes, Somers</w:t>
      </w:r>
      <w:r w:rsidR="004945C4" w:rsidRPr="005B2FFD">
        <w:rPr>
          <w:rFonts w:ascii="Arial" w:hAnsi="Arial" w:cs="Arial"/>
          <w:szCs w:val="24"/>
        </w:rPr>
        <w:t>,</w:t>
      </w:r>
      <w:r w:rsidRPr="005B2FFD">
        <w:rPr>
          <w:rFonts w:ascii="Arial" w:hAnsi="Arial" w:cs="Arial"/>
          <w:szCs w:val="24"/>
        </w:rPr>
        <w:t xml:space="preserve"> and St Pancras region are most benefited by this free course because it helps them understand business accounts and bookkeeping. </w:t>
      </w:r>
      <w:r w:rsidR="00683CB2" w:rsidRPr="005B2FFD">
        <w:rPr>
          <w:rFonts w:ascii="Arial" w:hAnsi="Arial" w:cs="Arial"/>
          <w:szCs w:val="24"/>
        </w:rPr>
        <w:t xml:space="preserve">This is important because many do not have access to financial information, faltering in their new business or home </w:t>
      </w:r>
      <w:r w:rsidR="00AA7F89" w:rsidRPr="005B2FFD">
        <w:rPr>
          <w:rFonts w:ascii="Arial" w:hAnsi="Arial" w:cs="Arial"/>
          <w:szCs w:val="24"/>
        </w:rPr>
        <w:t>bookkeeping</w:t>
      </w:r>
      <w:r w:rsidR="00683CB2" w:rsidRPr="005B2FFD">
        <w:rPr>
          <w:rFonts w:ascii="Arial" w:hAnsi="Arial" w:cs="Arial"/>
          <w:szCs w:val="24"/>
        </w:rPr>
        <w:t xml:space="preserve">. </w:t>
      </w:r>
    </w:p>
    <w:p w14:paraId="5DD2F38F" w14:textId="671CB753" w:rsidR="004945C4" w:rsidRPr="005B2FFD" w:rsidRDefault="00E76004" w:rsidP="005B2FFD">
      <w:pPr>
        <w:rPr>
          <w:rFonts w:ascii="Arial" w:hAnsi="Arial" w:cs="Arial"/>
          <w:szCs w:val="24"/>
        </w:rPr>
      </w:pPr>
      <w:r w:rsidRPr="005B2FFD">
        <w:rPr>
          <w:rFonts w:ascii="Arial" w:hAnsi="Arial" w:cs="Arial"/>
          <w:szCs w:val="24"/>
        </w:rPr>
        <w:t>They have a more detailed project on battling crime which is their ‘</w:t>
      </w:r>
      <w:r w:rsidR="00261C33" w:rsidRPr="005B2FFD">
        <w:rPr>
          <w:rFonts w:ascii="Arial" w:hAnsi="Arial" w:cs="Arial"/>
          <w:szCs w:val="24"/>
        </w:rPr>
        <w:t xml:space="preserve">One </w:t>
      </w:r>
      <w:r w:rsidRPr="005B2FFD">
        <w:rPr>
          <w:rFonts w:ascii="Arial" w:hAnsi="Arial" w:cs="Arial"/>
          <w:szCs w:val="24"/>
        </w:rPr>
        <w:t>Mic</w:t>
      </w:r>
      <w:r w:rsidR="00261C33" w:rsidRPr="005B2FFD">
        <w:rPr>
          <w:rFonts w:ascii="Arial" w:hAnsi="Arial" w:cs="Arial"/>
          <w:szCs w:val="24"/>
        </w:rPr>
        <w:t>,</w:t>
      </w:r>
      <w:r w:rsidRPr="005B2FFD">
        <w:rPr>
          <w:rFonts w:ascii="Arial" w:hAnsi="Arial" w:cs="Arial"/>
          <w:szCs w:val="24"/>
        </w:rPr>
        <w:t xml:space="preserve"> </w:t>
      </w:r>
      <w:r w:rsidR="00261C33" w:rsidRPr="005B2FFD">
        <w:rPr>
          <w:rFonts w:ascii="Arial" w:hAnsi="Arial" w:cs="Arial"/>
          <w:szCs w:val="24"/>
        </w:rPr>
        <w:t>One</w:t>
      </w:r>
      <w:r w:rsidRPr="005B2FFD">
        <w:rPr>
          <w:rFonts w:ascii="Arial" w:hAnsi="Arial" w:cs="Arial"/>
          <w:szCs w:val="24"/>
        </w:rPr>
        <w:t xml:space="preserve"> Life’ </w:t>
      </w:r>
      <w:r w:rsidR="00261C33" w:rsidRPr="005B2FFD">
        <w:rPr>
          <w:rFonts w:ascii="Arial" w:hAnsi="Arial" w:cs="Arial"/>
          <w:szCs w:val="24"/>
        </w:rPr>
        <w:t>project which is particularly geared towards children.</w:t>
      </w:r>
      <w:r w:rsidR="004945C4" w:rsidRPr="005B2FFD">
        <w:rPr>
          <w:rFonts w:ascii="Arial" w:hAnsi="Arial" w:cs="Arial"/>
          <w:szCs w:val="24"/>
        </w:rPr>
        <w:t xml:space="preserve"> This program has already engaged over 171 children and raised awareness into exciting workshops that create awareness. This program is particularly focused on helping children engage themselves in workshops related to creativity, fitness, and employment. In collaboration with this, they also have a Coach 2 Success project which helps the youth take their learning from the first project into employability, helping them be qualified and inspiring their peers. This project is particularly innovative because it allows children to understand the strength of their own choices and desires, engaging them to become their selves. This level of engagement is positive for the community because children are future leaders, thus creating a web of influence among the community. Over 8 of their youth have gained their certifications and work in other institutions to teach fitness. </w:t>
      </w:r>
    </w:p>
    <w:p w14:paraId="4EAE58C4" w14:textId="1CA7DEEC" w:rsidR="004945C4" w:rsidRPr="005B2FFD" w:rsidRDefault="004945C4" w:rsidP="005B2FFD">
      <w:pPr>
        <w:rPr>
          <w:rFonts w:ascii="Arial" w:hAnsi="Arial" w:cs="Arial"/>
          <w:szCs w:val="24"/>
        </w:rPr>
      </w:pPr>
      <w:r w:rsidRPr="005B2FFD">
        <w:rPr>
          <w:rFonts w:ascii="Arial" w:hAnsi="Arial" w:cs="Arial"/>
          <w:szCs w:val="24"/>
        </w:rPr>
        <w:t xml:space="preserve">Speaking of their engagement, they have an extensive network of volunteers who work for 8 hours to run their food bank and work with local families. </w:t>
      </w:r>
      <w:r w:rsidR="00683CB2" w:rsidRPr="005B2FFD">
        <w:rPr>
          <w:rFonts w:ascii="Arial" w:hAnsi="Arial" w:cs="Arial"/>
          <w:szCs w:val="24"/>
        </w:rPr>
        <w:t xml:space="preserve">82 people have volunteered for over 298 hours, showing how influential the project is in inspiring a change. </w:t>
      </w:r>
    </w:p>
    <w:p w14:paraId="1074F088" w14:textId="5DB69224" w:rsidR="006E4C21" w:rsidRPr="005B2FFD" w:rsidRDefault="00560C8C" w:rsidP="005B2FFD">
      <w:pPr>
        <w:rPr>
          <w:rFonts w:ascii="Arial" w:eastAsiaTheme="majorEastAsia" w:hAnsi="Arial" w:cs="Arial"/>
          <w:color w:val="2F5496" w:themeColor="accent1" w:themeShade="BF"/>
          <w:szCs w:val="24"/>
        </w:rPr>
      </w:pPr>
      <w:r w:rsidRPr="005B2FFD">
        <w:rPr>
          <w:rFonts w:ascii="Arial" w:eastAsiaTheme="majorEastAsia" w:hAnsi="Arial" w:cs="Arial"/>
          <w:color w:val="2F5496" w:themeColor="accent1" w:themeShade="BF"/>
          <w:szCs w:val="24"/>
        </w:rPr>
        <w:br w:type="page"/>
      </w:r>
    </w:p>
    <w:p w14:paraId="115898EF" w14:textId="1732314A" w:rsidR="006E4C21" w:rsidRPr="005B2FFD" w:rsidRDefault="006E4C21" w:rsidP="005B2FFD">
      <w:pPr>
        <w:pStyle w:val="2"/>
        <w:spacing w:before="120"/>
        <w:rPr>
          <w:rFonts w:ascii="Arial" w:hAnsi="Arial" w:cs="Arial"/>
          <w:sz w:val="24"/>
          <w:szCs w:val="24"/>
        </w:rPr>
      </w:pPr>
      <w:bookmarkStart w:id="7" w:name="_Toc100664835"/>
      <w:bookmarkStart w:id="8" w:name="_Toc100684694"/>
      <w:r w:rsidRPr="005B2FFD">
        <w:rPr>
          <w:rFonts w:ascii="Arial" w:hAnsi="Arial" w:cs="Arial"/>
          <w:sz w:val="24"/>
          <w:szCs w:val="24"/>
        </w:rPr>
        <w:lastRenderedPageBreak/>
        <w:t>Strategies for Engagement</w:t>
      </w:r>
      <w:bookmarkEnd w:id="7"/>
      <w:bookmarkEnd w:id="8"/>
    </w:p>
    <w:p w14:paraId="1B213EF2" w14:textId="6AFEDDCC" w:rsidR="00DB52BB" w:rsidRPr="005B2FFD" w:rsidRDefault="00A632DA" w:rsidP="005B2FFD">
      <w:pPr>
        <w:rPr>
          <w:rFonts w:ascii="Arial" w:hAnsi="Arial" w:cs="Arial"/>
          <w:szCs w:val="24"/>
        </w:rPr>
      </w:pPr>
      <w:r w:rsidRPr="005B2FFD">
        <w:rPr>
          <w:rFonts w:ascii="Arial" w:hAnsi="Arial" w:cs="Arial"/>
          <w:szCs w:val="24"/>
        </w:rPr>
        <w:t xml:space="preserve">Given the example of how the project works with others, we can take some notes on strategies for engagement of other stakeholders. Among </w:t>
      </w:r>
      <w:r w:rsidR="00F100FE" w:rsidRPr="005B2FFD">
        <w:rPr>
          <w:rFonts w:ascii="Arial" w:hAnsi="Arial" w:cs="Arial"/>
          <w:szCs w:val="24"/>
        </w:rPr>
        <w:t>these</w:t>
      </w:r>
      <w:r w:rsidRPr="005B2FFD">
        <w:rPr>
          <w:rFonts w:ascii="Arial" w:hAnsi="Arial" w:cs="Arial"/>
          <w:szCs w:val="24"/>
        </w:rPr>
        <w:t xml:space="preserve">, the best method of social media. Social Media has immense potential because it gives individuals the opportunities and power to create, collaborate and work with others through sharing information on an online platform. Thus these media apps have great potential to work with engaging youths (Chen and </w:t>
      </w:r>
      <w:proofErr w:type="spellStart"/>
      <w:r w:rsidRPr="005B2FFD">
        <w:rPr>
          <w:rFonts w:ascii="Arial" w:hAnsi="Arial" w:cs="Arial"/>
          <w:szCs w:val="24"/>
        </w:rPr>
        <w:t>Bryer</w:t>
      </w:r>
      <w:proofErr w:type="spellEnd"/>
      <w:r w:rsidRPr="005B2FFD">
        <w:rPr>
          <w:rFonts w:ascii="Arial" w:hAnsi="Arial" w:cs="Arial"/>
          <w:szCs w:val="24"/>
        </w:rPr>
        <w:t xml:space="preserve">, 2012; Deng and Tavares, 2013). Social media apps, particularly, Instagram, Twitter, TikTok, and Facebook have a history of engaging people of their specific target range (Standish, 2008). Within the introduction of TikTok, the dynamics have changed to include younger individuals so that they can relate to their social media ‘stars’ and create connecting groups that work around the globe. </w:t>
      </w:r>
    </w:p>
    <w:p w14:paraId="2DC5EEF4" w14:textId="48D44A60" w:rsidR="00A632DA" w:rsidRPr="005B2FFD" w:rsidRDefault="00A632DA" w:rsidP="005B2FFD">
      <w:pPr>
        <w:rPr>
          <w:rFonts w:ascii="Arial" w:hAnsi="Arial" w:cs="Arial"/>
          <w:szCs w:val="24"/>
        </w:rPr>
      </w:pPr>
      <w:r w:rsidRPr="005B2FFD">
        <w:rPr>
          <w:rFonts w:ascii="Arial" w:hAnsi="Arial" w:cs="Arial"/>
          <w:szCs w:val="24"/>
        </w:rPr>
        <w:t xml:space="preserve">The first thing that social media apps can do is create an open platform for expression for everyone in the community. It gives them a secure place to express themselves and allows members to share what they are working on, thus giving them </w:t>
      </w:r>
      <w:r w:rsidR="00243235" w:rsidRPr="005B2FFD">
        <w:rPr>
          <w:rFonts w:ascii="Arial" w:hAnsi="Arial" w:cs="Arial"/>
          <w:szCs w:val="24"/>
        </w:rPr>
        <w:t xml:space="preserve">the field to talk about their </w:t>
      </w:r>
      <w:r w:rsidR="00F100FE" w:rsidRPr="005B2FFD">
        <w:rPr>
          <w:rFonts w:ascii="Arial" w:hAnsi="Arial" w:cs="Arial"/>
          <w:szCs w:val="24"/>
        </w:rPr>
        <w:t>stories</w:t>
      </w:r>
      <w:r w:rsidR="00243235" w:rsidRPr="005B2FFD">
        <w:rPr>
          <w:rFonts w:ascii="Arial" w:hAnsi="Arial" w:cs="Arial"/>
          <w:szCs w:val="24"/>
        </w:rPr>
        <w:t xml:space="preserve"> and experiences. It is a great way to help create different lasting networks that can help for community engagement. This can be done using apps such as Facebook because Facebook is more geared towards community enrichment through Facebook groups. With stronger groups, there is a potential to create an equally strong network. Members in this group are most likely to stay if they understand that their value is understood. </w:t>
      </w:r>
    </w:p>
    <w:p w14:paraId="30C472F6" w14:textId="382F550D" w:rsidR="00243235" w:rsidRPr="005B2FFD" w:rsidRDefault="00243235" w:rsidP="005B2FFD">
      <w:pPr>
        <w:rPr>
          <w:rFonts w:ascii="Arial" w:hAnsi="Arial" w:cs="Arial"/>
          <w:szCs w:val="24"/>
        </w:rPr>
      </w:pPr>
      <w:r w:rsidRPr="005B2FFD">
        <w:rPr>
          <w:rFonts w:ascii="Arial" w:hAnsi="Arial" w:cs="Arial"/>
          <w:szCs w:val="24"/>
        </w:rPr>
        <w:t xml:space="preserve">While giving members the platform is good, it is also important to understand moderation where each member would have the opportunity to work in harmony. </w:t>
      </w:r>
      <w:r w:rsidR="00F100FE" w:rsidRPr="005B2FFD">
        <w:rPr>
          <w:rFonts w:ascii="Arial" w:hAnsi="Arial" w:cs="Arial"/>
          <w:szCs w:val="24"/>
        </w:rPr>
        <w:t>Community</w:t>
      </w:r>
      <w:r w:rsidRPr="005B2FFD">
        <w:rPr>
          <w:rFonts w:ascii="Arial" w:hAnsi="Arial" w:cs="Arial"/>
          <w:szCs w:val="24"/>
        </w:rPr>
        <w:t xml:space="preserve"> engagement would thrive when there is a leader in place who can be there as a moderator, not a dictator. They can disburse the content guidelines and set the ground rules for everyone being engaged. </w:t>
      </w:r>
      <w:r w:rsidR="00F100FE" w:rsidRPr="005B2FFD">
        <w:rPr>
          <w:rFonts w:ascii="Arial" w:hAnsi="Arial" w:cs="Arial"/>
          <w:szCs w:val="24"/>
        </w:rPr>
        <w:t>The leader or their moderators must be</w:t>
      </w:r>
      <w:r w:rsidRPr="005B2FFD">
        <w:rPr>
          <w:rFonts w:ascii="Arial" w:hAnsi="Arial" w:cs="Arial"/>
          <w:szCs w:val="24"/>
        </w:rPr>
        <w:t xml:space="preserve"> working in a way such that it is not an unnecessary restriction but one where appropriate action can take place. </w:t>
      </w:r>
    </w:p>
    <w:p w14:paraId="3A30AE8D" w14:textId="00714CDC" w:rsidR="00243235" w:rsidRPr="005B2FFD" w:rsidRDefault="00243235" w:rsidP="005B2FFD">
      <w:pPr>
        <w:rPr>
          <w:rFonts w:ascii="Arial" w:hAnsi="Arial" w:cs="Arial"/>
          <w:szCs w:val="24"/>
        </w:rPr>
      </w:pPr>
      <w:r w:rsidRPr="005B2FFD">
        <w:rPr>
          <w:rFonts w:ascii="Arial" w:hAnsi="Arial" w:cs="Arial"/>
          <w:szCs w:val="24"/>
        </w:rPr>
        <w:t>Stakeholders would thus be adequately engaged if they get a sense of confidence from their members and feel that their contribution is valued. Within this, it is important to pay attention to diverse individuals, celebrate their differences</w:t>
      </w:r>
      <w:r w:rsidR="00F100FE" w:rsidRPr="005B2FFD">
        <w:rPr>
          <w:rFonts w:ascii="Arial" w:hAnsi="Arial" w:cs="Arial"/>
          <w:szCs w:val="24"/>
        </w:rPr>
        <w:t>,</w:t>
      </w:r>
      <w:r w:rsidRPr="005B2FFD">
        <w:rPr>
          <w:rFonts w:ascii="Arial" w:hAnsi="Arial" w:cs="Arial"/>
          <w:szCs w:val="24"/>
        </w:rPr>
        <w:t xml:space="preserve"> and not stop them. Diversity influence is hard to get but in the current climate, is of utmost </w:t>
      </w:r>
      <w:r w:rsidR="00F100FE" w:rsidRPr="005B2FFD">
        <w:rPr>
          <w:rFonts w:ascii="Arial" w:hAnsi="Arial" w:cs="Arial"/>
          <w:szCs w:val="24"/>
        </w:rPr>
        <w:t>importance</w:t>
      </w:r>
      <w:r w:rsidRPr="005B2FFD">
        <w:rPr>
          <w:rFonts w:ascii="Arial" w:hAnsi="Arial" w:cs="Arial"/>
          <w:szCs w:val="24"/>
        </w:rPr>
        <w:t xml:space="preserve">. </w:t>
      </w:r>
      <w:r w:rsidRPr="005B2FFD">
        <w:rPr>
          <w:rFonts w:ascii="Arial" w:hAnsi="Arial" w:cs="Arial"/>
          <w:szCs w:val="24"/>
        </w:rPr>
        <w:lastRenderedPageBreak/>
        <w:t xml:space="preserve">Community engagement practices for diverse individuals could include creating a program where different individuals of the same ethnic or religious backgrounds can come together and work on different projects. This would be based on engaging them by creating activities based on the group that they belong to. If, for example, people were advised to work on cooking, some diverse members would be dumbstruck because their world view on cooking is different than locals. Therefore, rather than treating it like segregation, it would be good to engage them in different classes of activities that are pertinent to their backgrounds, making them feel heard. </w:t>
      </w:r>
    </w:p>
    <w:p w14:paraId="4A38A696" w14:textId="4BD2E36D" w:rsidR="00243235" w:rsidRPr="005B2FFD" w:rsidRDefault="00243235" w:rsidP="005B2FFD">
      <w:pPr>
        <w:rPr>
          <w:rFonts w:ascii="Arial" w:hAnsi="Arial" w:cs="Arial"/>
          <w:szCs w:val="24"/>
        </w:rPr>
      </w:pPr>
      <w:r w:rsidRPr="005B2FFD">
        <w:rPr>
          <w:rFonts w:ascii="Arial" w:hAnsi="Arial" w:cs="Arial"/>
          <w:szCs w:val="24"/>
        </w:rPr>
        <w:t>While it may seem weird to have competition, competitions have shown that it is beneficial in fostering friendly connections</w:t>
      </w:r>
      <w:r w:rsidR="00D027F3" w:rsidRPr="005B2FFD">
        <w:rPr>
          <w:rFonts w:ascii="Arial" w:hAnsi="Arial" w:cs="Arial"/>
          <w:szCs w:val="24"/>
        </w:rPr>
        <w:t xml:space="preserve"> (Chen and </w:t>
      </w:r>
      <w:proofErr w:type="spellStart"/>
      <w:r w:rsidR="00D027F3" w:rsidRPr="005B2FFD">
        <w:rPr>
          <w:rFonts w:ascii="Arial" w:hAnsi="Arial" w:cs="Arial"/>
          <w:szCs w:val="24"/>
        </w:rPr>
        <w:t>DiVall</w:t>
      </w:r>
      <w:proofErr w:type="spellEnd"/>
      <w:r w:rsidR="00D027F3" w:rsidRPr="005B2FFD">
        <w:rPr>
          <w:rFonts w:ascii="Arial" w:hAnsi="Arial" w:cs="Arial"/>
          <w:szCs w:val="24"/>
        </w:rPr>
        <w:t>, 2018)</w:t>
      </w:r>
      <w:r w:rsidRPr="005B2FFD">
        <w:rPr>
          <w:rFonts w:ascii="Arial" w:hAnsi="Arial" w:cs="Arial"/>
          <w:szCs w:val="24"/>
        </w:rPr>
        <w:t>. This will have to be handled in a healthy and friendly manner but would help the community to understand each other, collect ideas and create everlasting bonds. This is where the internet or social media could help by having leadership boards or rewards that would help members buy material objects. While a community engagement process’s main objective is to create a difference, this work has to come from within the members because they are the ones who can illicit the change. This goes in line with gamification methods and entertainment for the members. Of course, it is also important to have new members who fit the checkboxes of being dedicated and enthusiastic. These individuals can be attracted by exciting online or offline content that showcases how fun and energetic working for the community project can be</w:t>
      </w:r>
      <w:r w:rsidR="00D027F3" w:rsidRPr="005B2FFD">
        <w:rPr>
          <w:rFonts w:ascii="Arial" w:hAnsi="Arial" w:cs="Arial"/>
          <w:szCs w:val="24"/>
        </w:rPr>
        <w:t xml:space="preserve"> (Graham, 2014)</w:t>
      </w:r>
      <w:r w:rsidRPr="005B2FFD">
        <w:rPr>
          <w:rFonts w:ascii="Arial" w:hAnsi="Arial" w:cs="Arial"/>
          <w:szCs w:val="24"/>
        </w:rPr>
        <w:t xml:space="preserve">. </w:t>
      </w:r>
      <w:r w:rsidR="00885A43" w:rsidRPr="005B2FFD">
        <w:rPr>
          <w:rFonts w:ascii="Arial" w:hAnsi="Arial" w:cs="Arial"/>
          <w:szCs w:val="24"/>
        </w:rPr>
        <w:t xml:space="preserve">In this aspect, other platforms such as </w:t>
      </w:r>
      <w:proofErr w:type="spellStart"/>
      <w:r w:rsidR="00885A43" w:rsidRPr="005B2FFD">
        <w:rPr>
          <w:rFonts w:ascii="Arial" w:hAnsi="Arial" w:cs="Arial"/>
          <w:szCs w:val="24"/>
        </w:rPr>
        <w:t>Linkedin</w:t>
      </w:r>
      <w:proofErr w:type="spellEnd"/>
      <w:r w:rsidR="00885A43" w:rsidRPr="005B2FFD">
        <w:rPr>
          <w:rFonts w:ascii="Arial" w:hAnsi="Arial" w:cs="Arial"/>
          <w:szCs w:val="24"/>
        </w:rPr>
        <w:t xml:space="preserve"> and </w:t>
      </w:r>
      <w:proofErr w:type="spellStart"/>
      <w:r w:rsidR="00885A43" w:rsidRPr="005B2FFD">
        <w:rPr>
          <w:rFonts w:ascii="Arial" w:hAnsi="Arial" w:cs="Arial"/>
          <w:szCs w:val="24"/>
        </w:rPr>
        <w:t>Youtube</w:t>
      </w:r>
      <w:proofErr w:type="spellEnd"/>
      <w:r w:rsidR="00885A43" w:rsidRPr="005B2FFD">
        <w:rPr>
          <w:rFonts w:ascii="Arial" w:hAnsi="Arial" w:cs="Arial"/>
          <w:szCs w:val="24"/>
        </w:rPr>
        <w:t xml:space="preserve"> can be especially beneficial for the members. But the most important thing that a community project can do is have a project that is personal to many people. Rather than having a single-off project like a food drive, they should stand as a cent</w:t>
      </w:r>
      <w:r w:rsidR="00002641">
        <w:rPr>
          <w:rFonts w:ascii="Arial" w:hAnsi="Arial" w:cs="Arial"/>
          <w:szCs w:val="24"/>
        </w:rPr>
        <w:t>re</w:t>
      </w:r>
      <w:r w:rsidR="00885A43" w:rsidRPr="005B2FFD">
        <w:rPr>
          <w:rFonts w:ascii="Arial" w:hAnsi="Arial" w:cs="Arial"/>
          <w:szCs w:val="24"/>
        </w:rPr>
        <w:t xml:space="preserve"> for different services that can influence decreasing crime or increasing employment. </w:t>
      </w:r>
    </w:p>
    <w:p w14:paraId="2927B3F1" w14:textId="68E830E0" w:rsidR="00885A43" w:rsidRPr="005B2FFD" w:rsidRDefault="00885A43" w:rsidP="005B2FFD">
      <w:pPr>
        <w:rPr>
          <w:rFonts w:ascii="Arial" w:hAnsi="Arial" w:cs="Arial"/>
          <w:szCs w:val="24"/>
        </w:rPr>
      </w:pPr>
      <w:r w:rsidRPr="005B2FFD">
        <w:rPr>
          <w:rFonts w:ascii="Arial" w:hAnsi="Arial" w:cs="Arial"/>
          <w:szCs w:val="24"/>
        </w:rPr>
        <w:t xml:space="preserve">People may consider that community projects are one-off if they do one-off projects. What Urban Community Projects did correctly was to have a whole slew of activities that were long-lasting and had individuals stick around for a long time. Thus, a successful project has to be based around that initiative as well. </w:t>
      </w:r>
    </w:p>
    <w:p w14:paraId="3A0A80F4" w14:textId="77777777" w:rsidR="00885A43" w:rsidRPr="005B2FFD" w:rsidRDefault="00885A43" w:rsidP="005B2FFD">
      <w:pPr>
        <w:rPr>
          <w:rFonts w:ascii="Arial" w:eastAsiaTheme="majorEastAsia" w:hAnsi="Arial" w:cs="Arial"/>
          <w:color w:val="2F5496" w:themeColor="accent1" w:themeShade="BF"/>
          <w:szCs w:val="24"/>
        </w:rPr>
      </w:pPr>
      <w:r w:rsidRPr="005B2FFD">
        <w:rPr>
          <w:rFonts w:ascii="Arial" w:hAnsi="Arial" w:cs="Arial"/>
          <w:szCs w:val="24"/>
        </w:rPr>
        <w:br w:type="page"/>
      </w:r>
    </w:p>
    <w:p w14:paraId="65D428E8" w14:textId="0E06E84D" w:rsidR="006E4C21" w:rsidRPr="005B2FFD" w:rsidRDefault="006E4C21" w:rsidP="005B2FFD">
      <w:pPr>
        <w:pStyle w:val="2"/>
        <w:spacing w:before="120"/>
        <w:rPr>
          <w:rFonts w:ascii="Arial" w:hAnsi="Arial" w:cs="Arial"/>
          <w:sz w:val="24"/>
          <w:szCs w:val="24"/>
        </w:rPr>
      </w:pPr>
      <w:bookmarkStart w:id="9" w:name="_Toc100664836"/>
      <w:bookmarkStart w:id="10" w:name="_Toc100684695"/>
      <w:r w:rsidRPr="005B2FFD">
        <w:rPr>
          <w:rFonts w:ascii="Arial" w:hAnsi="Arial" w:cs="Arial"/>
          <w:sz w:val="24"/>
          <w:szCs w:val="24"/>
        </w:rPr>
        <w:lastRenderedPageBreak/>
        <w:t>Limitations and future view</w:t>
      </w:r>
      <w:bookmarkEnd w:id="9"/>
      <w:bookmarkEnd w:id="10"/>
    </w:p>
    <w:p w14:paraId="1CC5C25A" w14:textId="10E331DA" w:rsidR="006F1CB1" w:rsidRPr="005B2FFD" w:rsidRDefault="00885A43" w:rsidP="005B2FFD">
      <w:pPr>
        <w:rPr>
          <w:rFonts w:ascii="Arial" w:hAnsi="Arial" w:cs="Arial"/>
          <w:szCs w:val="24"/>
        </w:rPr>
      </w:pPr>
      <w:r w:rsidRPr="005B2FFD">
        <w:rPr>
          <w:rFonts w:ascii="Arial" w:hAnsi="Arial" w:cs="Arial"/>
          <w:szCs w:val="24"/>
        </w:rPr>
        <w:t xml:space="preserve">With any project, </w:t>
      </w:r>
      <w:r w:rsidR="00F100FE" w:rsidRPr="005B2FFD">
        <w:rPr>
          <w:rFonts w:ascii="Arial" w:hAnsi="Arial" w:cs="Arial"/>
          <w:szCs w:val="24"/>
        </w:rPr>
        <w:t>some challenges have</w:t>
      </w:r>
      <w:r w:rsidR="006F1CB1" w:rsidRPr="005B2FFD">
        <w:rPr>
          <w:rFonts w:ascii="Arial" w:hAnsi="Arial" w:cs="Arial"/>
          <w:szCs w:val="24"/>
        </w:rPr>
        <w:t xml:space="preserve"> to be considered. The main challenge for any community project is to have diversity within the community. Many people of diverse backgrounds do not opt for community engagement projects due to their fear of discrimination. That is why it is important </w:t>
      </w:r>
      <w:r w:rsidR="00F100FE" w:rsidRPr="005B2FFD">
        <w:rPr>
          <w:rFonts w:ascii="Arial" w:hAnsi="Arial" w:cs="Arial"/>
          <w:szCs w:val="24"/>
        </w:rPr>
        <w:t xml:space="preserve">to </w:t>
      </w:r>
      <w:r w:rsidR="006F1CB1" w:rsidRPr="005B2FFD">
        <w:rPr>
          <w:rFonts w:ascii="Arial" w:hAnsi="Arial" w:cs="Arial"/>
          <w:szCs w:val="24"/>
        </w:rPr>
        <w:t>engage them through interaction and understanding of their norms, expectations</w:t>
      </w:r>
      <w:r w:rsidR="00F100FE" w:rsidRPr="005B2FFD">
        <w:rPr>
          <w:rFonts w:ascii="Arial" w:hAnsi="Arial" w:cs="Arial"/>
          <w:szCs w:val="24"/>
        </w:rPr>
        <w:t>,</w:t>
      </w:r>
      <w:r w:rsidR="006F1CB1" w:rsidRPr="005B2FFD">
        <w:rPr>
          <w:rFonts w:ascii="Arial" w:hAnsi="Arial" w:cs="Arial"/>
          <w:szCs w:val="24"/>
        </w:rPr>
        <w:t xml:space="preserve"> and values. It is also important to treat them the same as everyone so they can feel like they are part of the community</w:t>
      </w:r>
      <w:r w:rsidR="00742426" w:rsidRPr="005B2FFD">
        <w:rPr>
          <w:rFonts w:ascii="Arial" w:hAnsi="Arial" w:cs="Arial"/>
          <w:szCs w:val="24"/>
        </w:rPr>
        <w:t xml:space="preserve"> (</w:t>
      </w:r>
      <w:proofErr w:type="spellStart"/>
      <w:r w:rsidR="00742426" w:rsidRPr="005B2FFD">
        <w:rPr>
          <w:rFonts w:ascii="Arial" w:hAnsi="Arial" w:cs="Arial"/>
          <w:szCs w:val="24"/>
        </w:rPr>
        <w:t>Sandercock</w:t>
      </w:r>
      <w:proofErr w:type="spellEnd"/>
      <w:r w:rsidR="00742426" w:rsidRPr="005B2FFD">
        <w:rPr>
          <w:rFonts w:ascii="Arial" w:hAnsi="Arial" w:cs="Arial"/>
          <w:szCs w:val="24"/>
        </w:rPr>
        <w:t>, 2020)</w:t>
      </w:r>
      <w:r w:rsidR="006F1CB1" w:rsidRPr="005B2FFD">
        <w:rPr>
          <w:rFonts w:ascii="Arial" w:hAnsi="Arial" w:cs="Arial"/>
          <w:szCs w:val="24"/>
        </w:rPr>
        <w:t xml:space="preserve">. </w:t>
      </w:r>
    </w:p>
    <w:p w14:paraId="682F6632" w14:textId="746BA3BD" w:rsidR="00DB52BB" w:rsidRPr="005B2FFD" w:rsidRDefault="006F1CB1" w:rsidP="005B2FFD">
      <w:pPr>
        <w:rPr>
          <w:rFonts w:ascii="Arial" w:hAnsi="Arial" w:cs="Arial"/>
          <w:szCs w:val="24"/>
        </w:rPr>
      </w:pPr>
      <w:r w:rsidRPr="005B2FFD">
        <w:rPr>
          <w:rFonts w:ascii="Arial" w:hAnsi="Arial" w:cs="Arial"/>
          <w:szCs w:val="24"/>
        </w:rPr>
        <w:t xml:space="preserve">Another aspect that community projects fail in is maintaining the power dynamics. Many leaders use community projects as their </w:t>
      </w:r>
      <w:r w:rsidR="00F100FE" w:rsidRPr="005B2FFD">
        <w:rPr>
          <w:rFonts w:ascii="Arial" w:hAnsi="Arial" w:cs="Arial"/>
          <w:szCs w:val="24"/>
        </w:rPr>
        <w:t>projects</w:t>
      </w:r>
      <w:r w:rsidRPr="005B2FFD">
        <w:rPr>
          <w:rFonts w:ascii="Arial" w:hAnsi="Arial" w:cs="Arial"/>
          <w:szCs w:val="24"/>
        </w:rPr>
        <w:t xml:space="preserve"> instead of understanding the collaborative aspect </w:t>
      </w:r>
      <w:r w:rsidR="00F100FE" w:rsidRPr="005B2FFD">
        <w:rPr>
          <w:rFonts w:ascii="Arial" w:hAnsi="Arial" w:cs="Arial"/>
          <w:szCs w:val="24"/>
        </w:rPr>
        <w:t>of</w:t>
      </w:r>
      <w:r w:rsidRPr="005B2FFD">
        <w:rPr>
          <w:rFonts w:ascii="Arial" w:hAnsi="Arial" w:cs="Arial"/>
          <w:szCs w:val="24"/>
        </w:rPr>
        <w:t xml:space="preserve"> </w:t>
      </w:r>
      <w:r w:rsidR="00F100FE" w:rsidRPr="005B2FFD">
        <w:rPr>
          <w:rFonts w:ascii="Arial" w:hAnsi="Arial" w:cs="Arial"/>
          <w:szCs w:val="24"/>
        </w:rPr>
        <w:t>them</w:t>
      </w:r>
      <w:r w:rsidR="00742426" w:rsidRPr="005B2FFD">
        <w:rPr>
          <w:rFonts w:ascii="Arial" w:hAnsi="Arial" w:cs="Arial"/>
          <w:szCs w:val="24"/>
        </w:rPr>
        <w:t xml:space="preserve"> (Kenyon, 2009)</w:t>
      </w:r>
      <w:r w:rsidRPr="005B2FFD">
        <w:rPr>
          <w:rFonts w:ascii="Arial" w:hAnsi="Arial" w:cs="Arial"/>
          <w:szCs w:val="24"/>
        </w:rPr>
        <w:t xml:space="preserve">. That’s why it is important to ensure that this is not the case so that people can work together. Incentives should also be provided for working </w:t>
      </w:r>
      <w:r w:rsidR="00F100FE" w:rsidRPr="005B2FFD">
        <w:rPr>
          <w:rFonts w:ascii="Arial" w:hAnsi="Arial" w:cs="Arial"/>
          <w:szCs w:val="24"/>
        </w:rPr>
        <w:t>on</w:t>
      </w:r>
      <w:r w:rsidRPr="005B2FFD">
        <w:rPr>
          <w:rFonts w:ascii="Arial" w:hAnsi="Arial" w:cs="Arial"/>
          <w:szCs w:val="24"/>
        </w:rPr>
        <w:t xml:space="preserve"> the project. While most community projects are voluntary, they should still have small initiatives such as a gamification system </w:t>
      </w:r>
      <w:r w:rsidR="00F100FE" w:rsidRPr="005B2FFD">
        <w:rPr>
          <w:rFonts w:ascii="Arial" w:hAnsi="Arial" w:cs="Arial"/>
          <w:szCs w:val="24"/>
        </w:rPr>
        <w:t>or small rewards, that make them feel as if they are working towards something. For youth, this can be as part of their fulfilment of studies or as a learning experience.</w:t>
      </w:r>
    </w:p>
    <w:p w14:paraId="414F9FED" w14:textId="3F121C11" w:rsidR="00F100FE" w:rsidRPr="005B2FFD" w:rsidRDefault="00F100FE" w:rsidP="005B2FFD">
      <w:pPr>
        <w:rPr>
          <w:rFonts w:ascii="Arial" w:hAnsi="Arial" w:cs="Arial"/>
          <w:szCs w:val="24"/>
        </w:rPr>
      </w:pPr>
      <w:r w:rsidRPr="005B2FFD">
        <w:rPr>
          <w:rFonts w:ascii="Arial" w:hAnsi="Arial" w:cs="Arial"/>
          <w:szCs w:val="24"/>
        </w:rPr>
        <w:t>As a community management practitioner, it is important to understand these different dynamics and most importantly, to understand that operational barriers can be the biggest pressure on the demands in people’s lives</w:t>
      </w:r>
      <w:r w:rsidR="00D027F3" w:rsidRPr="005B2FFD">
        <w:rPr>
          <w:rFonts w:ascii="Arial" w:hAnsi="Arial" w:cs="Arial"/>
          <w:szCs w:val="24"/>
        </w:rPr>
        <w:t xml:space="preserve"> (Harris and Harrigan, 2015)</w:t>
      </w:r>
      <w:r w:rsidRPr="005B2FFD">
        <w:rPr>
          <w:rFonts w:ascii="Arial" w:hAnsi="Arial" w:cs="Arial"/>
          <w:szCs w:val="24"/>
        </w:rPr>
        <w:t xml:space="preserve">. </w:t>
      </w:r>
      <w:r w:rsidR="00525EB6" w:rsidRPr="005B2FFD">
        <w:rPr>
          <w:rFonts w:ascii="Arial" w:hAnsi="Arial" w:cs="Arial"/>
          <w:szCs w:val="24"/>
        </w:rPr>
        <w:t>Chamberlain, et. al., (2015) contends that a suitable approach is one where forward-thinking can be integrated with other activities. It helps attainment of better learning facilities and gives a competitive edge, encouraging everyone to work.</w:t>
      </w:r>
      <w:r w:rsidR="00525EB6" w:rsidRPr="005B2FFD">
        <w:rPr>
          <w:rFonts w:ascii="Arial" w:hAnsi="Arial" w:cs="Arial"/>
          <w:color w:val="000000"/>
          <w:szCs w:val="24"/>
        </w:rPr>
        <w:t xml:space="preserve"> </w:t>
      </w:r>
      <w:r w:rsidRPr="005B2FFD">
        <w:rPr>
          <w:rFonts w:ascii="Arial" w:hAnsi="Arial" w:cs="Arial"/>
          <w:szCs w:val="24"/>
        </w:rPr>
        <w:t xml:space="preserve">Many community projects fail due to financial strength but with sensitive handling and skills, the community practitioner can overcome this issue and go forward to create an engaging project that will benefit society for many years. Community practitioners should thus have forward-thinking approaches and the understanding of engaging in different activities that may seem strange. It is important to have an open mind to understand the changes within the society as time passes on, whether it be social media activities or current political scenarios. Thus, having an open approach will lead to a more successful community engagement process. </w:t>
      </w:r>
    </w:p>
    <w:p w14:paraId="2FE76F66" w14:textId="167C3DFF" w:rsidR="00525EB6" w:rsidRPr="005B2FFD" w:rsidRDefault="00F100FE" w:rsidP="005B2FFD">
      <w:pPr>
        <w:pStyle w:val="a3"/>
        <w:wordWrap w:val="0"/>
        <w:spacing w:before="120" w:beforeAutospacing="0" w:after="0" w:afterAutospacing="0" w:line="360" w:lineRule="auto"/>
        <w:jc w:val="both"/>
        <w:textAlignment w:val="baseline"/>
        <w:rPr>
          <w:rFonts w:ascii="Arial" w:hAnsi="Arial" w:cs="Arial"/>
          <w:color w:val="000000"/>
        </w:rPr>
      </w:pPr>
      <w:r w:rsidRPr="005B2FFD">
        <w:rPr>
          <w:rFonts w:ascii="Arial" w:hAnsi="Arial" w:cs="Arial"/>
        </w:rPr>
        <w:br w:type="page"/>
      </w:r>
    </w:p>
    <w:p w14:paraId="579B6303" w14:textId="1DF811A3" w:rsidR="006E4C21" w:rsidRPr="005B2FFD" w:rsidRDefault="006E4C21" w:rsidP="005B2FFD">
      <w:pPr>
        <w:pStyle w:val="2"/>
        <w:spacing w:before="120"/>
        <w:rPr>
          <w:rFonts w:ascii="Arial" w:hAnsi="Arial" w:cs="Arial"/>
          <w:sz w:val="24"/>
          <w:szCs w:val="24"/>
        </w:rPr>
      </w:pPr>
      <w:bookmarkStart w:id="11" w:name="_Toc100664837"/>
      <w:bookmarkStart w:id="12" w:name="_Toc100684696"/>
      <w:r w:rsidRPr="005B2FFD">
        <w:rPr>
          <w:rFonts w:ascii="Arial" w:hAnsi="Arial" w:cs="Arial"/>
          <w:sz w:val="24"/>
          <w:szCs w:val="24"/>
        </w:rPr>
        <w:lastRenderedPageBreak/>
        <w:t>Conclusion</w:t>
      </w:r>
      <w:bookmarkEnd w:id="11"/>
      <w:bookmarkEnd w:id="12"/>
    </w:p>
    <w:p w14:paraId="668F19A5" w14:textId="4A3179DC" w:rsidR="003A4272" w:rsidRPr="005B2FFD" w:rsidRDefault="00885A43" w:rsidP="005B2FFD">
      <w:pPr>
        <w:rPr>
          <w:rFonts w:ascii="Arial" w:hAnsi="Arial" w:cs="Arial"/>
          <w:szCs w:val="24"/>
        </w:rPr>
      </w:pPr>
      <w:r w:rsidRPr="005B2FFD">
        <w:rPr>
          <w:rFonts w:ascii="Arial" w:hAnsi="Arial" w:cs="Arial"/>
          <w:szCs w:val="24"/>
        </w:rPr>
        <w:t xml:space="preserve">There are always deterrents </w:t>
      </w:r>
      <w:r w:rsidR="006F1CB1" w:rsidRPr="005B2FFD">
        <w:rPr>
          <w:rFonts w:ascii="Arial" w:hAnsi="Arial" w:cs="Arial"/>
          <w:szCs w:val="24"/>
        </w:rPr>
        <w:t>to</w:t>
      </w:r>
      <w:r w:rsidRPr="005B2FFD">
        <w:rPr>
          <w:rFonts w:ascii="Arial" w:hAnsi="Arial" w:cs="Arial"/>
          <w:szCs w:val="24"/>
        </w:rPr>
        <w:t xml:space="preserve"> community engagement. Within this report, we discussed a successful community project and laid out the baseline for others to follow. While community engagement is a good initiative, it </w:t>
      </w:r>
      <w:r w:rsidR="006F1CB1" w:rsidRPr="005B2FFD">
        <w:rPr>
          <w:rFonts w:ascii="Arial" w:hAnsi="Arial" w:cs="Arial"/>
          <w:szCs w:val="24"/>
        </w:rPr>
        <w:t>must</w:t>
      </w:r>
      <w:r w:rsidRPr="005B2FFD">
        <w:rPr>
          <w:rFonts w:ascii="Arial" w:hAnsi="Arial" w:cs="Arial"/>
          <w:szCs w:val="24"/>
        </w:rPr>
        <w:t xml:space="preserve"> be done correctly to ensure that everyone has the chance to develop skills, manage expectations</w:t>
      </w:r>
      <w:r w:rsidR="006F1CB1" w:rsidRPr="005B2FFD">
        <w:rPr>
          <w:rFonts w:ascii="Arial" w:hAnsi="Arial" w:cs="Arial"/>
          <w:szCs w:val="24"/>
        </w:rPr>
        <w:t>,</w:t>
      </w:r>
      <w:r w:rsidRPr="005B2FFD">
        <w:rPr>
          <w:rFonts w:ascii="Arial" w:hAnsi="Arial" w:cs="Arial"/>
          <w:szCs w:val="24"/>
        </w:rPr>
        <w:t xml:space="preserve"> and most importantly use social media to advance (Stanley, 2009). </w:t>
      </w:r>
      <w:r w:rsidR="006F1CB1" w:rsidRPr="005B2FFD">
        <w:rPr>
          <w:rFonts w:ascii="Arial" w:hAnsi="Arial" w:cs="Arial"/>
          <w:szCs w:val="24"/>
        </w:rPr>
        <w:t>Therefore,</w:t>
      </w:r>
      <w:r w:rsidRPr="005B2FFD">
        <w:rPr>
          <w:rFonts w:ascii="Arial" w:hAnsi="Arial" w:cs="Arial"/>
          <w:szCs w:val="24"/>
        </w:rPr>
        <w:t xml:space="preserve"> for future events, it is important to </w:t>
      </w:r>
      <w:r w:rsidR="00F100FE" w:rsidRPr="005B2FFD">
        <w:rPr>
          <w:rFonts w:ascii="Arial" w:hAnsi="Arial" w:cs="Arial"/>
          <w:szCs w:val="24"/>
        </w:rPr>
        <w:t>consider these</w:t>
      </w:r>
      <w:r w:rsidRPr="005B2FFD">
        <w:rPr>
          <w:rFonts w:ascii="Arial" w:hAnsi="Arial" w:cs="Arial"/>
          <w:szCs w:val="24"/>
        </w:rPr>
        <w:t xml:space="preserve"> and engage members to create their difference. </w:t>
      </w:r>
    </w:p>
    <w:p w14:paraId="41513A33" w14:textId="6ECB5EA4" w:rsidR="006E4C21" w:rsidRPr="005B2FFD" w:rsidRDefault="006E4C21" w:rsidP="005B2FFD">
      <w:pPr>
        <w:rPr>
          <w:rFonts w:ascii="Arial" w:hAnsi="Arial" w:cs="Arial"/>
          <w:szCs w:val="24"/>
        </w:rPr>
      </w:pPr>
      <w:r w:rsidRPr="005B2FFD">
        <w:rPr>
          <w:rFonts w:ascii="Arial" w:hAnsi="Arial" w:cs="Arial"/>
          <w:szCs w:val="24"/>
        </w:rPr>
        <w:br w:type="page"/>
      </w:r>
    </w:p>
    <w:p w14:paraId="256FC3F0" w14:textId="1B89DB9B" w:rsidR="006E4C21" w:rsidRPr="005B2FFD" w:rsidRDefault="00F22D28" w:rsidP="005B2FFD">
      <w:pPr>
        <w:pStyle w:val="1"/>
        <w:spacing w:before="120"/>
        <w:rPr>
          <w:rFonts w:ascii="Arial" w:hAnsi="Arial" w:cs="Arial"/>
          <w:sz w:val="24"/>
          <w:szCs w:val="24"/>
        </w:rPr>
      </w:pPr>
      <w:bookmarkStart w:id="13" w:name="_Toc100664844"/>
      <w:bookmarkStart w:id="14" w:name="_Toc100684697"/>
      <w:r w:rsidRPr="005B2FFD">
        <w:rPr>
          <w:rFonts w:ascii="Arial" w:hAnsi="Arial" w:cs="Arial"/>
          <w:sz w:val="24"/>
          <w:szCs w:val="24"/>
        </w:rPr>
        <w:lastRenderedPageBreak/>
        <w:t>References</w:t>
      </w:r>
      <w:bookmarkEnd w:id="13"/>
      <w:bookmarkEnd w:id="14"/>
    </w:p>
    <w:p w14:paraId="6AC0434E"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 xml:space="preserve">Amado, A.N., </w:t>
      </w:r>
      <w:proofErr w:type="spellStart"/>
      <w:r w:rsidRPr="00AC369D">
        <w:rPr>
          <w:rFonts w:ascii="Arial" w:hAnsi="Arial" w:cs="Arial"/>
          <w:color w:val="222222"/>
          <w:szCs w:val="24"/>
          <w:shd w:val="clear" w:color="auto" w:fill="FFFFFF"/>
        </w:rPr>
        <w:t>Stancliffe</w:t>
      </w:r>
      <w:proofErr w:type="spellEnd"/>
      <w:r w:rsidRPr="00AC369D">
        <w:rPr>
          <w:rFonts w:ascii="Arial" w:hAnsi="Arial" w:cs="Arial"/>
          <w:color w:val="222222"/>
          <w:szCs w:val="24"/>
          <w:shd w:val="clear" w:color="auto" w:fill="FFFFFF"/>
        </w:rPr>
        <w:t>, R.J., McCarron, M. and McCallion, P., 2013. Social inclusion and community participation of individuals with intellectual/developmental disabilities. </w:t>
      </w:r>
      <w:r w:rsidRPr="00AC369D">
        <w:rPr>
          <w:rFonts w:ascii="Arial" w:hAnsi="Arial" w:cs="Arial"/>
          <w:i/>
          <w:iCs/>
          <w:color w:val="222222"/>
          <w:szCs w:val="24"/>
          <w:shd w:val="clear" w:color="auto" w:fill="FFFFFF"/>
        </w:rPr>
        <w:t>Intellectual and developmental disabilities</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51</w:t>
      </w:r>
      <w:r w:rsidRPr="00AC369D">
        <w:rPr>
          <w:rFonts w:ascii="Arial" w:hAnsi="Arial" w:cs="Arial"/>
          <w:color w:val="222222"/>
          <w:szCs w:val="24"/>
          <w:shd w:val="clear" w:color="auto" w:fill="FFFFFF"/>
        </w:rPr>
        <w:t>(5), pp.360-375.</w:t>
      </w:r>
    </w:p>
    <w:p w14:paraId="6CE304C3" w14:textId="77777777" w:rsidR="005B2FFD" w:rsidRPr="00AC369D" w:rsidRDefault="005B2FFD" w:rsidP="00AC369D">
      <w:pPr>
        <w:rPr>
          <w:rFonts w:ascii="Arial" w:hAnsi="Arial" w:cs="Arial"/>
          <w:color w:val="000000"/>
          <w:szCs w:val="24"/>
          <w:shd w:val="clear" w:color="auto" w:fill="FFFFFF"/>
        </w:rPr>
      </w:pPr>
      <w:proofErr w:type="spellStart"/>
      <w:r w:rsidRPr="00AC369D">
        <w:rPr>
          <w:rFonts w:ascii="Arial" w:hAnsi="Arial" w:cs="Arial"/>
          <w:color w:val="000000"/>
          <w:szCs w:val="24"/>
          <w:shd w:val="clear" w:color="auto" w:fill="FFFFFF"/>
        </w:rPr>
        <w:t>Aquilué</w:t>
      </w:r>
      <w:proofErr w:type="spellEnd"/>
      <w:r w:rsidRPr="00AC369D">
        <w:rPr>
          <w:rFonts w:ascii="Arial" w:hAnsi="Arial" w:cs="Arial"/>
          <w:color w:val="000000"/>
          <w:szCs w:val="24"/>
          <w:shd w:val="clear" w:color="auto" w:fill="FFFFFF"/>
        </w:rPr>
        <w:t xml:space="preserve">, I., </w:t>
      </w:r>
      <w:proofErr w:type="spellStart"/>
      <w:r w:rsidRPr="00AC369D">
        <w:rPr>
          <w:rFonts w:ascii="Arial" w:hAnsi="Arial" w:cs="Arial"/>
          <w:color w:val="000000"/>
          <w:szCs w:val="24"/>
          <w:shd w:val="clear" w:color="auto" w:fill="FFFFFF"/>
        </w:rPr>
        <w:t>Caicedo</w:t>
      </w:r>
      <w:proofErr w:type="spellEnd"/>
      <w:r w:rsidRPr="00AC369D">
        <w:rPr>
          <w:rFonts w:ascii="Arial" w:hAnsi="Arial" w:cs="Arial"/>
          <w:color w:val="000000"/>
          <w:szCs w:val="24"/>
          <w:shd w:val="clear" w:color="auto" w:fill="FFFFFF"/>
        </w:rPr>
        <w:t xml:space="preserve">, A., Moreno, J., Estrada, M. and </w:t>
      </w:r>
      <w:proofErr w:type="spellStart"/>
      <w:r w:rsidRPr="00AC369D">
        <w:rPr>
          <w:rFonts w:ascii="Arial" w:hAnsi="Arial" w:cs="Arial"/>
          <w:color w:val="000000"/>
          <w:szCs w:val="24"/>
          <w:shd w:val="clear" w:color="auto" w:fill="FFFFFF"/>
        </w:rPr>
        <w:t>Pagès</w:t>
      </w:r>
      <w:proofErr w:type="spellEnd"/>
      <w:r w:rsidRPr="00AC369D">
        <w:rPr>
          <w:rFonts w:ascii="Arial" w:hAnsi="Arial" w:cs="Arial"/>
          <w:color w:val="000000"/>
          <w:szCs w:val="24"/>
          <w:shd w:val="clear" w:color="auto" w:fill="FFFFFF"/>
        </w:rPr>
        <w:t>, L., 2021. A Methodology for Assessing the Impact of Living Labs on Urban Design: The Case of the Furnish Project. </w:t>
      </w:r>
      <w:r w:rsidRPr="00AC369D">
        <w:rPr>
          <w:rFonts w:ascii="Arial" w:hAnsi="Arial" w:cs="Arial"/>
          <w:i/>
          <w:iCs/>
          <w:color w:val="000000"/>
          <w:szCs w:val="24"/>
          <w:shd w:val="clear" w:color="auto" w:fill="FFFFFF"/>
        </w:rPr>
        <w:t>Sustainability</w:t>
      </w:r>
      <w:r w:rsidRPr="00AC369D">
        <w:rPr>
          <w:rFonts w:ascii="Arial" w:hAnsi="Arial" w:cs="Arial"/>
          <w:color w:val="000000"/>
          <w:szCs w:val="24"/>
          <w:shd w:val="clear" w:color="auto" w:fill="FFFFFF"/>
        </w:rPr>
        <w:t>, 13(8), p.4562.</w:t>
      </w:r>
    </w:p>
    <w:p w14:paraId="5C3AAF97"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 xml:space="preserve">Bowen, F., </w:t>
      </w:r>
      <w:proofErr w:type="spellStart"/>
      <w:r w:rsidRPr="00AC369D">
        <w:rPr>
          <w:rFonts w:ascii="Arial" w:hAnsi="Arial" w:cs="Arial"/>
          <w:color w:val="222222"/>
          <w:szCs w:val="24"/>
          <w:shd w:val="clear" w:color="auto" w:fill="FFFFFF"/>
        </w:rPr>
        <w:t>Newenham-Kahindi</w:t>
      </w:r>
      <w:proofErr w:type="spellEnd"/>
      <w:r w:rsidRPr="00AC369D">
        <w:rPr>
          <w:rFonts w:ascii="Arial" w:hAnsi="Arial" w:cs="Arial"/>
          <w:color w:val="222222"/>
          <w:szCs w:val="24"/>
          <w:shd w:val="clear" w:color="auto" w:fill="FFFFFF"/>
        </w:rPr>
        <w:t xml:space="preserve">, A. and </w:t>
      </w:r>
      <w:proofErr w:type="spellStart"/>
      <w:r w:rsidRPr="00AC369D">
        <w:rPr>
          <w:rFonts w:ascii="Arial" w:hAnsi="Arial" w:cs="Arial"/>
          <w:color w:val="222222"/>
          <w:szCs w:val="24"/>
          <w:shd w:val="clear" w:color="auto" w:fill="FFFFFF"/>
        </w:rPr>
        <w:t>Herremans</w:t>
      </w:r>
      <w:proofErr w:type="spellEnd"/>
      <w:r w:rsidRPr="00AC369D">
        <w:rPr>
          <w:rFonts w:ascii="Arial" w:hAnsi="Arial" w:cs="Arial"/>
          <w:color w:val="222222"/>
          <w:szCs w:val="24"/>
          <w:shd w:val="clear" w:color="auto" w:fill="FFFFFF"/>
        </w:rPr>
        <w:t>, I., 2010. When suits meet roots: The antecedents and consequences of a community engagement strategy. </w:t>
      </w:r>
      <w:r w:rsidRPr="00AC369D">
        <w:rPr>
          <w:rFonts w:ascii="Arial" w:hAnsi="Arial" w:cs="Arial"/>
          <w:i/>
          <w:iCs/>
          <w:color w:val="222222"/>
          <w:szCs w:val="24"/>
          <w:shd w:val="clear" w:color="auto" w:fill="FFFFFF"/>
        </w:rPr>
        <w:t>Journal of Business Ethics</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95</w:t>
      </w:r>
      <w:r w:rsidRPr="00AC369D">
        <w:rPr>
          <w:rFonts w:ascii="Arial" w:hAnsi="Arial" w:cs="Arial"/>
          <w:color w:val="222222"/>
          <w:szCs w:val="24"/>
          <w:shd w:val="clear" w:color="auto" w:fill="FFFFFF"/>
        </w:rPr>
        <w:t>(2), pp.297-318.</w:t>
      </w:r>
    </w:p>
    <w:p w14:paraId="526F0C58" w14:textId="77777777" w:rsidR="005B2FFD" w:rsidRPr="00AC369D" w:rsidRDefault="005B2FFD" w:rsidP="00AC369D">
      <w:pPr>
        <w:rPr>
          <w:rFonts w:ascii="Arial" w:hAnsi="Arial" w:cs="Arial"/>
          <w:szCs w:val="24"/>
        </w:rPr>
      </w:pPr>
      <w:proofErr w:type="spellStart"/>
      <w:r w:rsidRPr="00AC369D">
        <w:rPr>
          <w:rFonts w:ascii="Arial" w:hAnsi="Arial" w:cs="Arial"/>
          <w:color w:val="222222"/>
          <w:szCs w:val="24"/>
          <w:shd w:val="clear" w:color="auto" w:fill="FFFFFF"/>
        </w:rPr>
        <w:t>Butterfoss</w:t>
      </w:r>
      <w:proofErr w:type="spellEnd"/>
      <w:r w:rsidRPr="00AC369D">
        <w:rPr>
          <w:rFonts w:ascii="Arial" w:hAnsi="Arial" w:cs="Arial"/>
          <w:color w:val="222222"/>
          <w:szCs w:val="24"/>
          <w:shd w:val="clear" w:color="auto" w:fill="FFFFFF"/>
        </w:rPr>
        <w:t>, F.D., 2006. Process evaluation for community participation. </w:t>
      </w:r>
      <w:proofErr w:type="spellStart"/>
      <w:r w:rsidRPr="00AC369D">
        <w:rPr>
          <w:rFonts w:ascii="Arial" w:hAnsi="Arial" w:cs="Arial"/>
          <w:i/>
          <w:iCs/>
          <w:color w:val="222222"/>
          <w:szCs w:val="24"/>
          <w:shd w:val="clear" w:color="auto" w:fill="FFFFFF"/>
        </w:rPr>
        <w:t>Annu</w:t>
      </w:r>
      <w:proofErr w:type="spellEnd"/>
      <w:r w:rsidRPr="00AC369D">
        <w:rPr>
          <w:rFonts w:ascii="Arial" w:hAnsi="Arial" w:cs="Arial"/>
          <w:i/>
          <w:iCs/>
          <w:color w:val="222222"/>
          <w:szCs w:val="24"/>
          <w:shd w:val="clear" w:color="auto" w:fill="FFFFFF"/>
        </w:rPr>
        <w:t>. Rev. Public Health</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27</w:t>
      </w:r>
      <w:r w:rsidRPr="00AC369D">
        <w:rPr>
          <w:rFonts w:ascii="Arial" w:hAnsi="Arial" w:cs="Arial"/>
          <w:color w:val="222222"/>
          <w:szCs w:val="24"/>
          <w:shd w:val="clear" w:color="auto" w:fill="FFFFFF"/>
        </w:rPr>
        <w:t>, pp.323-340.</w:t>
      </w:r>
    </w:p>
    <w:p w14:paraId="093979AB"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 xml:space="preserve">Chen, B. and </w:t>
      </w:r>
      <w:proofErr w:type="spellStart"/>
      <w:r w:rsidRPr="00AC369D">
        <w:rPr>
          <w:rFonts w:ascii="Arial" w:hAnsi="Arial" w:cs="Arial"/>
          <w:color w:val="222222"/>
          <w:szCs w:val="24"/>
          <w:shd w:val="clear" w:color="auto" w:fill="FFFFFF"/>
        </w:rPr>
        <w:t>Bryer</w:t>
      </w:r>
      <w:proofErr w:type="spellEnd"/>
      <w:r w:rsidRPr="00AC369D">
        <w:rPr>
          <w:rFonts w:ascii="Arial" w:hAnsi="Arial" w:cs="Arial"/>
          <w:color w:val="222222"/>
          <w:szCs w:val="24"/>
          <w:shd w:val="clear" w:color="auto" w:fill="FFFFFF"/>
        </w:rPr>
        <w:t>, T., 2012. Investigating instructional strategies for using social media in formal and informal learning. </w:t>
      </w:r>
      <w:r w:rsidRPr="00AC369D">
        <w:rPr>
          <w:rFonts w:ascii="Arial" w:hAnsi="Arial" w:cs="Arial"/>
          <w:i/>
          <w:iCs/>
          <w:color w:val="222222"/>
          <w:szCs w:val="24"/>
          <w:shd w:val="clear" w:color="auto" w:fill="FFFFFF"/>
        </w:rPr>
        <w:t>International Review of Research in Open and Distributed Learning</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13</w:t>
      </w:r>
      <w:r w:rsidRPr="00AC369D">
        <w:rPr>
          <w:rFonts w:ascii="Arial" w:hAnsi="Arial" w:cs="Arial"/>
          <w:color w:val="222222"/>
          <w:szCs w:val="24"/>
          <w:shd w:val="clear" w:color="auto" w:fill="FFFFFF"/>
        </w:rPr>
        <w:t>(1), pp.87-104.</w:t>
      </w:r>
    </w:p>
    <w:p w14:paraId="7CFD4599"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 xml:space="preserve">Chen, E. and </w:t>
      </w:r>
      <w:proofErr w:type="spellStart"/>
      <w:r w:rsidRPr="00AC369D">
        <w:rPr>
          <w:rFonts w:ascii="Arial" w:hAnsi="Arial" w:cs="Arial"/>
          <w:color w:val="222222"/>
          <w:szCs w:val="24"/>
          <w:shd w:val="clear" w:color="auto" w:fill="FFFFFF"/>
        </w:rPr>
        <w:t>DiVall</w:t>
      </w:r>
      <w:proofErr w:type="spellEnd"/>
      <w:r w:rsidRPr="00AC369D">
        <w:rPr>
          <w:rFonts w:ascii="Arial" w:hAnsi="Arial" w:cs="Arial"/>
          <w:color w:val="222222"/>
          <w:szCs w:val="24"/>
          <w:shd w:val="clear" w:color="auto" w:fill="FFFFFF"/>
        </w:rPr>
        <w:t>, M., 2018. Social media as an engagement tool for schools and colleges of pharmacy. </w:t>
      </w:r>
      <w:r w:rsidRPr="00AC369D">
        <w:rPr>
          <w:rFonts w:ascii="Arial" w:hAnsi="Arial" w:cs="Arial"/>
          <w:i/>
          <w:iCs/>
          <w:color w:val="222222"/>
          <w:szCs w:val="24"/>
          <w:shd w:val="clear" w:color="auto" w:fill="FFFFFF"/>
        </w:rPr>
        <w:t>American journal of pharmaceutical education</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82</w:t>
      </w:r>
      <w:r w:rsidRPr="00AC369D">
        <w:rPr>
          <w:rFonts w:ascii="Arial" w:hAnsi="Arial" w:cs="Arial"/>
          <w:color w:val="222222"/>
          <w:szCs w:val="24"/>
          <w:shd w:val="clear" w:color="auto" w:fill="FFFFFF"/>
        </w:rPr>
        <w:t>(4).</w:t>
      </w:r>
    </w:p>
    <w:p w14:paraId="1B63EC6E"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Deng, L. and Tavares, N.J., 2013. From Moodle to Facebook: Exploring students' motivation and experiences in online communities. </w:t>
      </w:r>
      <w:r w:rsidRPr="00AC369D">
        <w:rPr>
          <w:rFonts w:ascii="Arial" w:hAnsi="Arial" w:cs="Arial"/>
          <w:i/>
          <w:iCs/>
          <w:color w:val="222222"/>
          <w:szCs w:val="24"/>
          <w:shd w:val="clear" w:color="auto" w:fill="FFFFFF"/>
        </w:rPr>
        <w:t>Computers &amp; Education</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68</w:t>
      </w:r>
      <w:r w:rsidRPr="00AC369D">
        <w:rPr>
          <w:rFonts w:ascii="Arial" w:hAnsi="Arial" w:cs="Arial"/>
          <w:color w:val="222222"/>
          <w:szCs w:val="24"/>
          <w:shd w:val="clear" w:color="auto" w:fill="FFFFFF"/>
        </w:rPr>
        <w:t>, pp.167-176.</w:t>
      </w:r>
    </w:p>
    <w:p w14:paraId="6371F686"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Graham, M., 2014. Social media is a tool for increased student participation and engagement outside the classroom in higher education. </w:t>
      </w:r>
      <w:r w:rsidRPr="00AC369D">
        <w:rPr>
          <w:rFonts w:ascii="Arial" w:hAnsi="Arial" w:cs="Arial"/>
          <w:i/>
          <w:iCs/>
          <w:color w:val="222222"/>
          <w:szCs w:val="24"/>
          <w:shd w:val="clear" w:color="auto" w:fill="FFFFFF"/>
        </w:rPr>
        <w:t>Journal of Perspectives in Applied Academic Practice</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2</w:t>
      </w:r>
      <w:r w:rsidRPr="00AC369D">
        <w:rPr>
          <w:rFonts w:ascii="Arial" w:hAnsi="Arial" w:cs="Arial"/>
          <w:color w:val="222222"/>
          <w:szCs w:val="24"/>
          <w:shd w:val="clear" w:color="auto" w:fill="FFFFFF"/>
        </w:rPr>
        <w:t>(3), p.16.</w:t>
      </w:r>
    </w:p>
    <w:p w14:paraId="260B6639"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Harris, L. and Harrigan, P., 2015. Social media in politics: the ultimate voter engagement tool or simply an echo chamber?. </w:t>
      </w:r>
      <w:r w:rsidRPr="00AC369D">
        <w:rPr>
          <w:rFonts w:ascii="Arial" w:hAnsi="Arial" w:cs="Arial"/>
          <w:i/>
          <w:iCs/>
          <w:color w:val="222222"/>
          <w:szCs w:val="24"/>
          <w:shd w:val="clear" w:color="auto" w:fill="FFFFFF"/>
        </w:rPr>
        <w:t>Journal of Political Marketing</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14</w:t>
      </w:r>
      <w:r w:rsidRPr="00AC369D">
        <w:rPr>
          <w:rFonts w:ascii="Arial" w:hAnsi="Arial" w:cs="Arial"/>
          <w:color w:val="222222"/>
          <w:szCs w:val="24"/>
          <w:shd w:val="clear" w:color="auto" w:fill="FFFFFF"/>
        </w:rPr>
        <w:t>(3), pp.251-283.</w:t>
      </w:r>
    </w:p>
    <w:p w14:paraId="1E5D4FA2"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Head, B.W., 2007. Community engagement: participation on whose terms?. </w:t>
      </w:r>
      <w:r w:rsidRPr="00AC369D">
        <w:rPr>
          <w:rFonts w:ascii="Arial" w:hAnsi="Arial" w:cs="Arial"/>
          <w:i/>
          <w:iCs/>
          <w:color w:val="222222"/>
          <w:szCs w:val="24"/>
          <w:shd w:val="clear" w:color="auto" w:fill="FFFFFF"/>
        </w:rPr>
        <w:t>Australian Journal of Political Science</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42</w:t>
      </w:r>
      <w:r w:rsidRPr="00AC369D">
        <w:rPr>
          <w:rFonts w:ascii="Arial" w:hAnsi="Arial" w:cs="Arial"/>
          <w:color w:val="222222"/>
          <w:szCs w:val="24"/>
          <w:shd w:val="clear" w:color="auto" w:fill="FFFFFF"/>
        </w:rPr>
        <w:t>(3), pp.441-454.</w:t>
      </w:r>
    </w:p>
    <w:p w14:paraId="7CC4B2CB" w14:textId="77777777" w:rsidR="005B2FFD" w:rsidRPr="00AC369D" w:rsidRDefault="005B2FFD" w:rsidP="00AC369D">
      <w:pPr>
        <w:rPr>
          <w:rFonts w:ascii="Arial" w:hAnsi="Arial" w:cs="Arial"/>
          <w:color w:val="222222"/>
          <w:szCs w:val="24"/>
          <w:shd w:val="clear" w:color="auto" w:fill="FFFFFF"/>
        </w:rPr>
      </w:pPr>
      <w:proofErr w:type="spellStart"/>
      <w:r w:rsidRPr="00AC369D">
        <w:rPr>
          <w:rFonts w:ascii="Arial" w:hAnsi="Arial" w:cs="Arial"/>
          <w:color w:val="222222"/>
          <w:szCs w:val="24"/>
          <w:shd w:val="clear" w:color="auto" w:fill="FFFFFF"/>
        </w:rPr>
        <w:lastRenderedPageBreak/>
        <w:t>Khazaei</w:t>
      </w:r>
      <w:proofErr w:type="spellEnd"/>
      <w:r w:rsidRPr="00AC369D">
        <w:rPr>
          <w:rFonts w:ascii="Arial" w:hAnsi="Arial" w:cs="Arial"/>
          <w:color w:val="222222"/>
          <w:szCs w:val="24"/>
          <w:shd w:val="clear" w:color="auto" w:fill="FFFFFF"/>
        </w:rPr>
        <w:t xml:space="preserve">, A., Elliot, S. and </w:t>
      </w:r>
      <w:proofErr w:type="spellStart"/>
      <w:r w:rsidRPr="00AC369D">
        <w:rPr>
          <w:rFonts w:ascii="Arial" w:hAnsi="Arial" w:cs="Arial"/>
          <w:color w:val="222222"/>
          <w:szCs w:val="24"/>
          <w:shd w:val="clear" w:color="auto" w:fill="FFFFFF"/>
        </w:rPr>
        <w:t>Joppe</w:t>
      </w:r>
      <w:proofErr w:type="spellEnd"/>
      <w:r w:rsidRPr="00AC369D">
        <w:rPr>
          <w:rFonts w:ascii="Arial" w:hAnsi="Arial" w:cs="Arial"/>
          <w:color w:val="222222"/>
          <w:szCs w:val="24"/>
          <w:shd w:val="clear" w:color="auto" w:fill="FFFFFF"/>
        </w:rPr>
        <w:t>, M., 2015. An application of stakeholder theory to advance community participation in tourism planning: The case for engaging immigrants as fringe stakeholders. </w:t>
      </w:r>
      <w:r w:rsidRPr="00AC369D">
        <w:rPr>
          <w:rFonts w:ascii="Arial" w:hAnsi="Arial" w:cs="Arial"/>
          <w:i/>
          <w:iCs/>
          <w:color w:val="222222"/>
          <w:szCs w:val="24"/>
          <w:shd w:val="clear" w:color="auto" w:fill="FFFFFF"/>
        </w:rPr>
        <w:t>Journal of Sustainable Tourism</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23</w:t>
      </w:r>
      <w:r w:rsidRPr="00AC369D">
        <w:rPr>
          <w:rFonts w:ascii="Arial" w:hAnsi="Arial" w:cs="Arial"/>
          <w:color w:val="222222"/>
          <w:szCs w:val="24"/>
          <w:shd w:val="clear" w:color="auto" w:fill="FFFFFF"/>
        </w:rPr>
        <w:t>(7), pp.1049-1062.</w:t>
      </w:r>
    </w:p>
    <w:p w14:paraId="210C17C0" w14:textId="77777777"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 xml:space="preserve">Kim, K., </w:t>
      </w:r>
      <w:proofErr w:type="spellStart"/>
      <w:r w:rsidRPr="00AC369D">
        <w:rPr>
          <w:rFonts w:ascii="Arial" w:hAnsi="Arial" w:cs="Arial"/>
          <w:color w:val="222222"/>
          <w:szCs w:val="24"/>
          <w:shd w:val="clear" w:color="auto" w:fill="FFFFFF"/>
        </w:rPr>
        <w:t>Uysal</w:t>
      </w:r>
      <w:proofErr w:type="spellEnd"/>
      <w:r w:rsidRPr="00AC369D">
        <w:rPr>
          <w:rFonts w:ascii="Arial" w:hAnsi="Arial" w:cs="Arial"/>
          <w:color w:val="222222"/>
          <w:szCs w:val="24"/>
          <w:shd w:val="clear" w:color="auto" w:fill="FFFFFF"/>
        </w:rPr>
        <w:t xml:space="preserve">, M. and </w:t>
      </w:r>
      <w:proofErr w:type="spellStart"/>
      <w:r w:rsidRPr="00AC369D">
        <w:rPr>
          <w:rFonts w:ascii="Arial" w:hAnsi="Arial" w:cs="Arial"/>
          <w:color w:val="222222"/>
          <w:szCs w:val="24"/>
          <w:shd w:val="clear" w:color="auto" w:fill="FFFFFF"/>
        </w:rPr>
        <w:t>Sirgy</w:t>
      </w:r>
      <w:proofErr w:type="spellEnd"/>
      <w:r w:rsidRPr="00AC369D">
        <w:rPr>
          <w:rFonts w:ascii="Arial" w:hAnsi="Arial" w:cs="Arial"/>
          <w:color w:val="222222"/>
          <w:szCs w:val="24"/>
          <w:shd w:val="clear" w:color="auto" w:fill="FFFFFF"/>
        </w:rPr>
        <w:t>, M.J., 2013. How does tourism in a community impact the quality of life of community residents?. </w:t>
      </w:r>
      <w:r w:rsidRPr="00AC369D">
        <w:rPr>
          <w:rFonts w:ascii="Arial" w:hAnsi="Arial" w:cs="Arial"/>
          <w:i/>
          <w:iCs/>
          <w:color w:val="222222"/>
          <w:szCs w:val="24"/>
          <w:shd w:val="clear" w:color="auto" w:fill="FFFFFF"/>
        </w:rPr>
        <w:t>Tourism management</w:t>
      </w:r>
      <w:r w:rsidRPr="00AC369D">
        <w:rPr>
          <w:rFonts w:ascii="Arial" w:hAnsi="Arial" w:cs="Arial"/>
          <w:color w:val="222222"/>
          <w:szCs w:val="24"/>
          <w:shd w:val="clear" w:color="auto" w:fill="FFFFFF"/>
        </w:rPr>
        <w:t>, </w:t>
      </w:r>
      <w:r w:rsidRPr="00AC369D">
        <w:rPr>
          <w:rFonts w:ascii="Arial" w:hAnsi="Arial" w:cs="Arial"/>
          <w:i/>
          <w:iCs/>
          <w:color w:val="222222"/>
          <w:szCs w:val="24"/>
          <w:shd w:val="clear" w:color="auto" w:fill="FFFFFF"/>
        </w:rPr>
        <w:t>36</w:t>
      </w:r>
      <w:r w:rsidRPr="00AC369D">
        <w:rPr>
          <w:rFonts w:ascii="Arial" w:hAnsi="Arial" w:cs="Arial"/>
          <w:color w:val="222222"/>
          <w:szCs w:val="24"/>
          <w:shd w:val="clear" w:color="auto" w:fill="FFFFFF"/>
        </w:rPr>
        <w:t>, pp.527-540.</w:t>
      </w:r>
    </w:p>
    <w:p w14:paraId="1DEA7F75" w14:textId="1860FDEF" w:rsidR="005B2FFD" w:rsidRPr="00AC369D" w:rsidRDefault="005B2FFD" w:rsidP="00AC369D">
      <w:pPr>
        <w:rPr>
          <w:rFonts w:ascii="Arial" w:hAnsi="Arial" w:cs="Arial"/>
          <w:color w:val="222222"/>
          <w:szCs w:val="24"/>
          <w:shd w:val="clear" w:color="auto" w:fill="FFFFFF"/>
        </w:rPr>
      </w:pPr>
      <w:r w:rsidRPr="00AC369D">
        <w:rPr>
          <w:rFonts w:ascii="Arial" w:hAnsi="Arial" w:cs="Arial"/>
          <w:color w:val="222222"/>
          <w:szCs w:val="24"/>
          <w:shd w:val="clear" w:color="auto" w:fill="FFFFFF"/>
        </w:rPr>
        <w:t>.</w:t>
      </w:r>
    </w:p>
    <w:sectPr w:rsidR="005B2FFD" w:rsidRPr="00AC369D" w:rsidSect="004F0E20">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04CFB" w14:textId="77777777" w:rsidR="00054DCF" w:rsidRDefault="00054DCF" w:rsidP="002419B6">
      <w:pPr>
        <w:spacing w:before="0" w:after="0" w:line="240" w:lineRule="auto"/>
      </w:pPr>
      <w:r>
        <w:separator/>
      </w:r>
    </w:p>
  </w:endnote>
  <w:endnote w:type="continuationSeparator" w:id="0">
    <w:p w14:paraId="7CA0755A" w14:textId="77777777" w:rsidR="00054DCF" w:rsidRDefault="00054DCF" w:rsidP="002419B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642509"/>
      <w:docPartObj>
        <w:docPartGallery w:val="Page Numbers (Bottom of Page)"/>
        <w:docPartUnique/>
      </w:docPartObj>
    </w:sdtPr>
    <w:sdtEndPr>
      <w:rPr>
        <w:noProof/>
      </w:rPr>
    </w:sdtEndPr>
    <w:sdtContent>
      <w:p w14:paraId="7728AC77" w14:textId="468AC3D5" w:rsidR="002419B6" w:rsidRDefault="002419B6">
        <w:pPr>
          <w:pStyle w:val="aa"/>
          <w:jc w:val="center"/>
        </w:pPr>
        <w:r>
          <w:fldChar w:fldCharType="begin"/>
        </w:r>
        <w:r>
          <w:instrText xml:space="preserve"> PAGE   \* MERGEFORMAT </w:instrText>
        </w:r>
        <w:r>
          <w:fldChar w:fldCharType="separate"/>
        </w:r>
        <w:r>
          <w:rPr>
            <w:noProof/>
          </w:rPr>
          <w:t>2</w:t>
        </w:r>
        <w:r>
          <w:rPr>
            <w:noProof/>
          </w:rPr>
          <w:fldChar w:fldCharType="end"/>
        </w:r>
      </w:p>
    </w:sdtContent>
  </w:sdt>
  <w:p w14:paraId="5DF7D2E5" w14:textId="77777777" w:rsidR="002419B6" w:rsidRDefault="002419B6">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E0606" w14:textId="77777777" w:rsidR="00054DCF" w:rsidRDefault="00054DCF" w:rsidP="002419B6">
      <w:pPr>
        <w:spacing w:before="0" w:after="0" w:line="240" w:lineRule="auto"/>
      </w:pPr>
      <w:r>
        <w:separator/>
      </w:r>
    </w:p>
  </w:footnote>
  <w:footnote w:type="continuationSeparator" w:id="0">
    <w:p w14:paraId="455130FC" w14:textId="77777777" w:rsidR="00054DCF" w:rsidRDefault="00054DCF" w:rsidP="002419B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85D76"/>
    <w:multiLevelType w:val="multilevel"/>
    <w:tmpl w:val="8FE60F0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DB11F5"/>
    <w:multiLevelType w:val="hybridMultilevel"/>
    <w:tmpl w:val="4410A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125ACF"/>
    <w:multiLevelType w:val="multilevel"/>
    <w:tmpl w:val="0B2048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031727"/>
    <w:multiLevelType w:val="hybridMultilevel"/>
    <w:tmpl w:val="C86A1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A826BF"/>
    <w:multiLevelType w:val="hybridMultilevel"/>
    <w:tmpl w:val="2CE48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F936E4"/>
    <w:multiLevelType w:val="multilevel"/>
    <w:tmpl w:val="F320D57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674161"/>
    <w:multiLevelType w:val="multilevel"/>
    <w:tmpl w:val="BDBEB2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F866F5"/>
    <w:multiLevelType w:val="hybridMultilevel"/>
    <w:tmpl w:val="FFBA22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3F8551B"/>
    <w:multiLevelType w:val="hybridMultilevel"/>
    <w:tmpl w:val="6B02A8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6270A20"/>
    <w:multiLevelType w:val="hybridMultilevel"/>
    <w:tmpl w:val="453EB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D9640FB"/>
    <w:multiLevelType w:val="multilevel"/>
    <w:tmpl w:val="640C9C4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741898818">
    <w:abstractNumId w:val="6"/>
  </w:num>
  <w:num w:numId="2" w16cid:durableId="703988778">
    <w:abstractNumId w:val="10"/>
  </w:num>
  <w:num w:numId="3" w16cid:durableId="1475826980">
    <w:abstractNumId w:val="0"/>
  </w:num>
  <w:num w:numId="4" w16cid:durableId="691540009">
    <w:abstractNumId w:val="2"/>
  </w:num>
  <w:num w:numId="5" w16cid:durableId="1131243249">
    <w:abstractNumId w:val="3"/>
  </w:num>
  <w:num w:numId="6" w16cid:durableId="679040670">
    <w:abstractNumId w:val="5"/>
  </w:num>
  <w:num w:numId="7" w16cid:durableId="231235530">
    <w:abstractNumId w:val="1"/>
  </w:num>
  <w:num w:numId="8" w16cid:durableId="537788929">
    <w:abstractNumId w:val="8"/>
  </w:num>
  <w:num w:numId="9" w16cid:durableId="1906140739">
    <w:abstractNumId w:val="7"/>
  </w:num>
  <w:num w:numId="10" w16cid:durableId="247622434">
    <w:abstractNumId w:val="9"/>
  </w:num>
  <w:num w:numId="11" w16cid:durableId="5249028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NjE2tDQ0NDAHspV0lIJTi4sz8/NACoxqARpAmaUsAAAA"/>
  </w:docVars>
  <w:rsids>
    <w:rsidRoot w:val="004F0E20"/>
    <w:rsid w:val="00002641"/>
    <w:rsid w:val="00054DCF"/>
    <w:rsid w:val="000646BC"/>
    <w:rsid w:val="000B55B1"/>
    <w:rsid w:val="000D4361"/>
    <w:rsid w:val="001346EE"/>
    <w:rsid w:val="001D734B"/>
    <w:rsid w:val="002064DA"/>
    <w:rsid w:val="002419B6"/>
    <w:rsid w:val="00243235"/>
    <w:rsid w:val="002522AC"/>
    <w:rsid w:val="00252AB8"/>
    <w:rsid w:val="00261C33"/>
    <w:rsid w:val="0032366E"/>
    <w:rsid w:val="003A4272"/>
    <w:rsid w:val="003E1B82"/>
    <w:rsid w:val="00401471"/>
    <w:rsid w:val="00486A38"/>
    <w:rsid w:val="004945C4"/>
    <w:rsid w:val="004E7EF4"/>
    <w:rsid w:val="004F0950"/>
    <w:rsid w:val="004F0E20"/>
    <w:rsid w:val="004F12E3"/>
    <w:rsid w:val="00525EB6"/>
    <w:rsid w:val="005314AD"/>
    <w:rsid w:val="00546D51"/>
    <w:rsid w:val="00560C8C"/>
    <w:rsid w:val="005B2FFD"/>
    <w:rsid w:val="006130C5"/>
    <w:rsid w:val="00683CB2"/>
    <w:rsid w:val="006A6ABA"/>
    <w:rsid w:val="006E4C21"/>
    <w:rsid w:val="006F1CB1"/>
    <w:rsid w:val="00736609"/>
    <w:rsid w:val="007379C4"/>
    <w:rsid w:val="00742426"/>
    <w:rsid w:val="0076572E"/>
    <w:rsid w:val="00835FD2"/>
    <w:rsid w:val="00880401"/>
    <w:rsid w:val="00885A43"/>
    <w:rsid w:val="00892955"/>
    <w:rsid w:val="008C294F"/>
    <w:rsid w:val="008E4A34"/>
    <w:rsid w:val="008F0B7D"/>
    <w:rsid w:val="009D73B4"/>
    <w:rsid w:val="00A632DA"/>
    <w:rsid w:val="00A80C57"/>
    <w:rsid w:val="00AA7F89"/>
    <w:rsid w:val="00AC0C7B"/>
    <w:rsid w:val="00AC369D"/>
    <w:rsid w:val="00B11943"/>
    <w:rsid w:val="00B203FD"/>
    <w:rsid w:val="00B24C3C"/>
    <w:rsid w:val="00BC498C"/>
    <w:rsid w:val="00BD4A4F"/>
    <w:rsid w:val="00BE3D5D"/>
    <w:rsid w:val="00D027F3"/>
    <w:rsid w:val="00D45AE5"/>
    <w:rsid w:val="00DB52BB"/>
    <w:rsid w:val="00DD7AFB"/>
    <w:rsid w:val="00DE33C8"/>
    <w:rsid w:val="00DF4FE1"/>
    <w:rsid w:val="00E54929"/>
    <w:rsid w:val="00E56B87"/>
    <w:rsid w:val="00E71CFF"/>
    <w:rsid w:val="00E7222B"/>
    <w:rsid w:val="00E76004"/>
    <w:rsid w:val="00F100FE"/>
    <w:rsid w:val="00F22D28"/>
    <w:rsid w:val="00FB26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4F83E"/>
  <w15:docId w15:val="{2D55B333-2787-49AB-9EE5-F33E95F69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92955"/>
    <w:pPr>
      <w:spacing w:before="120" w:line="360" w:lineRule="auto"/>
      <w:jc w:val="both"/>
    </w:pPr>
    <w:rPr>
      <w:rFonts w:ascii="Times New Roman" w:hAnsi="Times New Roman"/>
      <w:sz w:val="24"/>
    </w:rPr>
  </w:style>
  <w:style w:type="paragraph" w:styleId="1">
    <w:name w:val="heading 1"/>
    <w:basedOn w:val="a"/>
    <w:next w:val="a"/>
    <w:link w:val="10"/>
    <w:uiPriority w:val="9"/>
    <w:qFormat/>
    <w:rsid w:val="002064DA"/>
    <w:pPr>
      <w:keepNext/>
      <w:keepLines/>
      <w:spacing w:before="360" w:after="12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5B2FFD"/>
    <w:pPr>
      <w:keepNext/>
      <w:keepLines/>
      <w:spacing w:before="40" w:after="0"/>
      <w:outlineLvl w:val="1"/>
    </w:pPr>
    <w:rPr>
      <w:rFonts w:eastAsiaTheme="majorEastAsia" w:cstheme="majorBidi"/>
      <w:b/>
      <w:color w:val="C45911" w:themeColor="accent2" w:themeShade="BF"/>
      <w:sz w:val="28"/>
      <w:szCs w:val="26"/>
    </w:rPr>
  </w:style>
  <w:style w:type="paragraph" w:styleId="3">
    <w:name w:val="heading 3"/>
    <w:basedOn w:val="a"/>
    <w:next w:val="a"/>
    <w:link w:val="30"/>
    <w:uiPriority w:val="9"/>
    <w:unhideWhenUsed/>
    <w:qFormat/>
    <w:rsid w:val="00486A38"/>
    <w:pPr>
      <w:keepNext/>
      <w:keepLines/>
      <w:spacing w:before="40" w:after="0"/>
      <w:outlineLvl w:val="2"/>
    </w:pPr>
    <w:rPr>
      <w:rFonts w:eastAsiaTheme="majorEastAsia" w:cstheme="majorBidi"/>
      <w:color w:val="1F3763" w:themeColor="accent1" w:themeShade="7F"/>
      <w:sz w:val="26"/>
      <w:szCs w:val="24"/>
    </w:rPr>
  </w:style>
  <w:style w:type="paragraph" w:styleId="4">
    <w:name w:val="heading 4"/>
    <w:basedOn w:val="a"/>
    <w:next w:val="a"/>
    <w:link w:val="40"/>
    <w:uiPriority w:val="9"/>
    <w:semiHidden/>
    <w:unhideWhenUsed/>
    <w:qFormat/>
    <w:rsid w:val="00BD4A4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0D436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064DA"/>
    <w:rPr>
      <w:rFonts w:ascii="Times New Roman" w:eastAsiaTheme="majorEastAsia" w:hAnsi="Times New Roman" w:cstheme="majorBidi"/>
      <w:color w:val="2F5496" w:themeColor="accent1" w:themeShade="BF"/>
      <w:sz w:val="32"/>
      <w:szCs w:val="32"/>
    </w:rPr>
  </w:style>
  <w:style w:type="character" w:customStyle="1" w:styleId="20">
    <w:name w:val="Заглавие 2 Знак"/>
    <w:basedOn w:val="a0"/>
    <w:link w:val="2"/>
    <w:uiPriority w:val="9"/>
    <w:rsid w:val="005B2FFD"/>
    <w:rPr>
      <w:rFonts w:ascii="Times New Roman" w:eastAsiaTheme="majorEastAsia" w:hAnsi="Times New Roman" w:cstheme="majorBidi"/>
      <w:b/>
      <w:color w:val="C45911" w:themeColor="accent2" w:themeShade="BF"/>
      <w:sz w:val="28"/>
      <w:szCs w:val="26"/>
    </w:rPr>
  </w:style>
  <w:style w:type="character" w:customStyle="1" w:styleId="30">
    <w:name w:val="Заглавие 3 Знак"/>
    <w:basedOn w:val="a0"/>
    <w:link w:val="3"/>
    <w:uiPriority w:val="9"/>
    <w:rsid w:val="00486A38"/>
    <w:rPr>
      <w:rFonts w:ascii="Times New Roman" w:eastAsiaTheme="majorEastAsia" w:hAnsi="Times New Roman" w:cstheme="majorBidi"/>
      <w:color w:val="1F3763" w:themeColor="accent1" w:themeShade="7F"/>
      <w:sz w:val="26"/>
      <w:szCs w:val="24"/>
    </w:rPr>
  </w:style>
  <w:style w:type="paragraph" w:styleId="a3">
    <w:name w:val="Normal (Web)"/>
    <w:basedOn w:val="a"/>
    <w:uiPriority w:val="99"/>
    <w:unhideWhenUsed/>
    <w:rsid w:val="00F22D28"/>
    <w:pPr>
      <w:spacing w:before="100" w:beforeAutospacing="1" w:after="100" w:afterAutospacing="1" w:line="240" w:lineRule="auto"/>
      <w:jc w:val="left"/>
    </w:pPr>
    <w:rPr>
      <w:rFonts w:eastAsia="Times New Roman" w:cs="Times New Roman"/>
      <w:szCs w:val="24"/>
    </w:rPr>
  </w:style>
  <w:style w:type="character" w:styleId="a4">
    <w:name w:val="Strong"/>
    <w:basedOn w:val="a0"/>
    <w:uiPriority w:val="22"/>
    <w:qFormat/>
    <w:rsid w:val="00560C8C"/>
    <w:rPr>
      <w:b/>
      <w:bCs/>
    </w:rPr>
  </w:style>
  <w:style w:type="character" w:styleId="a5">
    <w:name w:val="Hyperlink"/>
    <w:basedOn w:val="a0"/>
    <w:uiPriority w:val="99"/>
    <w:unhideWhenUsed/>
    <w:rsid w:val="00560C8C"/>
    <w:rPr>
      <w:color w:val="0000FF"/>
      <w:u w:val="single"/>
    </w:rPr>
  </w:style>
  <w:style w:type="character" w:styleId="HTML">
    <w:name w:val="HTML Code"/>
    <w:basedOn w:val="a0"/>
    <w:uiPriority w:val="99"/>
    <w:semiHidden/>
    <w:unhideWhenUsed/>
    <w:rsid w:val="00DB52BB"/>
    <w:rPr>
      <w:rFonts w:ascii="Courier New" w:eastAsia="Times New Roman" w:hAnsi="Courier New" w:cs="Courier New"/>
      <w:sz w:val="20"/>
      <w:szCs w:val="20"/>
    </w:rPr>
  </w:style>
  <w:style w:type="character" w:customStyle="1" w:styleId="50">
    <w:name w:val="Заглавие 5 Знак"/>
    <w:basedOn w:val="a0"/>
    <w:link w:val="5"/>
    <w:uiPriority w:val="9"/>
    <w:semiHidden/>
    <w:rsid w:val="000D4361"/>
    <w:rPr>
      <w:rFonts w:asciiTheme="majorHAnsi" w:eastAsiaTheme="majorEastAsia" w:hAnsiTheme="majorHAnsi" w:cstheme="majorBidi"/>
      <w:color w:val="2F5496" w:themeColor="accent1" w:themeShade="BF"/>
      <w:sz w:val="24"/>
    </w:rPr>
  </w:style>
  <w:style w:type="character" w:customStyle="1" w:styleId="40">
    <w:name w:val="Заглавие 4 Знак"/>
    <w:basedOn w:val="a0"/>
    <w:link w:val="4"/>
    <w:uiPriority w:val="9"/>
    <w:semiHidden/>
    <w:rsid w:val="00BD4A4F"/>
    <w:rPr>
      <w:rFonts w:asciiTheme="majorHAnsi" w:eastAsiaTheme="majorEastAsia" w:hAnsiTheme="majorHAnsi" w:cstheme="majorBidi"/>
      <w:i/>
      <w:iCs/>
      <w:color w:val="2F5496" w:themeColor="accent1" w:themeShade="BF"/>
      <w:sz w:val="24"/>
    </w:rPr>
  </w:style>
  <w:style w:type="paragraph" w:styleId="a6">
    <w:name w:val="caption"/>
    <w:basedOn w:val="a"/>
    <w:next w:val="a"/>
    <w:uiPriority w:val="35"/>
    <w:unhideWhenUsed/>
    <w:qFormat/>
    <w:rsid w:val="00252AB8"/>
    <w:pPr>
      <w:spacing w:before="0" w:after="200" w:line="240" w:lineRule="auto"/>
    </w:pPr>
    <w:rPr>
      <w:i/>
      <w:iCs/>
      <w:color w:val="44546A" w:themeColor="text2"/>
      <w:sz w:val="18"/>
      <w:szCs w:val="18"/>
    </w:rPr>
  </w:style>
  <w:style w:type="paragraph" w:customStyle="1" w:styleId="trt0xe">
    <w:name w:val="trt0xe"/>
    <w:basedOn w:val="a"/>
    <w:rsid w:val="000B55B1"/>
    <w:pPr>
      <w:spacing w:before="100" w:beforeAutospacing="1" w:after="100" w:afterAutospacing="1" w:line="240" w:lineRule="auto"/>
      <w:jc w:val="left"/>
    </w:pPr>
    <w:rPr>
      <w:rFonts w:eastAsia="Times New Roman" w:cs="Times New Roman"/>
      <w:szCs w:val="24"/>
    </w:rPr>
  </w:style>
  <w:style w:type="paragraph" w:styleId="a7">
    <w:name w:val="List Paragraph"/>
    <w:basedOn w:val="a"/>
    <w:uiPriority w:val="34"/>
    <w:qFormat/>
    <w:rsid w:val="00892955"/>
    <w:pPr>
      <w:ind w:left="720"/>
      <w:contextualSpacing/>
    </w:pPr>
  </w:style>
  <w:style w:type="paragraph" w:styleId="a8">
    <w:name w:val="header"/>
    <w:basedOn w:val="a"/>
    <w:link w:val="a9"/>
    <w:uiPriority w:val="99"/>
    <w:unhideWhenUsed/>
    <w:rsid w:val="002419B6"/>
    <w:pPr>
      <w:tabs>
        <w:tab w:val="center" w:pos="4680"/>
        <w:tab w:val="right" w:pos="9360"/>
      </w:tabs>
      <w:spacing w:before="0" w:after="0" w:line="240" w:lineRule="auto"/>
    </w:pPr>
  </w:style>
  <w:style w:type="character" w:customStyle="1" w:styleId="a9">
    <w:name w:val="Горен колонтитул Знак"/>
    <w:basedOn w:val="a0"/>
    <w:link w:val="a8"/>
    <w:uiPriority w:val="99"/>
    <w:rsid w:val="002419B6"/>
    <w:rPr>
      <w:rFonts w:ascii="Times New Roman" w:hAnsi="Times New Roman"/>
      <w:sz w:val="24"/>
    </w:rPr>
  </w:style>
  <w:style w:type="paragraph" w:styleId="aa">
    <w:name w:val="footer"/>
    <w:basedOn w:val="a"/>
    <w:link w:val="ab"/>
    <w:uiPriority w:val="99"/>
    <w:unhideWhenUsed/>
    <w:rsid w:val="002419B6"/>
    <w:pPr>
      <w:tabs>
        <w:tab w:val="center" w:pos="4680"/>
        <w:tab w:val="right" w:pos="9360"/>
      </w:tabs>
      <w:spacing w:before="0" w:after="0" w:line="240" w:lineRule="auto"/>
    </w:pPr>
  </w:style>
  <w:style w:type="character" w:customStyle="1" w:styleId="ab">
    <w:name w:val="Долен колонтитул Знак"/>
    <w:basedOn w:val="a0"/>
    <w:link w:val="aa"/>
    <w:uiPriority w:val="99"/>
    <w:rsid w:val="002419B6"/>
    <w:rPr>
      <w:rFonts w:ascii="Times New Roman" w:hAnsi="Times New Roman"/>
      <w:sz w:val="24"/>
    </w:rPr>
  </w:style>
  <w:style w:type="paragraph" w:styleId="ac">
    <w:name w:val="TOC Heading"/>
    <w:basedOn w:val="1"/>
    <w:next w:val="a"/>
    <w:uiPriority w:val="39"/>
    <w:unhideWhenUsed/>
    <w:qFormat/>
    <w:rsid w:val="008E4A34"/>
    <w:pPr>
      <w:spacing w:before="240" w:after="0" w:line="259" w:lineRule="auto"/>
      <w:jc w:val="left"/>
      <w:outlineLvl w:val="9"/>
    </w:pPr>
    <w:rPr>
      <w:rFonts w:asciiTheme="majorHAnsi" w:hAnsiTheme="majorHAnsi"/>
    </w:rPr>
  </w:style>
  <w:style w:type="paragraph" w:styleId="11">
    <w:name w:val="toc 1"/>
    <w:basedOn w:val="a"/>
    <w:next w:val="a"/>
    <w:autoRedefine/>
    <w:uiPriority w:val="39"/>
    <w:unhideWhenUsed/>
    <w:rsid w:val="008E4A34"/>
    <w:pPr>
      <w:spacing w:after="100"/>
    </w:pPr>
  </w:style>
  <w:style w:type="paragraph" w:styleId="21">
    <w:name w:val="toc 2"/>
    <w:basedOn w:val="a"/>
    <w:next w:val="a"/>
    <w:autoRedefine/>
    <w:uiPriority w:val="39"/>
    <w:unhideWhenUsed/>
    <w:rsid w:val="008E4A3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76932">
      <w:bodyDiv w:val="1"/>
      <w:marLeft w:val="0"/>
      <w:marRight w:val="0"/>
      <w:marTop w:val="0"/>
      <w:marBottom w:val="0"/>
      <w:divBdr>
        <w:top w:val="none" w:sz="0" w:space="0" w:color="auto"/>
        <w:left w:val="none" w:sz="0" w:space="0" w:color="auto"/>
        <w:bottom w:val="none" w:sz="0" w:space="0" w:color="auto"/>
        <w:right w:val="none" w:sz="0" w:space="0" w:color="auto"/>
      </w:divBdr>
    </w:div>
    <w:div w:id="423041163">
      <w:bodyDiv w:val="1"/>
      <w:marLeft w:val="0"/>
      <w:marRight w:val="0"/>
      <w:marTop w:val="0"/>
      <w:marBottom w:val="0"/>
      <w:divBdr>
        <w:top w:val="none" w:sz="0" w:space="0" w:color="auto"/>
        <w:left w:val="none" w:sz="0" w:space="0" w:color="auto"/>
        <w:bottom w:val="none" w:sz="0" w:space="0" w:color="auto"/>
        <w:right w:val="none" w:sz="0" w:space="0" w:color="auto"/>
      </w:divBdr>
    </w:div>
    <w:div w:id="423495510">
      <w:bodyDiv w:val="1"/>
      <w:marLeft w:val="0"/>
      <w:marRight w:val="0"/>
      <w:marTop w:val="0"/>
      <w:marBottom w:val="0"/>
      <w:divBdr>
        <w:top w:val="none" w:sz="0" w:space="0" w:color="auto"/>
        <w:left w:val="none" w:sz="0" w:space="0" w:color="auto"/>
        <w:bottom w:val="none" w:sz="0" w:space="0" w:color="auto"/>
        <w:right w:val="none" w:sz="0" w:space="0" w:color="auto"/>
      </w:divBdr>
    </w:div>
    <w:div w:id="671106972">
      <w:bodyDiv w:val="1"/>
      <w:marLeft w:val="0"/>
      <w:marRight w:val="0"/>
      <w:marTop w:val="0"/>
      <w:marBottom w:val="0"/>
      <w:divBdr>
        <w:top w:val="none" w:sz="0" w:space="0" w:color="auto"/>
        <w:left w:val="none" w:sz="0" w:space="0" w:color="auto"/>
        <w:bottom w:val="none" w:sz="0" w:space="0" w:color="auto"/>
        <w:right w:val="none" w:sz="0" w:space="0" w:color="auto"/>
      </w:divBdr>
    </w:div>
    <w:div w:id="758869201">
      <w:bodyDiv w:val="1"/>
      <w:marLeft w:val="0"/>
      <w:marRight w:val="0"/>
      <w:marTop w:val="0"/>
      <w:marBottom w:val="0"/>
      <w:divBdr>
        <w:top w:val="none" w:sz="0" w:space="0" w:color="auto"/>
        <w:left w:val="none" w:sz="0" w:space="0" w:color="auto"/>
        <w:bottom w:val="none" w:sz="0" w:space="0" w:color="auto"/>
        <w:right w:val="none" w:sz="0" w:space="0" w:color="auto"/>
      </w:divBdr>
    </w:div>
    <w:div w:id="876046636">
      <w:bodyDiv w:val="1"/>
      <w:marLeft w:val="0"/>
      <w:marRight w:val="0"/>
      <w:marTop w:val="0"/>
      <w:marBottom w:val="0"/>
      <w:divBdr>
        <w:top w:val="none" w:sz="0" w:space="0" w:color="auto"/>
        <w:left w:val="none" w:sz="0" w:space="0" w:color="auto"/>
        <w:bottom w:val="none" w:sz="0" w:space="0" w:color="auto"/>
        <w:right w:val="none" w:sz="0" w:space="0" w:color="auto"/>
      </w:divBdr>
    </w:div>
    <w:div w:id="943422599">
      <w:bodyDiv w:val="1"/>
      <w:marLeft w:val="0"/>
      <w:marRight w:val="0"/>
      <w:marTop w:val="0"/>
      <w:marBottom w:val="0"/>
      <w:divBdr>
        <w:top w:val="none" w:sz="0" w:space="0" w:color="auto"/>
        <w:left w:val="none" w:sz="0" w:space="0" w:color="auto"/>
        <w:bottom w:val="none" w:sz="0" w:space="0" w:color="auto"/>
        <w:right w:val="none" w:sz="0" w:space="0" w:color="auto"/>
      </w:divBdr>
    </w:div>
    <w:div w:id="1077553629">
      <w:bodyDiv w:val="1"/>
      <w:marLeft w:val="0"/>
      <w:marRight w:val="0"/>
      <w:marTop w:val="0"/>
      <w:marBottom w:val="0"/>
      <w:divBdr>
        <w:top w:val="none" w:sz="0" w:space="0" w:color="auto"/>
        <w:left w:val="none" w:sz="0" w:space="0" w:color="auto"/>
        <w:bottom w:val="none" w:sz="0" w:space="0" w:color="auto"/>
        <w:right w:val="none" w:sz="0" w:space="0" w:color="auto"/>
      </w:divBdr>
    </w:div>
    <w:div w:id="1237472603">
      <w:bodyDiv w:val="1"/>
      <w:marLeft w:val="0"/>
      <w:marRight w:val="0"/>
      <w:marTop w:val="0"/>
      <w:marBottom w:val="0"/>
      <w:divBdr>
        <w:top w:val="none" w:sz="0" w:space="0" w:color="auto"/>
        <w:left w:val="none" w:sz="0" w:space="0" w:color="auto"/>
        <w:bottom w:val="none" w:sz="0" w:space="0" w:color="auto"/>
        <w:right w:val="none" w:sz="0" w:space="0" w:color="auto"/>
      </w:divBdr>
    </w:div>
    <w:div w:id="1284725171">
      <w:bodyDiv w:val="1"/>
      <w:marLeft w:val="0"/>
      <w:marRight w:val="0"/>
      <w:marTop w:val="0"/>
      <w:marBottom w:val="0"/>
      <w:divBdr>
        <w:top w:val="none" w:sz="0" w:space="0" w:color="auto"/>
        <w:left w:val="none" w:sz="0" w:space="0" w:color="auto"/>
        <w:bottom w:val="none" w:sz="0" w:space="0" w:color="auto"/>
        <w:right w:val="none" w:sz="0" w:space="0" w:color="auto"/>
      </w:divBdr>
    </w:div>
    <w:div w:id="1334797222">
      <w:bodyDiv w:val="1"/>
      <w:marLeft w:val="0"/>
      <w:marRight w:val="0"/>
      <w:marTop w:val="0"/>
      <w:marBottom w:val="0"/>
      <w:divBdr>
        <w:top w:val="none" w:sz="0" w:space="0" w:color="auto"/>
        <w:left w:val="none" w:sz="0" w:space="0" w:color="auto"/>
        <w:bottom w:val="none" w:sz="0" w:space="0" w:color="auto"/>
        <w:right w:val="none" w:sz="0" w:space="0" w:color="auto"/>
      </w:divBdr>
      <w:divsChild>
        <w:div w:id="295716879">
          <w:marLeft w:val="-225"/>
          <w:marRight w:val="-225"/>
          <w:marTop w:val="0"/>
          <w:marBottom w:val="0"/>
          <w:divBdr>
            <w:top w:val="none" w:sz="0" w:space="0" w:color="auto"/>
            <w:left w:val="none" w:sz="0" w:space="0" w:color="auto"/>
            <w:bottom w:val="none" w:sz="0" w:space="0" w:color="auto"/>
            <w:right w:val="none" w:sz="0" w:space="0" w:color="auto"/>
          </w:divBdr>
          <w:divsChild>
            <w:div w:id="1337806026">
              <w:marLeft w:val="0"/>
              <w:marRight w:val="0"/>
              <w:marTop w:val="0"/>
              <w:marBottom w:val="0"/>
              <w:divBdr>
                <w:top w:val="none" w:sz="0" w:space="0" w:color="auto"/>
                <w:left w:val="none" w:sz="0" w:space="0" w:color="auto"/>
                <w:bottom w:val="none" w:sz="0" w:space="0" w:color="auto"/>
                <w:right w:val="none" w:sz="0" w:space="0" w:color="auto"/>
              </w:divBdr>
              <w:divsChild>
                <w:div w:id="214896143">
                  <w:marLeft w:val="0"/>
                  <w:marRight w:val="0"/>
                  <w:marTop w:val="0"/>
                  <w:marBottom w:val="0"/>
                  <w:divBdr>
                    <w:top w:val="none" w:sz="0" w:space="0" w:color="E0E0E0"/>
                    <w:left w:val="single" w:sz="36" w:space="0" w:color="E0E0E0"/>
                    <w:bottom w:val="none" w:sz="0" w:space="0" w:color="E0E0E0"/>
                    <w:right w:val="none" w:sz="0" w:space="0" w:color="E0E0E0"/>
                  </w:divBdr>
                  <w:divsChild>
                    <w:div w:id="136741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534637">
          <w:marLeft w:val="-225"/>
          <w:marRight w:val="-225"/>
          <w:marTop w:val="0"/>
          <w:marBottom w:val="0"/>
          <w:divBdr>
            <w:top w:val="none" w:sz="0" w:space="0" w:color="auto"/>
            <w:left w:val="none" w:sz="0" w:space="0" w:color="auto"/>
            <w:bottom w:val="none" w:sz="0" w:space="0" w:color="auto"/>
            <w:right w:val="none" w:sz="0" w:space="0" w:color="auto"/>
          </w:divBdr>
          <w:divsChild>
            <w:div w:id="191496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795088">
      <w:bodyDiv w:val="1"/>
      <w:marLeft w:val="0"/>
      <w:marRight w:val="0"/>
      <w:marTop w:val="0"/>
      <w:marBottom w:val="0"/>
      <w:divBdr>
        <w:top w:val="none" w:sz="0" w:space="0" w:color="auto"/>
        <w:left w:val="none" w:sz="0" w:space="0" w:color="auto"/>
        <w:bottom w:val="none" w:sz="0" w:space="0" w:color="auto"/>
        <w:right w:val="none" w:sz="0" w:space="0" w:color="auto"/>
      </w:divBdr>
    </w:div>
    <w:div w:id="1455564462">
      <w:bodyDiv w:val="1"/>
      <w:marLeft w:val="0"/>
      <w:marRight w:val="0"/>
      <w:marTop w:val="0"/>
      <w:marBottom w:val="0"/>
      <w:divBdr>
        <w:top w:val="none" w:sz="0" w:space="0" w:color="auto"/>
        <w:left w:val="none" w:sz="0" w:space="0" w:color="auto"/>
        <w:bottom w:val="none" w:sz="0" w:space="0" w:color="auto"/>
        <w:right w:val="none" w:sz="0" w:space="0" w:color="auto"/>
      </w:divBdr>
    </w:div>
    <w:div w:id="1476072269">
      <w:bodyDiv w:val="1"/>
      <w:marLeft w:val="0"/>
      <w:marRight w:val="0"/>
      <w:marTop w:val="0"/>
      <w:marBottom w:val="0"/>
      <w:divBdr>
        <w:top w:val="none" w:sz="0" w:space="0" w:color="auto"/>
        <w:left w:val="none" w:sz="0" w:space="0" w:color="auto"/>
        <w:bottom w:val="none" w:sz="0" w:space="0" w:color="auto"/>
        <w:right w:val="none" w:sz="0" w:space="0" w:color="auto"/>
      </w:divBdr>
    </w:div>
    <w:div w:id="1478910113">
      <w:bodyDiv w:val="1"/>
      <w:marLeft w:val="0"/>
      <w:marRight w:val="0"/>
      <w:marTop w:val="0"/>
      <w:marBottom w:val="0"/>
      <w:divBdr>
        <w:top w:val="none" w:sz="0" w:space="0" w:color="auto"/>
        <w:left w:val="none" w:sz="0" w:space="0" w:color="auto"/>
        <w:bottom w:val="none" w:sz="0" w:space="0" w:color="auto"/>
        <w:right w:val="none" w:sz="0" w:space="0" w:color="auto"/>
      </w:divBdr>
    </w:div>
    <w:div w:id="1485732343">
      <w:bodyDiv w:val="1"/>
      <w:marLeft w:val="0"/>
      <w:marRight w:val="0"/>
      <w:marTop w:val="0"/>
      <w:marBottom w:val="0"/>
      <w:divBdr>
        <w:top w:val="none" w:sz="0" w:space="0" w:color="auto"/>
        <w:left w:val="none" w:sz="0" w:space="0" w:color="auto"/>
        <w:bottom w:val="none" w:sz="0" w:space="0" w:color="auto"/>
        <w:right w:val="none" w:sz="0" w:space="0" w:color="auto"/>
      </w:divBdr>
    </w:div>
    <w:div w:id="1548184002">
      <w:bodyDiv w:val="1"/>
      <w:marLeft w:val="0"/>
      <w:marRight w:val="0"/>
      <w:marTop w:val="0"/>
      <w:marBottom w:val="0"/>
      <w:divBdr>
        <w:top w:val="none" w:sz="0" w:space="0" w:color="auto"/>
        <w:left w:val="none" w:sz="0" w:space="0" w:color="auto"/>
        <w:bottom w:val="none" w:sz="0" w:space="0" w:color="auto"/>
        <w:right w:val="none" w:sz="0" w:space="0" w:color="auto"/>
      </w:divBdr>
    </w:div>
    <w:div w:id="1595553836">
      <w:bodyDiv w:val="1"/>
      <w:marLeft w:val="0"/>
      <w:marRight w:val="0"/>
      <w:marTop w:val="0"/>
      <w:marBottom w:val="0"/>
      <w:divBdr>
        <w:top w:val="none" w:sz="0" w:space="0" w:color="auto"/>
        <w:left w:val="none" w:sz="0" w:space="0" w:color="auto"/>
        <w:bottom w:val="none" w:sz="0" w:space="0" w:color="auto"/>
        <w:right w:val="none" w:sz="0" w:space="0" w:color="auto"/>
      </w:divBdr>
    </w:div>
    <w:div w:id="1675456621">
      <w:bodyDiv w:val="1"/>
      <w:marLeft w:val="0"/>
      <w:marRight w:val="0"/>
      <w:marTop w:val="0"/>
      <w:marBottom w:val="0"/>
      <w:divBdr>
        <w:top w:val="none" w:sz="0" w:space="0" w:color="auto"/>
        <w:left w:val="none" w:sz="0" w:space="0" w:color="auto"/>
        <w:bottom w:val="none" w:sz="0" w:space="0" w:color="auto"/>
        <w:right w:val="none" w:sz="0" w:space="0" w:color="auto"/>
      </w:divBdr>
    </w:div>
    <w:div w:id="1872066129">
      <w:bodyDiv w:val="1"/>
      <w:marLeft w:val="0"/>
      <w:marRight w:val="0"/>
      <w:marTop w:val="0"/>
      <w:marBottom w:val="0"/>
      <w:divBdr>
        <w:top w:val="none" w:sz="0" w:space="0" w:color="auto"/>
        <w:left w:val="none" w:sz="0" w:space="0" w:color="auto"/>
        <w:bottom w:val="none" w:sz="0" w:space="0" w:color="auto"/>
        <w:right w:val="none" w:sz="0" w:space="0" w:color="auto"/>
      </w:divBdr>
    </w:div>
    <w:div w:id="19658835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BEFD3-ECD0-4043-A8F5-61ECF8CF3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2454</Words>
  <Characters>13992</Characters>
  <Application>Microsoft Office Word</Application>
  <DocSecurity>0</DocSecurity>
  <Lines>116</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Faizaa Fariya Hridi</dc:creator>
  <cp:keywords/>
  <dc:description/>
  <cp:lastModifiedBy>Desislava Hristova</cp:lastModifiedBy>
  <cp:revision>2</cp:revision>
  <dcterms:created xsi:type="dcterms:W3CDTF">2022-05-04T20:20:00Z</dcterms:created>
  <dcterms:modified xsi:type="dcterms:W3CDTF">2022-05-04T20:20:00Z</dcterms:modified>
</cp:coreProperties>
</file>