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414491"/>
        <w:docPartObj>
          <w:docPartGallery w:val="Cover Pages"/>
          <w:docPartUnique/>
        </w:docPartObj>
      </w:sdtPr>
      <w:sdtEndPr>
        <w:rPr>
          <w:rFonts w:ascii="Times New Roman" w:eastAsia="Times New Roman" w:hAnsi="Times New Roman" w:cs="Times New Roman"/>
          <w:b/>
          <w:bCs/>
          <w:kern w:val="36"/>
          <w:sz w:val="32"/>
          <w:szCs w:val="32"/>
          <w:lang w:eastAsia="en-GB"/>
          <w14:ligatures w14:val="none"/>
        </w:rPr>
      </w:sdtEndPr>
      <w:sdtContent>
        <w:p w14:paraId="4FB3A229" w14:textId="3C85F4FB" w:rsidR="00C14EE2" w:rsidRDefault="00C14EE2">
          <w:r>
            <w:rPr>
              <w:noProof/>
            </w:rPr>
            <mc:AlternateContent>
              <mc:Choice Requires="wpg">
                <w:drawing>
                  <wp:anchor distT="0" distB="0" distL="114300" distR="114300" simplePos="0" relativeHeight="251659264" behindDoc="1" locked="0" layoutInCell="1" allowOverlap="1" wp14:anchorId="3960D656" wp14:editId="1918D844">
                    <wp:simplePos x="0" y="0"/>
                    <wp:positionH relativeFrom="page">
                      <wp:align>center</wp:align>
                    </wp:positionH>
                    <wp:positionV relativeFrom="page">
                      <wp:align>center</wp:align>
                    </wp:positionV>
                    <wp:extent cx="6864824" cy="9123528"/>
                    <wp:effectExtent l="0" t="0" r="18415" b="1524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3">
                                <a:schemeClr val="lt1"/>
                              </a:lnRef>
                              <a:fillRef idx="1">
                                <a:schemeClr val="dk1"/>
                              </a:fillRef>
                              <a:effectRef idx="1">
                                <a:schemeClr val="dk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9D50A9" w14:textId="4A400D72" w:rsidR="00C14EE2" w:rsidRDefault="00730DDE">
                                      <w:pPr>
                                        <w:pStyle w:val="NoSpacing"/>
                                        <w:spacing w:before="120"/>
                                        <w:jc w:val="center"/>
                                        <w:rPr>
                                          <w:color w:val="FFFFFF" w:themeColor="background1"/>
                                        </w:rPr>
                                      </w:pPr>
                                      <w:r>
                                        <w:rPr>
                                          <w:color w:val="FFFFFF" w:themeColor="background1"/>
                                        </w:rPr>
                                        <w:t>Student: Malina-Gabriela Bojean (2235979)</w:t>
                                      </w:r>
                                    </w:p>
                                  </w:sdtContent>
                                </w:sdt>
                                <w:p w14:paraId="742C5AC1" w14:textId="0D559574" w:rsidR="00C14EE2" w:rsidRDefault="00C14EE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730DDE">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730DDE">
                                        <w:rPr>
                                          <w:color w:val="FFFFFF" w:themeColor="background1"/>
                                        </w:rPr>
                                        <w:t xml:space="preserve">Lecturer: </w:t>
                                      </w:r>
                                    </w:sdtContent>
                                  </w:sdt>
                                  <w:r w:rsidR="00730DDE" w:rsidRPr="00730DDE">
                                    <w:rPr>
                                      <w:color w:val="FFFFFF" w:themeColor="background1"/>
                                    </w:rPr>
                                    <w:t>Dr Ramases Manalang Nerys Dosseh</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7D459" w:themeColor="accent3" w:themeTint="99"/>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EBC5DA" w14:textId="3250A2FB" w:rsidR="00C14EE2" w:rsidRPr="00730DDE" w:rsidRDefault="00730DDE">
                                      <w:pPr>
                                        <w:pStyle w:val="NoSpacing"/>
                                        <w:jc w:val="center"/>
                                        <w:rPr>
                                          <w:rFonts w:asciiTheme="majorHAnsi" w:eastAsiaTheme="majorEastAsia" w:hAnsiTheme="majorHAnsi" w:cstheme="majorBidi"/>
                                          <w:caps/>
                                          <w:color w:val="47D459" w:themeColor="accent3" w:themeTint="99"/>
                                          <w:sz w:val="72"/>
                                          <w:szCs w:val="72"/>
                                        </w:rPr>
                                      </w:pPr>
                                      <w:r w:rsidRPr="00730DDE">
                                        <w:rPr>
                                          <w:rFonts w:asciiTheme="majorHAnsi" w:eastAsiaTheme="majorEastAsia" w:hAnsiTheme="majorHAnsi" w:cstheme="majorBidi"/>
                                          <w:caps/>
                                          <w:color w:val="47D459" w:themeColor="accent3" w:themeTint="99"/>
                                          <w:sz w:val="72"/>
                                          <w:szCs w:val="72"/>
                                        </w:rPr>
                                        <w:t xml:space="preserve">Principles of Human Resource Management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60D656"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" fillcolor="#101010 [3024]" strokecolor="black [3200]" strokeweight="1pt">
                      <v:fill color2="black [3168]" rotate="t" colors="0 #454545;.5 black;1 black" focus="100%" type="gradient">
                        <o:fill v:ext="view" type="gradientUnscaled"/>
                      </v:fill>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" fillcolor="black [3200]" strokecolor="white [3201]"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9D50A9" w14:textId="4A400D72" w:rsidR="00C14EE2" w:rsidRDefault="00730DDE">
                                <w:pPr>
                                  <w:pStyle w:val="NoSpacing"/>
                                  <w:spacing w:before="120"/>
                                  <w:jc w:val="center"/>
                                  <w:rPr>
                                    <w:color w:val="FFFFFF" w:themeColor="background1"/>
                                  </w:rPr>
                                </w:pPr>
                                <w:r>
                                  <w:rPr>
                                    <w:color w:val="FFFFFF" w:themeColor="background1"/>
                                  </w:rPr>
                                  <w:t>Student: Malina-Gabriela Bojean (2235979)</w:t>
                                </w:r>
                              </w:p>
                            </w:sdtContent>
                          </w:sdt>
                          <w:p w14:paraId="742C5AC1" w14:textId="0D559574" w:rsidR="00C14EE2" w:rsidRDefault="00C14EE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730DDE">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730DDE">
                                  <w:rPr>
                                    <w:color w:val="FFFFFF" w:themeColor="background1"/>
                                  </w:rPr>
                                  <w:t xml:space="preserve">Lecturer: </w:t>
                                </w:r>
                              </w:sdtContent>
                            </w:sdt>
                            <w:r w:rsidR="00730DDE" w:rsidRPr="00730DDE">
                              <w:rPr>
                                <w:color w:val="FFFFFF" w:themeColor="background1"/>
                              </w:rPr>
                              <w:t>Dr Ramases Manalang Nerys Dosseh</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7D459" w:themeColor="accent3" w:themeTint="99"/>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EBC5DA" w14:textId="3250A2FB" w:rsidR="00C14EE2" w:rsidRPr="00730DDE" w:rsidRDefault="00730DDE">
                                <w:pPr>
                                  <w:pStyle w:val="NoSpacing"/>
                                  <w:jc w:val="center"/>
                                  <w:rPr>
                                    <w:rFonts w:asciiTheme="majorHAnsi" w:eastAsiaTheme="majorEastAsia" w:hAnsiTheme="majorHAnsi" w:cstheme="majorBidi"/>
                                    <w:caps/>
                                    <w:color w:val="47D459" w:themeColor="accent3" w:themeTint="99"/>
                                    <w:sz w:val="72"/>
                                    <w:szCs w:val="72"/>
                                  </w:rPr>
                                </w:pPr>
                                <w:r w:rsidRPr="00730DDE">
                                  <w:rPr>
                                    <w:rFonts w:asciiTheme="majorHAnsi" w:eastAsiaTheme="majorEastAsia" w:hAnsiTheme="majorHAnsi" w:cstheme="majorBidi"/>
                                    <w:caps/>
                                    <w:color w:val="47D459" w:themeColor="accent3" w:themeTint="99"/>
                                    <w:sz w:val="72"/>
                                    <w:szCs w:val="72"/>
                                  </w:rPr>
                                  <w:t xml:space="preserve">Principles of Human Resource Management   </w:t>
                                </w:r>
                              </w:p>
                            </w:sdtContent>
                          </w:sdt>
                        </w:txbxContent>
                      </v:textbox>
                    </v:shape>
                    <w10:wrap anchorx="page" anchory="page"/>
                  </v:group>
                </w:pict>
              </mc:Fallback>
            </mc:AlternateContent>
          </w:r>
          <w:r w:rsidR="00730DDE">
            <w:rPr>
              <w:rFonts w:eastAsiaTheme="minorEastAsia"/>
              <w:color w:val="FFFFFF" w:themeColor="background1"/>
              <w:kern w:val="0"/>
              <w:sz w:val="22"/>
              <w:szCs w:val="22"/>
              <w:lang w:eastAsia="en-GB"/>
              <w14:ligatures w14:val="none"/>
            </w:rPr>
            <w:t xml:space="preserve"> </w:t>
          </w:r>
        </w:p>
        <w:p w14:paraId="4A4A3490" w14:textId="7D74EDA9" w:rsidR="00C14EE2" w:rsidRDefault="00C14EE2">
          <w:pPr>
            <w:rPr>
              <w:rFonts w:ascii="Times New Roman" w:eastAsia="Times New Roman" w:hAnsi="Times New Roman" w:cs="Times New Roman"/>
              <w:b/>
              <w:bCs/>
              <w:kern w:val="36"/>
              <w:sz w:val="32"/>
              <w:szCs w:val="32"/>
              <w:lang w:eastAsia="en-GB"/>
              <w14:ligatures w14:val="none"/>
            </w:rPr>
          </w:pPr>
          <w:r>
            <w:rPr>
              <w:rFonts w:ascii="Times New Roman" w:eastAsia="Times New Roman" w:hAnsi="Times New Roman" w:cs="Times New Roman"/>
              <w:b/>
              <w:bCs/>
              <w:kern w:val="36"/>
              <w:sz w:val="32"/>
              <w:szCs w:val="32"/>
              <w:lang w:eastAsia="en-GB"/>
              <w14:ligatures w14:val="none"/>
            </w:rPr>
            <w:br w:type="page"/>
          </w:r>
        </w:p>
      </w:sdtContent>
    </w:sdt>
    <w:p w14:paraId="5E5E66AF" w14:textId="73BA39D9" w:rsidR="00FF2841" w:rsidRDefault="00FF2841" w:rsidP="00FF28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FF2841">
        <w:rPr>
          <w:rFonts w:ascii="Times New Roman" w:eastAsia="Times New Roman" w:hAnsi="Times New Roman" w:cs="Times New Roman"/>
          <w:b/>
          <w:bCs/>
          <w:kern w:val="36"/>
          <w:sz w:val="48"/>
          <w:szCs w:val="48"/>
          <w:lang w:eastAsia="en-GB"/>
          <w14:ligatures w14:val="none"/>
        </w:rPr>
        <w:lastRenderedPageBreak/>
        <w:t>The Impact of Environmental Factors on Human Resource Management Effectiveness at Amazon</w:t>
      </w:r>
    </w:p>
    <w:p w14:paraId="44166DCC" w14:textId="77777777" w:rsidR="00FF2841" w:rsidRPr="00FF2841" w:rsidRDefault="00FF2841" w:rsidP="00FF28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696418E" w14:textId="77777777" w:rsidR="00FF2841" w:rsidRP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F2841">
        <w:rPr>
          <w:rFonts w:ascii="Times New Roman" w:eastAsia="Times New Roman" w:hAnsi="Times New Roman" w:cs="Times New Roman"/>
          <w:b/>
          <w:bCs/>
          <w:kern w:val="0"/>
          <w:sz w:val="36"/>
          <w:szCs w:val="36"/>
          <w:lang w:eastAsia="en-GB"/>
          <w14:ligatures w14:val="none"/>
        </w:rPr>
        <w:t>1. Introduction</w:t>
      </w:r>
    </w:p>
    <w:p w14:paraId="2D5DD9B3" w14:textId="013A9E83"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 xml:space="preserve">Human Resource Management (HRM) plays an important role in ensuring that </w:t>
      </w:r>
      <w:proofErr w:type="gramStart"/>
      <w:r w:rsidRPr="00FF2841">
        <w:rPr>
          <w:rFonts w:ascii="Times New Roman" w:eastAsia="Times New Roman" w:hAnsi="Times New Roman" w:cs="Times New Roman"/>
          <w:kern w:val="0"/>
          <w:lang w:eastAsia="en-GB"/>
          <w14:ligatures w14:val="none"/>
        </w:rPr>
        <w:t xml:space="preserve">organisations </w:t>
      </w:r>
      <w:r>
        <w:rPr>
          <w:rFonts w:ascii="Times New Roman" w:eastAsia="Times New Roman" w:hAnsi="Times New Roman" w:cs="Times New Roman"/>
          <w:kern w:val="0"/>
          <w:lang w:eastAsia="en-GB"/>
          <w14:ligatures w14:val="none"/>
        </w:rPr>
        <w:t xml:space="preserve"> </w:t>
      </w:r>
      <w:r w:rsidRPr="00FF2841">
        <w:rPr>
          <w:rFonts w:ascii="Times New Roman" w:eastAsia="Times New Roman" w:hAnsi="Times New Roman" w:cs="Times New Roman"/>
          <w:kern w:val="0"/>
          <w:lang w:eastAsia="en-GB"/>
          <w14:ligatures w14:val="none"/>
        </w:rPr>
        <w:t>have</w:t>
      </w:r>
      <w:proofErr w:type="gramEnd"/>
      <w:r w:rsidRPr="00FF2841">
        <w:rPr>
          <w:rFonts w:ascii="Times New Roman" w:eastAsia="Times New Roman" w:hAnsi="Times New Roman" w:cs="Times New Roman"/>
          <w:kern w:val="0"/>
          <w:lang w:eastAsia="en-GB"/>
          <w14:ligatures w14:val="none"/>
        </w:rPr>
        <w:t xml:space="preserve"> the appropriate people, skills and organisational practices required to achieve their strategic objectives. HR managers are responsible for a wide range of activities, including recruitment and selection, training and development, performance management, employee relations, reward and employee wellbeing. Effective HRM can contribute to organisational performance by ensuring that employees are appropriately recruited, developed, motivated and retained. However, HR managers do not operate independently from the wider business environment. Political, economic, social, technological, legal and environmental factors can influence employment practices and create both opportunities and challenges for HR departments.</w:t>
      </w:r>
    </w:p>
    <w:p w14:paraId="04757E33"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This report evaluates how environmental factors influence the effectiveness of HR managers within Amazon, a multinational organisation operating across numerous international markets. Amazon is an appropriate organisation for this analysis because of its large and diverse workforce, international operations and dependence on technology, logistics and highly developed supply-chain systems. As of December 2025, Amazon employed approximately 1.576 million full-time and part-time employees, demonstrating the considerable scale of its HR responsibilities (Amazon, 2026).</w:t>
      </w:r>
    </w:p>
    <w:p w14:paraId="2A7719A9"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 xml:space="preserve">The report uses the PESTLE model to examine the external business environment. PESTLE considers political, economic, social, technological, legal and environmental influences and provides a structured method for identifying factors that may affect organisational decision-making. The report first discusses the internal and external environment and the relationship between PESTLE and HR functions. It then introduces Amazon and considers its HR practices before applying PESTLE to Amazon's international operations. </w:t>
      </w:r>
      <w:proofErr w:type="gramStart"/>
      <w:r w:rsidRPr="00FF2841">
        <w:rPr>
          <w:rFonts w:ascii="Times New Roman" w:eastAsia="Times New Roman" w:hAnsi="Times New Roman" w:cs="Times New Roman"/>
          <w:kern w:val="0"/>
          <w:lang w:eastAsia="en-GB"/>
          <w14:ligatures w14:val="none"/>
        </w:rPr>
        <w:t>Particular attention</w:t>
      </w:r>
      <w:proofErr w:type="gramEnd"/>
      <w:r w:rsidRPr="00FF2841">
        <w:rPr>
          <w:rFonts w:ascii="Times New Roman" w:eastAsia="Times New Roman" w:hAnsi="Times New Roman" w:cs="Times New Roman"/>
          <w:kern w:val="0"/>
          <w:lang w:eastAsia="en-GB"/>
          <w14:ligatures w14:val="none"/>
        </w:rPr>
        <w:t xml:space="preserve"> is given to differences between countries, including cultural, legal and economic conditions. Finally, the report evaluates the implications of these factors for HR managers and considers future challenges for global HRM.</w:t>
      </w:r>
    </w:p>
    <w:p w14:paraId="415E21ED" w14:textId="77777777" w:rsid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95FA02A" w14:textId="77777777" w:rsid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A39A9FA" w14:textId="77777777" w:rsid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6202589" w14:textId="04902DCC" w:rsidR="00FF2841" w:rsidRP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F2841">
        <w:rPr>
          <w:rFonts w:ascii="Times New Roman" w:eastAsia="Times New Roman" w:hAnsi="Times New Roman" w:cs="Times New Roman"/>
          <w:b/>
          <w:bCs/>
          <w:kern w:val="0"/>
          <w:sz w:val="36"/>
          <w:szCs w:val="36"/>
          <w:lang w:eastAsia="en-GB"/>
          <w14:ligatures w14:val="none"/>
        </w:rPr>
        <w:lastRenderedPageBreak/>
        <w:t>2. Internal and External Environment</w:t>
      </w:r>
    </w:p>
    <w:p w14:paraId="0A4CDB01"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PESTLE framework provides organisations with a systematic method for examining major external forces that may influence business operations. The political dimension considers government policy, political stability, taxation and employment policy. Economic factors include inflation, unemployment, wage levels, economic growth and labour-market conditions. Social factors relate to demographics, values, culture, education and employee expectations. Technological factors include automation, artificial intelligence, digitalisation and technological innovation. Legal factors concern employment legislation, health and safety requirements, equality legislation and employee rights, while environmental factors include climate change, sustainability requirements and pressure to reduce environmental impacts.</w:t>
      </w:r>
    </w:p>
    <w:p w14:paraId="417A6DDC"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usefulness of PESTLE for HRM is that it enables HR managers to identify environmental changes that may affect workforce planning and employment practices. For example, changes in labour-market conditions can influence recruitment and retention, while technological developments can change the skills required from employees. Similarly, changes in employment legislation can require HR departments to modify contracts, working arrangements, recruitment procedures and employee relations policies. Morley et al. (2021) demonstrate that the political/legal, economic and cultural environments of both home and host countries can influence how multinational organisations design and implement HR practices.</w:t>
      </w:r>
    </w:p>
    <w:p w14:paraId="10D5691E"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However, PESTLE also has limitations. The model primarily focuses on external factors and may provide less detailed information about internal organisational issues such as leadership, organisational culture, employee motivation and internal capabilities. It can also oversimplify complex relationships between factors because environmental influences rarely operate independently. For example, technological change may simultaneously create economic, social and legal consequences. Therefore, PESTLE should be used alongside HRM theory and organisational analysis rather than as a standalone decision-making tool.</w:t>
      </w:r>
    </w:p>
    <w:p w14:paraId="662E4F5B" w14:textId="77777777" w:rsid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model can be directly linked to key HR functions. Recruitment can be influenced by economic conditions, labour shortages, migration policies and technological developments. Training and development can be affected by technological change and changing skill requirements. Performance management can be influenced by national culture and employment regulations. Employee relations can be affected by labour legislation, trade unions, social expectations and differences in workplace culture. This is particularly significant for multinational enterprises because HR managers must balance organisational consistency with local requirements. Schotter, Meyer and Wood (2021) argue that institutional environments are an important consideration in international HRM, while Morley et al. (2021) found that country-level cultural, political/legal and economic conditions influence performance appraisal systems in multinational enterprises.</w:t>
      </w:r>
    </w:p>
    <w:p w14:paraId="26987F58" w14:textId="77777777" w:rsidR="00C14EE2" w:rsidRDefault="00C14EE2"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1260488" w14:textId="77777777" w:rsidR="00C14EE2" w:rsidRDefault="00C14EE2"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A1685DB" w14:textId="77777777" w:rsidR="00C14EE2" w:rsidRPr="00FF2841" w:rsidRDefault="00C14EE2"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FEAC4F3" w14:textId="77777777" w:rsidR="00FF2841" w:rsidRP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F2841">
        <w:rPr>
          <w:rFonts w:ascii="Times New Roman" w:eastAsia="Times New Roman" w:hAnsi="Times New Roman" w:cs="Times New Roman"/>
          <w:b/>
          <w:bCs/>
          <w:kern w:val="0"/>
          <w:sz w:val="36"/>
          <w:szCs w:val="36"/>
          <w:lang w:eastAsia="en-GB"/>
          <w14:ligatures w14:val="none"/>
        </w:rPr>
        <w:lastRenderedPageBreak/>
        <w:t>3. Organisation Application</w:t>
      </w:r>
    </w:p>
    <w:p w14:paraId="2C926AC8"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Amazon is a global technology and e-commerce organisation headquartered in the United States. Its activities include online retail, cloud computing through Amazon Web Services (AWS), logistics, digital services, advertising and other technology-related activities. The organisation operates internationally and therefore manages employees in different national and institutional environments.</w:t>
      </w:r>
    </w:p>
    <w:p w14:paraId="08173F98"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Human capital is central to Amazon's operations. Amazon's 2025 Annual Report states that the organisation employed approximately 1.576 million full-time and part-time employees at the end of 2025, in addition to contractors and temporary personnel. Amazon reports that it uses recruitment, development, evaluation and retention mechanisms to manage its workforce. It also provides skills-development and education initiatives, including Amazon Career Choice, through which more than 300,000 employees worldwide have participated.</w:t>
      </w:r>
    </w:p>
    <w:p w14:paraId="7EEF61E3"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Amazon's HR practices include recruitment and selection, employee training and development, performance evaluation, compensation and benefits, health and safety, employee engagement and feedback. The organisation also invests in workplace safety and skills development. These practices demonstrate the importance of HRM to an organisation operating at Amazon's scale.</w:t>
      </w:r>
    </w:p>
    <w:p w14:paraId="408B4018" w14:textId="55AD43C2"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 xml:space="preserve">However, managing these practices internationally creates significant challenges. HR managers must consider local employment legislation, cultural expectations, labour-market conditions and economic circumstances. Consequently, Amazon needs to maintain global organisational objectives while adapting </w:t>
      </w:r>
      <w:r w:rsidRPr="00FF2841">
        <w:rPr>
          <w:rFonts w:ascii="Times New Roman" w:eastAsia="Times New Roman" w:hAnsi="Times New Roman" w:cs="Times New Roman"/>
          <w:kern w:val="0"/>
          <w:lang w:eastAsia="en-GB"/>
          <w14:ligatures w14:val="none"/>
        </w:rPr>
        <w:t>HR</w:t>
      </w:r>
      <w:r w:rsidRPr="00FF2841">
        <w:rPr>
          <w:rFonts w:ascii="Times New Roman" w:eastAsia="Times New Roman" w:hAnsi="Times New Roman" w:cs="Times New Roman"/>
          <w:kern w:val="0"/>
          <w:lang w:eastAsia="en-GB"/>
          <w14:ligatures w14:val="none"/>
        </w:rPr>
        <w:t xml:space="preserve"> practices to national environments.</w:t>
      </w:r>
    </w:p>
    <w:p w14:paraId="49538275" w14:textId="77777777" w:rsidR="00C14EE2" w:rsidRDefault="00C14EE2"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926B1A9" w14:textId="5D19FEDE" w:rsidR="00FF2841" w:rsidRP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F2841">
        <w:rPr>
          <w:rFonts w:ascii="Times New Roman" w:eastAsia="Times New Roman" w:hAnsi="Times New Roman" w:cs="Times New Roman"/>
          <w:b/>
          <w:bCs/>
          <w:kern w:val="0"/>
          <w:sz w:val="36"/>
          <w:szCs w:val="36"/>
          <w:lang w:eastAsia="en-GB"/>
          <w14:ligatures w14:val="none"/>
        </w:rPr>
        <w:t>4. Application of the PESTLE Model</w:t>
      </w:r>
    </w:p>
    <w:p w14:paraId="1C7A6B2D" w14:textId="77777777" w:rsidR="00FF2841" w:rsidRPr="00FF2841" w:rsidRDefault="00FF2841" w:rsidP="00FF28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F2841">
        <w:rPr>
          <w:rFonts w:ascii="Times New Roman" w:eastAsia="Times New Roman" w:hAnsi="Times New Roman" w:cs="Times New Roman"/>
          <w:b/>
          <w:bCs/>
          <w:kern w:val="0"/>
          <w:sz w:val="27"/>
          <w:szCs w:val="27"/>
          <w:lang w:eastAsia="en-GB"/>
          <w14:ligatures w14:val="none"/>
        </w:rPr>
        <w:t>Political factors</w:t>
      </w:r>
    </w:p>
    <w:p w14:paraId="1F6E5B77"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Political factors can influence Amazon's HR practices because governments determine employment policies, immigration rules, taxation systems and labour-market regulations. Changes in government policy can therefore affect recruitment, workforce planning and employment costs.</w:t>
      </w:r>
    </w:p>
    <w:p w14:paraId="67B7ADF5"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For Amazon, political differences between the United States, United Kingdom and other countries mean that HR managers cannot necessarily implement identical policies everywhere. Immigration policies, for example, can influence the availability of international talent, particularly for technical positions. Amazon reports strong competition for qualified employees in areas such as software engineering, computer science, artificial intelligence and machine learning. Consequently, political decisions affecting skilled migration can influence Amazon's ability to recruit specialist employees.</w:t>
      </w:r>
    </w:p>
    <w:p w14:paraId="0C998605"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 xml:space="preserve">Political pressure can also influence employee relations. Governments may introduce policies concerning minimum wages, working conditions or collective employee representation. HR managers must monitor such developments and ensure that organisational policies remain </w:t>
      </w:r>
      <w:r w:rsidRPr="00FF2841">
        <w:rPr>
          <w:rFonts w:ascii="Times New Roman" w:eastAsia="Times New Roman" w:hAnsi="Times New Roman" w:cs="Times New Roman"/>
          <w:kern w:val="0"/>
          <w:lang w:eastAsia="en-GB"/>
          <w14:ligatures w14:val="none"/>
        </w:rPr>
        <w:lastRenderedPageBreak/>
        <w:t>compliant. This demonstrates that political awareness is necessary for effective strategic HRM in multinational organisations.</w:t>
      </w:r>
    </w:p>
    <w:p w14:paraId="78B72483" w14:textId="77777777" w:rsidR="00FF2841" w:rsidRPr="00FF2841" w:rsidRDefault="00FF2841" w:rsidP="00FF28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F2841">
        <w:rPr>
          <w:rFonts w:ascii="Times New Roman" w:eastAsia="Times New Roman" w:hAnsi="Times New Roman" w:cs="Times New Roman"/>
          <w:b/>
          <w:bCs/>
          <w:kern w:val="0"/>
          <w:sz w:val="27"/>
          <w:szCs w:val="27"/>
          <w:lang w:eastAsia="en-GB"/>
          <w14:ligatures w14:val="none"/>
        </w:rPr>
        <w:t>Economic factors</w:t>
      </w:r>
    </w:p>
    <w:p w14:paraId="2500A65C"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Economic conditions directly affect HR decisions because wages, employment levels, labour shortages and inflation influence both recruitment and employee retention. During periods of high inflation, employees may expect wage increases to maintain their purchasing power. At the same time, organisations may face pressure to control labour costs.</w:t>
      </w:r>
    </w:p>
    <w:p w14:paraId="24FAD923"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Amazon operates in multiple labour markets, meaning that economic conditions can vary considerably between countries. An HR strategy that is appropriate in one country may therefore be less effective in another. For example, differences in wage expectations and living costs can affect compensation strategies. Amazon's 2025 reporting indicates that the company invested significantly in employee benefits and wage increases across different markets.</w:t>
      </w:r>
    </w:p>
    <w:p w14:paraId="4668D2A8"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Economic conditions also influence training and development. During periods of labour shortages, investment in existing employees may become more attractive because organisations can develop internal talent rather than relying entirely on external recruitment. Amazon's investment in skills programmes therefore represents both an employee-development strategy and a response to changing labour-market requirements.</w:t>
      </w:r>
    </w:p>
    <w:p w14:paraId="3E6640B0"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 xml:space="preserve">The relationship between HRM and organisational performance is important here. Research has consistently identified relationships between HR practices such as staffing and training and organisational performance (Delaney and </w:t>
      </w:r>
      <w:proofErr w:type="spellStart"/>
      <w:r w:rsidRPr="00FF2841">
        <w:rPr>
          <w:rFonts w:ascii="Times New Roman" w:eastAsia="Times New Roman" w:hAnsi="Times New Roman" w:cs="Times New Roman"/>
          <w:kern w:val="0"/>
          <w:lang w:eastAsia="en-GB"/>
          <w14:ligatures w14:val="none"/>
        </w:rPr>
        <w:t>Huselid</w:t>
      </w:r>
      <w:proofErr w:type="spellEnd"/>
      <w:r w:rsidRPr="00FF2841">
        <w:rPr>
          <w:rFonts w:ascii="Times New Roman" w:eastAsia="Times New Roman" w:hAnsi="Times New Roman" w:cs="Times New Roman"/>
          <w:kern w:val="0"/>
          <w:lang w:eastAsia="en-GB"/>
          <w14:ligatures w14:val="none"/>
        </w:rPr>
        <w:t>, 1996). Consequently, Amazon's HR managers must balance investment in employees with the financial requirements of a large global organisation.</w:t>
      </w:r>
    </w:p>
    <w:p w14:paraId="73CC689D" w14:textId="77777777" w:rsidR="00FF2841" w:rsidRPr="00FF2841" w:rsidRDefault="00FF2841" w:rsidP="00FF28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F2841">
        <w:rPr>
          <w:rFonts w:ascii="Times New Roman" w:eastAsia="Times New Roman" w:hAnsi="Times New Roman" w:cs="Times New Roman"/>
          <w:b/>
          <w:bCs/>
          <w:kern w:val="0"/>
          <w:sz w:val="27"/>
          <w:szCs w:val="27"/>
          <w:lang w:eastAsia="en-GB"/>
          <w14:ligatures w14:val="none"/>
        </w:rPr>
        <w:t>Social factors</w:t>
      </w:r>
    </w:p>
    <w:p w14:paraId="03D65696"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Social factors are particularly important for Amazon because the organisation employs people from different cultural, demographic and social backgrounds. Employee expectations regarding work-life balance, diversity, inclusion, communication, career development and workplace treatment vary between countries.</w:t>
      </w:r>
    </w:p>
    <w:p w14:paraId="50C45C3B"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National culture can influence recruitment, leadership, performance management and employee relations. For example, employees in some cultures may prefer more individual recognition, while others may place greater importance on group relationships and collective decision-making. Consequently, a standardised performance-management approach may not have the same effect in every country.</w:t>
      </w:r>
    </w:p>
    <w:p w14:paraId="181335ED"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 xml:space="preserve">Morley et al. (2021) found that national culture influences performance appraisal processes and purposes within multinational organisations. Similarly, comparative HRM research suggests that national institutions and cultural characteristics contribute to differences in HR practices across countries. This means Amazon's HR managers need to understand local employee expectations rather than </w:t>
      </w:r>
      <w:proofErr w:type="gramStart"/>
      <w:r w:rsidRPr="00FF2841">
        <w:rPr>
          <w:rFonts w:ascii="Times New Roman" w:eastAsia="Times New Roman" w:hAnsi="Times New Roman" w:cs="Times New Roman"/>
          <w:kern w:val="0"/>
          <w:lang w:eastAsia="en-GB"/>
          <w14:ligatures w14:val="none"/>
        </w:rPr>
        <w:t>assuming that</w:t>
      </w:r>
      <w:proofErr w:type="gramEnd"/>
      <w:r w:rsidRPr="00FF2841">
        <w:rPr>
          <w:rFonts w:ascii="Times New Roman" w:eastAsia="Times New Roman" w:hAnsi="Times New Roman" w:cs="Times New Roman"/>
          <w:kern w:val="0"/>
          <w:lang w:eastAsia="en-GB"/>
          <w14:ligatures w14:val="none"/>
        </w:rPr>
        <w:t xml:space="preserve"> practices developed in the United States will automatically be effective elsewhere.</w:t>
      </w:r>
    </w:p>
    <w:p w14:paraId="34088D8E"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lastRenderedPageBreak/>
        <w:t>Social expectations are also changing. Employees increasingly expect organisations to provide opportunities for career development, wellbeing and inclusive workplaces. Amazon's investment in training, benefits, employee feedback and development therefore has strategic importance because it can support employee engagement and retention.</w:t>
      </w:r>
    </w:p>
    <w:p w14:paraId="472B4CDD" w14:textId="77777777" w:rsidR="00FF2841" w:rsidRPr="00FF2841" w:rsidRDefault="00FF2841" w:rsidP="00FF28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F2841">
        <w:rPr>
          <w:rFonts w:ascii="Times New Roman" w:eastAsia="Times New Roman" w:hAnsi="Times New Roman" w:cs="Times New Roman"/>
          <w:b/>
          <w:bCs/>
          <w:kern w:val="0"/>
          <w:sz w:val="27"/>
          <w:szCs w:val="27"/>
          <w:lang w:eastAsia="en-GB"/>
          <w14:ligatures w14:val="none"/>
        </w:rPr>
        <w:t>Technological factors</w:t>
      </w:r>
    </w:p>
    <w:p w14:paraId="633090AD"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Technology is one of the most significant external influences on Amazon's HR function. Amazon's business model depends heavily on digital technologies, automation, artificial intelligence, cloud computing and data. Technological change can therefore alter the skills Amazon requires and the way employees perform their jobs.</w:t>
      </w:r>
    </w:p>
    <w:p w14:paraId="592B273F"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For HR managers, automation creates both opportunities and challenges. New technologies can improve productivity and reduce repetitive work, but they can also change job roles and create demand for new technical skills. HR departments must therefore identify future skill requirements and provide appropriate training.</w:t>
      </w:r>
    </w:p>
    <w:p w14:paraId="678D7307"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Amazon's Career Choice and other upskilling programmes demonstrate the importance of employee development. Amazon states that more than 300,000 employees worldwide have participated in Career Choice. Such initiatives can help employees develop skills for changing roles and can support organisational workforce planning.</w:t>
      </w:r>
    </w:p>
    <w:p w14:paraId="3882B6E6"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However, technological HRM also creates ethical and employee-relations challenges. The increased use of data, algorithms and automated systems may raise questions concerning employee monitoring, privacy and fairness. HR managers must therefore ensure that technology is implemented responsibly and consistently with legal and ethical expectations.</w:t>
      </w:r>
    </w:p>
    <w:p w14:paraId="09AF69DA" w14:textId="77777777" w:rsidR="00FF2841" w:rsidRPr="00FF2841" w:rsidRDefault="00FF2841" w:rsidP="00FF28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F2841">
        <w:rPr>
          <w:rFonts w:ascii="Times New Roman" w:eastAsia="Times New Roman" w:hAnsi="Times New Roman" w:cs="Times New Roman"/>
          <w:b/>
          <w:bCs/>
          <w:kern w:val="0"/>
          <w:sz w:val="27"/>
          <w:szCs w:val="27"/>
          <w:lang w:eastAsia="en-GB"/>
          <w14:ligatures w14:val="none"/>
        </w:rPr>
        <w:t>Legal factors</w:t>
      </w:r>
    </w:p>
    <w:p w14:paraId="297C90EF"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Legal factors are particularly important for multinational HRM because employment legislation differs between countries. Areas such as minimum wage, working hours, holiday entitlement, discrimination, health and safety, employee consultation and data protection may vary significantly.</w:t>
      </w:r>
    </w:p>
    <w:p w14:paraId="2AD0F844"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Amazon's HR managers must therefore ensure that global policies comply with local legislation. A policy designed in the United States may require modification before being implemented in the United Kingdom or another European country. This creates additional responsibilities for HR professionals because non-compliance can result in financial penalties, legal disputes and reputational damage.</w:t>
      </w:r>
    </w:p>
    <w:p w14:paraId="2DD12192"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Legal differences also affect employee relations. Labour laws may determine the rights of employees to organise collectively and the obligations of employers to consult employees. Therefore, HR managers need strong knowledge of local employment law and must maintain communication with relevant stakeholders.</w:t>
      </w:r>
    </w:p>
    <w:p w14:paraId="4B01A1D9"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Research by Morley et al. (2021) supports the importance of legal and political context in multinational HRM, showing that host-country legal and political systems influence the design of performance-management practices. This suggests that Amazon's HR managers need to combine global consistency with local legal responsiveness.</w:t>
      </w:r>
    </w:p>
    <w:p w14:paraId="18AAEA6F" w14:textId="77777777" w:rsidR="00FF2841" w:rsidRPr="00FF2841" w:rsidRDefault="00FF2841" w:rsidP="00FF28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F2841">
        <w:rPr>
          <w:rFonts w:ascii="Times New Roman" w:eastAsia="Times New Roman" w:hAnsi="Times New Roman" w:cs="Times New Roman"/>
          <w:b/>
          <w:bCs/>
          <w:kern w:val="0"/>
          <w:sz w:val="27"/>
          <w:szCs w:val="27"/>
          <w:lang w:eastAsia="en-GB"/>
          <w14:ligatures w14:val="none"/>
        </w:rPr>
        <w:lastRenderedPageBreak/>
        <w:t>Environmental factors</w:t>
      </w:r>
    </w:p>
    <w:p w14:paraId="6FF06DAD"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Environmental factors are increasingly relevant to HRM because organisations are under pressure to reduce carbon emissions, improve sustainability and respond to climate-related risks. Amazon's global operations involve logistics, transportation, warehouses and data centres, meaning that environmental issues can influence workforce planning and skills requirements.</w:t>
      </w:r>
    </w:p>
    <w:p w14:paraId="75AC7F61"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Amazon's 2025 Sustainability Report identifies employee development, workplace safety and sustainability as important areas of organisational activity. The company also reports investments in carbon-free energy, electric delivery vehicles and sustainability-related initiatives.</w:t>
      </w:r>
    </w:p>
    <w:p w14:paraId="759F9E0D"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Environmental change can affect HR in several ways. Employees may require new sustainability-related skills, while some roles may change as organisations adopt renewable energy, electric vehicles and more efficient technologies. HR managers may therefore need to incorporate sustainability into recruitment, training and organisational development.</w:t>
      </w:r>
    </w:p>
    <w:p w14:paraId="077F55A2"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Environmental pressures can also affect employee expectations. Employees may increasingly prefer organisations whose values align with environmental and social responsibility. Consequently, Amazon's environmental strategy may influence employer branding and its ability to attract and retain talent.</w:t>
      </w:r>
    </w:p>
    <w:p w14:paraId="3B04D389" w14:textId="77777777" w:rsidR="00FF2841" w:rsidRPr="00FF2841" w:rsidRDefault="00FF2841" w:rsidP="00FF28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F2841">
        <w:rPr>
          <w:rFonts w:ascii="Times New Roman" w:eastAsia="Times New Roman" w:hAnsi="Times New Roman" w:cs="Times New Roman"/>
          <w:b/>
          <w:bCs/>
          <w:kern w:val="0"/>
          <w:sz w:val="27"/>
          <w:szCs w:val="27"/>
          <w:lang w:eastAsia="en-GB"/>
          <w14:ligatures w14:val="none"/>
        </w:rPr>
        <w:t>Country differences</w:t>
      </w:r>
    </w:p>
    <w:p w14:paraId="433404A3"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impact of PESTLE factors is not identical across countries. Amazon's HR managers therefore face the challenge of balancing standardisation and localisation. Standardisation can create consistency and efficiency, whereas localisation allows HR policies to reflect national culture, law and economic conditions.</w:t>
      </w:r>
    </w:p>
    <w:p w14:paraId="3DA2C133"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United States and United Kingdom provide a useful comparison. Although both countries have developed economies and share some cultural similarities, their employment systems are not identical. Differences in employment regulation, employee rights, working practices and industrial relations can require different HR approaches.</w:t>
      </w:r>
    </w:p>
    <w:p w14:paraId="27DA8F28"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same principle applies to other international markets. Cultural differences can influence communication and leadership; economic differences can affect compensation; political differences can influence immigration and employment policy; and legal differences can determine employee rights. Farndale et al. argue that national institutions are particularly influential in explaining differences in HRM practices across European countries.</w:t>
      </w:r>
    </w:p>
    <w:p w14:paraId="5F71C55F" w14:textId="77777777" w:rsidR="00FF2841" w:rsidRDefault="00FF2841" w:rsidP="00FF284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31C73049" w14:textId="77777777" w:rsidR="00C14EE2" w:rsidRDefault="00C14EE2" w:rsidP="00FF284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6C482758" w14:textId="77777777" w:rsidR="00C14EE2" w:rsidRDefault="00C14EE2" w:rsidP="00FF284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37FAA663" w14:textId="77777777" w:rsidR="00C14EE2" w:rsidRDefault="00C14EE2" w:rsidP="00FF2841">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0F798381" w14:textId="730D4736" w:rsidR="00FF2841" w:rsidRPr="00FF2841" w:rsidRDefault="00FF2841" w:rsidP="00FF284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F2841">
        <w:rPr>
          <w:rFonts w:ascii="Times New Roman" w:eastAsia="Times New Roman" w:hAnsi="Times New Roman" w:cs="Times New Roman"/>
          <w:b/>
          <w:bCs/>
          <w:kern w:val="0"/>
          <w:sz w:val="36"/>
          <w:szCs w:val="36"/>
          <w:lang w:eastAsia="en-GB"/>
          <w14:ligatures w14:val="none"/>
        </w:rPr>
        <w:lastRenderedPageBreak/>
        <w:t>5. Conclusion</w:t>
      </w:r>
    </w:p>
    <w:p w14:paraId="43B6A363"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This report has evaluated how environmental factors influence the effectiveness of HR managers within Amazon using the PESTLE framework. HRM is essential to organisational effectiveness because functions such as recruitment, training and development, performance management and employee relations ensure that organisations can attract, develop and retain an appropriate workforce.</w:t>
      </w:r>
    </w:p>
    <w:p w14:paraId="50A6D74B"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analysis demonstrates that political, economic, social, technological, legal and environmental factors can significantly affect Amazon's HR practices. Political and legal changes can influence employment conditions and recruitment, while economic conditions affect wages, labour availability and retention. Social and cultural differences require HR managers to adapt communication, performance management and employee-relations practices. Technological development creates demand for new skills and increases the importance of employee training, while environmental pressures create new workforce and organisational requirements.</w:t>
      </w:r>
    </w:p>
    <w:p w14:paraId="2B9E3948" w14:textId="77777777" w:rsidR="00FF2841" w:rsidRPr="00FF2841" w:rsidRDefault="00FF2841" w:rsidP="00FF28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2841">
        <w:rPr>
          <w:rFonts w:ascii="Times New Roman" w:eastAsia="Times New Roman" w:hAnsi="Times New Roman" w:cs="Times New Roman"/>
          <w:kern w:val="0"/>
          <w:lang w:eastAsia="en-GB"/>
          <w14:ligatures w14:val="none"/>
        </w:rPr>
        <w:t>The international nature of Amazon increases the complexity of HR management because the organisation operates within different national contexts. Research suggests that culture, legal systems and economic conditions can influence HR practices within multinational enterprises. Therefore, Amazon cannot rely exclusively on a single global HR approach. Instead, HR managers need to maintain strategic consistency while adapting practices to local circumstances.</w:t>
      </w:r>
    </w:p>
    <w:p w14:paraId="686F51F3" w14:textId="77777777" w:rsidR="00C14EE2" w:rsidRDefault="00C14EE2">
      <w:pPr>
        <w:rPr>
          <w:rFonts w:ascii="Times New Roman" w:eastAsia="Times New Roman" w:hAnsi="Times New Roman" w:cs="Times New Roman"/>
          <w:kern w:val="0"/>
          <w:lang w:eastAsia="en-GB"/>
          <w14:ligatures w14:val="none"/>
        </w:rPr>
      </w:pPr>
    </w:p>
    <w:p w14:paraId="4232B9E8" w14:textId="59E8B33C" w:rsidR="00C14EE2" w:rsidRPr="00C14EE2" w:rsidRDefault="00FF2841" w:rsidP="00C14EE2">
      <w:pPr>
        <w:pStyle w:val="Heading1"/>
        <w:rPr>
          <w:rFonts w:ascii="Times New Roman" w:eastAsia="Times New Roman" w:hAnsi="Times New Roman" w:cs="Times New Roman"/>
          <w:b/>
          <w:bCs/>
          <w:color w:val="auto"/>
          <w:kern w:val="36"/>
          <w:sz w:val="32"/>
          <w:szCs w:val="32"/>
          <w:lang w:eastAsia="en-GB"/>
          <w14:ligatures w14:val="none"/>
        </w:rPr>
      </w:pPr>
      <w:r w:rsidRPr="00C14EE2">
        <w:rPr>
          <w:rFonts w:ascii="Times New Roman" w:eastAsia="Times New Roman" w:hAnsi="Times New Roman" w:cs="Times New Roman"/>
          <w:color w:val="000000" w:themeColor="text1"/>
          <w:kern w:val="0"/>
          <w:lang w:eastAsia="en-GB"/>
          <w14:ligatures w14:val="none"/>
        </w:rPr>
        <w:t xml:space="preserve"> </w:t>
      </w:r>
      <w:r w:rsidR="00C14EE2" w:rsidRPr="00C14EE2">
        <w:rPr>
          <w:rFonts w:ascii="Times New Roman" w:eastAsia="Times New Roman" w:hAnsi="Times New Roman" w:cs="Times New Roman"/>
          <w:b/>
          <w:bCs/>
          <w:color w:val="000000" w:themeColor="text1"/>
          <w:kern w:val="0"/>
          <w:sz w:val="32"/>
          <w:szCs w:val="32"/>
          <w:lang w:eastAsia="en-GB"/>
          <w14:ligatures w14:val="none"/>
        </w:rPr>
        <w:t xml:space="preserve">6. </w:t>
      </w:r>
      <w:r w:rsidR="00C14EE2" w:rsidRPr="00C14EE2">
        <w:rPr>
          <w:rFonts w:ascii="Times New Roman" w:eastAsia="Times New Roman" w:hAnsi="Times New Roman" w:cs="Times New Roman"/>
          <w:b/>
          <w:bCs/>
          <w:color w:val="auto"/>
          <w:kern w:val="36"/>
          <w:sz w:val="32"/>
          <w:szCs w:val="32"/>
          <w:lang w:eastAsia="en-GB"/>
          <w14:ligatures w14:val="none"/>
        </w:rPr>
        <w:t>References</w:t>
      </w:r>
      <w:r w:rsidR="00C14EE2">
        <w:rPr>
          <w:rFonts w:ascii="Times New Roman" w:eastAsia="Times New Roman" w:hAnsi="Times New Roman" w:cs="Times New Roman"/>
          <w:b/>
          <w:bCs/>
          <w:color w:val="auto"/>
          <w:kern w:val="36"/>
          <w:sz w:val="32"/>
          <w:szCs w:val="32"/>
          <w:lang w:eastAsia="en-GB"/>
          <w14:ligatures w14:val="none"/>
        </w:rPr>
        <w:t>:</w:t>
      </w:r>
    </w:p>
    <w:p w14:paraId="2F12D24C"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Amazon (2026) </w:t>
      </w:r>
      <w:r w:rsidRPr="00C14EE2">
        <w:rPr>
          <w:rFonts w:ascii="Times New Roman" w:eastAsia="Times New Roman" w:hAnsi="Times New Roman" w:cs="Times New Roman"/>
          <w:i/>
          <w:iCs/>
          <w:kern w:val="0"/>
          <w:lang w:eastAsia="en-GB"/>
          <w14:ligatures w14:val="none"/>
        </w:rPr>
        <w:t>Amazon.com, Inc. 2025 Annual Report</w:t>
      </w:r>
      <w:r w:rsidRPr="00C14EE2">
        <w:rPr>
          <w:rFonts w:ascii="Times New Roman" w:eastAsia="Times New Roman" w:hAnsi="Times New Roman" w:cs="Times New Roman"/>
          <w:kern w:val="0"/>
          <w:lang w:eastAsia="en-GB"/>
          <w14:ligatures w14:val="none"/>
        </w:rPr>
        <w:t xml:space="preserve">. Available at: </w:t>
      </w:r>
      <w:hyperlink r:id="rId5" w:history="1">
        <w:r w:rsidRPr="00C14EE2">
          <w:rPr>
            <w:rFonts w:ascii="Times New Roman" w:eastAsia="Times New Roman" w:hAnsi="Times New Roman" w:cs="Times New Roman"/>
            <w:color w:val="0000FF"/>
            <w:kern w:val="0"/>
            <w:u w:val="single"/>
            <w:lang w:eastAsia="en-GB"/>
            <w14:ligatures w14:val="none"/>
          </w:rPr>
          <w:t>Amazon 2025 Annual Report – SEC</w:t>
        </w:r>
      </w:hyperlink>
      <w:r w:rsidRPr="00C14EE2">
        <w:rPr>
          <w:rFonts w:ascii="Times New Roman" w:eastAsia="Times New Roman" w:hAnsi="Times New Roman" w:cs="Times New Roman"/>
          <w:kern w:val="0"/>
          <w:lang w:eastAsia="en-GB"/>
          <w14:ligatures w14:val="none"/>
        </w:rPr>
        <w:t xml:space="preserve"> (Accessed: 22 August 2026).</w:t>
      </w:r>
    </w:p>
    <w:p w14:paraId="001A7F5C"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Amazon (2026) </w:t>
      </w:r>
      <w:r w:rsidRPr="00C14EE2">
        <w:rPr>
          <w:rFonts w:ascii="Times New Roman" w:eastAsia="Times New Roman" w:hAnsi="Times New Roman" w:cs="Times New Roman"/>
          <w:i/>
          <w:iCs/>
          <w:kern w:val="0"/>
          <w:lang w:eastAsia="en-GB"/>
          <w14:ligatures w14:val="none"/>
        </w:rPr>
        <w:t>2025 Sustainability Report</w:t>
      </w:r>
      <w:r w:rsidRPr="00C14EE2">
        <w:rPr>
          <w:rFonts w:ascii="Times New Roman" w:eastAsia="Times New Roman" w:hAnsi="Times New Roman" w:cs="Times New Roman"/>
          <w:kern w:val="0"/>
          <w:lang w:eastAsia="en-GB"/>
          <w14:ligatures w14:val="none"/>
        </w:rPr>
        <w:t xml:space="preserve">. Available at: </w:t>
      </w:r>
      <w:hyperlink r:id="rId6" w:history="1">
        <w:r w:rsidRPr="00C14EE2">
          <w:rPr>
            <w:rFonts w:ascii="Times New Roman" w:eastAsia="Times New Roman" w:hAnsi="Times New Roman" w:cs="Times New Roman"/>
            <w:color w:val="0000FF"/>
            <w:kern w:val="0"/>
            <w:u w:val="single"/>
            <w:lang w:eastAsia="en-GB"/>
            <w14:ligatures w14:val="none"/>
          </w:rPr>
          <w:t>Amazon Sustainability Report 2025</w:t>
        </w:r>
      </w:hyperlink>
      <w:r w:rsidRPr="00C14EE2">
        <w:rPr>
          <w:rFonts w:ascii="Times New Roman" w:eastAsia="Times New Roman" w:hAnsi="Times New Roman" w:cs="Times New Roman"/>
          <w:kern w:val="0"/>
          <w:lang w:eastAsia="en-GB"/>
          <w14:ligatures w14:val="none"/>
        </w:rPr>
        <w:t xml:space="preserve"> (Accessed: 22 August 2026).</w:t>
      </w:r>
    </w:p>
    <w:p w14:paraId="1394A66B"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Bratton, J., Gold, J., Bratton, A. and Steele, L. (2022) </w:t>
      </w:r>
      <w:r w:rsidRPr="00C14EE2">
        <w:rPr>
          <w:rFonts w:ascii="Times New Roman" w:eastAsia="Times New Roman" w:hAnsi="Times New Roman" w:cs="Times New Roman"/>
          <w:i/>
          <w:iCs/>
          <w:kern w:val="0"/>
          <w:lang w:eastAsia="en-GB"/>
          <w14:ligatures w14:val="none"/>
        </w:rPr>
        <w:t>Human Resource Management: A Critical Approach</w:t>
      </w:r>
      <w:r w:rsidRPr="00C14EE2">
        <w:rPr>
          <w:rFonts w:ascii="Times New Roman" w:eastAsia="Times New Roman" w:hAnsi="Times New Roman" w:cs="Times New Roman"/>
          <w:kern w:val="0"/>
          <w:lang w:eastAsia="en-GB"/>
          <w14:ligatures w14:val="none"/>
        </w:rPr>
        <w:t xml:space="preserve">. 7th </w:t>
      </w:r>
      <w:proofErr w:type="spellStart"/>
      <w:r w:rsidRPr="00C14EE2">
        <w:rPr>
          <w:rFonts w:ascii="Times New Roman" w:eastAsia="Times New Roman" w:hAnsi="Times New Roman" w:cs="Times New Roman"/>
          <w:kern w:val="0"/>
          <w:lang w:eastAsia="en-GB"/>
          <w14:ligatures w14:val="none"/>
        </w:rPr>
        <w:t>edn</w:t>
      </w:r>
      <w:proofErr w:type="spellEnd"/>
      <w:r w:rsidRPr="00C14EE2">
        <w:rPr>
          <w:rFonts w:ascii="Times New Roman" w:eastAsia="Times New Roman" w:hAnsi="Times New Roman" w:cs="Times New Roman"/>
          <w:kern w:val="0"/>
          <w:lang w:eastAsia="en-GB"/>
          <w14:ligatures w14:val="none"/>
        </w:rPr>
        <w:t>. London: Bloomsbury Academic.</w:t>
      </w:r>
    </w:p>
    <w:p w14:paraId="48C120FA"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Brewster, C., Houldsworth, E., Sparrow, P.R. and Vernon, G. (2016) </w:t>
      </w:r>
      <w:r w:rsidRPr="00C14EE2">
        <w:rPr>
          <w:rFonts w:ascii="Times New Roman" w:eastAsia="Times New Roman" w:hAnsi="Times New Roman" w:cs="Times New Roman"/>
          <w:i/>
          <w:iCs/>
          <w:kern w:val="0"/>
          <w:lang w:eastAsia="en-GB"/>
          <w14:ligatures w14:val="none"/>
        </w:rPr>
        <w:t>International Human Resource Management</w:t>
      </w:r>
      <w:r w:rsidRPr="00C14EE2">
        <w:rPr>
          <w:rFonts w:ascii="Times New Roman" w:eastAsia="Times New Roman" w:hAnsi="Times New Roman" w:cs="Times New Roman"/>
          <w:kern w:val="0"/>
          <w:lang w:eastAsia="en-GB"/>
          <w14:ligatures w14:val="none"/>
        </w:rPr>
        <w:t xml:space="preserve">. 4th </w:t>
      </w:r>
      <w:proofErr w:type="spellStart"/>
      <w:r w:rsidRPr="00C14EE2">
        <w:rPr>
          <w:rFonts w:ascii="Times New Roman" w:eastAsia="Times New Roman" w:hAnsi="Times New Roman" w:cs="Times New Roman"/>
          <w:kern w:val="0"/>
          <w:lang w:eastAsia="en-GB"/>
          <w14:ligatures w14:val="none"/>
        </w:rPr>
        <w:t>edn</w:t>
      </w:r>
      <w:proofErr w:type="spellEnd"/>
      <w:r w:rsidRPr="00C14EE2">
        <w:rPr>
          <w:rFonts w:ascii="Times New Roman" w:eastAsia="Times New Roman" w:hAnsi="Times New Roman" w:cs="Times New Roman"/>
          <w:kern w:val="0"/>
          <w:lang w:eastAsia="en-GB"/>
          <w14:ligatures w14:val="none"/>
        </w:rPr>
        <w:t>. London: Chartered Institute of Personnel and Development.</w:t>
      </w:r>
    </w:p>
    <w:p w14:paraId="341AF151"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Cooke, F.L. (2018) ‘Concepts, contexts, and mindsets: Putting human resource management research in perspectives’, </w:t>
      </w:r>
      <w:r w:rsidRPr="00C14EE2">
        <w:rPr>
          <w:rFonts w:ascii="Times New Roman" w:eastAsia="Times New Roman" w:hAnsi="Times New Roman" w:cs="Times New Roman"/>
          <w:i/>
          <w:iCs/>
          <w:kern w:val="0"/>
          <w:lang w:eastAsia="en-GB"/>
          <w14:ligatures w14:val="none"/>
        </w:rPr>
        <w:t>Human Resource Management Journal</w:t>
      </w:r>
      <w:r w:rsidRPr="00C14EE2">
        <w:rPr>
          <w:rFonts w:ascii="Times New Roman" w:eastAsia="Times New Roman" w:hAnsi="Times New Roman" w:cs="Times New Roman"/>
          <w:kern w:val="0"/>
          <w:lang w:eastAsia="en-GB"/>
          <w14:ligatures w14:val="none"/>
        </w:rPr>
        <w:t>, 28(1), pp. 1–13.</w:t>
      </w:r>
    </w:p>
    <w:p w14:paraId="08A87BF5"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Delaney, J.T. and Huselid, M.A. (1996) ‘The impact of human resource management practices on perceptions of organizational performance’, </w:t>
      </w:r>
      <w:r w:rsidRPr="00C14EE2">
        <w:rPr>
          <w:rFonts w:ascii="Times New Roman" w:eastAsia="Times New Roman" w:hAnsi="Times New Roman" w:cs="Times New Roman"/>
          <w:i/>
          <w:iCs/>
          <w:kern w:val="0"/>
          <w:lang w:eastAsia="en-GB"/>
          <w14:ligatures w14:val="none"/>
        </w:rPr>
        <w:t>Academy of Management Journal</w:t>
      </w:r>
      <w:r w:rsidRPr="00C14EE2">
        <w:rPr>
          <w:rFonts w:ascii="Times New Roman" w:eastAsia="Times New Roman" w:hAnsi="Times New Roman" w:cs="Times New Roman"/>
          <w:kern w:val="0"/>
          <w:lang w:eastAsia="en-GB"/>
          <w14:ligatures w14:val="none"/>
        </w:rPr>
        <w:t xml:space="preserve">, 39(4), pp. 949–969. </w:t>
      </w:r>
      <w:proofErr w:type="spellStart"/>
      <w:r w:rsidRPr="00C14EE2">
        <w:rPr>
          <w:rFonts w:ascii="Times New Roman" w:eastAsia="Times New Roman" w:hAnsi="Times New Roman" w:cs="Times New Roman"/>
          <w:kern w:val="0"/>
          <w:lang w:eastAsia="en-GB"/>
          <w14:ligatures w14:val="none"/>
        </w:rPr>
        <w:t>doi</w:t>
      </w:r>
      <w:proofErr w:type="spellEnd"/>
      <w:r w:rsidRPr="00C14EE2">
        <w:rPr>
          <w:rFonts w:ascii="Times New Roman" w:eastAsia="Times New Roman" w:hAnsi="Times New Roman" w:cs="Times New Roman"/>
          <w:kern w:val="0"/>
          <w:lang w:eastAsia="en-GB"/>
          <w14:ligatures w14:val="none"/>
        </w:rPr>
        <w:t>: 10.5465/256718.</w:t>
      </w:r>
    </w:p>
    <w:p w14:paraId="42A81D14"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lastRenderedPageBreak/>
        <w:t xml:space="preserve">Morley, M.J., Murphy, K.R., Cleveland, J.N., Heraty, N. and McCarthy, J. (2021) ‘Home and host distal context and performance appraisal in multinational enterprises: A </w:t>
      </w:r>
      <w:proofErr w:type="gramStart"/>
      <w:r w:rsidRPr="00C14EE2">
        <w:rPr>
          <w:rFonts w:ascii="Times New Roman" w:eastAsia="Times New Roman" w:hAnsi="Times New Roman" w:cs="Times New Roman"/>
          <w:kern w:val="0"/>
          <w:lang w:eastAsia="en-GB"/>
          <w14:ligatures w14:val="none"/>
        </w:rPr>
        <w:t>22 country</w:t>
      </w:r>
      <w:proofErr w:type="gramEnd"/>
      <w:r w:rsidRPr="00C14EE2">
        <w:rPr>
          <w:rFonts w:ascii="Times New Roman" w:eastAsia="Times New Roman" w:hAnsi="Times New Roman" w:cs="Times New Roman"/>
          <w:kern w:val="0"/>
          <w:lang w:eastAsia="en-GB"/>
          <w14:ligatures w14:val="none"/>
        </w:rPr>
        <w:t xml:space="preserve"> study’, </w:t>
      </w:r>
      <w:r w:rsidRPr="00C14EE2">
        <w:rPr>
          <w:rFonts w:ascii="Times New Roman" w:eastAsia="Times New Roman" w:hAnsi="Times New Roman" w:cs="Times New Roman"/>
          <w:i/>
          <w:iCs/>
          <w:kern w:val="0"/>
          <w:lang w:eastAsia="en-GB"/>
          <w14:ligatures w14:val="none"/>
        </w:rPr>
        <w:t>Human Resource Management</w:t>
      </w:r>
      <w:r w:rsidRPr="00C14EE2">
        <w:rPr>
          <w:rFonts w:ascii="Times New Roman" w:eastAsia="Times New Roman" w:hAnsi="Times New Roman" w:cs="Times New Roman"/>
          <w:kern w:val="0"/>
          <w:lang w:eastAsia="en-GB"/>
          <w14:ligatures w14:val="none"/>
        </w:rPr>
        <w:t xml:space="preserve">, 60(5), pp. 715–736. </w:t>
      </w:r>
      <w:proofErr w:type="spellStart"/>
      <w:r w:rsidRPr="00C14EE2">
        <w:rPr>
          <w:rFonts w:ascii="Times New Roman" w:eastAsia="Times New Roman" w:hAnsi="Times New Roman" w:cs="Times New Roman"/>
          <w:kern w:val="0"/>
          <w:lang w:eastAsia="en-GB"/>
          <w14:ligatures w14:val="none"/>
        </w:rPr>
        <w:t>doi</w:t>
      </w:r>
      <w:proofErr w:type="spellEnd"/>
      <w:r w:rsidRPr="00C14EE2">
        <w:rPr>
          <w:rFonts w:ascii="Times New Roman" w:eastAsia="Times New Roman" w:hAnsi="Times New Roman" w:cs="Times New Roman"/>
          <w:kern w:val="0"/>
          <w:lang w:eastAsia="en-GB"/>
          <w14:ligatures w14:val="none"/>
        </w:rPr>
        <w:t>: 10.1002/hrm.22056.</w:t>
      </w:r>
    </w:p>
    <w:p w14:paraId="46704F26"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Schotter, A.P.J., Meyer, K. and Wood, G. (2021) ‘Organizational and comparative institutionalism in international HRM: Toward an integrative research agenda’, </w:t>
      </w:r>
      <w:r w:rsidRPr="00C14EE2">
        <w:rPr>
          <w:rFonts w:ascii="Times New Roman" w:eastAsia="Times New Roman" w:hAnsi="Times New Roman" w:cs="Times New Roman"/>
          <w:i/>
          <w:iCs/>
          <w:kern w:val="0"/>
          <w:lang w:eastAsia="en-GB"/>
          <w14:ligatures w14:val="none"/>
        </w:rPr>
        <w:t>Human Resource Management</w:t>
      </w:r>
      <w:r w:rsidRPr="00C14EE2">
        <w:rPr>
          <w:rFonts w:ascii="Times New Roman" w:eastAsia="Times New Roman" w:hAnsi="Times New Roman" w:cs="Times New Roman"/>
          <w:kern w:val="0"/>
          <w:lang w:eastAsia="en-GB"/>
          <w14:ligatures w14:val="none"/>
        </w:rPr>
        <w:t xml:space="preserve">, 60(1), pp. 205–227. </w:t>
      </w:r>
      <w:proofErr w:type="spellStart"/>
      <w:r w:rsidRPr="00C14EE2">
        <w:rPr>
          <w:rFonts w:ascii="Times New Roman" w:eastAsia="Times New Roman" w:hAnsi="Times New Roman" w:cs="Times New Roman"/>
          <w:kern w:val="0"/>
          <w:lang w:eastAsia="en-GB"/>
          <w14:ligatures w14:val="none"/>
        </w:rPr>
        <w:t>doi</w:t>
      </w:r>
      <w:proofErr w:type="spellEnd"/>
      <w:r w:rsidRPr="00C14EE2">
        <w:rPr>
          <w:rFonts w:ascii="Times New Roman" w:eastAsia="Times New Roman" w:hAnsi="Times New Roman" w:cs="Times New Roman"/>
          <w:kern w:val="0"/>
          <w:lang w:eastAsia="en-GB"/>
          <w14:ligatures w14:val="none"/>
        </w:rPr>
        <w:t>: 10.1002/hrm.22053.</w:t>
      </w:r>
    </w:p>
    <w:p w14:paraId="5D993833"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Sanders, K. and De Cieri, H. (2021) ‘The international human resource management field: A review and future research agenda’, </w:t>
      </w:r>
      <w:r w:rsidRPr="00C14EE2">
        <w:rPr>
          <w:rFonts w:ascii="Times New Roman" w:eastAsia="Times New Roman" w:hAnsi="Times New Roman" w:cs="Times New Roman"/>
          <w:i/>
          <w:iCs/>
          <w:kern w:val="0"/>
          <w:lang w:eastAsia="en-GB"/>
          <w14:ligatures w14:val="none"/>
        </w:rPr>
        <w:t>International Journal of Human Resource Management</w:t>
      </w:r>
      <w:r w:rsidRPr="00C14EE2">
        <w:rPr>
          <w:rFonts w:ascii="Times New Roman" w:eastAsia="Times New Roman" w:hAnsi="Times New Roman" w:cs="Times New Roman"/>
          <w:kern w:val="0"/>
          <w:lang w:eastAsia="en-GB"/>
          <w14:ligatures w14:val="none"/>
        </w:rPr>
        <w:t>.</w:t>
      </w:r>
    </w:p>
    <w:p w14:paraId="5A0DDCBC"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Farndale, E., Brewster, C. and </w:t>
      </w:r>
      <w:proofErr w:type="spellStart"/>
      <w:r w:rsidRPr="00C14EE2">
        <w:rPr>
          <w:rFonts w:ascii="Times New Roman" w:eastAsia="Times New Roman" w:hAnsi="Times New Roman" w:cs="Times New Roman"/>
          <w:kern w:val="0"/>
          <w:lang w:eastAsia="en-GB"/>
          <w14:ligatures w14:val="none"/>
        </w:rPr>
        <w:t>Poutsma</w:t>
      </w:r>
      <w:proofErr w:type="spellEnd"/>
      <w:r w:rsidRPr="00C14EE2">
        <w:rPr>
          <w:rFonts w:ascii="Times New Roman" w:eastAsia="Times New Roman" w:hAnsi="Times New Roman" w:cs="Times New Roman"/>
          <w:kern w:val="0"/>
          <w:lang w:eastAsia="en-GB"/>
          <w14:ligatures w14:val="none"/>
        </w:rPr>
        <w:t xml:space="preserve">, E. (2008) ‘Coordinated vs. liberal market HRM: The impact of institutional context on HRM practices’, </w:t>
      </w:r>
      <w:r w:rsidRPr="00C14EE2">
        <w:rPr>
          <w:rFonts w:ascii="Times New Roman" w:eastAsia="Times New Roman" w:hAnsi="Times New Roman" w:cs="Times New Roman"/>
          <w:i/>
          <w:iCs/>
          <w:kern w:val="0"/>
          <w:lang w:eastAsia="en-GB"/>
          <w14:ligatures w14:val="none"/>
        </w:rPr>
        <w:t>International Journal of Human Resource Management</w:t>
      </w:r>
      <w:r w:rsidRPr="00C14EE2">
        <w:rPr>
          <w:rFonts w:ascii="Times New Roman" w:eastAsia="Times New Roman" w:hAnsi="Times New Roman" w:cs="Times New Roman"/>
          <w:kern w:val="0"/>
          <w:lang w:eastAsia="en-GB"/>
          <w14:ligatures w14:val="none"/>
        </w:rPr>
        <w:t>, 19(11), pp. 2004–2025.</w:t>
      </w:r>
    </w:p>
    <w:p w14:paraId="60D9FAD3"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C14EE2">
        <w:rPr>
          <w:rFonts w:ascii="Times New Roman" w:eastAsia="Times New Roman" w:hAnsi="Times New Roman" w:cs="Times New Roman"/>
          <w:kern w:val="0"/>
          <w:lang w:eastAsia="en-GB"/>
          <w14:ligatures w14:val="none"/>
        </w:rPr>
        <w:t>Huselid</w:t>
      </w:r>
      <w:proofErr w:type="spellEnd"/>
      <w:r w:rsidRPr="00C14EE2">
        <w:rPr>
          <w:rFonts w:ascii="Times New Roman" w:eastAsia="Times New Roman" w:hAnsi="Times New Roman" w:cs="Times New Roman"/>
          <w:kern w:val="0"/>
          <w:lang w:eastAsia="en-GB"/>
          <w14:ligatures w14:val="none"/>
        </w:rPr>
        <w:t xml:space="preserve">, M.A. (1995) ‘The impact of human resource management practices on turnover, productivity, and corporate financial performance’, </w:t>
      </w:r>
      <w:r w:rsidRPr="00C14EE2">
        <w:rPr>
          <w:rFonts w:ascii="Times New Roman" w:eastAsia="Times New Roman" w:hAnsi="Times New Roman" w:cs="Times New Roman"/>
          <w:i/>
          <w:iCs/>
          <w:kern w:val="0"/>
          <w:lang w:eastAsia="en-GB"/>
          <w14:ligatures w14:val="none"/>
        </w:rPr>
        <w:t>Academy of Management Journal</w:t>
      </w:r>
      <w:r w:rsidRPr="00C14EE2">
        <w:rPr>
          <w:rFonts w:ascii="Times New Roman" w:eastAsia="Times New Roman" w:hAnsi="Times New Roman" w:cs="Times New Roman"/>
          <w:kern w:val="0"/>
          <w:lang w:eastAsia="en-GB"/>
          <w14:ligatures w14:val="none"/>
        </w:rPr>
        <w:t>, 38(3), pp. 635–672.</w:t>
      </w:r>
    </w:p>
    <w:p w14:paraId="25786B63" w14:textId="77777777" w:rsidR="00C14EE2" w:rsidRPr="00C14EE2" w:rsidRDefault="00C14EE2" w:rsidP="00C14E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4EE2">
        <w:rPr>
          <w:rFonts w:ascii="Times New Roman" w:eastAsia="Times New Roman" w:hAnsi="Times New Roman" w:cs="Times New Roman"/>
          <w:kern w:val="0"/>
          <w:lang w:eastAsia="en-GB"/>
          <w14:ligatures w14:val="none"/>
        </w:rPr>
        <w:t xml:space="preserve">Jackson, S.E., Schuler, R.S. and Jiang, K. (2014) ‘An aspirational framework for strategic human resource management’, </w:t>
      </w:r>
      <w:r w:rsidRPr="00C14EE2">
        <w:rPr>
          <w:rFonts w:ascii="Times New Roman" w:eastAsia="Times New Roman" w:hAnsi="Times New Roman" w:cs="Times New Roman"/>
          <w:i/>
          <w:iCs/>
          <w:kern w:val="0"/>
          <w:lang w:eastAsia="en-GB"/>
          <w14:ligatures w14:val="none"/>
        </w:rPr>
        <w:t>Academy of Management Annals</w:t>
      </w:r>
      <w:r w:rsidRPr="00C14EE2">
        <w:rPr>
          <w:rFonts w:ascii="Times New Roman" w:eastAsia="Times New Roman" w:hAnsi="Times New Roman" w:cs="Times New Roman"/>
          <w:kern w:val="0"/>
          <w:lang w:eastAsia="en-GB"/>
          <w14:ligatures w14:val="none"/>
        </w:rPr>
        <w:t>, 8(1), pp. 1–56.</w:t>
      </w:r>
    </w:p>
    <w:p w14:paraId="3CDABF35" w14:textId="17BC7CAD" w:rsidR="00FF2841" w:rsidRDefault="00FF2841"/>
    <w:sectPr w:rsidR="00FF2841" w:rsidSect="00C14E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841"/>
    <w:rsid w:val="00650844"/>
    <w:rsid w:val="00730DDE"/>
    <w:rsid w:val="00C14EE2"/>
    <w:rsid w:val="00FF2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8D29B"/>
  <w15:chartTrackingRefBased/>
  <w15:docId w15:val="{8FAABFCC-8407-4663-90E2-D9A5369B3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8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8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8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8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8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8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8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8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8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8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8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8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8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8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8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8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841"/>
    <w:rPr>
      <w:rFonts w:eastAsiaTheme="majorEastAsia" w:cstheme="majorBidi"/>
      <w:color w:val="272727" w:themeColor="text1" w:themeTint="D8"/>
    </w:rPr>
  </w:style>
  <w:style w:type="paragraph" w:styleId="Title">
    <w:name w:val="Title"/>
    <w:basedOn w:val="Normal"/>
    <w:next w:val="Normal"/>
    <w:link w:val="TitleChar"/>
    <w:uiPriority w:val="10"/>
    <w:qFormat/>
    <w:rsid w:val="00FF28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8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8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8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841"/>
    <w:pPr>
      <w:spacing w:before="160"/>
      <w:jc w:val="center"/>
    </w:pPr>
    <w:rPr>
      <w:i/>
      <w:iCs/>
      <w:color w:val="404040" w:themeColor="text1" w:themeTint="BF"/>
    </w:rPr>
  </w:style>
  <w:style w:type="character" w:customStyle="1" w:styleId="QuoteChar">
    <w:name w:val="Quote Char"/>
    <w:basedOn w:val="DefaultParagraphFont"/>
    <w:link w:val="Quote"/>
    <w:uiPriority w:val="29"/>
    <w:rsid w:val="00FF2841"/>
    <w:rPr>
      <w:i/>
      <w:iCs/>
      <w:color w:val="404040" w:themeColor="text1" w:themeTint="BF"/>
    </w:rPr>
  </w:style>
  <w:style w:type="paragraph" w:styleId="ListParagraph">
    <w:name w:val="List Paragraph"/>
    <w:basedOn w:val="Normal"/>
    <w:uiPriority w:val="34"/>
    <w:qFormat/>
    <w:rsid w:val="00FF2841"/>
    <w:pPr>
      <w:ind w:left="720"/>
      <w:contextualSpacing/>
    </w:pPr>
  </w:style>
  <w:style w:type="character" w:styleId="IntenseEmphasis">
    <w:name w:val="Intense Emphasis"/>
    <w:basedOn w:val="DefaultParagraphFont"/>
    <w:uiPriority w:val="21"/>
    <w:qFormat/>
    <w:rsid w:val="00FF2841"/>
    <w:rPr>
      <w:i/>
      <w:iCs/>
      <w:color w:val="0F4761" w:themeColor="accent1" w:themeShade="BF"/>
    </w:rPr>
  </w:style>
  <w:style w:type="paragraph" w:styleId="IntenseQuote">
    <w:name w:val="Intense Quote"/>
    <w:basedOn w:val="Normal"/>
    <w:next w:val="Normal"/>
    <w:link w:val="IntenseQuoteChar"/>
    <w:uiPriority w:val="30"/>
    <w:qFormat/>
    <w:rsid w:val="00FF28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841"/>
    <w:rPr>
      <w:i/>
      <w:iCs/>
      <w:color w:val="0F4761" w:themeColor="accent1" w:themeShade="BF"/>
    </w:rPr>
  </w:style>
  <w:style w:type="character" w:styleId="IntenseReference">
    <w:name w:val="Intense Reference"/>
    <w:basedOn w:val="DefaultParagraphFont"/>
    <w:uiPriority w:val="32"/>
    <w:qFormat/>
    <w:rsid w:val="00FF2841"/>
    <w:rPr>
      <w:b/>
      <w:bCs/>
      <w:smallCaps/>
      <w:color w:val="0F4761" w:themeColor="accent1" w:themeShade="BF"/>
      <w:spacing w:val="5"/>
    </w:rPr>
  </w:style>
  <w:style w:type="character" w:styleId="Hyperlink">
    <w:name w:val="Hyperlink"/>
    <w:basedOn w:val="DefaultParagraphFont"/>
    <w:uiPriority w:val="99"/>
    <w:unhideWhenUsed/>
    <w:rsid w:val="00C14EE2"/>
    <w:rPr>
      <w:color w:val="467886" w:themeColor="hyperlink"/>
      <w:u w:val="single"/>
    </w:rPr>
  </w:style>
  <w:style w:type="character" w:styleId="UnresolvedMention">
    <w:name w:val="Unresolved Mention"/>
    <w:basedOn w:val="DefaultParagraphFont"/>
    <w:uiPriority w:val="99"/>
    <w:semiHidden/>
    <w:unhideWhenUsed/>
    <w:rsid w:val="00C14EE2"/>
    <w:rPr>
      <w:color w:val="605E5C"/>
      <w:shd w:val="clear" w:color="auto" w:fill="E1DFDD"/>
    </w:rPr>
  </w:style>
  <w:style w:type="paragraph" w:styleId="NoSpacing">
    <w:name w:val="No Spacing"/>
    <w:link w:val="NoSpacingChar"/>
    <w:uiPriority w:val="1"/>
    <w:qFormat/>
    <w:rsid w:val="00C14EE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14EE2"/>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preview.prod.sustainability.aboutamazon.com/2025-report?utm_source=chatgpt.com" TargetMode="External"/><Relationship Id="rId5" Type="http://schemas.openxmlformats.org/officeDocument/2006/relationships/hyperlink" Target="https://www.sec.gov/Archives/edgar/data/1018724/000101872426000004/amzn-20251231.htm?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Lecturer: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3059</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Human Resource Management</dc:title>
  <dc:subject/>
  <dc:creator>Student: Malina-Gabriela Bojean (2235979)</dc:creator>
  <cp:keywords/>
  <dc:description/>
  <cp:lastModifiedBy>Leonard Hondor</cp:lastModifiedBy>
  <cp:revision>1</cp:revision>
  <dcterms:created xsi:type="dcterms:W3CDTF">2026-08-22T08:05:00Z</dcterms:created>
  <dcterms:modified xsi:type="dcterms:W3CDTF">2026-08-22T08:33:00Z</dcterms:modified>
</cp:coreProperties>
</file>