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E0A2" w14:textId="77777777" w:rsidR="0040724A" w:rsidRPr="00F012FF" w:rsidRDefault="00C543F2" w:rsidP="0040724A">
      <w:pPr>
        <w:jc w:val="center"/>
        <w:rPr>
          <w:rFonts w:ascii="Calibri" w:hAnsi="Calibri" w:cs="Calibri"/>
          <w:b/>
          <w:bCs/>
          <w:sz w:val="24"/>
          <w:szCs w:val="24"/>
        </w:rPr>
      </w:pPr>
      <w:r w:rsidRPr="00F012FF">
        <w:rPr>
          <w:rFonts w:ascii="Calibri" w:hAnsi="Calibri" w:cs="Calibri"/>
          <w:b/>
          <w:bCs/>
          <w:sz w:val="24"/>
          <w:szCs w:val="24"/>
        </w:rPr>
        <w:t>Literature Review for Dissertation</w:t>
      </w:r>
    </w:p>
    <w:p w14:paraId="6933AC11" w14:textId="7E5CE828" w:rsidR="00EB4FB2" w:rsidRPr="00EB4FB2" w:rsidRDefault="0040724A" w:rsidP="00EB4FB2">
      <w:pPr>
        <w:jc w:val="center"/>
        <w:rPr>
          <w:rFonts w:ascii="Calibri" w:hAnsi="Calibri" w:cs="Calibri"/>
          <w:b/>
          <w:bCs/>
          <w:i/>
          <w:iCs/>
        </w:rPr>
      </w:pPr>
      <w:r w:rsidRPr="00EB4FB2">
        <w:rPr>
          <w:rFonts w:ascii="Calibri" w:hAnsi="Calibri" w:cs="Calibri"/>
          <w:b/>
          <w:bCs/>
          <w:i/>
          <w:iCs/>
        </w:rPr>
        <w:t xml:space="preserve">The Court System: Public Perception on Sentencing, is it impacting upon community trust? </w:t>
      </w:r>
    </w:p>
    <w:p w14:paraId="620AA93A" w14:textId="26612661" w:rsidR="00E1758D" w:rsidRDefault="00E1758D" w:rsidP="00E1758D">
      <w:pPr>
        <w:rPr>
          <w:rFonts w:ascii="Calibri" w:hAnsi="Calibri" w:cs="Calibri"/>
        </w:rPr>
      </w:pPr>
      <w:r w:rsidRPr="00F012FF">
        <w:rPr>
          <w:rFonts w:ascii="Calibri" w:hAnsi="Calibri" w:cs="Calibri"/>
        </w:rPr>
        <w:t xml:space="preserve">The goal of this chapter of the dissertation is to analyse important, pertinent, reputable and highly regarded sources of research about how the public view sentencing in the legal system and how it affects the community trust. </w:t>
      </w:r>
      <w:r w:rsidR="000F34BF">
        <w:rPr>
          <w:rFonts w:ascii="Calibri" w:hAnsi="Calibri" w:cs="Calibri"/>
        </w:rPr>
        <w:t xml:space="preserve">This section will then address the following objectives: </w:t>
      </w:r>
    </w:p>
    <w:p w14:paraId="0B647C0E" w14:textId="77777777" w:rsidR="000F34BF" w:rsidRPr="000F34BF" w:rsidRDefault="000F34BF" w:rsidP="00EB07CD">
      <w:pPr>
        <w:numPr>
          <w:ilvl w:val="0"/>
          <w:numId w:val="1"/>
        </w:numPr>
        <w:spacing w:line="240" w:lineRule="auto"/>
        <w:rPr>
          <w:rFonts w:ascii="Calibri" w:hAnsi="Calibri" w:cs="Calibri"/>
        </w:rPr>
      </w:pPr>
      <w:r w:rsidRPr="000F34BF">
        <w:rPr>
          <w:rFonts w:ascii="Calibri" w:hAnsi="Calibri" w:cs="Calibri"/>
        </w:rPr>
        <w:t>To explore the public perception on sentencing within the courts</w:t>
      </w:r>
    </w:p>
    <w:p w14:paraId="28F7D651" w14:textId="6428CF9B" w:rsidR="000F34BF" w:rsidRPr="000F34BF" w:rsidRDefault="000F34BF" w:rsidP="00EB07CD">
      <w:pPr>
        <w:numPr>
          <w:ilvl w:val="0"/>
          <w:numId w:val="1"/>
        </w:numPr>
        <w:spacing w:line="240" w:lineRule="auto"/>
        <w:rPr>
          <w:rFonts w:ascii="Calibri" w:hAnsi="Calibri" w:cs="Calibri"/>
        </w:rPr>
      </w:pPr>
      <w:r w:rsidRPr="000F34BF">
        <w:rPr>
          <w:rFonts w:ascii="Calibri" w:hAnsi="Calibri" w:cs="Calibri"/>
        </w:rPr>
        <w:t xml:space="preserve">To identify if public perception on sentencing is impacting </w:t>
      </w:r>
      <w:r w:rsidR="00EB4FB2">
        <w:rPr>
          <w:rFonts w:ascii="Calibri" w:hAnsi="Calibri" w:cs="Calibri"/>
        </w:rPr>
        <w:t>upon</w:t>
      </w:r>
      <w:r w:rsidRPr="000F34BF">
        <w:rPr>
          <w:rFonts w:ascii="Calibri" w:hAnsi="Calibri" w:cs="Calibri"/>
        </w:rPr>
        <w:t xml:space="preserve"> community trust towards the police</w:t>
      </w:r>
    </w:p>
    <w:p w14:paraId="32FD06F9" w14:textId="17BD971F" w:rsidR="000F34BF" w:rsidRPr="000F34BF" w:rsidRDefault="000F34BF" w:rsidP="00EB07CD">
      <w:pPr>
        <w:numPr>
          <w:ilvl w:val="0"/>
          <w:numId w:val="1"/>
        </w:numPr>
        <w:spacing w:line="240" w:lineRule="auto"/>
        <w:rPr>
          <w:rFonts w:ascii="Calibri" w:hAnsi="Calibri" w:cs="Calibri"/>
        </w:rPr>
      </w:pPr>
      <w:r w:rsidRPr="000F34BF">
        <w:rPr>
          <w:rFonts w:ascii="Calibri" w:hAnsi="Calibri" w:cs="Calibri"/>
        </w:rPr>
        <w:t xml:space="preserve">To identify ways to improve the public perception on sentencing and the link to police and their trust within.  </w:t>
      </w:r>
    </w:p>
    <w:p w14:paraId="0B8E4772" w14:textId="757AF79E" w:rsidR="000F34BF" w:rsidRPr="00F012FF" w:rsidRDefault="000F34BF" w:rsidP="00E1758D">
      <w:pPr>
        <w:rPr>
          <w:rFonts w:ascii="Calibri" w:hAnsi="Calibri" w:cs="Calibri"/>
        </w:rPr>
      </w:pPr>
      <w:r>
        <w:rPr>
          <w:rFonts w:ascii="Calibri" w:hAnsi="Calibri" w:cs="Calibri"/>
        </w:rPr>
        <w:t>Any criminal justice system</w:t>
      </w:r>
      <w:r w:rsidR="00186473">
        <w:rPr>
          <w:rFonts w:ascii="Calibri" w:hAnsi="Calibri" w:cs="Calibri"/>
        </w:rPr>
        <w:t>s</w:t>
      </w:r>
      <w:r>
        <w:rPr>
          <w:rFonts w:ascii="Calibri" w:hAnsi="Calibri" w:cs="Calibri"/>
        </w:rPr>
        <w:t xml:space="preserve"> legitimacy depends on both its capacity </w:t>
      </w:r>
      <w:r w:rsidR="00EB07CD">
        <w:rPr>
          <w:rFonts w:ascii="Calibri" w:hAnsi="Calibri" w:cs="Calibri"/>
        </w:rPr>
        <w:t>to uphold the law and the level of public faith within it. As a very evident representation of justice, sentencing is crucial in establishing that trust. The literature shows that how sentencing judgements are seen, especially regarding fairness, transparency and proportionality, affects the public trust</w:t>
      </w:r>
      <w:r w:rsidR="0036639D">
        <w:rPr>
          <w:rFonts w:ascii="Calibri" w:hAnsi="Calibri" w:cs="Calibri"/>
        </w:rPr>
        <w:t xml:space="preserve"> in the systems and the police service</w:t>
      </w:r>
      <w:r w:rsidR="00EB07CD">
        <w:rPr>
          <w:rFonts w:ascii="Calibri" w:hAnsi="Calibri" w:cs="Calibri"/>
        </w:rPr>
        <w:t xml:space="preserve">. The scholarly debate about how the public views sentencing and how these views affect legitimacy in institutions and public trust is examined in this section. </w:t>
      </w:r>
    </w:p>
    <w:p w14:paraId="77265DDB" w14:textId="2E58F8BD" w:rsidR="005D57A3" w:rsidRPr="00F012FF" w:rsidRDefault="005D57A3" w:rsidP="005D57A3">
      <w:pPr>
        <w:pStyle w:val="ListParagraph"/>
        <w:numPr>
          <w:ilvl w:val="1"/>
          <w:numId w:val="2"/>
        </w:numPr>
        <w:rPr>
          <w:rFonts w:ascii="Calibri" w:hAnsi="Calibri" w:cs="Calibri"/>
          <w:b/>
          <w:bCs/>
        </w:rPr>
      </w:pPr>
      <w:r w:rsidRPr="00F012FF">
        <w:rPr>
          <w:rFonts w:ascii="Calibri" w:hAnsi="Calibri" w:cs="Calibri"/>
          <w:b/>
          <w:bCs/>
        </w:rPr>
        <w:t>Public Understanding and Misconceptions of Sentencing</w:t>
      </w:r>
    </w:p>
    <w:p w14:paraId="2D695142" w14:textId="2413B750" w:rsidR="00F012FF" w:rsidRDefault="00192A94" w:rsidP="00E1758D">
      <w:pPr>
        <w:rPr>
          <w:rFonts w:ascii="Calibri" w:hAnsi="Calibri" w:cs="Calibri"/>
        </w:rPr>
      </w:pPr>
      <w:r w:rsidRPr="00F012FF">
        <w:rPr>
          <w:rFonts w:ascii="Calibri" w:hAnsi="Calibri" w:cs="Calibri"/>
        </w:rPr>
        <w:t xml:space="preserve">The discrepancy between the public beliefs and the actual sentencing methods is highlighted in a large body of literature. According to </w:t>
      </w:r>
      <w:r w:rsidR="00D0038F" w:rsidRPr="00F012FF">
        <w:rPr>
          <w:rFonts w:ascii="Calibri" w:hAnsi="Calibri" w:cs="Calibri"/>
        </w:rPr>
        <w:t xml:space="preserve">(Roberts and Stalans, 2019) </w:t>
      </w:r>
      <w:r w:rsidR="008B3502" w:rsidRPr="00F012FF">
        <w:rPr>
          <w:rFonts w:ascii="Calibri" w:hAnsi="Calibri" w:cs="Calibri"/>
        </w:rPr>
        <w:t xml:space="preserve">the majority of people have little to no knowledge of sentencing guidelines, frequently as a result of relying more on the media that on factual information. </w:t>
      </w:r>
      <w:r w:rsidR="00F012FF">
        <w:rPr>
          <w:rFonts w:ascii="Calibri" w:hAnsi="Calibri" w:cs="Calibri"/>
        </w:rPr>
        <w:t xml:space="preserve">According to research </w:t>
      </w:r>
      <w:r w:rsidR="00C00D9B">
        <w:rPr>
          <w:rFonts w:ascii="Calibri" w:hAnsi="Calibri" w:cs="Calibri"/>
        </w:rPr>
        <w:t xml:space="preserve">by </w:t>
      </w:r>
      <w:r w:rsidR="008B0F06" w:rsidRPr="008B0F06">
        <w:rPr>
          <w:rFonts w:ascii="Calibri" w:hAnsi="Calibri" w:cs="Calibri"/>
        </w:rPr>
        <w:t>(Gelb and Sentencing, 2006</w:t>
      </w:r>
      <w:r w:rsidR="008B0F06">
        <w:rPr>
          <w:rFonts w:ascii="Calibri" w:hAnsi="Calibri" w:cs="Calibri"/>
        </w:rPr>
        <w:t>)</w:t>
      </w:r>
      <w:r w:rsidR="003C03BD">
        <w:rPr>
          <w:rFonts w:ascii="Calibri" w:hAnsi="Calibri" w:cs="Calibri"/>
        </w:rPr>
        <w:t xml:space="preserve">, when the public is polled regarding sentencing in an abstract way, they frequently think </w:t>
      </w:r>
      <w:r w:rsidR="00462C12">
        <w:rPr>
          <w:rFonts w:ascii="Calibri" w:hAnsi="Calibri" w:cs="Calibri"/>
        </w:rPr>
        <w:t xml:space="preserve">that punishments are too light; yet when given thorough case studies, they are more likely to support the judges’ rulings. </w:t>
      </w:r>
      <w:r w:rsidR="00367719">
        <w:rPr>
          <w:rFonts w:ascii="Calibri" w:hAnsi="Calibri" w:cs="Calibri"/>
        </w:rPr>
        <w:t>This highlights that th</w:t>
      </w:r>
      <w:r w:rsidR="00316575">
        <w:rPr>
          <w:rFonts w:ascii="Calibri" w:hAnsi="Calibri" w:cs="Calibri"/>
        </w:rPr>
        <w:t xml:space="preserve">e public don’t have an understanding of the Criminal justice system nor how sentencing works. </w:t>
      </w:r>
    </w:p>
    <w:p w14:paraId="63EFE5D0" w14:textId="07A775DA" w:rsidR="005D57A3" w:rsidRDefault="00A22C0E" w:rsidP="00E1758D">
      <w:pPr>
        <w:rPr>
          <w:rFonts w:ascii="Calibri" w:hAnsi="Calibri" w:cs="Calibri"/>
        </w:rPr>
      </w:pPr>
      <w:r>
        <w:rPr>
          <w:rFonts w:ascii="Calibri" w:hAnsi="Calibri" w:cs="Calibri"/>
        </w:rPr>
        <w:t xml:space="preserve">A recent study shows from </w:t>
      </w:r>
      <w:r w:rsidR="00337450" w:rsidRPr="00337450">
        <w:rPr>
          <w:rFonts w:ascii="Calibri" w:hAnsi="Calibri" w:cs="Calibri"/>
        </w:rPr>
        <w:t>(Justice Committee, 2022)</w:t>
      </w:r>
      <w:r>
        <w:rPr>
          <w:rFonts w:ascii="Calibri" w:hAnsi="Calibri" w:cs="Calibri"/>
        </w:rPr>
        <w:t xml:space="preserve"> shows that </w:t>
      </w:r>
      <w:r w:rsidR="00E16F6C">
        <w:rPr>
          <w:rFonts w:ascii="Calibri" w:hAnsi="Calibri" w:cs="Calibri"/>
        </w:rPr>
        <w:t xml:space="preserve">the </w:t>
      </w:r>
      <w:r w:rsidR="007842DA">
        <w:rPr>
          <w:rFonts w:ascii="Calibri" w:hAnsi="Calibri" w:cs="Calibri"/>
        </w:rPr>
        <w:t>public</w:t>
      </w:r>
      <w:r w:rsidR="00E16F6C">
        <w:rPr>
          <w:rFonts w:ascii="Calibri" w:hAnsi="Calibri" w:cs="Calibri"/>
        </w:rPr>
        <w:t xml:space="preserve"> biassed and inadequate understanding of sentencing </w:t>
      </w:r>
      <w:r w:rsidR="00FD1A26">
        <w:rPr>
          <w:rFonts w:ascii="Calibri" w:hAnsi="Calibri" w:cs="Calibri"/>
        </w:rPr>
        <w:t xml:space="preserve">trends is demonstrated by the systematic underestimating of the harshness of existing practices. </w:t>
      </w:r>
      <w:r w:rsidR="007F7213">
        <w:rPr>
          <w:rFonts w:ascii="Calibri" w:hAnsi="Calibri" w:cs="Calibri"/>
        </w:rPr>
        <w:t xml:space="preserve">The public think that the sentences are too light. </w:t>
      </w:r>
      <w:r w:rsidR="00D42068">
        <w:rPr>
          <w:rFonts w:ascii="Calibri" w:hAnsi="Calibri" w:cs="Calibri"/>
        </w:rPr>
        <w:t>Misconceptions about the typical prison term then influence</w:t>
      </w:r>
      <w:r w:rsidR="001B32AA">
        <w:rPr>
          <w:rFonts w:ascii="Calibri" w:hAnsi="Calibri" w:cs="Calibri"/>
        </w:rPr>
        <w:t xml:space="preserve"> </w:t>
      </w:r>
      <w:r w:rsidR="00D42068">
        <w:rPr>
          <w:rFonts w:ascii="Calibri" w:hAnsi="Calibri" w:cs="Calibri"/>
        </w:rPr>
        <w:t xml:space="preserve">sentencing </w:t>
      </w:r>
      <w:r w:rsidR="001B32AA">
        <w:rPr>
          <w:rFonts w:ascii="Calibri" w:hAnsi="Calibri" w:cs="Calibri"/>
        </w:rPr>
        <w:t xml:space="preserve">and sentencing opinions. The 2021 Sentencing academy </w:t>
      </w:r>
      <w:r w:rsidR="004623C0">
        <w:rPr>
          <w:rFonts w:ascii="Calibri" w:hAnsi="Calibri" w:cs="Calibri"/>
        </w:rPr>
        <w:t xml:space="preserve">poll found that respondents who believed that sentencing was “much too </w:t>
      </w:r>
      <w:r w:rsidR="00EB6C25">
        <w:rPr>
          <w:rFonts w:ascii="Calibri" w:hAnsi="Calibri" w:cs="Calibri"/>
        </w:rPr>
        <w:t>lenient</w:t>
      </w:r>
      <w:r w:rsidR="004623C0">
        <w:rPr>
          <w:rFonts w:ascii="Calibri" w:hAnsi="Calibri" w:cs="Calibri"/>
        </w:rPr>
        <w:t xml:space="preserve">” were much less accurate </w:t>
      </w:r>
      <w:r w:rsidR="00EB6C25">
        <w:rPr>
          <w:rFonts w:ascii="Calibri" w:hAnsi="Calibri" w:cs="Calibri"/>
        </w:rPr>
        <w:t xml:space="preserve">in estimating sentencing practices than those who believed that sentencing was about appropriate. In particular, </w:t>
      </w:r>
      <w:r w:rsidR="00A93AF8">
        <w:rPr>
          <w:rFonts w:ascii="Calibri" w:hAnsi="Calibri" w:cs="Calibri"/>
        </w:rPr>
        <w:t xml:space="preserve">supporters of harsher penalties tended to under vale the current usage of imprisonment. </w:t>
      </w:r>
    </w:p>
    <w:p w14:paraId="4C057E5F" w14:textId="1F0DE455" w:rsidR="00C07C0B" w:rsidRDefault="00DD1911" w:rsidP="00E1758D">
      <w:pPr>
        <w:rPr>
          <w:rFonts w:ascii="Calibri" w:hAnsi="Calibri" w:cs="Calibri"/>
        </w:rPr>
      </w:pPr>
      <w:r>
        <w:rPr>
          <w:rFonts w:ascii="Calibri" w:hAnsi="Calibri" w:cs="Calibri"/>
        </w:rPr>
        <w:t xml:space="preserve">In 2021, respondents to a survey conducted by </w:t>
      </w:r>
      <w:r w:rsidR="005A2D65" w:rsidRPr="005A2D65">
        <w:rPr>
          <w:rFonts w:ascii="Calibri" w:hAnsi="Calibri" w:cs="Calibri"/>
        </w:rPr>
        <w:t>(Roberts et al., 2022)</w:t>
      </w:r>
      <w:r>
        <w:rPr>
          <w:rFonts w:ascii="Calibri" w:hAnsi="Calibri" w:cs="Calibri"/>
        </w:rPr>
        <w:t xml:space="preserve"> were asked if they thought </w:t>
      </w:r>
      <w:r w:rsidR="00C17611">
        <w:rPr>
          <w:rFonts w:ascii="Calibri" w:hAnsi="Calibri" w:cs="Calibri"/>
        </w:rPr>
        <w:t>sentencing was appropriate, too light or too harsh</w:t>
      </w:r>
      <w:r w:rsidR="00BF2CAF">
        <w:rPr>
          <w:rFonts w:ascii="Calibri" w:hAnsi="Calibri" w:cs="Calibri"/>
        </w:rPr>
        <w:t xml:space="preserve">. About two – thirds (65%) of those surveyed agreed that the penalty was too light, Excluding the ‘don’t know’ </w:t>
      </w:r>
      <w:r w:rsidR="00AD5A05">
        <w:rPr>
          <w:rFonts w:ascii="Calibri" w:hAnsi="Calibri" w:cs="Calibri"/>
        </w:rPr>
        <w:t xml:space="preserve">responses </w:t>
      </w:r>
      <w:r w:rsidR="00D9477C">
        <w:rPr>
          <w:rFonts w:ascii="Calibri" w:hAnsi="Calibri" w:cs="Calibri"/>
        </w:rPr>
        <w:t>increase</w:t>
      </w:r>
      <w:r w:rsidR="00AD5A05">
        <w:rPr>
          <w:rFonts w:ascii="Calibri" w:hAnsi="Calibri" w:cs="Calibri"/>
        </w:rPr>
        <w:t xml:space="preserve"> the percentage of respondents who chose this pers</w:t>
      </w:r>
      <w:r w:rsidR="0055003F">
        <w:rPr>
          <w:rFonts w:ascii="Calibri" w:hAnsi="Calibri" w:cs="Calibri"/>
        </w:rPr>
        <w:t xml:space="preserve">pective to 76%; these results are largely consistent with the British crime survey from 1966. </w:t>
      </w:r>
      <w:r w:rsidR="00547793">
        <w:rPr>
          <w:rFonts w:ascii="Calibri" w:hAnsi="Calibri" w:cs="Calibri"/>
        </w:rPr>
        <w:t xml:space="preserve">According to a </w:t>
      </w:r>
      <w:r w:rsidR="00975FAD">
        <w:rPr>
          <w:rFonts w:ascii="Calibri" w:hAnsi="Calibri" w:cs="Calibri"/>
        </w:rPr>
        <w:t xml:space="preserve">survey conducted by </w:t>
      </w:r>
      <w:r w:rsidR="00975FAD" w:rsidRPr="00975FAD">
        <w:rPr>
          <w:rFonts w:ascii="Calibri" w:hAnsi="Calibri" w:cs="Calibri"/>
        </w:rPr>
        <w:t>(Clark, 2020)</w:t>
      </w:r>
      <w:r w:rsidR="00975FAD">
        <w:rPr>
          <w:rFonts w:ascii="Calibri" w:hAnsi="Calibri" w:cs="Calibri"/>
        </w:rPr>
        <w:t>, these results</w:t>
      </w:r>
      <w:r w:rsidR="00931E5E">
        <w:rPr>
          <w:rFonts w:ascii="Calibri" w:hAnsi="Calibri" w:cs="Calibri"/>
        </w:rPr>
        <w:t xml:space="preserve"> are consistent</w:t>
      </w:r>
      <w:r w:rsidR="004F3FB5">
        <w:rPr>
          <w:rFonts w:ascii="Calibri" w:hAnsi="Calibri" w:cs="Calibri"/>
        </w:rPr>
        <w:t xml:space="preserve"> as 70% of the public believe that sentencing is not harsh enough. </w:t>
      </w:r>
    </w:p>
    <w:p w14:paraId="2C681563" w14:textId="58E70073" w:rsidR="00A66846" w:rsidRPr="00F012FF" w:rsidRDefault="00A66846" w:rsidP="00E1758D">
      <w:pPr>
        <w:rPr>
          <w:rFonts w:ascii="Calibri" w:hAnsi="Calibri" w:cs="Calibri"/>
        </w:rPr>
      </w:pPr>
      <w:r>
        <w:rPr>
          <w:rFonts w:ascii="Calibri" w:hAnsi="Calibri" w:cs="Calibri"/>
        </w:rPr>
        <w:t xml:space="preserve">The above research outlines that the general public do not have an understanding of how sentencing works and the majority believe the sentences provided to </w:t>
      </w:r>
      <w:r w:rsidR="00016156">
        <w:rPr>
          <w:rFonts w:ascii="Calibri" w:hAnsi="Calibri" w:cs="Calibri"/>
        </w:rPr>
        <w:t xml:space="preserve">defendants aren’t harsh enough. </w:t>
      </w:r>
    </w:p>
    <w:p w14:paraId="2C986BA9" w14:textId="732D07BC" w:rsidR="0040546D" w:rsidRPr="00F012FF" w:rsidRDefault="0040546D" w:rsidP="0040546D">
      <w:pPr>
        <w:pStyle w:val="ListParagraph"/>
        <w:numPr>
          <w:ilvl w:val="1"/>
          <w:numId w:val="2"/>
        </w:numPr>
        <w:rPr>
          <w:rFonts w:ascii="Calibri" w:hAnsi="Calibri" w:cs="Calibri"/>
          <w:b/>
          <w:bCs/>
        </w:rPr>
      </w:pPr>
      <w:r w:rsidRPr="00F012FF">
        <w:rPr>
          <w:rFonts w:ascii="Calibri" w:hAnsi="Calibri" w:cs="Calibri"/>
          <w:b/>
          <w:bCs/>
        </w:rPr>
        <w:lastRenderedPageBreak/>
        <w:t xml:space="preserve">To explore the </w:t>
      </w:r>
      <w:r w:rsidR="006C7CD7" w:rsidRPr="00F012FF">
        <w:rPr>
          <w:rFonts w:ascii="Calibri" w:hAnsi="Calibri" w:cs="Calibri"/>
          <w:b/>
          <w:bCs/>
        </w:rPr>
        <w:t>P</w:t>
      </w:r>
      <w:r w:rsidRPr="00F012FF">
        <w:rPr>
          <w:rFonts w:ascii="Calibri" w:hAnsi="Calibri" w:cs="Calibri"/>
          <w:b/>
          <w:bCs/>
        </w:rPr>
        <w:t xml:space="preserve">ublic </w:t>
      </w:r>
      <w:r w:rsidR="006C7CD7" w:rsidRPr="00F012FF">
        <w:rPr>
          <w:rFonts w:ascii="Calibri" w:hAnsi="Calibri" w:cs="Calibri"/>
          <w:b/>
          <w:bCs/>
        </w:rPr>
        <w:t>P</w:t>
      </w:r>
      <w:r w:rsidRPr="00F012FF">
        <w:rPr>
          <w:rFonts w:ascii="Calibri" w:hAnsi="Calibri" w:cs="Calibri"/>
          <w:b/>
          <w:bCs/>
        </w:rPr>
        <w:t xml:space="preserve">erception on </w:t>
      </w:r>
      <w:r w:rsidR="006C7CD7" w:rsidRPr="00F012FF">
        <w:rPr>
          <w:rFonts w:ascii="Calibri" w:hAnsi="Calibri" w:cs="Calibri"/>
          <w:b/>
          <w:bCs/>
        </w:rPr>
        <w:t>S</w:t>
      </w:r>
      <w:r w:rsidRPr="00F012FF">
        <w:rPr>
          <w:rFonts w:ascii="Calibri" w:hAnsi="Calibri" w:cs="Calibri"/>
          <w:b/>
          <w:bCs/>
        </w:rPr>
        <w:t xml:space="preserve">entencing within the </w:t>
      </w:r>
      <w:r w:rsidR="006C7CD7" w:rsidRPr="00F012FF">
        <w:rPr>
          <w:rFonts w:ascii="Calibri" w:hAnsi="Calibri" w:cs="Calibri"/>
          <w:b/>
          <w:bCs/>
        </w:rPr>
        <w:t>C</w:t>
      </w:r>
      <w:r w:rsidRPr="00F012FF">
        <w:rPr>
          <w:rFonts w:ascii="Calibri" w:hAnsi="Calibri" w:cs="Calibri"/>
          <w:b/>
          <w:bCs/>
        </w:rPr>
        <w:t>ourts</w:t>
      </w:r>
    </w:p>
    <w:p w14:paraId="4DADAE07" w14:textId="4D57B1BC" w:rsidR="00D420CE" w:rsidRDefault="00D420CE" w:rsidP="00D420CE">
      <w:pPr>
        <w:rPr>
          <w:rFonts w:ascii="Calibri" w:hAnsi="Calibri" w:cs="Calibri"/>
        </w:rPr>
      </w:pPr>
      <w:r w:rsidRPr="00F012FF">
        <w:rPr>
          <w:rFonts w:ascii="Calibri" w:hAnsi="Calibri" w:cs="Calibri"/>
        </w:rPr>
        <w:t xml:space="preserve">The perception that the public have on the courts is crucial to the legitimacy and effectiveness in the prevention of crime. Surveys indicate that how the public trust in the judicial system is relatively high, but there are worries about sentencing leniency and inconsistency (Hough and Roberts, 2005). The media and social platforms frequently have an influence on the public perceptions towards the court. Sensationalised coverage of high-profile cases can give the impression that sentencing is excessively lenient, despite evidence that courts normally impose adequate punishments (Marsh and Melville, 2014). The sentencing council have worked to increase transparency by publishing the guidelines and communicating with the public so that they have an idea as to what the advice is when sentencing for offences (Sentencing Council, 2022). </w:t>
      </w:r>
    </w:p>
    <w:p w14:paraId="37733B6F" w14:textId="3CFF7DDB" w:rsidR="00224694" w:rsidRPr="00F012FF" w:rsidRDefault="006E353B" w:rsidP="00D420CE">
      <w:pPr>
        <w:rPr>
          <w:rFonts w:ascii="Calibri" w:hAnsi="Calibri" w:cs="Calibri"/>
        </w:rPr>
      </w:pPr>
      <w:r>
        <w:rPr>
          <w:rFonts w:ascii="Calibri" w:hAnsi="Calibri" w:cs="Calibri"/>
        </w:rPr>
        <w:t>In addition</w:t>
      </w:r>
      <w:r w:rsidR="005A3F8E">
        <w:rPr>
          <w:rFonts w:ascii="Calibri" w:hAnsi="Calibri" w:cs="Calibri"/>
        </w:rPr>
        <w:t>, the wording used in sentencing is unclear. Although many people think they understand phrases like “life sentence” and “on license”</w:t>
      </w:r>
      <w:r w:rsidR="00CE0403">
        <w:rPr>
          <w:rFonts w:ascii="Calibri" w:hAnsi="Calibri" w:cs="Calibri"/>
        </w:rPr>
        <w:t>, qualitive discussions show that real comprehension is frequently lacking. This discrepancy emphasis how important</w:t>
      </w:r>
      <w:r w:rsidR="00776985">
        <w:rPr>
          <w:rFonts w:ascii="Calibri" w:hAnsi="Calibri" w:cs="Calibri"/>
        </w:rPr>
        <w:t xml:space="preserve"> it is to communicate sentencing guidelines and results more clearly. </w:t>
      </w:r>
      <w:r w:rsidR="001733F6">
        <w:rPr>
          <w:rFonts w:ascii="Calibri" w:hAnsi="Calibri" w:cs="Calibri"/>
        </w:rPr>
        <w:t>The same as people do not understand what probation is and how this has an influence on sentencing and prison times.</w:t>
      </w:r>
    </w:p>
    <w:p w14:paraId="7F236633" w14:textId="1AFA223B" w:rsidR="000D1B5C" w:rsidRPr="00F012FF" w:rsidRDefault="00D420CE" w:rsidP="00D420CE">
      <w:pPr>
        <w:rPr>
          <w:rFonts w:ascii="Calibri" w:hAnsi="Calibri" w:cs="Calibri"/>
        </w:rPr>
      </w:pPr>
      <w:r w:rsidRPr="00F012FF">
        <w:rPr>
          <w:rFonts w:ascii="Calibri" w:hAnsi="Calibri" w:cs="Calibri"/>
        </w:rPr>
        <w:t>The public’s perspective of the court system’s effectiveness is an important aspect in determining its legitimacy and authority. A study that examined data from the Crime survey for England and Wales (CSEW) investigated how demographic factors and person experience with crime influence the trust that people have in the system. The findings indicate that perceptions of fairness and success range among population groups, empathising the necessity for the justice system to address these disparities to preserve public trust (Morales-Gomez and Associate, 2020).</w:t>
      </w:r>
    </w:p>
    <w:p w14:paraId="16CBEA72" w14:textId="77777777" w:rsidR="00BB031C" w:rsidRPr="00F012FF" w:rsidRDefault="00BB031C" w:rsidP="00BB031C">
      <w:pPr>
        <w:rPr>
          <w:rFonts w:ascii="Calibri" w:hAnsi="Calibri" w:cs="Calibri"/>
        </w:rPr>
      </w:pPr>
      <w:r w:rsidRPr="00F012FF">
        <w:rPr>
          <w:rFonts w:ascii="Calibri" w:hAnsi="Calibri" w:cs="Calibri"/>
          <w:noProof/>
        </w:rPr>
        <w:drawing>
          <wp:anchor distT="0" distB="0" distL="114300" distR="114300" simplePos="0" relativeHeight="251659264" behindDoc="1" locked="0" layoutInCell="1" allowOverlap="1" wp14:anchorId="2336C291" wp14:editId="01B19BD3">
            <wp:simplePos x="0" y="0"/>
            <wp:positionH relativeFrom="margin">
              <wp:align>left</wp:align>
            </wp:positionH>
            <wp:positionV relativeFrom="paragraph">
              <wp:posOffset>197485</wp:posOffset>
            </wp:positionV>
            <wp:extent cx="3644293" cy="2177047"/>
            <wp:effectExtent l="0" t="0" r="0" b="0"/>
            <wp:wrapTight wrapText="bothSides">
              <wp:wrapPolygon edited="0">
                <wp:start x="0" y="0"/>
                <wp:lineTo x="0" y="21361"/>
                <wp:lineTo x="21453" y="21361"/>
                <wp:lineTo x="21453" y="0"/>
                <wp:lineTo x="0" y="0"/>
              </wp:wrapPolygon>
            </wp:wrapTight>
            <wp:docPr id="736675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75792" name=""/>
                    <pic:cNvPicPr/>
                  </pic:nvPicPr>
                  <pic:blipFill>
                    <a:blip r:embed="rId5">
                      <a:extLst>
                        <a:ext uri="{28A0092B-C50C-407E-A947-70E740481C1C}">
                          <a14:useLocalDpi xmlns:a14="http://schemas.microsoft.com/office/drawing/2010/main" val="0"/>
                        </a:ext>
                      </a:extLst>
                    </a:blip>
                    <a:stretch>
                      <a:fillRect/>
                    </a:stretch>
                  </pic:blipFill>
                  <pic:spPr>
                    <a:xfrm>
                      <a:off x="0" y="0"/>
                      <a:ext cx="3644293" cy="2177047"/>
                    </a:xfrm>
                    <a:prstGeom prst="rect">
                      <a:avLst/>
                    </a:prstGeom>
                  </pic:spPr>
                </pic:pic>
              </a:graphicData>
            </a:graphic>
          </wp:anchor>
        </w:drawing>
      </w:r>
    </w:p>
    <w:p w14:paraId="16703528" w14:textId="69B3ED9C" w:rsidR="003C6020" w:rsidRPr="00F012FF" w:rsidRDefault="00BB031C" w:rsidP="00BB031C">
      <w:pPr>
        <w:rPr>
          <w:rFonts w:ascii="Calibri" w:hAnsi="Calibri" w:cs="Calibri"/>
        </w:rPr>
      </w:pPr>
      <w:r w:rsidRPr="00F012FF">
        <w:rPr>
          <w:rFonts w:ascii="Calibri" w:hAnsi="Calibri" w:cs="Calibri"/>
        </w:rPr>
        <w:t xml:space="preserve">A recent survey from (Kirk, 2022) shows that most of the public being 65% believe that the sentencing for criminals is “not harsh enough” whereas 2% believe it is “too harsh”. This impression influences political and judicial policy, with a preference for harsher punishments over evidence-based rehabilitative strategies. </w:t>
      </w:r>
    </w:p>
    <w:p w14:paraId="639E5803" w14:textId="2D14A9CC" w:rsidR="0040546D" w:rsidRDefault="00101BD5" w:rsidP="0040546D">
      <w:r>
        <w:rPr>
          <w:noProof/>
        </w:rPr>
        <mc:AlternateContent>
          <mc:Choice Requires="wps">
            <w:drawing>
              <wp:anchor distT="0" distB="0" distL="114300" distR="114300" simplePos="0" relativeHeight="251661312" behindDoc="1" locked="0" layoutInCell="1" allowOverlap="1" wp14:anchorId="68BF959F" wp14:editId="0CC2BB26">
                <wp:simplePos x="0" y="0"/>
                <wp:positionH relativeFrom="margin">
                  <wp:align>left</wp:align>
                </wp:positionH>
                <wp:positionV relativeFrom="paragraph">
                  <wp:posOffset>33655</wp:posOffset>
                </wp:positionV>
                <wp:extent cx="3644265" cy="635"/>
                <wp:effectExtent l="0" t="0" r="0" b="0"/>
                <wp:wrapTight wrapText="bothSides">
                  <wp:wrapPolygon edited="0">
                    <wp:start x="0" y="0"/>
                    <wp:lineTo x="0" y="20057"/>
                    <wp:lineTo x="21453" y="20057"/>
                    <wp:lineTo x="21453" y="0"/>
                    <wp:lineTo x="0" y="0"/>
                  </wp:wrapPolygon>
                </wp:wrapTight>
                <wp:docPr id="866914441" name="Text Box 1"/>
                <wp:cNvGraphicFramePr/>
                <a:graphic xmlns:a="http://schemas.openxmlformats.org/drawingml/2006/main">
                  <a:graphicData uri="http://schemas.microsoft.com/office/word/2010/wordprocessingShape">
                    <wps:wsp>
                      <wps:cNvSpPr txBox="1"/>
                      <wps:spPr>
                        <a:xfrm>
                          <a:off x="0" y="0"/>
                          <a:ext cx="3644265" cy="635"/>
                        </a:xfrm>
                        <a:prstGeom prst="rect">
                          <a:avLst/>
                        </a:prstGeom>
                        <a:solidFill>
                          <a:prstClr val="white"/>
                        </a:solidFill>
                        <a:ln>
                          <a:noFill/>
                        </a:ln>
                      </wps:spPr>
                      <wps:txbx>
                        <w:txbxContent>
                          <w:p w14:paraId="0706EEC5" w14:textId="3002AB99" w:rsidR="003C6020" w:rsidRPr="003C6020" w:rsidRDefault="00101BD5" w:rsidP="003C6020">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 (Kirk,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BF959F" id="_x0000_t202" coordsize="21600,21600" o:spt="202" path="m,l,21600r21600,l21600,xe">
                <v:stroke joinstyle="miter"/>
                <v:path gradientshapeok="t" o:connecttype="rect"/>
              </v:shapetype>
              <v:shape id="Text Box 1" o:spid="_x0000_s1026" type="#_x0000_t202" style="position:absolute;margin-left:0;margin-top:2.65pt;width:286.95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" stroked="f">
                <v:textbox style="mso-fit-shape-to-text:t" inset="0,0,0,0">
                  <w:txbxContent>
                    <w:p w14:paraId="0706EEC5" w14:textId="3002AB99" w:rsidR="003C6020" w:rsidRPr="003C6020" w:rsidRDefault="00101BD5" w:rsidP="003C6020">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 (Kirk, 2022)</w:t>
                      </w:r>
                    </w:p>
                  </w:txbxContent>
                </v:textbox>
                <w10:wrap type="tight" anchorx="margin"/>
              </v:shape>
            </w:pict>
          </mc:Fallback>
        </mc:AlternateContent>
      </w:r>
    </w:p>
    <w:p w14:paraId="63A7B39B" w14:textId="77777777" w:rsidR="005D57A3" w:rsidRPr="00DA00EE" w:rsidRDefault="005D57A3" w:rsidP="00E1758D">
      <w:pPr>
        <w:rPr>
          <w:rFonts w:ascii="Calibri" w:hAnsi="Calibri" w:cs="Calibri"/>
        </w:rPr>
      </w:pPr>
    </w:p>
    <w:p w14:paraId="561A9AF2" w14:textId="2CE70A6F" w:rsidR="00B5449E" w:rsidRPr="00B5449E" w:rsidRDefault="00B5449E" w:rsidP="00B5449E">
      <w:pPr>
        <w:rPr>
          <w:rFonts w:ascii="Calibri" w:hAnsi="Calibri" w:cs="Calibri"/>
        </w:rPr>
      </w:pPr>
      <w:r w:rsidRPr="00DA00EE">
        <w:rPr>
          <w:rFonts w:ascii="Calibri" w:hAnsi="Calibri" w:cs="Calibri"/>
          <w:b/>
          <w:bCs/>
        </w:rPr>
        <w:t>2.3</w:t>
      </w:r>
      <w:r w:rsidR="00B73125">
        <w:rPr>
          <w:rFonts w:ascii="Calibri" w:hAnsi="Calibri" w:cs="Calibri"/>
          <w:b/>
          <w:bCs/>
        </w:rPr>
        <w:t xml:space="preserve"> </w:t>
      </w:r>
      <w:r w:rsidRPr="00B5449E">
        <w:rPr>
          <w:rFonts w:ascii="Calibri" w:hAnsi="Calibri" w:cs="Calibri"/>
          <w:b/>
          <w:bCs/>
        </w:rPr>
        <w:t>To Explore Public Perception on Sentencing and Sentencing Within the Courts</w:t>
      </w:r>
    </w:p>
    <w:p w14:paraId="60E1734C" w14:textId="77777777" w:rsidR="00EA4208" w:rsidRPr="00DA00EE" w:rsidRDefault="00B5449E" w:rsidP="00B5449E">
      <w:pPr>
        <w:rPr>
          <w:rFonts w:ascii="Calibri" w:hAnsi="Calibri" w:cs="Calibri"/>
        </w:rPr>
      </w:pPr>
      <w:r w:rsidRPr="00B5449E">
        <w:rPr>
          <w:rFonts w:ascii="Calibri" w:hAnsi="Calibri" w:cs="Calibri"/>
        </w:rPr>
        <w:t xml:space="preserve">Instead of firsthand experience, the public's perception of sentencing is frequently influenced by incomplete facts and media narratives.  There is a persistent disparity between sentence facts and public perceptions, according to research.  According to </w:t>
      </w:r>
      <w:r w:rsidR="002B19F1" w:rsidRPr="00DA00EE">
        <w:rPr>
          <w:rFonts w:ascii="Calibri" w:hAnsi="Calibri" w:cs="Calibri"/>
        </w:rPr>
        <w:t xml:space="preserve">(Ashworth and Roberts, 2013), </w:t>
      </w:r>
      <w:r w:rsidRPr="00B5449E">
        <w:rPr>
          <w:rFonts w:ascii="Calibri" w:hAnsi="Calibri" w:cs="Calibri"/>
        </w:rPr>
        <w:t xml:space="preserve">a lot of people think that judges' punishments are too light, especially when they involve violent offences.  However, the public's preferences for sentence more closely resemble judges' when they are given complete facts of actual cases </w:t>
      </w:r>
      <w:r w:rsidR="00EA4208" w:rsidRPr="00DA00EE">
        <w:rPr>
          <w:rFonts w:ascii="Calibri" w:hAnsi="Calibri" w:cs="Calibri"/>
        </w:rPr>
        <w:t xml:space="preserve">(Gelb and Sentencing, 2006). </w:t>
      </w:r>
    </w:p>
    <w:p w14:paraId="7FCAF28A" w14:textId="4F475246" w:rsidR="00DF7C24" w:rsidRDefault="00B5449E" w:rsidP="00B5449E">
      <w:pPr>
        <w:rPr>
          <w:rFonts w:ascii="Calibri" w:hAnsi="Calibri" w:cs="Calibri"/>
        </w:rPr>
      </w:pPr>
      <w:r w:rsidRPr="00B5449E">
        <w:rPr>
          <w:rFonts w:ascii="Calibri" w:hAnsi="Calibri" w:cs="Calibri"/>
        </w:rPr>
        <w:lastRenderedPageBreak/>
        <w:t xml:space="preserve">One of the main problems is that the public is unaware of the process used to determine sentences.  According </w:t>
      </w:r>
      <w:r w:rsidR="00F0296C" w:rsidRPr="00DA00EE">
        <w:rPr>
          <w:rFonts w:ascii="Calibri" w:hAnsi="Calibri" w:cs="Calibri"/>
        </w:rPr>
        <w:t xml:space="preserve">(Wood and Gannon, 2011), </w:t>
      </w:r>
      <w:r w:rsidRPr="00B5449E">
        <w:rPr>
          <w:rFonts w:ascii="Calibri" w:hAnsi="Calibri" w:cs="Calibri"/>
        </w:rPr>
        <w:t>the general public does not fully comprehend sentencing guidelines, complex legal reasoning, or aggravating or mitigating factors.  When sentences are perceived to deviate from public expectations or media representations, this information gap exacerbates feelings of injustice or contradiction.</w:t>
      </w:r>
      <w:r w:rsidR="00396197" w:rsidRPr="00DA00EE">
        <w:rPr>
          <w:rFonts w:ascii="Calibri" w:hAnsi="Calibri" w:cs="Calibri"/>
        </w:rPr>
        <w:t xml:space="preserve"> </w:t>
      </w:r>
      <w:r w:rsidRPr="00B5449E">
        <w:rPr>
          <w:rFonts w:ascii="Calibri" w:hAnsi="Calibri" w:cs="Calibri"/>
        </w:rPr>
        <w:t xml:space="preserve">It is impossible to ignore how the media </w:t>
      </w:r>
      <w:r w:rsidR="00396197" w:rsidRPr="00DA00EE">
        <w:rPr>
          <w:rFonts w:ascii="Calibri" w:hAnsi="Calibri" w:cs="Calibri"/>
        </w:rPr>
        <w:t>shape’s</w:t>
      </w:r>
      <w:r w:rsidRPr="00B5449E">
        <w:rPr>
          <w:rFonts w:ascii="Calibri" w:hAnsi="Calibri" w:cs="Calibri"/>
        </w:rPr>
        <w:t xml:space="preserve"> public opinion. </w:t>
      </w:r>
      <w:r w:rsidR="00C876C3" w:rsidRPr="00DA00EE">
        <w:rPr>
          <w:rFonts w:ascii="Calibri" w:hAnsi="Calibri" w:cs="Calibri"/>
        </w:rPr>
        <w:t xml:space="preserve">(Morgan, Reiner and Maguire, 2012) </w:t>
      </w:r>
      <w:r w:rsidRPr="00B5449E">
        <w:rPr>
          <w:rFonts w:ascii="Calibri" w:hAnsi="Calibri" w:cs="Calibri"/>
        </w:rPr>
        <w:t xml:space="preserve">contend that a distorted perception of court leniency can result from the mass media's frequent framing of sentencing decisions as insufficient, particularly in high-profile criminal cases.  Public pressure for harsher penalties and a decline in confidence in judicial discretion can result from this "penal populism" </w:t>
      </w:r>
      <w:r w:rsidR="00DA1240" w:rsidRPr="00DA00EE">
        <w:rPr>
          <w:rFonts w:ascii="Calibri" w:hAnsi="Calibri" w:cs="Calibri"/>
        </w:rPr>
        <w:t xml:space="preserve">(Pratt, 2007). </w:t>
      </w:r>
    </w:p>
    <w:p w14:paraId="6E239C8D" w14:textId="77777777" w:rsidR="00125C39" w:rsidRPr="00B5449E" w:rsidRDefault="00125C39" w:rsidP="00B5449E">
      <w:pPr>
        <w:rPr>
          <w:rFonts w:ascii="Calibri" w:hAnsi="Calibri" w:cs="Calibri"/>
        </w:rPr>
      </w:pPr>
    </w:p>
    <w:p w14:paraId="5F561E7B" w14:textId="36881459" w:rsidR="00125C39" w:rsidRPr="00B5449E" w:rsidRDefault="00B5449E" w:rsidP="00B5449E">
      <w:pPr>
        <w:rPr>
          <w:rFonts w:ascii="Calibri" w:hAnsi="Calibri" w:cs="Calibri"/>
        </w:rPr>
      </w:pPr>
      <w:r w:rsidRPr="00B5449E">
        <w:rPr>
          <w:rFonts w:ascii="Calibri" w:hAnsi="Calibri" w:cs="Calibri"/>
          <w:b/>
          <w:bCs/>
        </w:rPr>
        <w:t>2</w:t>
      </w:r>
      <w:r w:rsidR="00125C39">
        <w:rPr>
          <w:rFonts w:ascii="Calibri" w:hAnsi="Calibri" w:cs="Calibri"/>
          <w:b/>
          <w:bCs/>
        </w:rPr>
        <w:t>.4</w:t>
      </w:r>
      <w:r w:rsidRPr="00B5449E">
        <w:rPr>
          <w:rFonts w:ascii="Calibri" w:hAnsi="Calibri" w:cs="Calibri"/>
          <w:b/>
          <w:bCs/>
        </w:rPr>
        <w:t xml:space="preserve"> To Identify if Public Perception on Sentencing is Impacting Upon Community Trust Towards the Police</w:t>
      </w:r>
    </w:p>
    <w:p w14:paraId="7FC07D89" w14:textId="77777777" w:rsidR="001D53C0" w:rsidRDefault="00B5449E" w:rsidP="00B5449E">
      <w:pPr>
        <w:rPr>
          <w:rFonts w:ascii="Calibri" w:hAnsi="Calibri" w:cs="Calibri"/>
        </w:rPr>
      </w:pPr>
      <w:r w:rsidRPr="00B5449E">
        <w:rPr>
          <w:rFonts w:ascii="Calibri" w:hAnsi="Calibri" w:cs="Calibri"/>
        </w:rPr>
        <w:t xml:space="preserve">Although the judiciary makes sentencing choices, the police is the first step in a larger justice process.  Since the police are frequently viewed as the face of justice, opinions about them may change if people believe that the courts are unfair, especially when it comes to sentencing </w:t>
      </w:r>
      <w:r w:rsidR="00CE678D" w:rsidRPr="00CE678D">
        <w:rPr>
          <w:rFonts w:ascii="Calibri" w:hAnsi="Calibri" w:cs="Calibri"/>
        </w:rPr>
        <w:t>(Bradford, 2017)</w:t>
      </w:r>
      <w:r w:rsidR="00CE678D">
        <w:rPr>
          <w:rFonts w:ascii="Calibri" w:hAnsi="Calibri" w:cs="Calibri"/>
        </w:rPr>
        <w:t xml:space="preserve">. </w:t>
      </w:r>
      <w:r w:rsidRPr="00B5449E">
        <w:rPr>
          <w:rFonts w:ascii="Calibri" w:hAnsi="Calibri" w:cs="Calibri"/>
        </w:rPr>
        <w:t>Police trust is significantly impacted by how the public views sentencing.  The public's trust in law enforcement's capacity to uphold order may be weakened if they perceive the legal system to be forgiving.  According to the </w:t>
      </w:r>
      <w:r w:rsidR="00612963" w:rsidRPr="00612963">
        <w:rPr>
          <w:rFonts w:ascii="Calibri" w:hAnsi="Calibri" w:cs="Calibri"/>
        </w:rPr>
        <w:t>(Justice, 2013)</w:t>
      </w:r>
      <w:r w:rsidR="00612963">
        <w:rPr>
          <w:rFonts w:ascii="Calibri" w:hAnsi="Calibri" w:cs="Calibri"/>
        </w:rPr>
        <w:t xml:space="preserve"> members of the public’s</w:t>
      </w:r>
      <w:r w:rsidRPr="00B5449E">
        <w:rPr>
          <w:rFonts w:ascii="Calibri" w:hAnsi="Calibri" w:cs="Calibri"/>
        </w:rPr>
        <w:t xml:space="preserve"> experiences of crime and interactions with the police were important indicators of confidence in the CJS and the police.</w:t>
      </w:r>
    </w:p>
    <w:p w14:paraId="2AE0DA46" w14:textId="256149F5" w:rsidR="00B5449E" w:rsidRPr="00B5449E" w:rsidRDefault="00B5449E" w:rsidP="00B5449E">
      <w:pPr>
        <w:rPr>
          <w:rFonts w:ascii="Calibri" w:hAnsi="Calibri" w:cs="Calibri"/>
        </w:rPr>
      </w:pPr>
      <w:r w:rsidRPr="00B5449E">
        <w:rPr>
          <w:rFonts w:ascii="Calibri" w:hAnsi="Calibri" w:cs="Calibri"/>
        </w:rPr>
        <w:t>Furthermore, the Justice Committee's 202</w:t>
      </w:r>
      <w:r w:rsidR="0015652D">
        <w:rPr>
          <w:rFonts w:ascii="Calibri" w:hAnsi="Calibri" w:cs="Calibri"/>
        </w:rPr>
        <w:t xml:space="preserve">2 </w:t>
      </w:r>
      <w:r w:rsidRPr="00B5449E">
        <w:rPr>
          <w:rFonts w:ascii="Calibri" w:hAnsi="Calibri" w:cs="Calibri"/>
        </w:rPr>
        <w:t>report</w:t>
      </w:r>
      <w:r w:rsidR="0015652D">
        <w:rPr>
          <w:rFonts w:ascii="Calibri" w:hAnsi="Calibri" w:cs="Calibri"/>
        </w:rPr>
        <w:t xml:space="preserve">, </w:t>
      </w:r>
      <w:r w:rsidR="0015652D" w:rsidRPr="0015652D">
        <w:rPr>
          <w:rFonts w:ascii="Calibri" w:hAnsi="Calibri" w:cs="Calibri"/>
        </w:rPr>
        <w:t>(Justice Committee, 2022)</w:t>
      </w:r>
      <w:r w:rsidRPr="00B5449E">
        <w:rPr>
          <w:rFonts w:ascii="Calibri" w:hAnsi="Calibri" w:cs="Calibri"/>
        </w:rPr>
        <w:t xml:space="preserve"> made clear that public perception of punishment has an impact on trust in the C</w:t>
      </w:r>
      <w:r w:rsidR="00B519D4">
        <w:rPr>
          <w:rFonts w:ascii="Calibri" w:hAnsi="Calibri" w:cs="Calibri"/>
        </w:rPr>
        <w:t>riminal justice system</w:t>
      </w:r>
      <w:r w:rsidRPr="00B5449E">
        <w:rPr>
          <w:rFonts w:ascii="Calibri" w:hAnsi="Calibri" w:cs="Calibri"/>
        </w:rPr>
        <w:t>.  The study underlined that increased openness and communication regarding sentencing may boost public confidence.</w:t>
      </w:r>
      <w:r w:rsidR="0015652D">
        <w:rPr>
          <w:rFonts w:ascii="Calibri" w:hAnsi="Calibri" w:cs="Calibri"/>
        </w:rPr>
        <w:t xml:space="preserve"> </w:t>
      </w:r>
      <w:r w:rsidRPr="00B5449E">
        <w:rPr>
          <w:rFonts w:ascii="Calibri" w:hAnsi="Calibri" w:cs="Calibri"/>
        </w:rPr>
        <w:t>Demographic groupings differ in how they view sentence and police trust. According to a 2022</w:t>
      </w:r>
      <w:r w:rsidR="00834F31">
        <w:rPr>
          <w:rFonts w:ascii="Calibri" w:hAnsi="Calibri" w:cs="Calibri"/>
        </w:rPr>
        <w:t xml:space="preserve">, </w:t>
      </w:r>
      <w:r w:rsidRPr="00B5449E">
        <w:rPr>
          <w:rFonts w:ascii="Calibri" w:hAnsi="Calibri" w:cs="Calibri"/>
        </w:rPr>
        <w:t>study by the Sentencing Council, Asian adults and adults under the age of 54 were more likely to believe that the C</w:t>
      </w:r>
      <w:r w:rsidR="00BF098F">
        <w:rPr>
          <w:rFonts w:ascii="Calibri" w:hAnsi="Calibri" w:cs="Calibri"/>
        </w:rPr>
        <w:t>riminal justice system</w:t>
      </w:r>
      <w:r w:rsidRPr="00B5449E">
        <w:rPr>
          <w:rFonts w:ascii="Calibri" w:hAnsi="Calibri" w:cs="Calibri"/>
        </w:rPr>
        <w:t xml:space="preserve"> was effective.</w:t>
      </w:r>
      <w:r w:rsidR="00834F31">
        <w:rPr>
          <w:rFonts w:ascii="Calibri" w:hAnsi="Calibri" w:cs="Calibri"/>
        </w:rPr>
        <w:t xml:space="preserve"> </w:t>
      </w:r>
      <w:r w:rsidR="00834F31" w:rsidRPr="00B5449E">
        <w:rPr>
          <w:rFonts w:ascii="Calibri" w:hAnsi="Calibri" w:cs="Calibri"/>
        </w:rPr>
        <w:t xml:space="preserve"> </w:t>
      </w:r>
    </w:p>
    <w:p w14:paraId="0442A2D8" w14:textId="31CC1EB5" w:rsidR="00C729A6" w:rsidRPr="00B5449E" w:rsidRDefault="00B5449E" w:rsidP="00B5449E">
      <w:pPr>
        <w:rPr>
          <w:rFonts w:ascii="Calibri" w:hAnsi="Calibri" w:cs="Calibri"/>
        </w:rPr>
      </w:pPr>
      <w:r w:rsidRPr="00B5449E">
        <w:rPr>
          <w:rFonts w:ascii="Calibri" w:hAnsi="Calibri" w:cs="Calibri"/>
        </w:rPr>
        <w:t>However, compared to women and Black adults, men and White and Asian adults were more likely to believe it was fair. These variances show that cultural, societal, and personal experiences influence perceptions and trust levels.  Comprehending these distinctions is essential for formulating focused tactics to enhance public trust in the legal system and law enforcemen</w:t>
      </w:r>
      <w:r w:rsidR="001607A2">
        <w:rPr>
          <w:rFonts w:ascii="Calibri" w:hAnsi="Calibri" w:cs="Calibri"/>
        </w:rPr>
        <w:t>t</w:t>
      </w:r>
      <w:r w:rsidR="001607A2">
        <w:rPr>
          <w:rFonts w:ascii="Times New Roman" w:eastAsia="Times New Roman" w:hAnsi="Times New Roman" w:cs="Times New Roman"/>
          <w:kern w:val="0"/>
          <w:sz w:val="24"/>
          <w:szCs w:val="24"/>
          <w:lang w:eastAsia="en-GB"/>
          <w14:ligatures w14:val="none"/>
        </w:rPr>
        <w:t xml:space="preserve"> </w:t>
      </w:r>
      <w:r w:rsidR="008973F6" w:rsidRPr="008973F6">
        <w:rPr>
          <w:rFonts w:ascii="Calibri" w:hAnsi="Calibri" w:cs="Calibri"/>
        </w:rPr>
        <w:t>(Rice and White, 2010)</w:t>
      </w:r>
      <w:r w:rsidR="008973F6">
        <w:rPr>
          <w:rFonts w:ascii="Calibri" w:hAnsi="Calibri" w:cs="Calibri"/>
        </w:rPr>
        <w:t xml:space="preserve"> </w:t>
      </w:r>
      <w:r w:rsidRPr="00B5449E">
        <w:rPr>
          <w:rFonts w:ascii="Calibri" w:hAnsi="Calibri" w:cs="Calibri"/>
        </w:rPr>
        <w:t xml:space="preserve">contend that there is a reciprocal relationship between faith in legal authorities like the courts and the perception of the police as being unjust, particularly in neighbourhoods where there are longstanding grievances.  This is particularly true in ethnic minority and marginalised communities, where experiences of </w:t>
      </w:r>
      <w:r w:rsidR="008973F6" w:rsidRPr="00B5449E">
        <w:rPr>
          <w:rFonts w:ascii="Calibri" w:hAnsi="Calibri" w:cs="Calibri"/>
        </w:rPr>
        <w:t>under protection</w:t>
      </w:r>
      <w:r w:rsidRPr="00B5449E">
        <w:rPr>
          <w:rFonts w:ascii="Calibri" w:hAnsi="Calibri" w:cs="Calibri"/>
        </w:rPr>
        <w:t xml:space="preserve"> and </w:t>
      </w:r>
      <w:r w:rsidR="008973F6" w:rsidRPr="00B5449E">
        <w:rPr>
          <w:rFonts w:ascii="Calibri" w:hAnsi="Calibri" w:cs="Calibri"/>
        </w:rPr>
        <w:t>over policing</w:t>
      </w:r>
      <w:r w:rsidRPr="00B5449E">
        <w:rPr>
          <w:rFonts w:ascii="Calibri" w:hAnsi="Calibri" w:cs="Calibri"/>
        </w:rPr>
        <w:t xml:space="preserve"> can exacerbate mistrust (Bowling and Phillips, 2002; Lammy, 2017). </w:t>
      </w:r>
    </w:p>
    <w:p w14:paraId="7632FA87" w14:textId="0A3DEC47" w:rsidR="00B5449E" w:rsidRPr="00B5449E" w:rsidRDefault="00B5449E" w:rsidP="00B5449E">
      <w:pPr>
        <w:rPr>
          <w:rFonts w:ascii="Calibri" w:hAnsi="Calibri" w:cs="Calibri"/>
        </w:rPr>
      </w:pPr>
      <w:r w:rsidRPr="00B5449E">
        <w:rPr>
          <w:rFonts w:ascii="Calibri" w:hAnsi="Calibri" w:cs="Calibri"/>
        </w:rPr>
        <w:t>Beliefs that the entire system, from the police to the courts, is biassed are strengthened by perceived sentencing inequalities, such as harsher terms for minority criminals.</w:t>
      </w:r>
      <w:r w:rsidR="007263E0">
        <w:rPr>
          <w:rFonts w:ascii="Calibri" w:hAnsi="Calibri" w:cs="Calibri"/>
        </w:rPr>
        <w:t xml:space="preserve"> </w:t>
      </w:r>
      <w:r w:rsidRPr="00B5449E">
        <w:rPr>
          <w:rFonts w:ascii="Calibri" w:hAnsi="Calibri" w:cs="Calibri"/>
        </w:rPr>
        <w:t>According to procedural justice theory, perceived fairness of procedures as well as results are key components of trust in institutions (Tyler, 2006)</w:t>
      </w:r>
      <w:r w:rsidR="007263E0">
        <w:rPr>
          <w:rFonts w:ascii="Calibri" w:hAnsi="Calibri" w:cs="Calibri"/>
        </w:rPr>
        <w:t xml:space="preserve">. </w:t>
      </w:r>
      <w:r w:rsidRPr="00B5449E">
        <w:rPr>
          <w:rFonts w:ascii="Calibri" w:hAnsi="Calibri" w:cs="Calibri"/>
        </w:rPr>
        <w:t xml:space="preserve">The public may believe that the system, including the police, lacks legitimacy and fairness if they believe that the courts are not producing just results, whether </w:t>
      </w:r>
      <w:r w:rsidR="00405E9F" w:rsidRPr="00B5449E">
        <w:rPr>
          <w:rFonts w:ascii="Calibri" w:hAnsi="Calibri" w:cs="Calibri"/>
        </w:rPr>
        <w:t>because of</w:t>
      </w:r>
      <w:r w:rsidRPr="00B5449E">
        <w:rPr>
          <w:rFonts w:ascii="Calibri" w:hAnsi="Calibri" w:cs="Calibri"/>
        </w:rPr>
        <w:t xml:space="preserve"> perceived leniency or severity (Jackson et al., 2012</w:t>
      </w:r>
      <w:r w:rsidR="00405E9F">
        <w:rPr>
          <w:rFonts w:ascii="Calibri" w:hAnsi="Calibri" w:cs="Calibri"/>
        </w:rPr>
        <w:t xml:space="preserve">). </w:t>
      </w:r>
      <w:r w:rsidRPr="00B5449E">
        <w:rPr>
          <w:rFonts w:ascii="Calibri" w:hAnsi="Calibri" w:cs="Calibri"/>
        </w:rPr>
        <w:t xml:space="preserve">There are connections between the different elements of the Criminal Justice System (CJS) and trust.  Trust in law enforcement may suffer as a result of unfavourable opinions about sentencing.  When communities regard the courts as lenient or </w:t>
      </w:r>
      <w:r w:rsidRPr="00B5449E">
        <w:rPr>
          <w:rFonts w:ascii="Calibri" w:hAnsi="Calibri" w:cs="Calibri"/>
        </w:rPr>
        <w:lastRenderedPageBreak/>
        <w:t>inconsistent, they may question the efficacy of police initiatives, leading to decreasing collaboration and involvement.</w:t>
      </w:r>
    </w:p>
    <w:p w14:paraId="13EE786C" w14:textId="4347899E" w:rsidR="00B73125" w:rsidRDefault="00B5449E" w:rsidP="00B73125">
      <w:pPr>
        <w:rPr>
          <w:rFonts w:ascii="Calibri" w:hAnsi="Calibri" w:cs="Calibri"/>
        </w:rPr>
      </w:pPr>
      <w:r w:rsidRPr="00B5449E">
        <w:rPr>
          <w:rFonts w:ascii="Calibri" w:hAnsi="Calibri" w:cs="Calibri"/>
        </w:rPr>
        <w:t>Only 40% of English citizens trust their police force, according to a 2024 survey, with the Metropolitan Police scoring the lowest.  Between July 2022 and September 2023, the study, which was published in the journal Policing and Society, polled more than 8,000 people in nine different districts of England.  It was discovered that trust was especially low in London, where public confidence has been damaged by high-profile scandals involving the Metropolitan Police, and among ethnic minorities</w:t>
      </w:r>
      <w:r w:rsidR="00BC092F">
        <w:rPr>
          <w:rFonts w:ascii="Calibri" w:hAnsi="Calibri" w:cs="Calibri"/>
        </w:rPr>
        <w:t xml:space="preserve">. </w:t>
      </w:r>
      <w:r w:rsidR="00BC092F" w:rsidRPr="00BC092F">
        <w:rPr>
          <w:rFonts w:ascii="Calibri" w:hAnsi="Calibri" w:cs="Calibri"/>
        </w:rPr>
        <w:t>(Dodd, 2024)</w:t>
      </w:r>
      <w:r w:rsidR="00BC092F">
        <w:rPr>
          <w:rFonts w:ascii="Calibri" w:hAnsi="Calibri" w:cs="Calibri"/>
        </w:rPr>
        <w:t xml:space="preserve">. </w:t>
      </w:r>
    </w:p>
    <w:p w14:paraId="3D33F4E5" w14:textId="52F01753" w:rsidR="00B73125" w:rsidRDefault="00B73125" w:rsidP="00B73125">
      <w:pPr>
        <w:rPr>
          <w:rFonts w:ascii="Calibri" w:hAnsi="Calibri" w:cs="Calibri"/>
          <w:b/>
          <w:bCs/>
        </w:rPr>
      </w:pPr>
      <w:r w:rsidRPr="00B73125">
        <w:rPr>
          <w:rFonts w:ascii="Calibri" w:hAnsi="Calibri" w:cs="Calibri"/>
          <w:b/>
          <w:bCs/>
        </w:rPr>
        <w:t xml:space="preserve">2.5 </w:t>
      </w:r>
      <w:r w:rsidR="00D82170">
        <w:rPr>
          <w:rFonts w:ascii="Calibri" w:hAnsi="Calibri" w:cs="Calibri"/>
          <w:b/>
          <w:bCs/>
        </w:rPr>
        <w:t xml:space="preserve">Ways </w:t>
      </w:r>
      <w:r w:rsidRPr="00B73125">
        <w:rPr>
          <w:rFonts w:ascii="Calibri" w:hAnsi="Calibri" w:cs="Calibri"/>
          <w:b/>
          <w:bCs/>
        </w:rPr>
        <w:t>to improve the public perception on sentencing and the link to police and their trust within</w:t>
      </w:r>
    </w:p>
    <w:p w14:paraId="356FBAF2" w14:textId="4B33BA17" w:rsidR="003A39BE" w:rsidRDefault="00DB0EDD" w:rsidP="00E75FE4">
      <w:pPr>
        <w:rPr>
          <w:rFonts w:ascii="Calibri" w:hAnsi="Calibri" w:cs="Calibri"/>
        </w:rPr>
      </w:pPr>
      <w:r>
        <w:rPr>
          <w:rFonts w:ascii="Calibri" w:hAnsi="Calibri" w:cs="Calibri"/>
        </w:rPr>
        <w:t xml:space="preserve">A report conducted by the </w:t>
      </w:r>
      <w:r w:rsidR="008949B9" w:rsidRPr="008949B9">
        <w:rPr>
          <w:rFonts w:ascii="Calibri" w:hAnsi="Calibri" w:cs="Calibri"/>
        </w:rPr>
        <w:t>(Ministry Of Justice, 2013)</w:t>
      </w:r>
      <w:r>
        <w:rPr>
          <w:rFonts w:ascii="Calibri" w:hAnsi="Calibri" w:cs="Calibri"/>
        </w:rPr>
        <w:t>, they highlight that</w:t>
      </w:r>
      <w:r w:rsidR="00E86A9B">
        <w:rPr>
          <w:rFonts w:ascii="Calibri" w:hAnsi="Calibri" w:cs="Calibri"/>
        </w:rPr>
        <w:t xml:space="preserve"> </w:t>
      </w:r>
      <w:r w:rsidR="003A39BE">
        <w:rPr>
          <w:rFonts w:ascii="Calibri" w:hAnsi="Calibri" w:cs="Calibri"/>
        </w:rPr>
        <w:t>t</w:t>
      </w:r>
      <w:r w:rsidR="003A39BE" w:rsidRPr="00E75FE4">
        <w:rPr>
          <w:rFonts w:ascii="Calibri" w:hAnsi="Calibri" w:cs="Calibri"/>
        </w:rPr>
        <w:t xml:space="preserve">ransparent communication about sentence decisions should be a top priority for </w:t>
      </w:r>
      <w:r w:rsidR="003A39BE">
        <w:rPr>
          <w:rFonts w:ascii="Calibri" w:hAnsi="Calibri" w:cs="Calibri"/>
        </w:rPr>
        <w:t>the criminal justice organisations</w:t>
      </w:r>
      <w:r w:rsidR="003A39BE" w:rsidRPr="00E75FE4">
        <w:rPr>
          <w:rFonts w:ascii="Calibri" w:hAnsi="Calibri" w:cs="Calibri"/>
        </w:rPr>
        <w:t xml:space="preserve"> and judicial organisations.  Sentencing procedures can be made more understandable by interacting with communities through open forums, educational resources, and candid discussions.  This kind of openness can clear up misunderstandings and increase confidence among the public, the legal system, and law enforcement. </w:t>
      </w:r>
    </w:p>
    <w:p w14:paraId="28B4746D" w14:textId="5DB29046" w:rsidR="00E75FE4" w:rsidRPr="00E75FE4" w:rsidRDefault="003A39BE" w:rsidP="00E75FE4">
      <w:pPr>
        <w:rPr>
          <w:rFonts w:ascii="Calibri" w:hAnsi="Calibri" w:cs="Calibri"/>
        </w:rPr>
      </w:pPr>
      <w:r>
        <w:rPr>
          <w:rFonts w:ascii="Calibri" w:hAnsi="Calibri" w:cs="Calibri"/>
        </w:rPr>
        <w:t>I</w:t>
      </w:r>
      <w:r w:rsidR="00E75FE4" w:rsidRPr="00E75FE4">
        <w:rPr>
          <w:rFonts w:ascii="Calibri" w:hAnsi="Calibri" w:cs="Calibri"/>
        </w:rPr>
        <w:t xml:space="preserve">t is essential to increase public awareness of sentencing procedures. The knowledge gap can be closed through educational activities including adding sentencing education to school curricula and making resources easily accessible online. </w:t>
      </w:r>
      <w:r w:rsidR="00E86A9B" w:rsidRPr="00E86A9B">
        <w:rPr>
          <w:rFonts w:ascii="Calibri" w:hAnsi="Calibri" w:cs="Calibri"/>
        </w:rPr>
        <w:t>(Justice Committee, 2022)</w:t>
      </w:r>
      <w:r w:rsidR="00E86A9B">
        <w:rPr>
          <w:rFonts w:ascii="Calibri" w:hAnsi="Calibri" w:cs="Calibri"/>
        </w:rPr>
        <w:t xml:space="preserve"> </w:t>
      </w:r>
      <w:r w:rsidR="00E75FE4" w:rsidRPr="00E75FE4">
        <w:rPr>
          <w:rFonts w:ascii="Calibri" w:hAnsi="Calibri" w:cs="Calibri"/>
        </w:rPr>
        <w:t xml:space="preserve">suggests creating initiatives that educate people about sentencing in order to promote educated public debate and boost confidence in the legal system </w:t>
      </w:r>
    </w:p>
    <w:p w14:paraId="0041F833" w14:textId="3D16434B" w:rsidR="00E75FE4" w:rsidRPr="00E75FE4" w:rsidRDefault="00256002" w:rsidP="00E75FE4">
      <w:pPr>
        <w:rPr>
          <w:rFonts w:ascii="Calibri" w:hAnsi="Calibri" w:cs="Calibri"/>
        </w:rPr>
      </w:pPr>
      <w:r w:rsidRPr="00EE54C7">
        <w:rPr>
          <w:rFonts w:ascii="Calibri" w:hAnsi="Calibri" w:cs="Calibri"/>
        </w:rPr>
        <w:t>(Hewson, 2025)</w:t>
      </w:r>
      <w:r>
        <w:rPr>
          <w:rFonts w:ascii="Calibri" w:hAnsi="Calibri" w:cs="Calibri"/>
        </w:rPr>
        <w:t xml:space="preserve"> </w:t>
      </w:r>
      <w:r w:rsidR="00E75FE4" w:rsidRPr="00E75FE4">
        <w:rPr>
          <w:rFonts w:ascii="Calibri" w:hAnsi="Calibri" w:cs="Calibri"/>
        </w:rPr>
        <w:t>states that by requiring an annual statutory report on sentencing, Parliament and the government are held more accountable for the resource consequences of the sentencing policies they propose or implement and enhance the Sentencing Council's mandate to increase public knowledge of sentencing.</w:t>
      </w:r>
    </w:p>
    <w:p w14:paraId="08FF8A89" w14:textId="4A6DA1C5" w:rsidR="00E75FE4" w:rsidRPr="00E75FE4" w:rsidRDefault="00E75FE4" w:rsidP="00E75FE4">
      <w:pPr>
        <w:rPr>
          <w:rFonts w:ascii="Calibri" w:hAnsi="Calibri" w:cs="Calibri"/>
        </w:rPr>
      </w:pPr>
      <w:r w:rsidRPr="00E75FE4">
        <w:rPr>
          <w:rFonts w:ascii="Calibri" w:hAnsi="Calibri" w:cs="Calibri"/>
        </w:rPr>
        <w:t xml:space="preserve">Resource-related issues might be the first to be addressed. Although no organisational reform is free, it is not always costly to improve the quality of relationships in interactions with the general public. The use of good leadership is more effective in bringing about changes in policing and justice delivery methods than either training or re-engineering formal procedures. Police chiefs and court administrators must make it very evident to their staff that upholding procedural justice is a fundamental aspect of their jobs. Making sure that internal management genuinely commands legitimacy in the eyes of the workforce is a crucial component of this communication process. Police and Crime Commissioners may play a significant role in making sure that system legitimacy and procedural justice receive </w:t>
      </w:r>
      <w:r w:rsidR="003A39BE">
        <w:rPr>
          <w:rFonts w:ascii="Calibri" w:hAnsi="Calibri" w:cs="Calibri"/>
        </w:rPr>
        <w:t>e</w:t>
      </w:r>
      <w:r w:rsidRPr="00E75FE4">
        <w:rPr>
          <w:rFonts w:ascii="Calibri" w:hAnsi="Calibri" w:cs="Calibri"/>
        </w:rPr>
        <w:t>nough attention.</w:t>
      </w:r>
    </w:p>
    <w:p w14:paraId="139B5522" w14:textId="15783414" w:rsidR="00E75FE4" w:rsidRPr="00E75FE4" w:rsidRDefault="00E75FE4" w:rsidP="00E75FE4">
      <w:pPr>
        <w:rPr>
          <w:rFonts w:ascii="Calibri" w:hAnsi="Calibri" w:cs="Calibri"/>
        </w:rPr>
      </w:pPr>
      <w:r w:rsidRPr="00E75FE4">
        <w:rPr>
          <w:rFonts w:ascii="Calibri" w:hAnsi="Calibri" w:cs="Calibri"/>
        </w:rPr>
        <w:t xml:space="preserve">It is crucial to take steps to remedy perceived inequities in sentencing, such as applying uniform criteria and taking mitigating circumstances into account.  The legitimacy of the legal system can be improved by making sure that sentencing procedures are fair and representative of society's values.  Moreover, admitting and addressing cases where punishment may have been influenced by biases can reinforce public confidence </w:t>
      </w:r>
      <w:r w:rsidR="0057654C" w:rsidRPr="0057654C">
        <w:rPr>
          <w:rFonts w:ascii="Calibri" w:hAnsi="Calibri" w:cs="Calibri"/>
        </w:rPr>
        <w:t>(Justice Committee, 2022b)</w:t>
      </w:r>
      <w:r w:rsidR="0057654C">
        <w:rPr>
          <w:rFonts w:ascii="Calibri" w:hAnsi="Calibri" w:cs="Calibri"/>
        </w:rPr>
        <w:t xml:space="preserve">. </w:t>
      </w:r>
    </w:p>
    <w:p w14:paraId="122016D4" w14:textId="68D42738" w:rsidR="00E75FE4" w:rsidRPr="00E75FE4" w:rsidRDefault="00E75FE4" w:rsidP="00E75FE4">
      <w:pPr>
        <w:rPr>
          <w:rFonts w:ascii="Calibri" w:hAnsi="Calibri" w:cs="Calibri"/>
        </w:rPr>
      </w:pPr>
      <w:r w:rsidRPr="00E75FE4">
        <w:rPr>
          <w:rFonts w:ascii="Calibri" w:hAnsi="Calibri" w:cs="Calibri"/>
        </w:rPr>
        <w:t xml:space="preserve">Police personnel frequently voice their dissatisfaction with the results of sentence, particularly when repeat criminals are involved.  When expressed publicly, these opinions have the power to sway public opinion.  Aligning police communication with judicial message can be achieved by pushing police officials to advocate for transparency and provide justifications for punishment </w:t>
      </w:r>
      <w:r w:rsidR="009861BC" w:rsidRPr="009861BC">
        <w:rPr>
          <w:rFonts w:ascii="Calibri" w:hAnsi="Calibri" w:cs="Calibri"/>
        </w:rPr>
        <w:t>(Reiner, 2016)</w:t>
      </w:r>
      <w:r w:rsidR="009861BC">
        <w:rPr>
          <w:rFonts w:ascii="Calibri" w:hAnsi="Calibri" w:cs="Calibri"/>
        </w:rPr>
        <w:t xml:space="preserve">. </w:t>
      </w:r>
    </w:p>
    <w:p w14:paraId="50CC54B8" w14:textId="4784C210" w:rsidR="007F4BF3" w:rsidRPr="00FA6726" w:rsidRDefault="00E75FE4" w:rsidP="00C853E6">
      <w:pPr>
        <w:rPr>
          <w:rFonts w:ascii="Calibri" w:hAnsi="Calibri" w:cs="Calibri"/>
        </w:rPr>
      </w:pPr>
      <w:r w:rsidRPr="00E75FE4">
        <w:rPr>
          <w:rFonts w:ascii="Calibri" w:hAnsi="Calibri" w:cs="Calibri"/>
        </w:rPr>
        <w:lastRenderedPageBreak/>
        <w:t xml:space="preserve">Engaging local communities through citizens’ sentencing panels or public forums can enhance perceptions of inclusiveness and accountability </w:t>
      </w:r>
      <w:r w:rsidR="00E04A2E" w:rsidRPr="00E04A2E">
        <w:rPr>
          <w:rFonts w:ascii="Calibri" w:hAnsi="Calibri" w:cs="Calibri"/>
        </w:rPr>
        <w:t>(Marder, 2016)</w:t>
      </w:r>
      <w:r w:rsidR="00E04A2E">
        <w:rPr>
          <w:rFonts w:ascii="Calibri" w:hAnsi="Calibri" w:cs="Calibri"/>
        </w:rPr>
        <w:t xml:space="preserve">. </w:t>
      </w:r>
      <w:r w:rsidRPr="00E75FE4">
        <w:rPr>
          <w:rFonts w:ascii="Calibri" w:hAnsi="Calibri" w:cs="Calibri"/>
        </w:rPr>
        <w:t>These initiatives promote dialogue and reduce the distance between judicial authorities and the communities they serve.</w:t>
      </w:r>
    </w:p>
    <w:p w14:paraId="695C5AF6" w14:textId="23ECDC4E" w:rsidR="00C853E6" w:rsidRDefault="00C853E6" w:rsidP="00C853E6">
      <w:pPr>
        <w:rPr>
          <w:rFonts w:ascii="Calibri" w:hAnsi="Calibri" w:cs="Calibri"/>
          <w:b/>
          <w:bCs/>
        </w:rPr>
      </w:pPr>
      <w:r w:rsidRPr="00B73125">
        <w:rPr>
          <w:rFonts w:ascii="Calibri" w:hAnsi="Calibri" w:cs="Calibri"/>
          <w:b/>
          <w:bCs/>
        </w:rPr>
        <w:t>2.</w:t>
      </w:r>
      <w:r>
        <w:rPr>
          <w:rFonts w:ascii="Calibri" w:hAnsi="Calibri" w:cs="Calibri"/>
          <w:b/>
          <w:bCs/>
        </w:rPr>
        <w:t>6</w:t>
      </w:r>
      <w:r w:rsidRPr="00B73125">
        <w:rPr>
          <w:rFonts w:ascii="Calibri" w:hAnsi="Calibri" w:cs="Calibri"/>
          <w:b/>
          <w:bCs/>
        </w:rPr>
        <w:t xml:space="preserve"> </w:t>
      </w:r>
      <w:r>
        <w:rPr>
          <w:rFonts w:ascii="Calibri" w:hAnsi="Calibri" w:cs="Calibri"/>
          <w:b/>
          <w:bCs/>
        </w:rPr>
        <w:t>Summary</w:t>
      </w:r>
    </w:p>
    <w:p w14:paraId="43BD7D1F" w14:textId="5F5C2607" w:rsidR="00337A9E" w:rsidRPr="00337A9E" w:rsidRDefault="00337A9E" w:rsidP="00337A9E">
      <w:pPr>
        <w:rPr>
          <w:rFonts w:ascii="Calibri" w:hAnsi="Calibri" w:cs="Calibri"/>
        </w:rPr>
      </w:pPr>
      <w:r w:rsidRPr="00337A9E">
        <w:rPr>
          <w:rFonts w:ascii="Calibri" w:hAnsi="Calibri" w:cs="Calibri"/>
        </w:rPr>
        <w:t>The important connection between public opinion of punishment and police trust has been examined in this literature review, emphasising how these interrelated factors influence public trust in the criminal justice system as a whole.  It is clear that public discontent with sentencing, which is exacerbated by perceived structural injustices, a lack of transparency, and media misrepresentation, leads to a deterioration in public confidence in both the legal system and law enforcement.</w:t>
      </w:r>
    </w:p>
    <w:p w14:paraId="61E5B8A6" w14:textId="4C63857A" w:rsidR="00337A9E" w:rsidRPr="00337A9E" w:rsidRDefault="00337A9E" w:rsidP="00337A9E">
      <w:pPr>
        <w:rPr>
          <w:rFonts w:ascii="Calibri" w:hAnsi="Calibri" w:cs="Calibri"/>
        </w:rPr>
      </w:pPr>
      <w:r w:rsidRPr="00337A9E">
        <w:rPr>
          <w:rFonts w:ascii="Calibri" w:hAnsi="Calibri" w:cs="Calibri"/>
        </w:rPr>
        <w:t>Therefore, efforts to change public opinion must be multifaceted.  The public must be educated about sentencing procedures, structural inequities must be addressed, and transparency must be increased through easily accessible information and open justice efforts.  Promoting alternatives to jail time, such visible community-based sanctions and restorative justice, can also help to match justice objectives with public expectations.</w:t>
      </w:r>
    </w:p>
    <w:p w14:paraId="44E9A9D2" w14:textId="77777777" w:rsidR="00337A9E" w:rsidRDefault="00337A9E" w:rsidP="00337A9E">
      <w:pPr>
        <w:rPr>
          <w:rFonts w:ascii="Calibri" w:hAnsi="Calibri" w:cs="Calibri"/>
        </w:rPr>
      </w:pPr>
      <w:r w:rsidRPr="00337A9E">
        <w:rPr>
          <w:rFonts w:ascii="Calibri" w:hAnsi="Calibri" w:cs="Calibri"/>
        </w:rPr>
        <w:t>Most significantly, re-establishing confidence necessitates a collaborative approach that bridges the gap between courts and law enforcement.  When both institutions communicate effectively and act publicly within a framework of fairness, accountability, and inclusiveness, the public perceives them as having a shared legitimacy.  Finally, boosting public knowledge and confidence in sentencing is not merely a judicial concern—it is fundamental to restoring long-term trust in the entire criminal justice system.</w:t>
      </w:r>
    </w:p>
    <w:p w14:paraId="21ECBDF4" w14:textId="0891F9C2" w:rsidR="0082513D" w:rsidRDefault="00056B84" w:rsidP="00337A9E">
      <w:pPr>
        <w:rPr>
          <w:rFonts w:ascii="Calibri" w:hAnsi="Calibri" w:cs="Calibri"/>
        </w:rPr>
      </w:pPr>
      <w:r>
        <w:rPr>
          <w:rFonts w:ascii="Calibri" w:hAnsi="Calibri" w:cs="Calibri"/>
        </w:rPr>
        <w:t>Word Count – 2,273</w:t>
      </w:r>
    </w:p>
    <w:p w14:paraId="2775700F" w14:textId="77777777" w:rsidR="0082513D" w:rsidRPr="0082513D" w:rsidRDefault="0082513D" w:rsidP="0082513D">
      <w:pPr>
        <w:rPr>
          <w:rFonts w:ascii="Calibri" w:hAnsi="Calibri" w:cs="Calibri"/>
          <w:b/>
          <w:bCs/>
          <w:u w:val="single"/>
        </w:rPr>
      </w:pPr>
      <w:r w:rsidRPr="0082513D">
        <w:rPr>
          <w:rFonts w:ascii="Calibri" w:hAnsi="Calibri" w:cs="Calibri"/>
          <w:b/>
          <w:bCs/>
          <w:u w:val="single"/>
        </w:rPr>
        <w:t>Reference list</w:t>
      </w:r>
    </w:p>
    <w:p w14:paraId="5F58C8FD" w14:textId="77777777" w:rsidR="0082513D" w:rsidRPr="0082513D" w:rsidRDefault="0082513D" w:rsidP="0082513D">
      <w:pPr>
        <w:rPr>
          <w:rFonts w:ascii="Calibri" w:hAnsi="Calibri" w:cs="Calibri"/>
        </w:rPr>
      </w:pPr>
      <w:r w:rsidRPr="0082513D">
        <w:rPr>
          <w:rFonts w:ascii="Calibri" w:hAnsi="Calibri" w:cs="Calibri"/>
        </w:rPr>
        <w:t xml:space="preserve">Ashworth, A. and Roberts, J.V. (2013). </w:t>
      </w:r>
      <w:r w:rsidRPr="0082513D">
        <w:rPr>
          <w:rFonts w:ascii="Calibri" w:hAnsi="Calibri" w:cs="Calibri"/>
          <w:i/>
          <w:iCs/>
        </w:rPr>
        <w:t>Sentencing guidelines : exploring the English model</w:t>
      </w:r>
      <w:r w:rsidRPr="0082513D">
        <w:rPr>
          <w:rFonts w:ascii="Calibri" w:hAnsi="Calibri" w:cs="Calibri"/>
        </w:rPr>
        <w:t>. Oxford, United Kingdom: Oxford University Press.</w:t>
      </w:r>
    </w:p>
    <w:p w14:paraId="6C236E12" w14:textId="77777777" w:rsidR="0082513D" w:rsidRPr="0082513D" w:rsidRDefault="0082513D" w:rsidP="0082513D">
      <w:pPr>
        <w:rPr>
          <w:rFonts w:ascii="Calibri" w:hAnsi="Calibri" w:cs="Calibri"/>
        </w:rPr>
      </w:pPr>
      <w:r w:rsidRPr="0082513D">
        <w:rPr>
          <w:rFonts w:ascii="Calibri" w:hAnsi="Calibri" w:cs="Calibri"/>
        </w:rPr>
        <w:t xml:space="preserve">Bowling, B. and Phillips, C. (2002). </w:t>
      </w:r>
      <w:r w:rsidRPr="0082513D">
        <w:rPr>
          <w:rFonts w:ascii="Calibri" w:hAnsi="Calibri" w:cs="Calibri"/>
          <w:i/>
          <w:iCs/>
        </w:rPr>
        <w:t>Racism, crime and justice</w:t>
      </w:r>
      <w:r w:rsidRPr="0082513D">
        <w:rPr>
          <w:rFonts w:ascii="Calibri" w:hAnsi="Calibri" w:cs="Calibri"/>
        </w:rPr>
        <w:t>. Harlow ; New York: Longman.</w:t>
      </w:r>
    </w:p>
    <w:p w14:paraId="2642926A" w14:textId="77777777" w:rsidR="0082513D" w:rsidRPr="0082513D" w:rsidRDefault="0082513D" w:rsidP="0082513D">
      <w:pPr>
        <w:rPr>
          <w:rFonts w:ascii="Calibri" w:hAnsi="Calibri" w:cs="Calibri"/>
        </w:rPr>
      </w:pPr>
      <w:r w:rsidRPr="0082513D">
        <w:rPr>
          <w:rFonts w:ascii="Calibri" w:hAnsi="Calibri" w:cs="Calibri"/>
        </w:rPr>
        <w:t xml:space="preserve">Bradford, B. (2017). </w:t>
      </w:r>
      <w:r w:rsidRPr="0082513D">
        <w:rPr>
          <w:rFonts w:ascii="Calibri" w:hAnsi="Calibri" w:cs="Calibri"/>
          <w:i/>
          <w:iCs/>
        </w:rPr>
        <w:t>Stop and Search and Police Legitimacy</w:t>
      </w:r>
      <w:r w:rsidRPr="0082513D">
        <w:rPr>
          <w:rFonts w:ascii="Calibri" w:hAnsi="Calibri" w:cs="Calibri"/>
        </w:rPr>
        <w:t>. Routledge.</w:t>
      </w:r>
    </w:p>
    <w:p w14:paraId="62F7B94F" w14:textId="77777777" w:rsidR="0082513D" w:rsidRPr="0082513D" w:rsidRDefault="0082513D" w:rsidP="0082513D">
      <w:pPr>
        <w:rPr>
          <w:rFonts w:ascii="Calibri" w:hAnsi="Calibri" w:cs="Calibri"/>
        </w:rPr>
      </w:pPr>
      <w:r w:rsidRPr="0082513D">
        <w:rPr>
          <w:rFonts w:ascii="Calibri" w:hAnsi="Calibri" w:cs="Calibri"/>
        </w:rPr>
        <w:t xml:space="preserve">Clark, D. (2020). </w:t>
      </w:r>
      <w:r w:rsidRPr="0082513D">
        <w:rPr>
          <w:rFonts w:ascii="Calibri" w:hAnsi="Calibri" w:cs="Calibri"/>
          <w:i/>
          <w:iCs/>
        </w:rPr>
        <w:t>Opinion: prison sentence harshness in Britain 2019</w:t>
      </w:r>
      <w:r w:rsidRPr="0082513D">
        <w:rPr>
          <w:rFonts w:ascii="Calibri" w:hAnsi="Calibri" w:cs="Calibri"/>
        </w:rPr>
        <w:t>. [online] Statista. Available at: https://www.statista.com/statistics/1100694/opinion-on-prison-sentences-in-britain/.</w:t>
      </w:r>
    </w:p>
    <w:p w14:paraId="548CEC81" w14:textId="77777777" w:rsidR="0082513D" w:rsidRPr="0082513D" w:rsidRDefault="0082513D" w:rsidP="0082513D">
      <w:pPr>
        <w:rPr>
          <w:rFonts w:ascii="Calibri" w:hAnsi="Calibri" w:cs="Calibri"/>
        </w:rPr>
      </w:pPr>
      <w:r w:rsidRPr="0082513D">
        <w:rPr>
          <w:rFonts w:ascii="Calibri" w:hAnsi="Calibri" w:cs="Calibri"/>
        </w:rPr>
        <w:t xml:space="preserve">Dodd, V. (2024). </w:t>
      </w:r>
      <w:r w:rsidRPr="0082513D">
        <w:rPr>
          <w:rFonts w:ascii="Calibri" w:hAnsi="Calibri" w:cs="Calibri"/>
          <w:i/>
          <w:iCs/>
        </w:rPr>
        <w:t>Only 40% of people in England trust their police force, research reveals</w:t>
      </w:r>
      <w:r w:rsidRPr="0082513D">
        <w:rPr>
          <w:rFonts w:ascii="Calibri" w:hAnsi="Calibri" w:cs="Calibri"/>
        </w:rPr>
        <w:t>. [online] the Guardian. Available at: https://www.theguardian.com/uk-news/2024/apr/18/only-40-of-people-in-england-trust-their-police-force-research-reveals?utm [Accessed 3 May 2025].</w:t>
      </w:r>
    </w:p>
    <w:p w14:paraId="3D5A04C7" w14:textId="77777777" w:rsidR="0082513D" w:rsidRPr="0082513D" w:rsidRDefault="0082513D" w:rsidP="0082513D">
      <w:pPr>
        <w:rPr>
          <w:rFonts w:ascii="Calibri" w:hAnsi="Calibri" w:cs="Calibri"/>
        </w:rPr>
      </w:pPr>
      <w:r w:rsidRPr="0082513D">
        <w:rPr>
          <w:rFonts w:ascii="Calibri" w:hAnsi="Calibri" w:cs="Calibri"/>
        </w:rPr>
        <w:t xml:space="preserve">Gelb, K. and Sentencing, Victoria. (2006). </w:t>
      </w:r>
      <w:r w:rsidRPr="0082513D">
        <w:rPr>
          <w:rFonts w:ascii="Calibri" w:hAnsi="Calibri" w:cs="Calibri"/>
          <w:i/>
          <w:iCs/>
        </w:rPr>
        <w:t>Myths and misconceptions : public opinion versus public judgment about sentencing</w:t>
      </w:r>
      <w:r w:rsidRPr="0082513D">
        <w:rPr>
          <w:rFonts w:ascii="Calibri" w:hAnsi="Calibri" w:cs="Calibri"/>
        </w:rPr>
        <w:t>. Melbourne: Sentencing Advisory Council.</w:t>
      </w:r>
    </w:p>
    <w:p w14:paraId="4176200F" w14:textId="77777777" w:rsidR="0082513D" w:rsidRPr="0082513D" w:rsidRDefault="0082513D" w:rsidP="0082513D">
      <w:pPr>
        <w:rPr>
          <w:rFonts w:ascii="Calibri" w:hAnsi="Calibri" w:cs="Calibri"/>
        </w:rPr>
      </w:pPr>
      <w:r w:rsidRPr="0082513D">
        <w:rPr>
          <w:rFonts w:ascii="Calibri" w:hAnsi="Calibri" w:cs="Calibri"/>
        </w:rPr>
        <w:t xml:space="preserve">Hewson, A. (2025). </w:t>
      </w:r>
      <w:r w:rsidRPr="0082513D">
        <w:rPr>
          <w:rFonts w:ascii="Calibri" w:hAnsi="Calibri" w:cs="Calibri"/>
          <w:i/>
          <w:iCs/>
        </w:rPr>
        <w:t>PRT calls for fundamental reform of sentencing to address prison capacity crisis | Prison Reform Trust</w:t>
      </w:r>
      <w:r w:rsidRPr="0082513D">
        <w:rPr>
          <w:rFonts w:ascii="Calibri" w:hAnsi="Calibri" w:cs="Calibri"/>
        </w:rPr>
        <w:t>. [online] Prison Reform Trust. Available at: https://prisonreformtrust.org.uk/prt-calls-for-fundamental-reform-of-sentencing-to-address-prison-capacity-crisis/.</w:t>
      </w:r>
    </w:p>
    <w:p w14:paraId="6BB8AA26" w14:textId="77777777" w:rsidR="0082513D" w:rsidRPr="0082513D" w:rsidRDefault="0082513D" w:rsidP="0082513D">
      <w:pPr>
        <w:rPr>
          <w:rFonts w:ascii="Calibri" w:hAnsi="Calibri" w:cs="Calibri"/>
        </w:rPr>
      </w:pPr>
      <w:r w:rsidRPr="0082513D">
        <w:rPr>
          <w:rFonts w:ascii="Calibri" w:hAnsi="Calibri" w:cs="Calibri"/>
        </w:rPr>
        <w:t xml:space="preserve">Hough, M. and Roberts, J. (2005). </w:t>
      </w:r>
      <w:r w:rsidRPr="0082513D">
        <w:rPr>
          <w:rFonts w:ascii="Calibri" w:hAnsi="Calibri" w:cs="Calibri"/>
          <w:i/>
          <w:iCs/>
        </w:rPr>
        <w:t>Understanding Public Attitudes to Criminal Justice</w:t>
      </w:r>
      <w:r w:rsidRPr="0082513D">
        <w:rPr>
          <w:rFonts w:ascii="Calibri" w:hAnsi="Calibri" w:cs="Calibri"/>
        </w:rPr>
        <w:t>. McGraw-Hill Education (UK).</w:t>
      </w:r>
    </w:p>
    <w:p w14:paraId="266477AE" w14:textId="77777777" w:rsidR="0082513D" w:rsidRPr="0082513D" w:rsidRDefault="0082513D" w:rsidP="0082513D">
      <w:pPr>
        <w:rPr>
          <w:rFonts w:ascii="Calibri" w:hAnsi="Calibri" w:cs="Calibri"/>
        </w:rPr>
      </w:pPr>
      <w:r w:rsidRPr="0082513D">
        <w:rPr>
          <w:rFonts w:ascii="Calibri" w:hAnsi="Calibri" w:cs="Calibri"/>
        </w:rPr>
        <w:lastRenderedPageBreak/>
        <w:t xml:space="preserve">Jackson, J., Bradford, B., Hough, M., Myhill, A., Quinton, P. and Tyler, T.R. (2012). Why do People Comply with the Law?: Legitimacy and the Influence of Legal Institutions. </w:t>
      </w:r>
      <w:r w:rsidRPr="0082513D">
        <w:rPr>
          <w:rFonts w:ascii="Calibri" w:hAnsi="Calibri" w:cs="Calibri"/>
          <w:i/>
          <w:iCs/>
        </w:rPr>
        <w:t>British Journal of Criminology</w:t>
      </w:r>
      <w:r w:rsidRPr="0082513D">
        <w:rPr>
          <w:rFonts w:ascii="Calibri" w:hAnsi="Calibri" w:cs="Calibri"/>
        </w:rPr>
        <w:t>, 52(6), pp.1051–1071. doi:https://doi.org/10.1093/bjc/azs032.</w:t>
      </w:r>
    </w:p>
    <w:p w14:paraId="77501C0F" w14:textId="77777777" w:rsidR="0082513D" w:rsidRPr="0082513D" w:rsidRDefault="0082513D" w:rsidP="0082513D">
      <w:pPr>
        <w:rPr>
          <w:rFonts w:ascii="Calibri" w:hAnsi="Calibri" w:cs="Calibri"/>
        </w:rPr>
      </w:pPr>
      <w:r w:rsidRPr="0082513D">
        <w:rPr>
          <w:rFonts w:ascii="Calibri" w:hAnsi="Calibri" w:cs="Calibri"/>
        </w:rPr>
        <w:t xml:space="preserve">Justice Committee (2022a). </w:t>
      </w:r>
      <w:r w:rsidRPr="0082513D">
        <w:rPr>
          <w:rFonts w:ascii="Calibri" w:hAnsi="Calibri" w:cs="Calibri"/>
          <w:i/>
          <w:iCs/>
        </w:rPr>
        <w:t>Public Opinion and Understanding of Sentencing - Justice Committee</w:t>
      </w:r>
      <w:r w:rsidRPr="0082513D">
        <w:rPr>
          <w:rFonts w:ascii="Calibri" w:hAnsi="Calibri" w:cs="Calibri"/>
        </w:rPr>
        <w:t>. [online] Parliament.uk. Available at: https://publications.parliament.uk/pa/cm5803/cmselect/cmjust/305/report.html.</w:t>
      </w:r>
    </w:p>
    <w:p w14:paraId="57516116" w14:textId="77777777" w:rsidR="0082513D" w:rsidRPr="0082513D" w:rsidRDefault="0082513D" w:rsidP="0082513D">
      <w:pPr>
        <w:rPr>
          <w:rFonts w:ascii="Calibri" w:hAnsi="Calibri" w:cs="Calibri"/>
        </w:rPr>
      </w:pPr>
      <w:r w:rsidRPr="0082513D">
        <w:rPr>
          <w:rFonts w:ascii="Calibri" w:hAnsi="Calibri" w:cs="Calibri"/>
        </w:rPr>
        <w:t xml:space="preserve">Justice Committee (2022b). </w:t>
      </w:r>
      <w:r w:rsidRPr="0082513D">
        <w:rPr>
          <w:rFonts w:ascii="Calibri" w:hAnsi="Calibri" w:cs="Calibri"/>
          <w:i/>
          <w:iCs/>
        </w:rPr>
        <w:t>Public opinion and understanding of sentencing: Government and Sentencing Council response to the Committee’s Tenth Report of Session 2022–23 - Justice Committee</w:t>
      </w:r>
      <w:r w:rsidRPr="0082513D">
        <w:rPr>
          <w:rFonts w:ascii="Calibri" w:hAnsi="Calibri" w:cs="Calibri"/>
        </w:rPr>
        <w:t>. [online] Parliament.uk. Available at: https://publications.parliament.uk/pa/cm5804/cmselect/cmjust/442/report.html.</w:t>
      </w:r>
    </w:p>
    <w:p w14:paraId="680669B9" w14:textId="77777777" w:rsidR="0082513D" w:rsidRPr="0082513D" w:rsidRDefault="0082513D" w:rsidP="0082513D">
      <w:pPr>
        <w:rPr>
          <w:rFonts w:ascii="Calibri" w:hAnsi="Calibri" w:cs="Calibri"/>
        </w:rPr>
      </w:pPr>
      <w:r w:rsidRPr="0082513D">
        <w:rPr>
          <w:rFonts w:ascii="Calibri" w:hAnsi="Calibri" w:cs="Calibri"/>
        </w:rPr>
        <w:t xml:space="preserve">Justice, M. of (2013). </w:t>
      </w:r>
      <w:r w:rsidRPr="0082513D">
        <w:rPr>
          <w:rFonts w:ascii="Calibri" w:hAnsi="Calibri" w:cs="Calibri"/>
          <w:i/>
          <w:iCs/>
        </w:rPr>
        <w:t>The public’s understanding and views of sentencing and the criminal justice system</w:t>
      </w:r>
      <w:r w:rsidRPr="0082513D">
        <w:rPr>
          <w:rFonts w:ascii="Calibri" w:hAnsi="Calibri" w:cs="Calibri"/>
        </w:rPr>
        <w:t>. [online] GOV.UK. Available at: https://www.gov.uk/government/publications/the-publics-understanding-and-views-of-sentencing-and-the-criminal-justice-system?utm [Accessed 3 May 2025].</w:t>
      </w:r>
    </w:p>
    <w:p w14:paraId="5912CB27" w14:textId="77777777" w:rsidR="0082513D" w:rsidRPr="0082513D" w:rsidRDefault="0082513D" w:rsidP="0082513D">
      <w:pPr>
        <w:rPr>
          <w:rFonts w:ascii="Calibri" w:hAnsi="Calibri" w:cs="Calibri"/>
        </w:rPr>
      </w:pPr>
      <w:r w:rsidRPr="0082513D">
        <w:rPr>
          <w:rFonts w:ascii="Calibri" w:hAnsi="Calibri" w:cs="Calibri"/>
        </w:rPr>
        <w:t xml:space="preserve">Kirk, I. (2022). </w:t>
      </w:r>
      <w:r w:rsidRPr="0082513D">
        <w:rPr>
          <w:rFonts w:ascii="Calibri" w:hAnsi="Calibri" w:cs="Calibri"/>
          <w:i/>
          <w:iCs/>
        </w:rPr>
        <w:t>Criminal Sentencing Is Too soft, Say two-thirds of Britons | YouGov</w:t>
      </w:r>
      <w:r w:rsidRPr="0082513D">
        <w:rPr>
          <w:rFonts w:ascii="Calibri" w:hAnsi="Calibri" w:cs="Calibri"/>
        </w:rPr>
        <w:t>. [online] yougov.co.uk. Available at: https://yougov.co.uk/politics/articles/41641-criminal-sentencing-too-soft-say-two-thirds-briton?redirect_from=%2Ftopics%2Fpolitics%2Farticles-reports%2F2022%2F03%2F30%2Fcriminal-sentencing-too-soft-say-two-thirds-briton.</w:t>
      </w:r>
    </w:p>
    <w:p w14:paraId="4108750E" w14:textId="77777777" w:rsidR="0082513D" w:rsidRPr="0082513D" w:rsidRDefault="0082513D" w:rsidP="0082513D">
      <w:pPr>
        <w:rPr>
          <w:rFonts w:ascii="Calibri" w:hAnsi="Calibri" w:cs="Calibri"/>
        </w:rPr>
      </w:pPr>
      <w:r w:rsidRPr="0082513D">
        <w:rPr>
          <w:rFonts w:ascii="Calibri" w:hAnsi="Calibri" w:cs="Calibri"/>
        </w:rPr>
        <w:t xml:space="preserve">Lammy, D. (2017). </w:t>
      </w:r>
      <w:r w:rsidRPr="0082513D">
        <w:rPr>
          <w:rFonts w:ascii="Calibri" w:hAnsi="Calibri" w:cs="Calibri"/>
          <w:i/>
          <w:iCs/>
        </w:rPr>
        <w:t>The Lammy Review</w:t>
      </w:r>
      <w:r w:rsidRPr="0082513D">
        <w:rPr>
          <w:rFonts w:ascii="Calibri" w:hAnsi="Calibri" w:cs="Calibri"/>
        </w:rPr>
        <w:t xml:space="preserve">. [online] </w:t>
      </w:r>
      <w:r w:rsidRPr="0082513D">
        <w:rPr>
          <w:rFonts w:ascii="Calibri" w:hAnsi="Calibri" w:cs="Calibri"/>
          <w:i/>
          <w:iCs/>
        </w:rPr>
        <w:t>GOV.UK</w:t>
      </w:r>
      <w:r w:rsidRPr="0082513D">
        <w:rPr>
          <w:rFonts w:ascii="Calibri" w:hAnsi="Calibri" w:cs="Calibri"/>
        </w:rPr>
        <w:t>. Available at: https://assets.publishing.service.gov.uk/media/5a82009040f0b62305b91f49/lammy-review-final-report.pdf.</w:t>
      </w:r>
    </w:p>
    <w:p w14:paraId="7C7F6469" w14:textId="77777777" w:rsidR="0082513D" w:rsidRPr="0082513D" w:rsidRDefault="0082513D" w:rsidP="0082513D">
      <w:pPr>
        <w:rPr>
          <w:rFonts w:ascii="Calibri" w:hAnsi="Calibri" w:cs="Calibri"/>
        </w:rPr>
      </w:pPr>
      <w:r w:rsidRPr="0082513D">
        <w:rPr>
          <w:rFonts w:ascii="Calibri" w:hAnsi="Calibri" w:cs="Calibri"/>
        </w:rPr>
        <w:t xml:space="preserve">Marder, I.D. (2016). Communicating and collaborating across nations, professions and disciplines in restorative justice. </w:t>
      </w:r>
      <w:r w:rsidRPr="0082513D">
        <w:rPr>
          <w:rFonts w:ascii="Calibri" w:hAnsi="Calibri" w:cs="Calibri"/>
          <w:i/>
          <w:iCs/>
        </w:rPr>
        <w:t>Restorative Justice</w:t>
      </w:r>
      <w:r w:rsidRPr="0082513D">
        <w:rPr>
          <w:rFonts w:ascii="Calibri" w:hAnsi="Calibri" w:cs="Calibri"/>
        </w:rPr>
        <w:t>, 4(2), pp.237–246. doi:https://doi.org/10.1080/20504721.2016.1197529.</w:t>
      </w:r>
    </w:p>
    <w:p w14:paraId="3E3C178A" w14:textId="77777777" w:rsidR="0082513D" w:rsidRPr="0082513D" w:rsidRDefault="0082513D" w:rsidP="0082513D">
      <w:pPr>
        <w:rPr>
          <w:rFonts w:ascii="Calibri" w:hAnsi="Calibri" w:cs="Calibri"/>
        </w:rPr>
      </w:pPr>
      <w:r w:rsidRPr="0082513D">
        <w:rPr>
          <w:rFonts w:ascii="Calibri" w:hAnsi="Calibri" w:cs="Calibri"/>
        </w:rPr>
        <w:t xml:space="preserve">Marsh, I. and Melville, G. (2014). </w:t>
      </w:r>
      <w:r w:rsidRPr="0082513D">
        <w:rPr>
          <w:rFonts w:ascii="Calibri" w:hAnsi="Calibri" w:cs="Calibri"/>
          <w:i/>
          <w:iCs/>
        </w:rPr>
        <w:t>Crime, Justice and the Media</w:t>
      </w:r>
      <w:r w:rsidRPr="0082513D">
        <w:rPr>
          <w:rFonts w:ascii="Calibri" w:hAnsi="Calibri" w:cs="Calibri"/>
        </w:rPr>
        <w:t>. New York: Routledge.</w:t>
      </w:r>
    </w:p>
    <w:p w14:paraId="225FEBAA" w14:textId="77777777" w:rsidR="0082513D" w:rsidRPr="0082513D" w:rsidRDefault="0082513D" w:rsidP="0082513D">
      <w:pPr>
        <w:rPr>
          <w:rFonts w:ascii="Calibri" w:hAnsi="Calibri" w:cs="Calibri"/>
        </w:rPr>
      </w:pPr>
      <w:r w:rsidRPr="0082513D">
        <w:rPr>
          <w:rFonts w:ascii="Calibri" w:hAnsi="Calibri" w:cs="Calibri"/>
        </w:rPr>
        <w:t xml:space="preserve">Marsh, N., Mckay, E., Pelly, C. and Cereda, S. (2019). </w:t>
      </w:r>
      <w:r w:rsidRPr="0082513D">
        <w:rPr>
          <w:rFonts w:ascii="Calibri" w:hAnsi="Calibri" w:cs="Calibri"/>
          <w:i/>
          <w:iCs/>
        </w:rPr>
        <w:t>PUBLIC KNOWLEDGE OF AND CONFIDENCE IN THE CRIMINAL JUSTICE SYSTEM AND SENTENCING A REPORT FOR THE SENTENCING COUNCIL</w:t>
      </w:r>
      <w:r w:rsidRPr="0082513D">
        <w:rPr>
          <w:rFonts w:ascii="Calibri" w:hAnsi="Calibri" w:cs="Calibri"/>
        </w:rPr>
        <w:t>. [online] Available at: https://www.sentencingcouncil.org.uk/wp-content/uploads/Public-Knowledge-of-and-Confidence-in-the-Criminal-Justice-System-and-Sentencing.pdf.</w:t>
      </w:r>
    </w:p>
    <w:p w14:paraId="54E0AD20" w14:textId="77777777" w:rsidR="0082513D" w:rsidRPr="0082513D" w:rsidRDefault="0082513D" w:rsidP="0082513D">
      <w:pPr>
        <w:rPr>
          <w:rFonts w:ascii="Calibri" w:hAnsi="Calibri" w:cs="Calibri"/>
        </w:rPr>
      </w:pPr>
      <w:r w:rsidRPr="0082513D">
        <w:rPr>
          <w:rFonts w:ascii="Calibri" w:hAnsi="Calibri" w:cs="Calibri"/>
        </w:rPr>
        <w:t xml:space="preserve">Ministry Of Justice (2013). </w:t>
      </w:r>
      <w:r w:rsidRPr="0082513D">
        <w:rPr>
          <w:rFonts w:ascii="Calibri" w:hAnsi="Calibri" w:cs="Calibri"/>
          <w:i/>
          <w:iCs/>
        </w:rPr>
        <w:t>Revision to Attitudes to Sentencing and Trust in Justice: Exploring Trends from the Crime Survey for</w:t>
      </w:r>
      <w:r w:rsidRPr="0082513D">
        <w:rPr>
          <w:rFonts w:ascii="Calibri" w:hAnsi="Calibri" w:cs="Calibri"/>
        </w:rPr>
        <w:t>. [online] Available at: https://assets.publishing.service.gov.uk/media/5a7c1b00ed915d210ade19d0/Attitudes_to_Sentencing_and_Trust_in_Justice__web_.pdf.</w:t>
      </w:r>
    </w:p>
    <w:p w14:paraId="4A5E92B2" w14:textId="77777777" w:rsidR="0082513D" w:rsidRPr="0082513D" w:rsidRDefault="0082513D" w:rsidP="0082513D">
      <w:pPr>
        <w:rPr>
          <w:rFonts w:ascii="Calibri" w:hAnsi="Calibri" w:cs="Calibri"/>
        </w:rPr>
      </w:pPr>
      <w:r w:rsidRPr="0082513D">
        <w:rPr>
          <w:rFonts w:ascii="Calibri" w:hAnsi="Calibri" w:cs="Calibri"/>
        </w:rPr>
        <w:t xml:space="preserve">Morales-Gomez, A. and Associate, R. (2020). </w:t>
      </w:r>
      <w:r w:rsidRPr="0082513D">
        <w:rPr>
          <w:rFonts w:ascii="Calibri" w:hAnsi="Calibri" w:cs="Calibri"/>
          <w:i/>
          <w:iCs/>
        </w:rPr>
        <w:t>Analysing perception of the effectiveness of the Criminal Justice System using CSEW</w:t>
      </w:r>
      <w:r w:rsidRPr="0082513D">
        <w:rPr>
          <w:rFonts w:ascii="Calibri" w:hAnsi="Calibri" w:cs="Calibri"/>
        </w:rPr>
        <w:t>. [online] Available at: https://ukdataservice.ac.uk/app/uploads/3analysingcsew.pdf.</w:t>
      </w:r>
    </w:p>
    <w:p w14:paraId="292E89FC" w14:textId="77777777" w:rsidR="0082513D" w:rsidRPr="0082513D" w:rsidRDefault="0082513D" w:rsidP="0082513D">
      <w:pPr>
        <w:rPr>
          <w:rFonts w:ascii="Calibri" w:hAnsi="Calibri" w:cs="Calibri"/>
        </w:rPr>
      </w:pPr>
      <w:r w:rsidRPr="0082513D">
        <w:rPr>
          <w:rFonts w:ascii="Calibri" w:hAnsi="Calibri" w:cs="Calibri"/>
        </w:rPr>
        <w:t xml:space="preserve">Morgan, R., Reiner, R. and Maguire, M. (2012). </w:t>
      </w:r>
      <w:r w:rsidRPr="0082513D">
        <w:rPr>
          <w:rFonts w:ascii="Calibri" w:hAnsi="Calibri" w:cs="Calibri"/>
          <w:i/>
          <w:iCs/>
        </w:rPr>
        <w:t>The Oxford handbook of criminology</w:t>
      </w:r>
      <w:r w:rsidRPr="0082513D">
        <w:rPr>
          <w:rFonts w:ascii="Calibri" w:hAnsi="Calibri" w:cs="Calibri"/>
        </w:rPr>
        <w:t>. 5th ed. Oxford: Oxford University Press.</w:t>
      </w:r>
    </w:p>
    <w:p w14:paraId="797061C9" w14:textId="77777777" w:rsidR="0082513D" w:rsidRPr="0082513D" w:rsidRDefault="0082513D" w:rsidP="0082513D">
      <w:pPr>
        <w:rPr>
          <w:rFonts w:ascii="Calibri" w:hAnsi="Calibri" w:cs="Calibri"/>
        </w:rPr>
      </w:pPr>
      <w:r w:rsidRPr="0082513D">
        <w:rPr>
          <w:rFonts w:ascii="Calibri" w:hAnsi="Calibri" w:cs="Calibri"/>
        </w:rPr>
        <w:t xml:space="preserve">Pratt, J. (2007). </w:t>
      </w:r>
      <w:r w:rsidRPr="0082513D">
        <w:rPr>
          <w:rFonts w:ascii="Calibri" w:hAnsi="Calibri" w:cs="Calibri"/>
          <w:i/>
          <w:iCs/>
        </w:rPr>
        <w:t>Penal Populism: Key Ideas in Criminology</w:t>
      </w:r>
      <w:r w:rsidRPr="0082513D">
        <w:rPr>
          <w:rFonts w:ascii="Calibri" w:hAnsi="Calibri" w:cs="Calibri"/>
        </w:rPr>
        <w:t>. London ; New York: Routledge, Taylor &amp; Francis Group.</w:t>
      </w:r>
    </w:p>
    <w:p w14:paraId="676442AB" w14:textId="77777777" w:rsidR="0082513D" w:rsidRPr="0082513D" w:rsidRDefault="0082513D" w:rsidP="0082513D">
      <w:pPr>
        <w:rPr>
          <w:rFonts w:ascii="Calibri" w:hAnsi="Calibri" w:cs="Calibri"/>
        </w:rPr>
      </w:pPr>
      <w:r w:rsidRPr="0082513D">
        <w:rPr>
          <w:rFonts w:ascii="Calibri" w:hAnsi="Calibri" w:cs="Calibri"/>
        </w:rPr>
        <w:lastRenderedPageBreak/>
        <w:t xml:space="preserve">Reiner, R. (2016). </w:t>
      </w:r>
      <w:r w:rsidRPr="0082513D">
        <w:rPr>
          <w:rFonts w:ascii="Calibri" w:hAnsi="Calibri" w:cs="Calibri"/>
          <w:i/>
          <w:iCs/>
        </w:rPr>
        <w:t>Policing, popular culture and political economy : towards a social democratic criminology</w:t>
      </w:r>
      <w:r w:rsidRPr="0082513D">
        <w:rPr>
          <w:rFonts w:ascii="Calibri" w:hAnsi="Calibri" w:cs="Calibri"/>
        </w:rPr>
        <w:t>. London: Routledge.</w:t>
      </w:r>
    </w:p>
    <w:p w14:paraId="0C5E94A2" w14:textId="77777777" w:rsidR="0082513D" w:rsidRPr="0082513D" w:rsidRDefault="0082513D" w:rsidP="0082513D">
      <w:pPr>
        <w:rPr>
          <w:rFonts w:ascii="Calibri" w:hAnsi="Calibri" w:cs="Calibri"/>
        </w:rPr>
      </w:pPr>
      <w:r w:rsidRPr="0082513D">
        <w:rPr>
          <w:rFonts w:ascii="Calibri" w:hAnsi="Calibri" w:cs="Calibri"/>
        </w:rPr>
        <w:t xml:space="preserve">Rice, S.K. and White, M.D. (2010). </w:t>
      </w:r>
      <w:r w:rsidRPr="0082513D">
        <w:rPr>
          <w:rFonts w:ascii="Calibri" w:hAnsi="Calibri" w:cs="Calibri"/>
          <w:i/>
          <w:iCs/>
        </w:rPr>
        <w:t>Race, Ethnicity, and Policing New and Essential Readings</w:t>
      </w:r>
      <w:r w:rsidRPr="0082513D">
        <w:rPr>
          <w:rFonts w:ascii="Calibri" w:hAnsi="Calibri" w:cs="Calibri"/>
        </w:rPr>
        <w:t>. [online] New York Nyu Press. Available at: http://muse.jhu.edu/chapter/366862.</w:t>
      </w:r>
    </w:p>
    <w:p w14:paraId="2378BDA8" w14:textId="77777777" w:rsidR="0082513D" w:rsidRPr="0082513D" w:rsidRDefault="0082513D" w:rsidP="0082513D">
      <w:pPr>
        <w:rPr>
          <w:rFonts w:ascii="Calibri" w:hAnsi="Calibri" w:cs="Calibri"/>
        </w:rPr>
      </w:pPr>
      <w:r w:rsidRPr="0082513D">
        <w:rPr>
          <w:rFonts w:ascii="Calibri" w:hAnsi="Calibri" w:cs="Calibri"/>
        </w:rPr>
        <w:t xml:space="preserve">Roberts, J., Bild, J., Pina-Sánchez, J. and Hough, M. (2022). </w:t>
      </w:r>
      <w:r w:rsidRPr="0082513D">
        <w:rPr>
          <w:rFonts w:ascii="Calibri" w:hAnsi="Calibri" w:cs="Calibri"/>
          <w:i/>
          <w:iCs/>
        </w:rPr>
        <w:t>Public Knowledge of Sentencing Practice and Trends Research Report</w:t>
      </w:r>
      <w:r w:rsidRPr="0082513D">
        <w:rPr>
          <w:rFonts w:ascii="Calibri" w:hAnsi="Calibri" w:cs="Calibri"/>
        </w:rPr>
        <w:t>. [online] Available at: https://sentencingacademy.org.uk/wp-content/uploads/2023/08/Public-Knowledge-of-Sentencing-Practice-and-Trends.pdf.</w:t>
      </w:r>
    </w:p>
    <w:p w14:paraId="6A108F59" w14:textId="77777777" w:rsidR="0082513D" w:rsidRPr="0082513D" w:rsidRDefault="0082513D" w:rsidP="0082513D">
      <w:pPr>
        <w:rPr>
          <w:rFonts w:ascii="Calibri" w:hAnsi="Calibri" w:cs="Calibri"/>
        </w:rPr>
      </w:pPr>
      <w:r w:rsidRPr="0082513D">
        <w:rPr>
          <w:rFonts w:ascii="Calibri" w:hAnsi="Calibri" w:cs="Calibri"/>
        </w:rPr>
        <w:t xml:space="preserve">Roberts, J. and Stalans, L. (2019). </w:t>
      </w:r>
      <w:r w:rsidRPr="0082513D">
        <w:rPr>
          <w:rFonts w:ascii="Calibri" w:hAnsi="Calibri" w:cs="Calibri"/>
          <w:i/>
          <w:iCs/>
        </w:rPr>
        <w:t>Public Opinion, Crime, And Criminal Justice.</w:t>
      </w:r>
      <w:r w:rsidRPr="0082513D">
        <w:rPr>
          <w:rFonts w:ascii="Calibri" w:hAnsi="Calibri" w:cs="Calibri"/>
        </w:rPr>
        <w:t xml:space="preserve"> S.L.: Routledge.</w:t>
      </w:r>
    </w:p>
    <w:p w14:paraId="185847D0" w14:textId="77777777" w:rsidR="0082513D" w:rsidRPr="0082513D" w:rsidRDefault="0082513D" w:rsidP="0082513D">
      <w:pPr>
        <w:rPr>
          <w:rFonts w:ascii="Calibri" w:hAnsi="Calibri" w:cs="Calibri"/>
        </w:rPr>
      </w:pPr>
      <w:r w:rsidRPr="0082513D">
        <w:rPr>
          <w:rFonts w:ascii="Calibri" w:hAnsi="Calibri" w:cs="Calibri"/>
        </w:rPr>
        <w:t xml:space="preserve">Sentencing Council (2022). </w:t>
      </w:r>
      <w:r w:rsidRPr="0082513D">
        <w:rPr>
          <w:rFonts w:ascii="Calibri" w:hAnsi="Calibri" w:cs="Calibri"/>
          <w:i/>
          <w:iCs/>
        </w:rPr>
        <w:t>Public confidence in sentencing and the criminal justice system: 2022 – Sentencing</w:t>
      </w:r>
      <w:r w:rsidRPr="0082513D">
        <w:rPr>
          <w:rFonts w:ascii="Calibri" w:hAnsi="Calibri" w:cs="Calibri"/>
        </w:rPr>
        <w:t>. [online] Sentencing Council. Available at: https://www.sentencingcouncil.org.uk/publications/item/public-confidence-in-sentencing-and-the-criminal-justice-system-2022/.</w:t>
      </w:r>
    </w:p>
    <w:p w14:paraId="0DC7C16B" w14:textId="77777777" w:rsidR="0082513D" w:rsidRPr="0082513D" w:rsidRDefault="0082513D" w:rsidP="0082513D">
      <w:pPr>
        <w:rPr>
          <w:rFonts w:ascii="Calibri" w:hAnsi="Calibri" w:cs="Calibri"/>
        </w:rPr>
      </w:pPr>
      <w:r w:rsidRPr="0082513D">
        <w:rPr>
          <w:rFonts w:ascii="Calibri" w:hAnsi="Calibri" w:cs="Calibri"/>
        </w:rPr>
        <w:t xml:space="preserve">Tyler, T.R. (2006). </w:t>
      </w:r>
      <w:r w:rsidRPr="0082513D">
        <w:rPr>
          <w:rFonts w:ascii="Calibri" w:hAnsi="Calibri" w:cs="Calibri"/>
          <w:i/>
          <w:iCs/>
        </w:rPr>
        <w:t>Why people obey the law</w:t>
      </w:r>
      <w:r w:rsidRPr="0082513D">
        <w:rPr>
          <w:rFonts w:ascii="Calibri" w:hAnsi="Calibri" w:cs="Calibri"/>
        </w:rPr>
        <w:t>. Princenton New Jersey: Princeton University Press.</w:t>
      </w:r>
    </w:p>
    <w:p w14:paraId="4353EAF5" w14:textId="77777777" w:rsidR="0082513D" w:rsidRPr="0082513D" w:rsidRDefault="0082513D" w:rsidP="0082513D">
      <w:pPr>
        <w:rPr>
          <w:rFonts w:ascii="Calibri" w:hAnsi="Calibri" w:cs="Calibri"/>
        </w:rPr>
      </w:pPr>
      <w:r w:rsidRPr="0082513D">
        <w:rPr>
          <w:rFonts w:ascii="Calibri" w:hAnsi="Calibri" w:cs="Calibri"/>
        </w:rPr>
        <w:t xml:space="preserve">Wood, J.L. and Gannon, T.A. (2011). </w:t>
      </w:r>
      <w:r w:rsidRPr="0082513D">
        <w:rPr>
          <w:rFonts w:ascii="Calibri" w:hAnsi="Calibri" w:cs="Calibri"/>
          <w:i/>
          <w:iCs/>
        </w:rPr>
        <w:t>Public opinion and criminal justice</w:t>
      </w:r>
      <w:r w:rsidRPr="0082513D">
        <w:rPr>
          <w:rFonts w:ascii="Calibri" w:hAnsi="Calibri" w:cs="Calibri"/>
        </w:rPr>
        <w:t>. London: Routledge.</w:t>
      </w:r>
    </w:p>
    <w:p w14:paraId="46064955" w14:textId="77777777" w:rsidR="0082513D" w:rsidRPr="00337A9E" w:rsidRDefault="0082513D" w:rsidP="00337A9E">
      <w:pPr>
        <w:rPr>
          <w:rFonts w:ascii="Calibri" w:hAnsi="Calibri" w:cs="Calibri"/>
        </w:rPr>
      </w:pPr>
    </w:p>
    <w:p w14:paraId="1B42227C" w14:textId="5B469193" w:rsidR="000F50C8" w:rsidRDefault="000F50C8" w:rsidP="00C853E6">
      <w:pPr>
        <w:rPr>
          <w:rFonts w:ascii="Calibri" w:hAnsi="Calibri" w:cs="Calibri"/>
        </w:rPr>
      </w:pPr>
    </w:p>
    <w:p w14:paraId="4F8AB6B4" w14:textId="77777777" w:rsidR="00085E21" w:rsidRPr="00C853E6" w:rsidRDefault="00085E21" w:rsidP="00C853E6">
      <w:pPr>
        <w:rPr>
          <w:rFonts w:ascii="Calibri" w:hAnsi="Calibri" w:cs="Calibri"/>
        </w:rPr>
      </w:pPr>
    </w:p>
    <w:p w14:paraId="701EAB80" w14:textId="77777777" w:rsidR="00F8048E" w:rsidRDefault="00F8048E" w:rsidP="00E75FE4">
      <w:pPr>
        <w:rPr>
          <w:rFonts w:ascii="Calibri" w:hAnsi="Calibri" w:cs="Calibri"/>
        </w:rPr>
      </w:pPr>
    </w:p>
    <w:p w14:paraId="0A2F675B" w14:textId="77777777" w:rsidR="007D0784" w:rsidRDefault="007D0784" w:rsidP="00E75FE4">
      <w:pPr>
        <w:rPr>
          <w:rFonts w:ascii="Calibri" w:hAnsi="Calibri" w:cs="Calibri"/>
        </w:rPr>
      </w:pPr>
    </w:p>
    <w:p w14:paraId="6FEE05C8" w14:textId="77777777" w:rsidR="00E75FE4" w:rsidRDefault="00E75FE4" w:rsidP="00EE54C7">
      <w:pPr>
        <w:rPr>
          <w:rFonts w:ascii="Calibri" w:hAnsi="Calibri" w:cs="Calibri"/>
        </w:rPr>
      </w:pPr>
    </w:p>
    <w:p w14:paraId="303599CB" w14:textId="77777777" w:rsidR="00E75FE4" w:rsidRDefault="00E75FE4" w:rsidP="00EE54C7">
      <w:pPr>
        <w:rPr>
          <w:rFonts w:ascii="Calibri" w:hAnsi="Calibri" w:cs="Calibri"/>
        </w:rPr>
      </w:pPr>
    </w:p>
    <w:p w14:paraId="75BC8559" w14:textId="77777777" w:rsidR="00E75FE4" w:rsidRPr="00EE54C7" w:rsidRDefault="00E75FE4" w:rsidP="00EE54C7">
      <w:pPr>
        <w:rPr>
          <w:rFonts w:ascii="Calibri" w:hAnsi="Calibri" w:cs="Calibri"/>
        </w:rPr>
      </w:pPr>
    </w:p>
    <w:p w14:paraId="40E07532" w14:textId="77777777" w:rsidR="009C5B25" w:rsidRDefault="009C5B25" w:rsidP="00B73125">
      <w:pPr>
        <w:rPr>
          <w:rFonts w:ascii="Calibri" w:hAnsi="Calibri" w:cs="Calibri"/>
          <w:b/>
          <w:bCs/>
        </w:rPr>
      </w:pPr>
    </w:p>
    <w:p w14:paraId="104C1C8D" w14:textId="77777777" w:rsidR="00D82170" w:rsidRDefault="00D82170" w:rsidP="00B73125">
      <w:pPr>
        <w:rPr>
          <w:rFonts w:ascii="Calibri" w:hAnsi="Calibri" w:cs="Calibri"/>
          <w:b/>
          <w:bCs/>
        </w:rPr>
      </w:pPr>
    </w:p>
    <w:p w14:paraId="2240899C" w14:textId="77777777" w:rsidR="007A1F74" w:rsidRDefault="007A1F74" w:rsidP="00B73125">
      <w:pPr>
        <w:rPr>
          <w:rFonts w:ascii="Calibri" w:hAnsi="Calibri" w:cs="Calibri"/>
          <w:b/>
          <w:bCs/>
        </w:rPr>
      </w:pPr>
    </w:p>
    <w:p w14:paraId="4B80D081" w14:textId="77777777" w:rsidR="00B73125" w:rsidRPr="00B73125" w:rsidRDefault="00B73125" w:rsidP="00B73125">
      <w:pPr>
        <w:rPr>
          <w:rFonts w:ascii="Calibri" w:hAnsi="Calibri" w:cs="Calibri"/>
          <w:b/>
          <w:bCs/>
        </w:rPr>
      </w:pPr>
    </w:p>
    <w:p w14:paraId="642E4721" w14:textId="29788DA7" w:rsidR="00B5449E" w:rsidRPr="00BC092F" w:rsidRDefault="00B5449E" w:rsidP="00E1758D">
      <w:pPr>
        <w:rPr>
          <w:rFonts w:ascii="Calibri" w:hAnsi="Calibri" w:cs="Calibri"/>
        </w:rPr>
      </w:pPr>
    </w:p>
    <w:p w14:paraId="1EF2AE78" w14:textId="77777777" w:rsidR="00A70BFB" w:rsidRDefault="00A70BFB" w:rsidP="00E1758D"/>
    <w:p w14:paraId="28316389" w14:textId="77777777" w:rsidR="00E1758D" w:rsidRDefault="00E1758D" w:rsidP="00E1758D"/>
    <w:p w14:paraId="04B6938D" w14:textId="77777777" w:rsidR="00E1758D" w:rsidRDefault="00E1758D" w:rsidP="0040724A">
      <w:pPr>
        <w:jc w:val="center"/>
      </w:pPr>
    </w:p>
    <w:p w14:paraId="73A8CFE8" w14:textId="77777777" w:rsidR="0040724A" w:rsidRPr="0040724A" w:rsidRDefault="0040724A" w:rsidP="0040724A">
      <w:pPr>
        <w:rPr>
          <w:b/>
          <w:bCs/>
          <w:sz w:val="24"/>
          <w:szCs w:val="24"/>
        </w:rPr>
      </w:pPr>
    </w:p>
    <w:p w14:paraId="75C7069D" w14:textId="0E0B0BC7" w:rsidR="00C543F2" w:rsidRDefault="00C543F2" w:rsidP="00C543F2">
      <w:pPr>
        <w:jc w:val="center"/>
        <w:rPr>
          <w:i/>
          <w:iCs/>
        </w:rPr>
      </w:pPr>
    </w:p>
    <w:p w14:paraId="738D58EF" w14:textId="77777777" w:rsidR="00542B45" w:rsidRDefault="00542B45"/>
    <w:sectPr w:rsidR="00542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C4124"/>
    <w:multiLevelType w:val="multilevel"/>
    <w:tmpl w:val="92380AC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99C4E9C"/>
    <w:multiLevelType w:val="hybridMultilevel"/>
    <w:tmpl w:val="109CA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8B0AE7"/>
    <w:multiLevelType w:val="hybridMultilevel"/>
    <w:tmpl w:val="109CA4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3952501">
    <w:abstractNumId w:val="1"/>
  </w:num>
  <w:num w:numId="2" w16cid:durableId="298414860">
    <w:abstractNumId w:val="0"/>
  </w:num>
  <w:num w:numId="3" w16cid:durableId="1867210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53"/>
    <w:rsid w:val="00016156"/>
    <w:rsid w:val="00056B84"/>
    <w:rsid w:val="00085E21"/>
    <w:rsid w:val="000B13B7"/>
    <w:rsid w:val="000D1B5C"/>
    <w:rsid w:val="000D1EB4"/>
    <w:rsid w:val="000F34BF"/>
    <w:rsid w:val="000F50C8"/>
    <w:rsid w:val="00101BD5"/>
    <w:rsid w:val="0010756D"/>
    <w:rsid w:val="00125C39"/>
    <w:rsid w:val="00127B3A"/>
    <w:rsid w:val="0015652D"/>
    <w:rsid w:val="001607A2"/>
    <w:rsid w:val="001733F6"/>
    <w:rsid w:val="00186473"/>
    <w:rsid w:val="00192A94"/>
    <w:rsid w:val="001B32AA"/>
    <w:rsid w:val="001D3F71"/>
    <w:rsid w:val="001D53C0"/>
    <w:rsid w:val="00224694"/>
    <w:rsid w:val="002501A0"/>
    <w:rsid w:val="00256002"/>
    <w:rsid w:val="00275B8E"/>
    <w:rsid w:val="00290B48"/>
    <w:rsid w:val="002A101A"/>
    <w:rsid w:val="002B19F1"/>
    <w:rsid w:val="002B7D69"/>
    <w:rsid w:val="002C2387"/>
    <w:rsid w:val="00304195"/>
    <w:rsid w:val="00316575"/>
    <w:rsid w:val="00337450"/>
    <w:rsid w:val="00337A9E"/>
    <w:rsid w:val="0036639D"/>
    <w:rsid w:val="00367719"/>
    <w:rsid w:val="00396197"/>
    <w:rsid w:val="003A39BE"/>
    <w:rsid w:val="003C03BD"/>
    <w:rsid w:val="003C6020"/>
    <w:rsid w:val="0040546D"/>
    <w:rsid w:val="00405E9F"/>
    <w:rsid w:val="0040724A"/>
    <w:rsid w:val="00412954"/>
    <w:rsid w:val="004623C0"/>
    <w:rsid w:val="00462C12"/>
    <w:rsid w:val="004A5983"/>
    <w:rsid w:val="004C0A01"/>
    <w:rsid w:val="004F3FB5"/>
    <w:rsid w:val="0053313C"/>
    <w:rsid w:val="00542B45"/>
    <w:rsid w:val="00546349"/>
    <w:rsid w:val="00547793"/>
    <w:rsid w:val="0055003F"/>
    <w:rsid w:val="0057654C"/>
    <w:rsid w:val="00594719"/>
    <w:rsid w:val="005A2D65"/>
    <w:rsid w:val="005A3F8E"/>
    <w:rsid w:val="005B3B2E"/>
    <w:rsid w:val="005D57A3"/>
    <w:rsid w:val="005F75E1"/>
    <w:rsid w:val="00612963"/>
    <w:rsid w:val="00657EC1"/>
    <w:rsid w:val="00673658"/>
    <w:rsid w:val="006C7CD7"/>
    <w:rsid w:val="006E353B"/>
    <w:rsid w:val="006E4DAC"/>
    <w:rsid w:val="00706B63"/>
    <w:rsid w:val="007263E0"/>
    <w:rsid w:val="00776985"/>
    <w:rsid w:val="00782504"/>
    <w:rsid w:val="007842DA"/>
    <w:rsid w:val="007A1F74"/>
    <w:rsid w:val="007D028D"/>
    <w:rsid w:val="007D0784"/>
    <w:rsid w:val="007F4BF3"/>
    <w:rsid w:val="007F7213"/>
    <w:rsid w:val="0082513D"/>
    <w:rsid w:val="008269E7"/>
    <w:rsid w:val="00834F31"/>
    <w:rsid w:val="008665B5"/>
    <w:rsid w:val="00866F25"/>
    <w:rsid w:val="00871A7D"/>
    <w:rsid w:val="00893ED0"/>
    <w:rsid w:val="008949B9"/>
    <w:rsid w:val="008973F6"/>
    <w:rsid w:val="008A1F64"/>
    <w:rsid w:val="008A689E"/>
    <w:rsid w:val="008B0F06"/>
    <w:rsid w:val="008B3502"/>
    <w:rsid w:val="008C4350"/>
    <w:rsid w:val="00931E5E"/>
    <w:rsid w:val="009636AA"/>
    <w:rsid w:val="00975FAD"/>
    <w:rsid w:val="009861BC"/>
    <w:rsid w:val="00997653"/>
    <w:rsid w:val="009A71A6"/>
    <w:rsid w:val="009C5B25"/>
    <w:rsid w:val="00A22C0E"/>
    <w:rsid w:val="00A66846"/>
    <w:rsid w:val="00A70BFB"/>
    <w:rsid w:val="00A93AF8"/>
    <w:rsid w:val="00AB093C"/>
    <w:rsid w:val="00AB1E3C"/>
    <w:rsid w:val="00AD35B7"/>
    <w:rsid w:val="00AD5A05"/>
    <w:rsid w:val="00B519D4"/>
    <w:rsid w:val="00B5449E"/>
    <w:rsid w:val="00B55A7B"/>
    <w:rsid w:val="00B73125"/>
    <w:rsid w:val="00BB031C"/>
    <w:rsid w:val="00BC092F"/>
    <w:rsid w:val="00BF098F"/>
    <w:rsid w:val="00BF2CAF"/>
    <w:rsid w:val="00BF51E8"/>
    <w:rsid w:val="00C00D9B"/>
    <w:rsid w:val="00C07C0B"/>
    <w:rsid w:val="00C1663D"/>
    <w:rsid w:val="00C17611"/>
    <w:rsid w:val="00C50838"/>
    <w:rsid w:val="00C543F2"/>
    <w:rsid w:val="00C729A6"/>
    <w:rsid w:val="00C853E6"/>
    <w:rsid w:val="00C876C3"/>
    <w:rsid w:val="00CE0403"/>
    <w:rsid w:val="00CE678D"/>
    <w:rsid w:val="00D0038F"/>
    <w:rsid w:val="00D1039B"/>
    <w:rsid w:val="00D11801"/>
    <w:rsid w:val="00D42068"/>
    <w:rsid w:val="00D420CE"/>
    <w:rsid w:val="00D82170"/>
    <w:rsid w:val="00D9477C"/>
    <w:rsid w:val="00DA00EE"/>
    <w:rsid w:val="00DA1240"/>
    <w:rsid w:val="00DB0EDD"/>
    <w:rsid w:val="00DB4D0B"/>
    <w:rsid w:val="00DD1911"/>
    <w:rsid w:val="00DF386A"/>
    <w:rsid w:val="00DF7C24"/>
    <w:rsid w:val="00E04A2E"/>
    <w:rsid w:val="00E16F6C"/>
    <w:rsid w:val="00E1758D"/>
    <w:rsid w:val="00E75FE4"/>
    <w:rsid w:val="00E86A9B"/>
    <w:rsid w:val="00E94CD6"/>
    <w:rsid w:val="00EA4208"/>
    <w:rsid w:val="00EB07CD"/>
    <w:rsid w:val="00EB4FB2"/>
    <w:rsid w:val="00EB6C25"/>
    <w:rsid w:val="00EE54C7"/>
    <w:rsid w:val="00F012FF"/>
    <w:rsid w:val="00F0296C"/>
    <w:rsid w:val="00F26EBD"/>
    <w:rsid w:val="00F5300D"/>
    <w:rsid w:val="00F8048E"/>
    <w:rsid w:val="00FA6726"/>
    <w:rsid w:val="00FD1A26"/>
    <w:rsid w:val="00FF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9698"/>
  <w15:chartTrackingRefBased/>
  <w15:docId w15:val="{531CAEEF-BC22-4240-BCCE-4693B0136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3F2"/>
  </w:style>
  <w:style w:type="paragraph" w:styleId="Heading1">
    <w:name w:val="heading 1"/>
    <w:basedOn w:val="Normal"/>
    <w:next w:val="Normal"/>
    <w:link w:val="Heading1Char"/>
    <w:uiPriority w:val="9"/>
    <w:qFormat/>
    <w:rsid w:val="009976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76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76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6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6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6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6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6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6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6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6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6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6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6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6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6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6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653"/>
    <w:rPr>
      <w:rFonts w:eastAsiaTheme="majorEastAsia" w:cstheme="majorBidi"/>
      <w:color w:val="272727" w:themeColor="text1" w:themeTint="D8"/>
    </w:rPr>
  </w:style>
  <w:style w:type="paragraph" w:styleId="Title">
    <w:name w:val="Title"/>
    <w:basedOn w:val="Normal"/>
    <w:next w:val="Normal"/>
    <w:link w:val="TitleChar"/>
    <w:uiPriority w:val="10"/>
    <w:qFormat/>
    <w:rsid w:val="009976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6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6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6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653"/>
    <w:pPr>
      <w:spacing w:before="160"/>
      <w:jc w:val="center"/>
    </w:pPr>
    <w:rPr>
      <w:i/>
      <w:iCs/>
      <w:color w:val="404040" w:themeColor="text1" w:themeTint="BF"/>
    </w:rPr>
  </w:style>
  <w:style w:type="character" w:customStyle="1" w:styleId="QuoteChar">
    <w:name w:val="Quote Char"/>
    <w:basedOn w:val="DefaultParagraphFont"/>
    <w:link w:val="Quote"/>
    <w:uiPriority w:val="29"/>
    <w:rsid w:val="00997653"/>
    <w:rPr>
      <w:i/>
      <w:iCs/>
      <w:color w:val="404040" w:themeColor="text1" w:themeTint="BF"/>
    </w:rPr>
  </w:style>
  <w:style w:type="paragraph" w:styleId="ListParagraph">
    <w:name w:val="List Paragraph"/>
    <w:basedOn w:val="Normal"/>
    <w:uiPriority w:val="34"/>
    <w:qFormat/>
    <w:rsid w:val="00997653"/>
    <w:pPr>
      <w:ind w:left="720"/>
      <w:contextualSpacing/>
    </w:pPr>
  </w:style>
  <w:style w:type="character" w:styleId="IntenseEmphasis">
    <w:name w:val="Intense Emphasis"/>
    <w:basedOn w:val="DefaultParagraphFont"/>
    <w:uiPriority w:val="21"/>
    <w:qFormat/>
    <w:rsid w:val="00997653"/>
    <w:rPr>
      <w:i/>
      <w:iCs/>
      <w:color w:val="0F4761" w:themeColor="accent1" w:themeShade="BF"/>
    </w:rPr>
  </w:style>
  <w:style w:type="paragraph" w:styleId="IntenseQuote">
    <w:name w:val="Intense Quote"/>
    <w:basedOn w:val="Normal"/>
    <w:next w:val="Normal"/>
    <w:link w:val="IntenseQuoteChar"/>
    <w:uiPriority w:val="30"/>
    <w:qFormat/>
    <w:rsid w:val="009976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653"/>
    <w:rPr>
      <w:i/>
      <w:iCs/>
      <w:color w:val="0F4761" w:themeColor="accent1" w:themeShade="BF"/>
    </w:rPr>
  </w:style>
  <w:style w:type="character" w:styleId="IntenseReference">
    <w:name w:val="Intense Reference"/>
    <w:basedOn w:val="DefaultParagraphFont"/>
    <w:uiPriority w:val="32"/>
    <w:qFormat/>
    <w:rsid w:val="00997653"/>
    <w:rPr>
      <w:b/>
      <w:bCs/>
      <w:smallCaps/>
      <w:color w:val="0F4761" w:themeColor="accent1" w:themeShade="BF"/>
      <w:spacing w:val="5"/>
    </w:rPr>
  </w:style>
  <w:style w:type="paragraph" w:styleId="Caption">
    <w:name w:val="caption"/>
    <w:basedOn w:val="Normal"/>
    <w:next w:val="Normal"/>
    <w:uiPriority w:val="35"/>
    <w:unhideWhenUsed/>
    <w:qFormat/>
    <w:rsid w:val="00101BD5"/>
    <w:pPr>
      <w:spacing w:after="200" w:line="240" w:lineRule="auto"/>
    </w:pPr>
    <w:rPr>
      <w:i/>
      <w:iCs/>
      <w:color w:val="0E2841" w:themeColor="text2"/>
      <w:sz w:val="18"/>
      <w:szCs w:val="18"/>
    </w:rPr>
  </w:style>
  <w:style w:type="character" w:styleId="Hyperlink">
    <w:name w:val="Hyperlink"/>
    <w:basedOn w:val="DefaultParagraphFont"/>
    <w:uiPriority w:val="99"/>
    <w:unhideWhenUsed/>
    <w:rsid w:val="00B5449E"/>
    <w:rPr>
      <w:color w:val="467886" w:themeColor="hyperlink"/>
      <w:u w:val="single"/>
    </w:rPr>
  </w:style>
  <w:style w:type="character" w:styleId="UnresolvedMention">
    <w:name w:val="Unresolved Mention"/>
    <w:basedOn w:val="DefaultParagraphFont"/>
    <w:uiPriority w:val="99"/>
    <w:semiHidden/>
    <w:unhideWhenUsed/>
    <w:rsid w:val="00B5449E"/>
    <w:rPr>
      <w:color w:val="605E5C"/>
      <w:shd w:val="clear" w:color="auto" w:fill="E1DFDD"/>
    </w:rPr>
  </w:style>
  <w:style w:type="character" w:styleId="FollowedHyperlink">
    <w:name w:val="FollowedHyperlink"/>
    <w:basedOn w:val="DefaultParagraphFont"/>
    <w:uiPriority w:val="99"/>
    <w:semiHidden/>
    <w:unhideWhenUsed/>
    <w:rsid w:val="004C0A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9027">
      <w:bodyDiv w:val="1"/>
      <w:marLeft w:val="0"/>
      <w:marRight w:val="0"/>
      <w:marTop w:val="0"/>
      <w:marBottom w:val="0"/>
      <w:divBdr>
        <w:top w:val="none" w:sz="0" w:space="0" w:color="auto"/>
        <w:left w:val="none" w:sz="0" w:space="0" w:color="auto"/>
        <w:bottom w:val="none" w:sz="0" w:space="0" w:color="auto"/>
        <w:right w:val="none" w:sz="0" w:space="0" w:color="auto"/>
      </w:divBdr>
    </w:div>
    <w:div w:id="36319608">
      <w:bodyDiv w:val="1"/>
      <w:marLeft w:val="0"/>
      <w:marRight w:val="0"/>
      <w:marTop w:val="0"/>
      <w:marBottom w:val="0"/>
      <w:divBdr>
        <w:top w:val="none" w:sz="0" w:space="0" w:color="auto"/>
        <w:left w:val="none" w:sz="0" w:space="0" w:color="auto"/>
        <w:bottom w:val="none" w:sz="0" w:space="0" w:color="auto"/>
        <w:right w:val="none" w:sz="0" w:space="0" w:color="auto"/>
      </w:divBdr>
    </w:div>
    <w:div w:id="69541511">
      <w:bodyDiv w:val="1"/>
      <w:marLeft w:val="0"/>
      <w:marRight w:val="0"/>
      <w:marTop w:val="0"/>
      <w:marBottom w:val="0"/>
      <w:divBdr>
        <w:top w:val="none" w:sz="0" w:space="0" w:color="auto"/>
        <w:left w:val="none" w:sz="0" w:space="0" w:color="auto"/>
        <w:bottom w:val="none" w:sz="0" w:space="0" w:color="auto"/>
        <w:right w:val="none" w:sz="0" w:space="0" w:color="auto"/>
      </w:divBdr>
    </w:div>
    <w:div w:id="109325980">
      <w:bodyDiv w:val="1"/>
      <w:marLeft w:val="0"/>
      <w:marRight w:val="0"/>
      <w:marTop w:val="0"/>
      <w:marBottom w:val="0"/>
      <w:divBdr>
        <w:top w:val="none" w:sz="0" w:space="0" w:color="auto"/>
        <w:left w:val="none" w:sz="0" w:space="0" w:color="auto"/>
        <w:bottom w:val="none" w:sz="0" w:space="0" w:color="auto"/>
        <w:right w:val="none" w:sz="0" w:space="0" w:color="auto"/>
      </w:divBdr>
    </w:div>
    <w:div w:id="146169599">
      <w:bodyDiv w:val="1"/>
      <w:marLeft w:val="0"/>
      <w:marRight w:val="0"/>
      <w:marTop w:val="0"/>
      <w:marBottom w:val="0"/>
      <w:divBdr>
        <w:top w:val="none" w:sz="0" w:space="0" w:color="auto"/>
        <w:left w:val="none" w:sz="0" w:space="0" w:color="auto"/>
        <w:bottom w:val="none" w:sz="0" w:space="0" w:color="auto"/>
        <w:right w:val="none" w:sz="0" w:space="0" w:color="auto"/>
      </w:divBdr>
    </w:div>
    <w:div w:id="188959744">
      <w:bodyDiv w:val="1"/>
      <w:marLeft w:val="0"/>
      <w:marRight w:val="0"/>
      <w:marTop w:val="0"/>
      <w:marBottom w:val="0"/>
      <w:divBdr>
        <w:top w:val="none" w:sz="0" w:space="0" w:color="auto"/>
        <w:left w:val="none" w:sz="0" w:space="0" w:color="auto"/>
        <w:bottom w:val="none" w:sz="0" w:space="0" w:color="auto"/>
        <w:right w:val="none" w:sz="0" w:space="0" w:color="auto"/>
      </w:divBdr>
    </w:div>
    <w:div w:id="248080240">
      <w:bodyDiv w:val="1"/>
      <w:marLeft w:val="0"/>
      <w:marRight w:val="0"/>
      <w:marTop w:val="0"/>
      <w:marBottom w:val="0"/>
      <w:divBdr>
        <w:top w:val="none" w:sz="0" w:space="0" w:color="auto"/>
        <w:left w:val="none" w:sz="0" w:space="0" w:color="auto"/>
        <w:bottom w:val="none" w:sz="0" w:space="0" w:color="auto"/>
        <w:right w:val="none" w:sz="0" w:space="0" w:color="auto"/>
      </w:divBdr>
    </w:div>
    <w:div w:id="266933737">
      <w:bodyDiv w:val="1"/>
      <w:marLeft w:val="0"/>
      <w:marRight w:val="0"/>
      <w:marTop w:val="0"/>
      <w:marBottom w:val="0"/>
      <w:divBdr>
        <w:top w:val="none" w:sz="0" w:space="0" w:color="auto"/>
        <w:left w:val="none" w:sz="0" w:space="0" w:color="auto"/>
        <w:bottom w:val="none" w:sz="0" w:space="0" w:color="auto"/>
        <w:right w:val="none" w:sz="0" w:space="0" w:color="auto"/>
      </w:divBdr>
    </w:div>
    <w:div w:id="284821113">
      <w:bodyDiv w:val="1"/>
      <w:marLeft w:val="0"/>
      <w:marRight w:val="0"/>
      <w:marTop w:val="0"/>
      <w:marBottom w:val="0"/>
      <w:divBdr>
        <w:top w:val="none" w:sz="0" w:space="0" w:color="auto"/>
        <w:left w:val="none" w:sz="0" w:space="0" w:color="auto"/>
        <w:bottom w:val="none" w:sz="0" w:space="0" w:color="auto"/>
        <w:right w:val="none" w:sz="0" w:space="0" w:color="auto"/>
      </w:divBdr>
    </w:div>
    <w:div w:id="334652807">
      <w:bodyDiv w:val="1"/>
      <w:marLeft w:val="0"/>
      <w:marRight w:val="0"/>
      <w:marTop w:val="0"/>
      <w:marBottom w:val="0"/>
      <w:divBdr>
        <w:top w:val="none" w:sz="0" w:space="0" w:color="auto"/>
        <w:left w:val="none" w:sz="0" w:space="0" w:color="auto"/>
        <w:bottom w:val="none" w:sz="0" w:space="0" w:color="auto"/>
        <w:right w:val="none" w:sz="0" w:space="0" w:color="auto"/>
      </w:divBdr>
    </w:div>
    <w:div w:id="343215519">
      <w:bodyDiv w:val="1"/>
      <w:marLeft w:val="0"/>
      <w:marRight w:val="0"/>
      <w:marTop w:val="0"/>
      <w:marBottom w:val="0"/>
      <w:divBdr>
        <w:top w:val="none" w:sz="0" w:space="0" w:color="auto"/>
        <w:left w:val="none" w:sz="0" w:space="0" w:color="auto"/>
        <w:bottom w:val="none" w:sz="0" w:space="0" w:color="auto"/>
        <w:right w:val="none" w:sz="0" w:space="0" w:color="auto"/>
      </w:divBdr>
    </w:div>
    <w:div w:id="369768897">
      <w:bodyDiv w:val="1"/>
      <w:marLeft w:val="0"/>
      <w:marRight w:val="0"/>
      <w:marTop w:val="0"/>
      <w:marBottom w:val="0"/>
      <w:divBdr>
        <w:top w:val="none" w:sz="0" w:space="0" w:color="auto"/>
        <w:left w:val="none" w:sz="0" w:space="0" w:color="auto"/>
        <w:bottom w:val="none" w:sz="0" w:space="0" w:color="auto"/>
        <w:right w:val="none" w:sz="0" w:space="0" w:color="auto"/>
      </w:divBdr>
    </w:div>
    <w:div w:id="379407004">
      <w:bodyDiv w:val="1"/>
      <w:marLeft w:val="0"/>
      <w:marRight w:val="0"/>
      <w:marTop w:val="0"/>
      <w:marBottom w:val="0"/>
      <w:divBdr>
        <w:top w:val="none" w:sz="0" w:space="0" w:color="auto"/>
        <w:left w:val="none" w:sz="0" w:space="0" w:color="auto"/>
        <w:bottom w:val="none" w:sz="0" w:space="0" w:color="auto"/>
        <w:right w:val="none" w:sz="0" w:space="0" w:color="auto"/>
      </w:divBdr>
    </w:div>
    <w:div w:id="424888092">
      <w:bodyDiv w:val="1"/>
      <w:marLeft w:val="0"/>
      <w:marRight w:val="0"/>
      <w:marTop w:val="0"/>
      <w:marBottom w:val="0"/>
      <w:divBdr>
        <w:top w:val="none" w:sz="0" w:space="0" w:color="auto"/>
        <w:left w:val="none" w:sz="0" w:space="0" w:color="auto"/>
        <w:bottom w:val="none" w:sz="0" w:space="0" w:color="auto"/>
        <w:right w:val="none" w:sz="0" w:space="0" w:color="auto"/>
      </w:divBdr>
    </w:div>
    <w:div w:id="458885631">
      <w:bodyDiv w:val="1"/>
      <w:marLeft w:val="0"/>
      <w:marRight w:val="0"/>
      <w:marTop w:val="0"/>
      <w:marBottom w:val="0"/>
      <w:divBdr>
        <w:top w:val="none" w:sz="0" w:space="0" w:color="auto"/>
        <w:left w:val="none" w:sz="0" w:space="0" w:color="auto"/>
        <w:bottom w:val="none" w:sz="0" w:space="0" w:color="auto"/>
        <w:right w:val="none" w:sz="0" w:space="0" w:color="auto"/>
      </w:divBdr>
      <w:divsChild>
        <w:div w:id="1967076813">
          <w:marLeft w:val="0"/>
          <w:marRight w:val="0"/>
          <w:marTop w:val="0"/>
          <w:marBottom w:val="0"/>
          <w:divBdr>
            <w:top w:val="none" w:sz="0" w:space="0" w:color="auto"/>
            <w:left w:val="none" w:sz="0" w:space="0" w:color="auto"/>
            <w:bottom w:val="none" w:sz="0" w:space="0" w:color="auto"/>
            <w:right w:val="none" w:sz="0" w:space="0" w:color="auto"/>
          </w:divBdr>
        </w:div>
      </w:divsChild>
    </w:div>
    <w:div w:id="552739148">
      <w:bodyDiv w:val="1"/>
      <w:marLeft w:val="0"/>
      <w:marRight w:val="0"/>
      <w:marTop w:val="0"/>
      <w:marBottom w:val="0"/>
      <w:divBdr>
        <w:top w:val="none" w:sz="0" w:space="0" w:color="auto"/>
        <w:left w:val="none" w:sz="0" w:space="0" w:color="auto"/>
        <w:bottom w:val="none" w:sz="0" w:space="0" w:color="auto"/>
        <w:right w:val="none" w:sz="0" w:space="0" w:color="auto"/>
      </w:divBdr>
    </w:div>
    <w:div w:id="577981053">
      <w:bodyDiv w:val="1"/>
      <w:marLeft w:val="0"/>
      <w:marRight w:val="0"/>
      <w:marTop w:val="0"/>
      <w:marBottom w:val="0"/>
      <w:divBdr>
        <w:top w:val="none" w:sz="0" w:space="0" w:color="auto"/>
        <w:left w:val="none" w:sz="0" w:space="0" w:color="auto"/>
        <w:bottom w:val="none" w:sz="0" w:space="0" w:color="auto"/>
        <w:right w:val="none" w:sz="0" w:space="0" w:color="auto"/>
      </w:divBdr>
    </w:div>
    <w:div w:id="595674790">
      <w:bodyDiv w:val="1"/>
      <w:marLeft w:val="0"/>
      <w:marRight w:val="0"/>
      <w:marTop w:val="0"/>
      <w:marBottom w:val="0"/>
      <w:divBdr>
        <w:top w:val="none" w:sz="0" w:space="0" w:color="auto"/>
        <w:left w:val="none" w:sz="0" w:space="0" w:color="auto"/>
        <w:bottom w:val="none" w:sz="0" w:space="0" w:color="auto"/>
        <w:right w:val="none" w:sz="0" w:space="0" w:color="auto"/>
      </w:divBdr>
    </w:div>
    <w:div w:id="607661523">
      <w:bodyDiv w:val="1"/>
      <w:marLeft w:val="0"/>
      <w:marRight w:val="0"/>
      <w:marTop w:val="0"/>
      <w:marBottom w:val="0"/>
      <w:divBdr>
        <w:top w:val="none" w:sz="0" w:space="0" w:color="auto"/>
        <w:left w:val="none" w:sz="0" w:space="0" w:color="auto"/>
        <w:bottom w:val="none" w:sz="0" w:space="0" w:color="auto"/>
        <w:right w:val="none" w:sz="0" w:space="0" w:color="auto"/>
      </w:divBdr>
    </w:div>
    <w:div w:id="616445501">
      <w:bodyDiv w:val="1"/>
      <w:marLeft w:val="0"/>
      <w:marRight w:val="0"/>
      <w:marTop w:val="0"/>
      <w:marBottom w:val="0"/>
      <w:divBdr>
        <w:top w:val="none" w:sz="0" w:space="0" w:color="auto"/>
        <w:left w:val="none" w:sz="0" w:space="0" w:color="auto"/>
        <w:bottom w:val="none" w:sz="0" w:space="0" w:color="auto"/>
        <w:right w:val="none" w:sz="0" w:space="0" w:color="auto"/>
      </w:divBdr>
    </w:div>
    <w:div w:id="784733046">
      <w:bodyDiv w:val="1"/>
      <w:marLeft w:val="0"/>
      <w:marRight w:val="0"/>
      <w:marTop w:val="0"/>
      <w:marBottom w:val="0"/>
      <w:divBdr>
        <w:top w:val="none" w:sz="0" w:space="0" w:color="auto"/>
        <w:left w:val="none" w:sz="0" w:space="0" w:color="auto"/>
        <w:bottom w:val="none" w:sz="0" w:space="0" w:color="auto"/>
        <w:right w:val="none" w:sz="0" w:space="0" w:color="auto"/>
      </w:divBdr>
    </w:div>
    <w:div w:id="866799750">
      <w:bodyDiv w:val="1"/>
      <w:marLeft w:val="0"/>
      <w:marRight w:val="0"/>
      <w:marTop w:val="0"/>
      <w:marBottom w:val="0"/>
      <w:divBdr>
        <w:top w:val="none" w:sz="0" w:space="0" w:color="auto"/>
        <w:left w:val="none" w:sz="0" w:space="0" w:color="auto"/>
        <w:bottom w:val="none" w:sz="0" w:space="0" w:color="auto"/>
        <w:right w:val="none" w:sz="0" w:space="0" w:color="auto"/>
      </w:divBdr>
    </w:div>
    <w:div w:id="870917653">
      <w:bodyDiv w:val="1"/>
      <w:marLeft w:val="0"/>
      <w:marRight w:val="0"/>
      <w:marTop w:val="0"/>
      <w:marBottom w:val="0"/>
      <w:divBdr>
        <w:top w:val="none" w:sz="0" w:space="0" w:color="auto"/>
        <w:left w:val="none" w:sz="0" w:space="0" w:color="auto"/>
        <w:bottom w:val="none" w:sz="0" w:space="0" w:color="auto"/>
        <w:right w:val="none" w:sz="0" w:space="0" w:color="auto"/>
      </w:divBdr>
    </w:div>
    <w:div w:id="887183953">
      <w:bodyDiv w:val="1"/>
      <w:marLeft w:val="0"/>
      <w:marRight w:val="0"/>
      <w:marTop w:val="0"/>
      <w:marBottom w:val="0"/>
      <w:divBdr>
        <w:top w:val="none" w:sz="0" w:space="0" w:color="auto"/>
        <w:left w:val="none" w:sz="0" w:space="0" w:color="auto"/>
        <w:bottom w:val="none" w:sz="0" w:space="0" w:color="auto"/>
        <w:right w:val="none" w:sz="0" w:space="0" w:color="auto"/>
      </w:divBdr>
    </w:div>
    <w:div w:id="891502807">
      <w:bodyDiv w:val="1"/>
      <w:marLeft w:val="0"/>
      <w:marRight w:val="0"/>
      <w:marTop w:val="0"/>
      <w:marBottom w:val="0"/>
      <w:divBdr>
        <w:top w:val="none" w:sz="0" w:space="0" w:color="auto"/>
        <w:left w:val="none" w:sz="0" w:space="0" w:color="auto"/>
        <w:bottom w:val="none" w:sz="0" w:space="0" w:color="auto"/>
        <w:right w:val="none" w:sz="0" w:space="0" w:color="auto"/>
      </w:divBdr>
    </w:div>
    <w:div w:id="895703987">
      <w:bodyDiv w:val="1"/>
      <w:marLeft w:val="0"/>
      <w:marRight w:val="0"/>
      <w:marTop w:val="0"/>
      <w:marBottom w:val="0"/>
      <w:divBdr>
        <w:top w:val="none" w:sz="0" w:space="0" w:color="auto"/>
        <w:left w:val="none" w:sz="0" w:space="0" w:color="auto"/>
        <w:bottom w:val="none" w:sz="0" w:space="0" w:color="auto"/>
        <w:right w:val="none" w:sz="0" w:space="0" w:color="auto"/>
      </w:divBdr>
    </w:div>
    <w:div w:id="952858192">
      <w:bodyDiv w:val="1"/>
      <w:marLeft w:val="0"/>
      <w:marRight w:val="0"/>
      <w:marTop w:val="0"/>
      <w:marBottom w:val="0"/>
      <w:divBdr>
        <w:top w:val="none" w:sz="0" w:space="0" w:color="auto"/>
        <w:left w:val="none" w:sz="0" w:space="0" w:color="auto"/>
        <w:bottom w:val="none" w:sz="0" w:space="0" w:color="auto"/>
        <w:right w:val="none" w:sz="0" w:space="0" w:color="auto"/>
      </w:divBdr>
    </w:div>
    <w:div w:id="962348819">
      <w:bodyDiv w:val="1"/>
      <w:marLeft w:val="0"/>
      <w:marRight w:val="0"/>
      <w:marTop w:val="0"/>
      <w:marBottom w:val="0"/>
      <w:divBdr>
        <w:top w:val="none" w:sz="0" w:space="0" w:color="auto"/>
        <w:left w:val="none" w:sz="0" w:space="0" w:color="auto"/>
        <w:bottom w:val="none" w:sz="0" w:space="0" w:color="auto"/>
        <w:right w:val="none" w:sz="0" w:space="0" w:color="auto"/>
      </w:divBdr>
    </w:div>
    <w:div w:id="983387646">
      <w:bodyDiv w:val="1"/>
      <w:marLeft w:val="0"/>
      <w:marRight w:val="0"/>
      <w:marTop w:val="0"/>
      <w:marBottom w:val="0"/>
      <w:divBdr>
        <w:top w:val="none" w:sz="0" w:space="0" w:color="auto"/>
        <w:left w:val="none" w:sz="0" w:space="0" w:color="auto"/>
        <w:bottom w:val="none" w:sz="0" w:space="0" w:color="auto"/>
        <w:right w:val="none" w:sz="0" w:space="0" w:color="auto"/>
      </w:divBdr>
    </w:div>
    <w:div w:id="987326130">
      <w:bodyDiv w:val="1"/>
      <w:marLeft w:val="0"/>
      <w:marRight w:val="0"/>
      <w:marTop w:val="0"/>
      <w:marBottom w:val="0"/>
      <w:divBdr>
        <w:top w:val="none" w:sz="0" w:space="0" w:color="auto"/>
        <w:left w:val="none" w:sz="0" w:space="0" w:color="auto"/>
        <w:bottom w:val="none" w:sz="0" w:space="0" w:color="auto"/>
        <w:right w:val="none" w:sz="0" w:space="0" w:color="auto"/>
      </w:divBdr>
    </w:div>
    <w:div w:id="1055666398">
      <w:bodyDiv w:val="1"/>
      <w:marLeft w:val="0"/>
      <w:marRight w:val="0"/>
      <w:marTop w:val="0"/>
      <w:marBottom w:val="0"/>
      <w:divBdr>
        <w:top w:val="none" w:sz="0" w:space="0" w:color="auto"/>
        <w:left w:val="none" w:sz="0" w:space="0" w:color="auto"/>
        <w:bottom w:val="none" w:sz="0" w:space="0" w:color="auto"/>
        <w:right w:val="none" w:sz="0" w:space="0" w:color="auto"/>
      </w:divBdr>
    </w:div>
    <w:div w:id="1091900750">
      <w:bodyDiv w:val="1"/>
      <w:marLeft w:val="0"/>
      <w:marRight w:val="0"/>
      <w:marTop w:val="0"/>
      <w:marBottom w:val="0"/>
      <w:divBdr>
        <w:top w:val="none" w:sz="0" w:space="0" w:color="auto"/>
        <w:left w:val="none" w:sz="0" w:space="0" w:color="auto"/>
        <w:bottom w:val="none" w:sz="0" w:space="0" w:color="auto"/>
        <w:right w:val="none" w:sz="0" w:space="0" w:color="auto"/>
      </w:divBdr>
    </w:div>
    <w:div w:id="1168012284">
      <w:bodyDiv w:val="1"/>
      <w:marLeft w:val="0"/>
      <w:marRight w:val="0"/>
      <w:marTop w:val="0"/>
      <w:marBottom w:val="0"/>
      <w:divBdr>
        <w:top w:val="none" w:sz="0" w:space="0" w:color="auto"/>
        <w:left w:val="none" w:sz="0" w:space="0" w:color="auto"/>
        <w:bottom w:val="none" w:sz="0" w:space="0" w:color="auto"/>
        <w:right w:val="none" w:sz="0" w:space="0" w:color="auto"/>
      </w:divBdr>
    </w:div>
    <w:div w:id="1173373214">
      <w:bodyDiv w:val="1"/>
      <w:marLeft w:val="0"/>
      <w:marRight w:val="0"/>
      <w:marTop w:val="0"/>
      <w:marBottom w:val="0"/>
      <w:divBdr>
        <w:top w:val="none" w:sz="0" w:space="0" w:color="auto"/>
        <w:left w:val="none" w:sz="0" w:space="0" w:color="auto"/>
        <w:bottom w:val="none" w:sz="0" w:space="0" w:color="auto"/>
        <w:right w:val="none" w:sz="0" w:space="0" w:color="auto"/>
      </w:divBdr>
    </w:div>
    <w:div w:id="1194151254">
      <w:bodyDiv w:val="1"/>
      <w:marLeft w:val="0"/>
      <w:marRight w:val="0"/>
      <w:marTop w:val="0"/>
      <w:marBottom w:val="0"/>
      <w:divBdr>
        <w:top w:val="none" w:sz="0" w:space="0" w:color="auto"/>
        <w:left w:val="none" w:sz="0" w:space="0" w:color="auto"/>
        <w:bottom w:val="none" w:sz="0" w:space="0" w:color="auto"/>
        <w:right w:val="none" w:sz="0" w:space="0" w:color="auto"/>
      </w:divBdr>
    </w:div>
    <w:div w:id="1227565033">
      <w:bodyDiv w:val="1"/>
      <w:marLeft w:val="0"/>
      <w:marRight w:val="0"/>
      <w:marTop w:val="0"/>
      <w:marBottom w:val="0"/>
      <w:divBdr>
        <w:top w:val="none" w:sz="0" w:space="0" w:color="auto"/>
        <w:left w:val="none" w:sz="0" w:space="0" w:color="auto"/>
        <w:bottom w:val="none" w:sz="0" w:space="0" w:color="auto"/>
        <w:right w:val="none" w:sz="0" w:space="0" w:color="auto"/>
      </w:divBdr>
    </w:div>
    <w:div w:id="1232732392">
      <w:bodyDiv w:val="1"/>
      <w:marLeft w:val="0"/>
      <w:marRight w:val="0"/>
      <w:marTop w:val="0"/>
      <w:marBottom w:val="0"/>
      <w:divBdr>
        <w:top w:val="none" w:sz="0" w:space="0" w:color="auto"/>
        <w:left w:val="none" w:sz="0" w:space="0" w:color="auto"/>
        <w:bottom w:val="none" w:sz="0" w:space="0" w:color="auto"/>
        <w:right w:val="none" w:sz="0" w:space="0" w:color="auto"/>
      </w:divBdr>
      <w:divsChild>
        <w:div w:id="504519658">
          <w:marLeft w:val="0"/>
          <w:marRight w:val="0"/>
          <w:marTop w:val="0"/>
          <w:marBottom w:val="0"/>
          <w:divBdr>
            <w:top w:val="none" w:sz="0" w:space="0" w:color="auto"/>
            <w:left w:val="none" w:sz="0" w:space="0" w:color="auto"/>
            <w:bottom w:val="none" w:sz="0" w:space="0" w:color="auto"/>
            <w:right w:val="none" w:sz="0" w:space="0" w:color="auto"/>
          </w:divBdr>
        </w:div>
      </w:divsChild>
    </w:div>
    <w:div w:id="1290673793">
      <w:bodyDiv w:val="1"/>
      <w:marLeft w:val="0"/>
      <w:marRight w:val="0"/>
      <w:marTop w:val="0"/>
      <w:marBottom w:val="0"/>
      <w:divBdr>
        <w:top w:val="none" w:sz="0" w:space="0" w:color="auto"/>
        <w:left w:val="none" w:sz="0" w:space="0" w:color="auto"/>
        <w:bottom w:val="none" w:sz="0" w:space="0" w:color="auto"/>
        <w:right w:val="none" w:sz="0" w:space="0" w:color="auto"/>
      </w:divBdr>
    </w:div>
    <w:div w:id="1300040173">
      <w:bodyDiv w:val="1"/>
      <w:marLeft w:val="0"/>
      <w:marRight w:val="0"/>
      <w:marTop w:val="0"/>
      <w:marBottom w:val="0"/>
      <w:divBdr>
        <w:top w:val="none" w:sz="0" w:space="0" w:color="auto"/>
        <w:left w:val="none" w:sz="0" w:space="0" w:color="auto"/>
        <w:bottom w:val="none" w:sz="0" w:space="0" w:color="auto"/>
        <w:right w:val="none" w:sz="0" w:space="0" w:color="auto"/>
      </w:divBdr>
    </w:div>
    <w:div w:id="1399129135">
      <w:bodyDiv w:val="1"/>
      <w:marLeft w:val="0"/>
      <w:marRight w:val="0"/>
      <w:marTop w:val="0"/>
      <w:marBottom w:val="0"/>
      <w:divBdr>
        <w:top w:val="none" w:sz="0" w:space="0" w:color="auto"/>
        <w:left w:val="none" w:sz="0" w:space="0" w:color="auto"/>
        <w:bottom w:val="none" w:sz="0" w:space="0" w:color="auto"/>
        <w:right w:val="none" w:sz="0" w:space="0" w:color="auto"/>
      </w:divBdr>
    </w:div>
    <w:div w:id="1430201395">
      <w:bodyDiv w:val="1"/>
      <w:marLeft w:val="0"/>
      <w:marRight w:val="0"/>
      <w:marTop w:val="0"/>
      <w:marBottom w:val="0"/>
      <w:divBdr>
        <w:top w:val="none" w:sz="0" w:space="0" w:color="auto"/>
        <w:left w:val="none" w:sz="0" w:space="0" w:color="auto"/>
        <w:bottom w:val="none" w:sz="0" w:space="0" w:color="auto"/>
        <w:right w:val="none" w:sz="0" w:space="0" w:color="auto"/>
      </w:divBdr>
    </w:div>
    <w:div w:id="1490901279">
      <w:bodyDiv w:val="1"/>
      <w:marLeft w:val="0"/>
      <w:marRight w:val="0"/>
      <w:marTop w:val="0"/>
      <w:marBottom w:val="0"/>
      <w:divBdr>
        <w:top w:val="none" w:sz="0" w:space="0" w:color="auto"/>
        <w:left w:val="none" w:sz="0" w:space="0" w:color="auto"/>
        <w:bottom w:val="none" w:sz="0" w:space="0" w:color="auto"/>
        <w:right w:val="none" w:sz="0" w:space="0" w:color="auto"/>
      </w:divBdr>
    </w:div>
    <w:div w:id="1525094456">
      <w:bodyDiv w:val="1"/>
      <w:marLeft w:val="0"/>
      <w:marRight w:val="0"/>
      <w:marTop w:val="0"/>
      <w:marBottom w:val="0"/>
      <w:divBdr>
        <w:top w:val="none" w:sz="0" w:space="0" w:color="auto"/>
        <w:left w:val="none" w:sz="0" w:space="0" w:color="auto"/>
        <w:bottom w:val="none" w:sz="0" w:space="0" w:color="auto"/>
        <w:right w:val="none" w:sz="0" w:space="0" w:color="auto"/>
      </w:divBdr>
    </w:div>
    <w:div w:id="1560482260">
      <w:bodyDiv w:val="1"/>
      <w:marLeft w:val="0"/>
      <w:marRight w:val="0"/>
      <w:marTop w:val="0"/>
      <w:marBottom w:val="0"/>
      <w:divBdr>
        <w:top w:val="none" w:sz="0" w:space="0" w:color="auto"/>
        <w:left w:val="none" w:sz="0" w:space="0" w:color="auto"/>
        <w:bottom w:val="none" w:sz="0" w:space="0" w:color="auto"/>
        <w:right w:val="none" w:sz="0" w:space="0" w:color="auto"/>
      </w:divBdr>
    </w:div>
    <w:div w:id="1579486455">
      <w:bodyDiv w:val="1"/>
      <w:marLeft w:val="0"/>
      <w:marRight w:val="0"/>
      <w:marTop w:val="0"/>
      <w:marBottom w:val="0"/>
      <w:divBdr>
        <w:top w:val="none" w:sz="0" w:space="0" w:color="auto"/>
        <w:left w:val="none" w:sz="0" w:space="0" w:color="auto"/>
        <w:bottom w:val="none" w:sz="0" w:space="0" w:color="auto"/>
        <w:right w:val="none" w:sz="0" w:space="0" w:color="auto"/>
      </w:divBdr>
    </w:div>
    <w:div w:id="1604023916">
      <w:bodyDiv w:val="1"/>
      <w:marLeft w:val="0"/>
      <w:marRight w:val="0"/>
      <w:marTop w:val="0"/>
      <w:marBottom w:val="0"/>
      <w:divBdr>
        <w:top w:val="none" w:sz="0" w:space="0" w:color="auto"/>
        <w:left w:val="none" w:sz="0" w:space="0" w:color="auto"/>
        <w:bottom w:val="none" w:sz="0" w:space="0" w:color="auto"/>
        <w:right w:val="none" w:sz="0" w:space="0" w:color="auto"/>
      </w:divBdr>
    </w:div>
    <w:div w:id="1665008515">
      <w:bodyDiv w:val="1"/>
      <w:marLeft w:val="0"/>
      <w:marRight w:val="0"/>
      <w:marTop w:val="0"/>
      <w:marBottom w:val="0"/>
      <w:divBdr>
        <w:top w:val="none" w:sz="0" w:space="0" w:color="auto"/>
        <w:left w:val="none" w:sz="0" w:space="0" w:color="auto"/>
        <w:bottom w:val="none" w:sz="0" w:space="0" w:color="auto"/>
        <w:right w:val="none" w:sz="0" w:space="0" w:color="auto"/>
      </w:divBdr>
    </w:div>
    <w:div w:id="1692491645">
      <w:bodyDiv w:val="1"/>
      <w:marLeft w:val="0"/>
      <w:marRight w:val="0"/>
      <w:marTop w:val="0"/>
      <w:marBottom w:val="0"/>
      <w:divBdr>
        <w:top w:val="none" w:sz="0" w:space="0" w:color="auto"/>
        <w:left w:val="none" w:sz="0" w:space="0" w:color="auto"/>
        <w:bottom w:val="none" w:sz="0" w:space="0" w:color="auto"/>
        <w:right w:val="none" w:sz="0" w:space="0" w:color="auto"/>
      </w:divBdr>
    </w:div>
    <w:div w:id="1729453115">
      <w:bodyDiv w:val="1"/>
      <w:marLeft w:val="0"/>
      <w:marRight w:val="0"/>
      <w:marTop w:val="0"/>
      <w:marBottom w:val="0"/>
      <w:divBdr>
        <w:top w:val="none" w:sz="0" w:space="0" w:color="auto"/>
        <w:left w:val="none" w:sz="0" w:space="0" w:color="auto"/>
        <w:bottom w:val="none" w:sz="0" w:space="0" w:color="auto"/>
        <w:right w:val="none" w:sz="0" w:space="0" w:color="auto"/>
      </w:divBdr>
    </w:div>
    <w:div w:id="1739673083">
      <w:bodyDiv w:val="1"/>
      <w:marLeft w:val="0"/>
      <w:marRight w:val="0"/>
      <w:marTop w:val="0"/>
      <w:marBottom w:val="0"/>
      <w:divBdr>
        <w:top w:val="none" w:sz="0" w:space="0" w:color="auto"/>
        <w:left w:val="none" w:sz="0" w:space="0" w:color="auto"/>
        <w:bottom w:val="none" w:sz="0" w:space="0" w:color="auto"/>
        <w:right w:val="none" w:sz="0" w:space="0" w:color="auto"/>
      </w:divBdr>
    </w:div>
    <w:div w:id="1763380265">
      <w:bodyDiv w:val="1"/>
      <w:marLeft w:val="0"/>
      <w:marRight w:val="0"/>
      <w:marTop w:val="0"/>
      <w:marBottom w:val="0"/>
      <w:divBdr>
        <w:top w:val="none" w:sz="0" w:space="0" w:color="auto"/>
        <w:left w:val="none" w:sz="0" w:space="0" w:color="auto"/>
        <w:bottom w:val="none" w:sz="0" w:space="0" w:color="auto"/>
        <w:right w:val="none" w:sz="0" w:space="0" w:color="auto"/>
      </w:divBdr>
    </w:div>
    <w:div w:id="1814711180">
      <w:bodyDiv w:val="1"/>
      <w:marLeft w:val="0"/>
      <w:marRight w:val="0"/>
      <w:marTop w:val="0"/>
      <w:marBottom w:val="0"/>
      <w:divBdr>
        <w:top w:val="none" w:sz="0" w:space="0" w:color="auto"/>
        <w:left w:val="none" w:sz="0" w:space="0" w:color="auto"/>
        <w:bottom w:val="none" w:sz="0" w:space="0" w:color="auto"/>
        <w:right w:val="none" w:sz="0" w:space="0" w:color="auto"/>
      </w:divBdr>
    </w:div>
    <w:div w:id="1836603109">
      <w:bodyDiv w:val="1"/>
      <w:marLeft w:val="0"/>
      <w:marRight w:val="0"/>
      <w:marTop w:val="0"/>
      <w:marBottom w:val="0"/>
      <w:divBdr>
        <w:top w:val="none" w:sz="0" w:space="0" w:color="auto"/>
        <w:left w:val="none" w:sz="0" w:space="0" w:color="auto"/>
        <w:bottom w:val="none" w:sz="0" w:space="0" w:color="auto"/>
        <w:right w:val="none" w:sz="0" w:space="0" w:color="auto"/>
      </w:divBdr>
    </w:div>
    <w:div w:id="1968470814">
      <w:bodyDiv w:val="1"/>
      <w:marLeft w:val="0"/>
      <w:marRight w:val="0"/>
      <w:marTop w:val="0"/>
      <w:marBottom w:val="0"/>
      <w:divBdr>
        <w:top w:val="none" w:sz="0" w:space="0" w:color="auto"/>
        <w:left w:val="none" w:sz="0" w:space="0" w:color="auto"/>
        <w:bottom w:val="none" w:sz="0" w:space="0" w:color="auto"/>
        <w:right w:val="none" w:sz="0" w:space="0" w:color="auto"/>
      </w:divBdr>
    </w:div>
    <w:div w:id="1984191488">
      <w:bodyDiv w:val="1"/>
      <w:marLeft w:val="0"/>
      <w:marRight w:val="0"/>
      <w:marTop w:val="0"/>
      <w:marBottom w:val="0"/>
      <w:divBdr>
        <w:top w:val="none" w:sz="0" w:space="0" w:color="auto"/>
        <w:left w:val="none" w:sz="0" w:space="0" w:color="auto"/>
        <w:bottom w:val="none" w:sz="0" w:space="0" w:color="auto"/>
        <w:right w:val="none" w:sz="0" w:space="0" w:color="auto"/>
      </w:divBdr>
    </w:div>
    <w:div w:id="1996956204">
      <w:bodyDiv w:val="1"/>
      <w:marLeft w:val="0"/>
      <w:marRight w:val="0"/>
      <w:marTop w:val="0"/>
      <w:marBottom w:val="0"/>
      <w:divBdr>
        <w:top w:val="none" w:sz="0" w:space="0" w:color="auto"/>
        <w:left w:val="none" w:sz="0" w:space="0" w:color="auto"/>
        <w:bottom w:val="none" w:sz="0" w:space="0" w:color="auto"/>
        <w:right w:val="none" w:sz="0" w:space="0" w:color="auto"/>
      </w:divBdr>
    </w:div>
    <w:div w:id="2108034718">
      <w:bodyDiv w:val="1"/>
      <w:marLeft w:val="0"/>
      <w:marRight w:val="0"/>
      <w:marTop w:val="0"/>
      <w:marBottom w:val="0"/>
      <w:divBdr>
        <w:top w:val="none" w:sz="0" w:space="0" w:color="auto"/>
        <w:left w:val="none" w:sz="0" w:space="0" w:color="auto"/>
        <w:bottom w:val="none" w:sz="0" w:space="0" w:color="auto"/>
        <w:right w:val="none" w:sz="0" w:space="0" w:color="auto"/>
      </w:divBdr>
    </w:div>
    <w:div w:id="2128885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7</Pages>
  <Words>3139</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Bourne, Ashleigh</dc:creator>
  <cp:keywords/>
  <dc:description/>
  <cp:lastModifiedBy>Bourne, Ashleigh</cp:lastModifiedBy>
  <cp:revision>194</cp:revision>
  <dcterms:created xsi:type="dcterms:W3CDTF">2025-04-18T18:31:00Z</dcterms:created>
  <dcterms:modified xsi:type="dcterms:W3CDTF">2025-05-05T16:17:00Z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2025-04-18T18:31:37Z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41bb1097-7d49-455d-8007-14be91f14b03</vt:lpwstr>
  </property>
  <property fmtid="{D5CDD505-2E9C-101B-9397-08002B2CF9AE}" pid="8" name="MSIP_Label_f2acd28b-79a3-4a0f-b0ff-4b75658b1549_ContentBits">
    <vt:lpwstr>0</vt:lpwstr>
  </property>
</Properties>
</file>