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82B1A" w14:textId="71D79DD5" w:rsidR="00F837F4" w:rsidRDefault="00F837F4"/>
    <w:p w14:paraId="77CEF002" w14:textId="58DA71D7" w:rsidR="00465422" w:rsidRDefault="00465422"/>
    <w:p w14:paraId="4F4E1B59" w14:textId="027C01CC" w:rsidR="00465422" w:rsidRDefault="00465422"/>
    <w:p w14:paraId="2607DC99" w14:textId="2E241C80" w:rsidR="00465422" w:rsidRDefault="00465422" w:rsidP="00465422">
      <w:pPr>
        <w:jc w:val="center"/>
        <w:rPr>
          <w:rFonts w:ascii="Arial" w:hAnsi="Arial" w:cs="Arial"/>
          <w:b/>
          <w:bCs/>
        </w:rPr>
      </w:pPr>
      <w:r>
        <w:rPr>
          <w:rFonts w:ascii="Arial" w:hAnsi="Arial" w:cs="Arial"/>
          <w:b/>
          <w:bCs/>
        </w:rPr>
        <w:t>Task2</w:t>
      </w:r>
      <w:r w:rsidRPr="00FB719F">
        <w:rPr>
          <w:rFonts w:ascii="Arial" w:hAnsi="Arial" w:cs="Arial"/>
          <w:b/>
          <w:bCs/>
        </w:rPr>
        <w:t>-</w:t>
      </w:r>
      <w:r>
        <w:rPr>
          <w:rFonts w:ascii="Arial" w:hAnsi="Arial" w:cs="Arial"/>
          <w:b/>
          <w:bCs/>
        </w:rPr>
        <w:t xml:space="preserve"> Supporting Paper</w:t>
      </w:r>
      <w:r w:rsidRPr="00FB719F">
        <w:rPr>
          <w:rFonts w:ascii="Arial" w:hAnsi="Arial" w:cs="Arial"/>
          <w:b/>
          <w:bCs/>
        </w:rPr>
        <w:t xml:space="preserve"> </w:t>
      </w:r>
    </w:p>
    <w:p w14:paraId="16A6A590" w14:textId="77777777" w:rsidR="00465422" w:rsidRDefault="00465422" w:rsidP="00465422">
      <w:pPr>
        <w:jc w:val="center"/>
        <w:rPr>
          <w:rFonts w:ascii="Arial" w:hAnsi="Arial" w:cs="Arial"/>
          <w:b/>
          <w:bCs/>
        </w:rPr>
      </w:pPr>
    </w:p>
    <w:p w14:paraId="122A3FD6" w14:textId="77777777" w:rsidR="00465422" w:rsidRDefault="00465422" w:rsidP="00465422">
      <w:pPr>
        <w:jc w:val="center"/>
        <w:rPr>
          <w:rFonts w:ascii="Arial" w:hAnsi="Arial" w:cs="Arial"/>
          <w:b/>
          <w:bCs/>
        </w:rPr>
      </w:pPr>
    </w:p>
    <w:p w14:paraId="79DFA2E5" w14:textId="77777777" w:rsidR="00465422" w:rsidRDefault="00465422" w:rsidP="00465422">
      <w:pPr>
        <w:jc w:val="center"/>
        <w:rPr>
          <w:rFonts w:ascii="Arial" w:hAnsi="Arial" w:cs="Arial"/>
          <w:b/>
          <w:bCs/>
        </w:rPr>
      </w:pPr>
    </w:p>
    <w:p w14:paraId="13792733" w14:textId="77777777" w:rsidR="00465422" w:rsidRPr="000612B3" w:rsidRDefault="00465422" w:rsidP="00465422">
      <w:pPr>
        <w:jc w:val="center"/>
        <w:rPr>
          <w:rFonts w:ascii="Arial" w:hAnsi="Arial" w:cs="Arial"/>
          <w:b/>
          <w:bCs/>
          <w:sz w:val="36"/>
          <w:szCs w:val="36"/>
        </w:rPr>
      </w:pPr>
    </w:p>
    <w:p w14:paraId="29E19AAF" w14:textId="77777777" w:rsidR="00465422" w:rsidRPr="000612B3" w:rsidRDefault="00465422" w:rsidP="00465422">
      <w:pPr>
        <w:jc w:val="center"/>
        <w:rPr>
          <w:rFonts w:ascii="Arial" w:hAnsi="Arial" w:cs="Arial"/>
          <w:sz w:val="36"/>
          <w:szCs w:val="36"/>
        </w:rPr>
      </w:pPr>
      <w:r w:rsidRPr="000612B3">
        <w:rPr>
          <w:rFonts w:ascii="Arial" w:hAnsi="Arial" w:cs="Arial"/>
          <w:sz w:val="36"/>
          <w:szCs w:val="36"/>
        </w:rPr>
        <w:t>Student Name: Franceline Fancey</w:t>
      </w:r>
    </w:p>
    <w:p w14:paraId="4EF7E62B" w14:textId="77777777" w:rsidR="00465422" w:rsidRPr="000612B3" w:rsidRDefault="00465422" w:rsidP="00465422">
      <w:pPr>
        <w:jc w:val="center"/>
        <w:rPr>
          <w:rFonts w:ascii="Arial" w:hAnsi="Arial" w:cs="Arial"/>
          <w:sz w:val="36"/>
          <w:szCs w:val="36"/>
        </w:rPr>
      </w:pPr>
      <w:r w:rsidRPr="000612B3">
        <w:rPr>
          <w:rFonts w:ascii="Arial" w:hAnsi="Arial" w:cs="Arial"/>
          <w:sz w:val="36"/>
          <w:szCs w:val="36"/>
        </w:rPr>
        <w:t>Student Number: 2129818</w:t>
      </w:r>
    </w:p>
    <w:p w14:paraId="6EB4859C" w14:textId="77777777" w:rsidR="00465422" w:rsidRDefault="00465422" w:rsidP="00465422">
      <w:pPr>
        <w:spacing w:before="120" w:after="120"/>
        <w:jc w:val="center"/>
        <w:rPr>
          <w:rFonts w:ascii="Arial" w:hAnsi="Arial" w:cs="Arial"/>
        </w:rPr>
      </w:pPr>
      <w:r w:rsidRPr="000612B3">
        <w:rPr>
          <w:rFonts w:ascii="Arial" w:hAnsi="Arial" w:cs="Arial"/>
          <w:sz w:val="36"/>
          <w:szCs w:val="36"/>
        </w:rPr>
        <w:t xml:space="preserve">Lecturer Name: </w:t>
      </w:r>
      <w:r w:rsidRPr="00465422">
        <w:rPr>
          <w:rFonts w:ascii="Arial" w:hAnsi="Arial" w:cs="Arial"/>
          <w:sz w:val="36"/>
          <w:szCs w:val="36"/>
        </w:rPr>
        <w:t>Gillian Weaver</w:t>
      </w:r>
    </w:p>
    <w:p w14:paraId="1745DB1D" w14:textId="1E76970D" w:rsidR="00465422" w:rsidRDefault="00465422" w:rsidP="00465422">
      <w:pPr>
        <w:jc w:val="center"/>
        <w:rPr>
          <w:rFonts w:ascii="Arial" w:hAnsi="Arial" w:cs="Arial"/>
          <w:sz w:val="36"/>
          <w:szCs w:val="36"/>
        </w:rPr>
      </w:pPr>
    </w:p>
    <w:p w14:paraId="6DF392B1" w14:textId="77777777" w:rsidR="00465422" w:rsidRPr="000612B3" w:rsidRDefault="00465422" w:rsidP="00465422">
      <w:pPr>
        <w:jc w:val="center"/>
        <w:rPr>
          <w:rFonts w:ascii="Arial" w:hAnsi="Arial" w:cs="Arial"/>
          <w:sz w:val="36"/>
          <w:szCs w:val="36"/>
        </w:rPr>
      </w:pPr>
    </w:p>
    <w:p w14:paraId="344F821E" w14:textId="77777777" w:rsidR="00465422" w:rsidRDefault="00465422" w:rsidP="00465422">
      <w:pPr>
        <w:jc w:val="center"/>
        <w:rPr>
          <w:rFonts w:ascii="Arial" w:hAnsi="Arial" w:cs="Arial"/>
          <w:b/>
          <w:bCs/>
        </w:rPr>
      </w:pPr>
    </w:p>
    <w:p w14:paraId="693F8F70" w14:textId="77777777" w:rsidR="00465422" w:rsidRDefault="00465422" w:rsidP="00465422">
      <w:pPr>
        <w:jc w:val="center"/>
        <w:rPr>
          <w:rFonts w:ascii="Arial" w:hAnsi="Arial" w:cs="Arial"/>
          <w:b/>
          <w:bCs/>
        </w:rPr>
      </w:pPr>
    </w:p>
    <w:p w14:paraId="466EB406" w14:textId="420360C3" w:rsidR="00465422" w:rsidRPr="00FB719F" w:rsidRDefault="00465422" w:rsidP="00465422">
      <w:pPr>
        <w:jc w:val="center"/>
        <w:rPr>
          <w:rFonts w:ascii="Arial" w:hAnsi="Arial" w:cs="Arial"/>
          <w:b/>
          <w:bCs/>
        </w:rPr>
      </w:pPr>
      <w:r>
        <w:rPr>
          <w:rFonts w:ascii="Arial" w:hAnsi="Arial" w:cs="Arial"/>
          <w:b/>
          <w:bCs/>
        </w:rPr>
        <w:t>LCHS4004</w:t>
      </w:r>
      <w:r w:rsidRPr="00FB719F">
        <w:rPr>
          <w:rFonts w:ascii="Arial" w:hAnsi="Arial" w:cs="Arial"/>
          <w:b/>
          <w:bCs/>
        </w:rPr>
        <w:t>_BIRM</w:t>
      </w:r>
    </w:p>
    <w:p w14:paraId="6A5DA821" w14:textId="16A3F647" w:rsidR="00465422" w:rsidRPr="00FB0366" w:rsidRDefault="00465422" w:rsidP="00FB0366"/>
    <w:p w14:paraId="2B2BC8AD" w14:textId="49BE683E" w:rsidR="00465422" w:rsidRDefault="00465422"/>
    <w:p w14:paraId="28B1F2BC" w14:textId="4DB9D277" w:rsidR="00465422" w:rsidRDefault="00465422"/>
    <w:p w14:paraId="6CCBF399" w14:textId="674D22A6" w:rsidR="00465422" w:rsidRDefault="00465422"/>
    <w:p w14:paraId="15373411" w14:textId="01D52A06" w:rsidR="00465422" w:rsidRDefault="00465422"/>
    <w:p w14:paraId="69B9E458" w14:textId="1B79FEB5" w:rsidR="00465422" w:rsidRDefault="00465422"/>
    <w:p w14:paraId="322D1E1A" w14:textId="07E895B4" w:rsidR="00465422" w:rsidRDefault="00465422"/>
    <w:p w14:paraId="00C3CE18" w14:textId="72C62EEE" w:rsidR="00465422" w:rsidRDefault="00465422"/>
    <w:p w14:paraId="380353DA" w14:textId="72B4AD15" w:rsidR="00465422" w:rsidRDefault="00465422"/>
    <w:p w14:paraId="1860E522" w14:textId="58430F69" w:rsidR="00465422" w:rsidRDefault="00465422"/>
    <w:p w14:paraId="1FB3029E" w14:textId="31782836" w:rsidR="00465422" w:rsidRDefault="00465422"/>
    <w:p w14:paraId="69AB7E06" w14:textId="730EA749" w:rsidR="00465422" w:rsidRDefault="00465422"/>
    <w:p w14:paraId="14348612" w14:textId="3E081F68" w:rsidR="00465422" w:rsidRDefault="00465422"/>
    <w:p w14:paraId="58A99B77" w14:textId="7DBE1764" w:rsidR="00465422" w:rsidRDefault="00465422"/>
    <w:p w14:paraId="00945E81" w14:textId="56FA220D" w:rsidR="00465422" w:rsidRDefault="00465422"/>
    <w:p w14:paraId="54F9267D" w14:textId="75465F93" w:rsidR="00465422" w:rsidRDefault="00465422"/>
    <w:p w14:paraId="27CD8643" w14:textId="12A4758F" w:rsidR="00465422" w:rsidRDefault="00465422"/>
    <w:p w14:paraId="4A3EB1C9" w14:textId="623746C2" w:rsidR="00465422" w:rsidRDefault="00465422"/>
    <w:p w14:paraId="7DA2590A" w14:textId="583EC94C" w:rsidR="00465422" w:rsidRDefault="00465422"/>
    <w:p w14:paraId="7BBD3B67" w14:textId="259CD39C" w:rsidR="00465422" w:rsidRDefault="00465422"/>
    <w:p w14:paraId="0C6EBE73" w14:textId="0F8CECCA" w:rsidR="00465422" w:rsidRDefault="00465422"/>
    <w:sdt>
      <w:sdtPr>
        <w:rPr>
          <w:rFonts w:ascii="Arial" w:hAnsi="Arial" w:cs="Arial"/>
          <w:b/>
          <w:bCs/>
          <w:sz w:val="22"/>
          <w:szCs w:val="22"/>
        </w:rPr>
        <w:id w:val="-1016691959"/>
        <w:docPartObj>
          <w:docPartGallery w:val="Table of Contents"/>
          <w:docPartUnique/>
        </w:docPartObj>
      </w:sdtPr>
      <w:sdtEndPr>
        <w:rPr>
          <w:rFonts w:eastAsiaTheme="minorHAnsi"/>
          <w:noProof/>
          <w:color w:val="auto"/>
          <w:lang w:val="en-GB"/>
        </w:rPr>
      </w:sdtEndPr>
      <w:sdtContent>
        <w:p w14:paraId="3EE8FB51" w14:textId="3E680E99" w:rsidR="0082103C" w:rsidRPr="006B1DE5" w:rsidRDefault="0082103C">
          <w:pPr>
            <w:pStyle w:val="TOCHeading"/>
            <w:rPr>
              <w:rStyle w:val="Heading1Char"/>
              <w:sz w:val="40"/>
              <w:szCs w:val="40"/>
            </w:rPr>
          </w:pPr>
          <w:r w:rsidRPr="006B1DE5">
            <w:rPr>
              <w:rStyle w:val="Heading1Char"/>
              <w:sz w:val="40"/>
              <w:szCs w:val="40"/>
            </w:rPr>
            <w:t>Contents</w:t>
          </w:r>
        </w:p>
        <w:p w14:paraId="3904E344" w14:textId="77777777" w:rsidR="0082103C" w:rsidRPr="006B1DE5" w:rsidRDefault="0082103C" w:rsidP="0082103C">
          <w:pPr>
            <w:rPr>
              <w:rFonts w:ascii="Arial" w:hAnsi="Arial" w:cs="Arial"/>
              <w:b/>
              <w:bCs/>
              <w:lang w:val="en-US"/>
            </w:rPr>
          </w:pPr>
        </w:p>
        <w:p w14:paraId="0A0F0E1B" w14:textId="6893F57B" w:rsidR="00095752" w:rsidRPr="006B1DE5" w:rsidRDefault="0082103C">
          <w:pPr>
            <w:pStyle w:val="TOC1"/>
            <w:tabs>
              <w:tab w:val="right" w:leader="dot" w:pos="9016"/>
            </w:tabs>
            <w:rPr>
              <w:rFonts w:ascii="Arial" w:eastAsiaTheme="minorEastAsia" w:hAnsi="Arial" w:cs="Arial"/>
              <w:noProof/>
              <w:lang w:eastAsia="en-GB"/>
            </w:rPr>
          </w:pPr>
          <w:r w:rsidRPr="006B1DE5">
            <w:rPr>
              <w:rFonts w:ascii="Arial" w:hAnsi="Arial" w:cs="Arial"/>
              <w:b/>
              <w:bCs/>
            </w:rPr>
            <w:fldChar w:fldCharType="begin"/>
          </w:r>
          <w:r w:rsidRPr="006B1DE5">
            <w:rPr>
              <w:rFonts w:ascii="Arial" w:hAnsi="Arial" w:cs="Arial"/>
              <w:b/>
              <w:bCs/>
            </w:rPr>
            <w:instrText xml:space="preserve"> TOC \o "1-3" \h \z \u </w:instrText>
          </w:r>
          <w:r w:rsidRPr="006B1DE5">
            <w:rPr>
              <w:rFonts w:ascii="Arial" w:hAnsi="Arial" w:cs="Arial"/>
              <w:b/>
              <w:bCs/>
            </w:rPr>
            <w:fldChar w:fldCharType="separate"/>
          </w:r>
          <w:hyperlink w:anchor="_Toc128235105" w:history="1">
            <w:r w:rsidR="00095752" w:rsidRPr="006B1DE5">
              <w:rPr>
                <w:rStyle w:val="Hyperlink"/>
                <w:rFonts w:ascii="Arial" w:hAnsi="Arial" w:cs="Arial"/>
                <w:noProof/>
              </w:rPr>
              <w:t>Introduction</w:t>
            </w:r>
            <w:r w:rsidR="00095752" w:rsidRPr="006B1DE5">
              <w:rPr>
                <w:rFonts w:ascii="Arial" w:hAnsi="Arial" w:cs="Arial"/>
                <w:noProof/>
                <w:webHidden/>
              </w:rPr>
              <w:tab/>
            </w:r>
            <w:r w:rsidR="00095752" w:rsidRPr="006B1DE5">
              <w:rPr>
                <w:rFonts w:ascii="Arial" w:hAnsi="Arial" w:cs="Arial"/>
                <w:noProof/>
                <w:webHidden/>
              </w:rPr>
              <w:fldChar w:fldCharType="begin"/>
            </w:r>
            <w:r w:rsidR="00095752" w:rsidRPr="006B1DE5">
              <w:rPr>
                <w:rFonts w:ascii="Arial" w:hAnsi="Arial" w:cs="Arial"/>
                <w:noProof/>
                <w:webHidden/>
              </w:rPr>
              <w:instrText xml:space="preserve"> PAGEREF _Toc128235105 \h </w:instrText>
            </w:r>
            <w:r w:rsidR="00095752" w:rsidRPr="006B1DE5">
              <w:rPr>
                <w:rFonts w:ascii="Arial" w:hAnsi="Arial" w:cs="Arial"/>
                <w:noProof/>
                <w:webHidden/>
              </w:rPr>
            </w:r>
            <w:r w:rsidR="00095752" w:rsidRPr="006B1DE5">
              <w:rPr>
                <w:rFonts w:ascii="Arial" w:hAnsi="Arial" w:cs="Arial"/>
                <w:noProof/>
                <w:webHidden/>
              </w:rPr>
              <w:fldChar w:fldCharType="separate"/>
            </w:r>
            <w:r w:rsidR="00095752" w:rsidRPr="006B1DE5">
              <w:rPr>
                <w:rFonts w:ascii="Arial" w:hAnsi="Arial" w:cs="Arial"/>
                <w:noProof/>
                <w:webHidden/>
              </w:rPr>
              <w:t>3</w:t>
            </w:r>
            <w:r w:rsidR="00095752" w:rsidRPr="006B1DE5">
              <w:rPr>
                <w:rFonts w:ascii="Arial" w:hAnsi="Arial" w:cs="Arial"/>
                <w:noProof/>
                <w:webHidden/>
              </w:rPr>
              <w:fldChar w:fldCharType="end"/>
            </w:r>
          </w:hyperlink>
        </w:p>
        <w:p w14:paraId="7E9CD0EF" w14:textId="4737C6EC" w:rsidR="00095752" w:rsidRPr="006B1DE5" w:rsidRDefault="00095752">
          <w:pPr>
            <w:pStyle w:val="TOC1"/>
            <w:tabs>
              <w:tab w:val="right" w:leader="dot" w:pos="9016"/>
            </w:tabs>
            <w:rPr>
              <w:rFonts w:ascii="Arial" w:eastAsiaTheme="minorEastAsia" w:hAnsi="Arial" w:cs="Arial"/>
              <w:noProof/>
              <w:lang w:eastAsia="en-GB"/>
            </w:rPr>
          </w:pPr>
          <w:hyperlink w:anchor="_Toc128235106" w:history="1">
            <w:r w:rsidRPr="006B1DE5">
              <w:rPr>
                <w:rStyle w:val="Hyperlink"/>
                <w:rFonts w:ascii="Arial" w:hAnsi="Arial" w:cs="Arial"/>
                <w:noProof/>
              </w:rPr>
              <w:t xml:space="preserve">Strategies used in the UK to </w:t>
            </w:r>
            <w:r w:rsidRPr="006B1DE5">
              <w:rPr>
                <w:rStyle w:val="Hyperlink"/>
                <w:rFonts w:ascii="Arial" w:hAnsi="Arial" w:cs="Arial"/>
                <w:b/>
                <w:bCs/>
                <w:noProof/>
              </w:rPr>
              <w:t>measure</w:t>
            </w:r>
            <w:r w:rsidRPr="006B1DE5">
              <w:rPr>
                <w:rStyle w:val="Hyperlink"/>
                <w:rFonts w:ascii="Arial" w:hAnsi="Arial" w:cs="Arial"/>
                <w:noProof/>
              </w:rPr>
              <w:t xml:space="preserve"> the incidence of the disease in your case study and critically evaluate it.</w:t>
            </w:r>
            <w:r w:rsidRPr="006B1DE5">
              <w:rPr>
                <w:rFonts w:ascii="Arial" w:hAnsi="Arial" w:cs="Arial"/>
                <w:noProof/>
                <w:webHidden/>
              </w:rPr>
              <w:tab/>
            </w:r>
            <w:r w:rsidRPr="006B1DE5">
              <w:rPr>
                <w:rFonts w:ascii="Arial" w:hAnsi="Arial" w:cs="Arial"/>
                <w:noProof/>
                <w:webHidden/>
              </w:rPr>
              <w:fldChar w:fldCharType="begin"/>
            </w:r>
            <w:r w:rsidRPr="006B1DE5">
              <w:rPr>
                <w:rFonts w:ascii="Arial" w:hAnsi="Arial" w:cs="Arial"/>
                <w:noProof/>
                <w:webHidden/>
              </w:rPr>
              <w:instrText xml:space="preserve"> PAGEREF _Toc128235106 \h </w:instrText>
            </w:r>
            <w:r w:rsidRPr="006B1DE5">
              <w:rPr>
                <w:rFonts w:ascii="Arial" w:hAnsi="Arial" w:cs="Arial"/>
                <w:noProof/>
                <w:webHidden/>
              </w:rPr>
            </w:r>
            <w:r w:rsidRPr="006B1DE5">
              <w:rPr>
                <w:rFonts w:ascii="Arial" w:hAnsi="Arial" w:cs="Arial"/>
                <w:noProof/>
                <w:webHidden/>
              </w:rPr>
              <w:fldChar w:fldCharType="separate"/>
            </w:r>
            <w:r w:rsidRPr="006B1DE5">
              <w:rPr>
                <w:rFonts w:ascii="Arial" w:hAnsi="Arial" w:cs="Arial"/>
                <w:noProof/>
                <w:webHidden/>
              </w:rPr>
              <w:t>3</w:t>
            </w:r>
            <w:r w:rsidRPr="006B1DE5">
              <w:rPr>
                <w:rFonts w:ascii="Arial" w:hAnsi="Arial" w:cs="Arial"/>
                <w:noProof/>
                <w:webHidden/>
              </w:rPr>
              <w:fldChar w:fldCharType="end"/>
            </w:r>
          </w:hyperlink>
        </w:p>
        <w:p w14:paraId="61086AB1" w14:textId="5DB8F3B3" w:rsidR="00095752" w:rsidRPr="006B1DE5" w:rsidRDefault="00095752">
          <w:pPr>
            <w:pStyle w:val="TOC1"/>
            <w:tabs>
              <w:tab w:val="right" w:leader="dot" w:pos="9016"/>
            </w:tabs>
            <w:rPr>
              <w:rFonts w:ascii="Arial" w:eastAsiaTheme="minorEastAsia" w:hAnsi="Arial" w:cs="Arial"/>
              <w:noProof/>
              <w:lang w:eastAsia="en-GB"/>
            </w:rPr>
          </w:pPr>
          <w:hyperlink w:anchor="_Toc128235107" w:history="1">
            <w:r w:rsidRPr="006B1DE5">
              <w:rPr>
                <w:rStyle w:val="Hyperlink"/>
                <w:rFonts w:ascii="Arial" w:hAnsi="Arial" w:cs="Arial"/>
                <w:noProof/>
              </w:rPr>
              <w:t xml:space="preserve">Strategies used in the UK to </w:t>
            </w:r>
            <w:r w:rsidRPr="006B1DE5">
              <w:rPr>
                <w:rStyle w:val="Hyperlink"/>
                <w:rFonts w:ascii="Arial" w:hAnsi="Arial" w:cs="Arial"/>
                <w:b/>
                <w:bCs/>
                <w:noProof/>
              </w:rPr>
              <w:t>monitor</w:t>
            </w:r>
            <w:r w:rsidRPr="006B1DE5">
              <w:rPr>
                <w:rStyle w:val="Hyperlink"/>
                <w:rFonts w:ascii="Arial" w:hAnsi="Arial" w:cs="Arial"/>
                <w:noProof/>
              </w:rPr>
              <w:t xml:space="preserve"> the incidence of the disease in your case study and critically evaluate it.</w:t>
            </w:r>
            <w:r w:rsidRPr="006B1DE5">
              <w:rPr>
                <w:rFonts w:ascii="Arial" w:hAnsi="Arial" w:cs="Arial"/>
                <w:noProof/>
                <w:webHidden/>
              </w:rPr>
              <w:tab/>
            </w:r>
            <w:r w:rsidRPr="006B1DE5">
              <w:rPr>
                <w:rFonts w:ascii="Arial" w:hAnsi="Arial" w:cs="Arial"/>
                <w:noProof/>
                <w:webHidden/>
              </w:rPr>
              <w:fldChar w:fldCharType="begin"/>
            </w:r>
            <w:r w:rsidRPr="006B1DE5">
              <w:rPr>
                <w:rFonts w:ascii="Arial" w:hAnsi="Arial" w:cs="Arial"/>
                <w:noProof/>
                <w:webHidden/>
              </w:rPr>
              <w:instrText xml:space="preserve"> PAGEREF _Toc128235107 \h </w:instrText>
            </w:r>
            <w:r w:rsidRPr="006B1DE5">
              <w:rPr>
                <w:rFonts w:ascii="Arial" w:hAnsi="Arial" w:cs="Arial"/>
                <w:noProof/>
                <w:webHidden/>
              </w:rPr>
            </w:r>
            <w:r w:rsidRPr="006B1DE5">
              <w:rPr>
                <w:rFonts w:ascii="Arial" w:hAnsi="Arial" w:cs="Arial"/>
                <w:noProof/>
                <w:webHidden/>
              </w:rPr>
              <w:fldChar w:fldCharType="separate"/>
            </w:r>
            <w:r w:rsidRPr="006B1DE5">
              <w:rPr>
                <w:rFonts w:ascii="Arial" w:hAnsi="Arial" w:cs="Arial"/>
                <w:noProof/>
                <w:webHidden/>
              </w:rPr>
              <w:t>4</w:t>
            </w:r>
            <w:r w:rsidRPr="006B1DE5">
              <w:rPr>
                <w:rFonts w:ascii="Arial" w:hAnsi="Arial" w:cs="Arial"/>
                <w:noProof/>
                <w:webHidden/>
              </w:rPr>
              <w:fldChar w:fldCharType="end"/>
            </w:r>
          </w:hyperlink>
        </w:p>
        <w:p w14:paraId="1AF1EA89" w14:textId="7D19160D" w:rsidR="00095752" w:rsidRPr="006B1DE5" w:rsidRDefault="00095752">
          <w:pPr>
            <w:pStyle w:val="TOC1"/>
            <w:tabs>
              <w:tab w:val="right" w:leader="dot" w:pos="9016"/>
            </w:tabs>
            <w:rPr>
              <w:rFonts w:ascii="Arial" w:eastAsiaTheme="minorEastAsia" w:hAnsi="Arial" w:cs="Arial"/>
              <w:noProof/>
              <w:lang w:eastAsia="en-GB"/>
            </w:rPr>
          </w:pPr>
          <w:hyperlink w:anchor="_Toc128235108" w:history="1">
            <w:r w:rsidRPr="006B1DE5">
              <w:rPr>
                <w:rStyle w:val="Hyperlink"/>
                <w:rFonts w:ascii="Arial" w:hAnsi="Arial" w:cs="Arial"/>
                <w:noProof/>
              </w:rPr>
              <w:t xml:space="preserve">Strategies used in the UK to </w:t>
            </w:r>
            <w:r w:rsidRPr="006B1DE5">
              <w:rPr>
                <w:rStyle w:val="Hyperlink"/>
                <w:rFonts w:ascii="Arial" w:hAnsi="Arial" w:cs="Arial"/>
                <w:b/>
                <w:bCs/>
                <w:noProof/>
              </w:rPr>
              <w:t>control</w:t>
            </w:r>
            <w:r w:rsidRPr="006B1DE5">
              <w:rPr>
                <w:rStyle w:val="Hyperlink"/>
                <w:rFonts w:ascii="Arial" w:hAnsi="Arial" w:cs="Arial"/>
                <w:noProof/>
              </w:rPr>
              <w:t xml:space="preserve"> the incidence of the disease in your case study and critically evaluate it.</w:t>
            </w:r>
            <w:r w:rsidRPr="006B1DE5">
              <w:rPr>
                <w:rFonts w:ascii="Arial" w:hAnsi="Arial" w:cs="Arial"/>
                <w:noProof/>
                <w:webHidden/>
              </w:rPr>
              <w:tab/>
            </w:r>
            <w:r w:rsidRPr="006B1DE5">
              <w:rPr>
                <w:rFonts w:ascii="Arial" w:hAnsi="Arial" w:cs="Arial"/>
                <w:noProof/>
                <w:webHidden/>
              </w:rPr>
              <w:fldChar w:fldCharType="begin"/>
            </w:r>
            <w:r w:rsidRPr="006B1DE5">
              <w:rPr>
                <w:rFonts w:ascii="Arial" w:hAnsi="Arial" w:cs="Arial"/>
                <w:noProof/>
                <w:webHidden/>
              </w:rPr>
              <w:instrText xml:space="preserve"> PAGEREF _Toc128235108 \h </w:instrText>
            </w:r>
            <w:r w:rsidRPr="006B1DE5">
              <w:rPr>
                <w:rFonts w:ascii="Arial" w:hAnsi="Arial" w:cs="Arial"/>
                <w:noProof/>
                <w:webHidden/>
              </w:rPr>
            </w:r>
            <w:r w:rsidRPr="006B1DE5">
              <w:rPr>
                <w:rFonts w:ascii="Arial" w:hAnsi="Arial" w:cs="Arial"/>
                <w:noProof/>
                <w:webHidden/>
              </w:rPr>
              <w:fldChar w:fldCharType="separate"/>
            </w:r>
            <w:r w:rsidRPr="006B1DE5">
              <w:rPr>
                <w:rFonts w:ascii="Arial" w:hAnsi="Arial" w:cs="Arial"/>
                <w:noProof/>
                <w:webHidden/>
              </w:rPr>
              <w:t>5</w:t>
            </w:r>
            <w:r w:rsidRPr="006B1DE5">
              <w:rPr>
                <w:rFonts w:ascii="Arial" w:hAnsi="Arial" w:cs="Arial"/>
                <w:noProof/>
                <w:webHidden/>
              </w:rPr>
              <w:fldChar w:fldCharType="end"/>
            </w:r>
          </w:hyperlink>
        </w:p>
        <w:p w14:paraId="4DBF4244" w14:textId="02CC644B" w:rsidR="00095752" w:rsidRPr="006B1DE5" w:rsidRDefault="00095752">
          <w:pPr>
            <w:pStyle w:val="TOC1"/>
            <w:tabs>
              <w:tab w:val="right" w:leader="dot" w:pos="9016"/>
            </w:tabs>
            <w:rPr>
              <w:rFonts w:ascii="Arial" w:eastAsiaTheme="minorEastAsia" w:hAnsi="Arial" w:cs="Arial"/>
              <w:noProof/>
              <w:lang w:eastAsia="en-GB"/>
            </w:rPr>
          </w:pPr>
          <w:hyperlink w:anchor="_Toc128235109" w:history="1">
            <w:r w:rsidRPr="006B1DE5">
              <w:rPr>
                <w:rStyle w:val="Hyperlink"/>
                <w:rFonts w:ascii="Arial" w:hAnsi="Arial" w:cs="Arial"/>
                <w:noProof/>
              </w:rPr>
              <w:t>Conclusion</w:t>
            </w:r>
            <w:r w:rsidRPr="006B1DE5">
              <w:rPr>
                <w:rFonts w:ascii="Arial" w:hAnsi="Arial" w:cs="Arial"/>
                <w:noProof/>
                <w:webHidden/>
              </w:rPr>
              <w:tab/>
            </w:r>
            <w:r w:rsidRPr="006B1DE5">
              <w:rPr>
                <w:rFonts w:ascii="Arial" w:hAnsi="Arial" w:cs="Arial"/>
                <w:noProof/>
                <w:webHidden/>
              </w:rPr>
              <w:fldChar w:fldCharType="begin"/>
            </w:r>
            <w:r w:rsidRPr="006B1DE5">
              <w:rPr>
                <w:rFonts w:ascii="Arial" w:hAnsi="Arial" w:cs="Arial"/>
                <w:noProof/>
                <w:webHidden/>
              </w:rPr>
              <w:instrText xml:space="preserve"> PAGEREF _Toc128235109 \h </w:instrText>
            </w:r>
            <w:r w:rsidRPr="006B1DE5">
              <w:rPr>
                <w:rFonts w:ascii="Arial" w:hAnsi="Arial" w:cs="Arial"/>
                <w:noProof/>
                <w:webHidden/>
              </w:rPr>
            </w:r>
            <w:r w:rsidRPr="006B1DE5">
              <w:rPr>
                <w:rFonts w:ascii="Arial" w:hAnsi="Arial" w:cs="Arial"/>
                <w:noProof/>
                <w:webHidden/>
              </w:rPr>
              <w:fldChar w:fldCharType="separate"/>
            </w:r>
            <w:r w:rsidRPr="006B1DE5">
              <w:rPr>
                <w:rFonts w:ascii="Arial" w:hAnsi="Arial" w:cs="Arial"/>
                <w:noProof/>
                <w:webHidden/>
              </w:rPr>
              <w:t>6</w:t>
            </w:r>
            <w:r w:rsidRPr="006B1DE5">
              <w:rPr>
                <w:rFonts w:ascii="Arial" w:hAnsi="Arial" w:cs="Arial"/>
                <w:noProof/>
                <w:webHidden/>
              </w:rPr>
              <w:fldChar w:fldCharType="end"/>
            </w:r>
          </w:hyperlink>
        </w:p>
        <w:p w14:paraId="3D5E02E5" w14:textId="0FF0CECD" w:rsidR="00095752" w:rsidRPr="006B1DE5" w:rsidRDefault="00095752">
          <w:pPr>
            <w:pStyle w:val="TOC1"/>
            <w:tabs>
              <w:tab w:val="right" w:leader="dot" w:pos="9016"/>
            </w:tabs>
            <w:rPr>
              <w:rFonts w:ascii="Arial" w:eastAsiaTheme="minorEastAsia" w:hAnsi="Arial" w:cs="Arial"/>
              <w:noProof/>
              <w:lang w:eastAsia="en-GB"/>
            </w:rPr>
          </w:pPr>
          <w:hyperlink w:anchor="_Toc128235110" w:history="1">
            <w:r w:rsidRPr="006B1DE5">
              <w:rPr>
                <w:rStyle w:val="Hyperlink"/>
                <w:rFonts w:ascii="Arial" w:hAnsi="Arial" w:cs="Arial"/>
                <w:noProof/>
              </w:rPr>
              <w:t>References</w:t>
            </w:r>
            <w:r w:rsidRPr="006B1DE5">
              <w:rPr>
                <w:rFonts w:ascii="Arial" w:hAnsi="Arial" w:cs="Arial"/>
                <w:noProof/>
                <w:webHidden/>
              </w:rPr>
              <w:tab/>
            </w:r>
            <w:r w:rsidRPr="006B1DE5">
              <w:rPr>
                <w:rFonts w:ascii="Arial" w:hAnsi="Arial" w:cs="Arial"/>
                <w:noProof/>
                <w:webHidden/>
              </w:rPr>
              <w:fldChar w:fldCharType="begin"/>
            </w:r>
            <w:r w:rsidRPr="006B1DE5">
              <w:rPr>
                <w:rFonts w:ascii="Arial" w:hAnsi="Arial" w:cs="Arial"/>
                <w:noProof/>
                <w:webHidden/>
              </w:rPr>
              <w:instrText xml:space="preserve"> PAGEREF _Toc128235110 \h </w:instrText>
            </w:r>
            <w:r w:rsidRPr="006B1DE5">
              <w:rPr>
                <w:rFonts w:ascii="Arial" w:hAnsi="Arial" w:cs="Arial"/>
                <w:noProof/>
                <w:webHidden/>
              </w:rPr>
            </w:r>
            <w:r w:rsidRPr="006B1DE5">
              <w:rPr>
                <w:rFonts w:ascii="Arial" w:hAnsi="Arial" w:cs="Arial"/>
                <w:noProof/>
                <w:webHidden/>
              </w:rPr>
              <w:fldChar w:fldCharType="separate"/>
            </w:r>
            <w:r w:rsidRPr="006B1DE5">
              <w:rPr>
                <w:rFonts w:ascii="Arial" w:hAnsi="Arial" w:cs="Arial"/>
                <w:noProof/>
                <w:webHidden/>
              </w:rPr>
              <w:t>7</w:t>
            </w:r>
            <w:r w:rsidRPr="006B1DE5">
              <w:rPr>
                <w:rFonts w:ascii="Arial" w:hAnsi="Arial" w:cs="Arial"/>
                <w:noProof/>
                <w:webHidden/>
              </w:rPr>
              <w:fldChar w:fldCharType="end"/>
            </w:r>
          </w:hyperlink>
        </w:p>
        <w:p w14:paraId="0AFE1ACF" w14:textId="5AA1DD03" w:rsidR="0082103C" w:rsidRPr="00AD5578" w:rsidRDefault="0082103C">
          <w:pPr>
            <w:rPr>
              <w:rFonts w:ascii="Arial" w:hAnsi="Arial" w:cs="Arial"/>
              <w:b/>
              <w:bCs/>
            </w:rPr>
          </w:pPr>
          <w:r w:rsidRPr="006B1DE5">
            <w:rPr>
              <w:rFonts w:ascii="Arial" w:hAnsi="Arial" w:cs="Arial"/>
              <w:b/>
              <w:bCs/>
              <w:noProof/>
            </w:rPr>
            <w:fldChar w:fldCharType="end"/>
          </w:r>
        </w:p>
      </w:sdtContent>
    </w:sdt>
    <w:p w14:paraId="2C64BEE7" w14:textId="2FFC5C44" w:rsidR="00465422" w:rsidRPr="00AD5578" w:rsidRDefault="00465422">
      <w:pPr>
        <w:rPr>
          <w:rFonts w:ascii="Arial" w:hAnsi="Arial" w:cs="Arial"/>
          <w:b/>
          <w:bCs/>
        </w:rPr>
      </w:pPr>
    </w:p>
    <w:p w14:paraId="7F6C66F4" w14:textId="7CB69F10" w:rsidR="00465422" w:rsidRPr="00AD5578" w:rsidRDefault="00465422">
      <w:pPr>
        <w:rPr>
          <w:rFonts w:ascii="Arial" w:hAnsi="Arial" w:cs="Arial"/>
          <w:b/>
          <w:bCs/>
        </w:rPr>
      </w:pPr>
    </w:p>
    <w:p w14:paraId="050135E8" w14:textId="1A7DB9F5" w:rsidR="00465422" w:rsidRDefault="00465422"/>
    <w:p w14:paraId="6453BA14" w14:textId="7B167571" w:rsidR="00465422" w:rsidRDefault="00465422"/>
    <w:p w14:paraId="27A46AA3" w14:textId="699BA8FB" w:rsidR="00465422" w:rsidRDefault="00465422"/>
    <w:p w14:paraId="13AEA71D" w14:textId="2E4DB5AA" w:rsidR="00465422" w:rsidRDefault="00465422"/>
    <w:p w14:paraId="763F0216" w14:textId="6A400332" w:rsidR="00465422" w:rsidRDefault="00465422"/>
    <w:p w14:paraId="34C78316" w14:textId="64FCA860" w:rsidR="00465422" w:rsidRDefault="00465422"/>
    <w:p w14:paraId="4BD44C5B" w14:textId="2A8224F6" w:rsidR="00465422" w:rsidRDefault="00465422"/>
    <w:p w14:paraId="5DD0CC67" w14:textId="2E3E7FDC" w:rsidR="00465422" w:rsidRDefault="00465422"/>
    <w:p w14:paraId="3C842F79" w14:textId="361DF672" w:rsidR="00465422" w:rsidRDefault="00465422"/>
    <w:p w14:paraId="3EE04AFA" w14:textId="3DA93475" w:rsidR="00465422" w:rsidRPr="00B402E2" w:rsidRDefault="00465422" w:rsidP="00B402E2">
      <w:pPr>
        <w:rPr>
          <w:rFonts w:ascii="Arial" w:hAnsi="Arial" w:cs="Arial"/>
        </w:rPr>
      </w:pPr>
    </w:p>
    <w:p w14:paraId="1F4E4BF7" w14:textId="03558058" w:rsidR="00465422" w:rsidRPr="00CB2813" w:rsidRDefault="0064421D" w:rsidP="0064421D">
      <w:pPr>
        <w:pStyle w:val="Heading1"/>
        <w:rPr>
          <w:rFonts w:ascii="Arial" w:hAnsi="Arial" w:cs="Arial"/>
        </w:rPr>
      </w:pPr>
      <w:bookmarkStart w:id="0" w:name="_Toc128235105"/>
      <w:r w:rsidRPr="00CB2813">
        <w:rPr>
          <w:rFonts w:ascii="Arial" w:hAnsi="Arial" w:cs="Arial"/>
        </w:rPr>
        <w:lastRenderedPageBreak/>
        <w:t>Introduction</w:t>
      </w:r>
      <w:bookmarkEnd w:id="0"/>
    </w:p>
    <w:p w14:paraId="0CEE86E0" w14:textId="35B8EA9C" w:rsidR="002E22BF" w:rsidRPr="0053784E" w:rsidRDefault="002E22BF" w:rsidP="000A436A">
      <w:pPr>
        <w:spacing w:line="360" w:lineRule="auto"/>
      </w:pPr>
    </w:p>
    <w:p w14:paraId="7495E37B" w14:textId="7D986408" w:rsidR="003B5AF4" w:rsidRPr="006B1DE5" w:rsidRDefault="003B5AF4" w:rsidP="006B1DE5">
      <w:pPr>
        <w:spacing w:line="360" w:lineRule="auto"/>
        <w:rPr>
          <w:rFonts w:ascii="Arial" w:hAnsi="Arial" w:cs="Arial"/>
          <w:noProof/>
        </w:rPr>
      </w:pPr>
      <w:r w:rsidRPr="006B1DE5">
        <w:rPr>
          <w:rFonts w:ascii="Arial" w:hAnsi="Arial" w:cs="Arial"/>
          <w:noProof/>
        </w:rPr>
        <w:drawing>
          <wp:anchor distT="0" distB="0" distL="114300" distR="114300" simplePos="0" relativeHeight="251658240" behindDoc="1" locked="0" layoutInCell="1" allowOverlap="1" wp14:anchorId="623F4289" wp14:editId="3E01B9B3">
            <wp:simplePos x="0" y="0"/>
            <wp:positionH relativeFrom="margin">
              <wp:posOffset>2150110</wp:posOffset>
            </wp:positionH>
            <wp:positionV relativeFrom="paragraph">
              <wp:posOffset>194310</wp:posOffset>
            </wp:positionV>
            <wp:extent cx="914400" cy="914400"/>
            <wp:effectExtent l="0" t="0" r="0" b="0"/>
            <wp:wrapTight wrapText="bothSides">
              <wp:wrapPolygon edited="0">
                <wp:start x="13050" y="0"/>
                <wp:lineTo x="5400" y="450"/>
                <wp:lineTo x="0" y="3600"/>
                <wp:lineTo x="0" y="9450"/>
                <wp:lineTo x="2250" y="20250"/>
                <wp:lineTo x="10800" y="20250"/>
                <wp:lineTo x="21150" y="8550"/>
                <wp:lineTo x="20700" y="0"/>
                <wp:lineTo x="13050" y="0"/>
              </wp:wrapPolygon>
            </wp:wrapTight>
            <wp:docPr id="2" name="Graphic 2" descr="Fev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Fever with solid fill"/>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anchor>
        </w:drawing>
      </w:r>
      <w:r w:rsidR="0018110F" w:rsidRPr="006B1DE5">
        <w:rPr>
          <w:rFonts w:ascii="Arial" w:hAnsi="Arial" w:cs="Arial"/>
          <w:noProof/>
        </w:rPr>
        <w:t>The flu, or influenza, is a highly contagious respiratory illness caused by influenza viruses. It can cause mild to severe illness, leading to hospitalisation or death in some cases. Symptoms of the flu include fever, cough, sore throat, runny or stuffy nose, body aches, headache, chills, and fatigue. Flu outbreaks occur on a seasonal basis, usually during the winter months, and can spread quickly from person to person via respiratory droplets produced when an infected person coughs or sneezes.</w:t>
      </w:r>
      <w:r w:rsidRPr="006B1DE5">
        <w:rPr>
          <w:rFonts w:ascii="Arial" w:hAnsi="Arial" w:cs="Arial"/>
          <w:noProof/>
        </w:rPr>
        <w:t xml:space="preserve"> </w:t>
      </w:r>
    </w:p>
    <w:p w14:paraId="4733FC68" w14:textId="3066EEE2" w:rsidR="002E22BF" w:rsidRDefault="002E22BF" w:rsidP="00CB2813">
      <w:pPr>
        <w:pStyle w:val="Heading1"/>
      </w:pPr>
    </w:p>
    <w:p w14:paraId="3681C5C5" w14:textId="329603F3" w:rsidR="00465422" w:rsidRDefault="00CB2813" w:rsidP="005E2248">
      <w:pPr>
        <w:pStyle w:val="Heading1"/>
        <w:rPr>
          <w:rFonts w:ascii="Arial" w:hAnsi="Arial" w:cs="Arial"/>
          <w:szCs w:val="24"/>
        </w:rPr>
      </w:pPr>
      <w:bookmarkStart w:id="1" w:name="_Toc128235106"/>
      <w:r>
        <w:rPr>
          <w:rFonts w:ascii="Arial" w:hAnsi="Arial" w:cs="Arial"/>
          <w:szCs w:val="24"/>
        </w:rPr>
        <w:t xml:space="preserve">Strategies used in the UK to </w:t>
      </w:r>
      <w:r>
        <w:rPr>
          <w:rFonts w:ascii="Arial" w:hAnsi="Arial" w:cs="Arial"/>
          <w:b/>
          <w:bCs/>
          <w:szCs w:val="24"/>
        </w:rPr>
        <w:t>measure</w:t>
      </w:r>
      <w:r>
        <w:rPr>
          <w:rFonts w:ascii="Arial" w:hAnsi="Arial" w:cs="Arial"/>
          <w:szCs w:val="24"/>
        </w:rPr>
        <w:t xml:space="preserve"> the incidence of the disease in your case study and critically evaluate </w:t>
      </w:r>
      <w:r w:rsidR="009D75A8">
        <w:rPr>
          <w:rFonts w:ascii="Arial" w:hAnsi="Arial" w:cs="Arial"/>
          <w:szCs w:val="24"/>
        </w:rPr>
        <w:t>it.</w:t>
      </w:r>
      <w:bookmarkEnd w:id="1"/>
    </w:p>
    <w:p w14:paraId="40226156" w14:textId="43E8DA52" w:rsidR="002A7DCA" w:rsidRPr="002A7DCA" w:rsidRDefault="002A7DCA" w:rsidP="002A7DCA">
      <w:pPr>
        <w:spacing w:line="360" w:lineRule="auto"/>
        <w:rPr>
          <w:rFonts w:ascii="Arial" w:hAnsi="Arial" w:cs="Arial"/>
        </w:rPr>
      </w:pPr>
    </w:p>
    <w:p w14:paraId="6208BD56" w14:textId="41DAA554" w:rsidR="007330F4" w:rsidRPr="007330F4" w:rsidRDefault="007330F4" w:rsidP="006B1DE5">
      <w:pPr>
        <w:spacing w:line="360" w:lineRule="auto"/>
        <w:rPr>
          <w:rFonts w:ascii="Arial" w:hAnsi="Arial" w:cs="Arial"/>
          <w:noProof/>
        </w:rPr>
      </w:pPr>
      <w:r w:rsidRPr="007330F4">
        <w:rPr>
          <w:rFonts w:ascii="Arial" w:hAnsi="Arial" w:cs="Arial"/>
          <w:noProof/>
        </w:rPr>
        <w:t>An important first step in managing and stopping the spread of the illness is determining the incidence of influenza in the UK. The incidence of influenza has been measured using a variety of methods, such as laboratory-based surveillance, syndromic surveillance, and primary care records.</w:t>
      </w:r>
    </w:p>
    <w:p w14:paraId="7283D681" w14:textId="32C315F0" w:rsidR="00C57E3B" w:rsidRDefault="007330F4" w:rsidP="006B1DE5">
      <w:pPr>
        <w:spacing w:line="360" w:lineRule="auto"/>
        <w:rPr>
          <w:rFonts w:ascii="Arial" w:hAnsi="Arial" w:cs="Arial"/>
        </w:rPr>
      </w:pPr>
      <w:r w:rsidRPr="007330F4">
        <w:rPr>
          <w:rFonts w:ascii="Arial" w:hAnsi="Arial" w:cs="Arial"/>
          <w:noProof/>
        </w:rPr>
        <w:t xml:space="preserve">Testing respiratory samples from individuals exhibiting flu-like symptoms in a lab for the presence of the influenza virus is a part of laboratory-based monitoring. The 1982-founded national influenza surveillance programme in the UK examines respiratory specimens from primary care and hospital settings to gather information on influenza activity year-round (Bibby, 2014). This plan offers details on the viral strains that are currently in circulation and the severity of the illness in various age </w:t>
      </w:r>
      <w:r w:rsidR="00C57E3B" w:rsidRPr="007330F4">
        <w:rPr>
          <w:rFonts w:ascii="Arial" w:hAnsi="Arial" w:cs="Arial"/>
          <w:noProof/>
        </w:rPr>
        <w:t>groups.</w:t>
      </w:r>
      <w:r w:rsidR="00C57E3B" w:rsidRPr="002A7DCA">
        <w:rPr>
          <w:rFonts w:ascii="Arial" w:hAnsi="Arial" w:cs="Arial"/>
        </w:rPr>
        <w:t xml:space="preserve"> </w:t>
      </w:r>
    </w:p>
    <w:p w14:paraId="012D6C56" w14:textId="48D41248" w:rsidR="007178A9" w:rsidRDefault="007178A9" w:rsidP="006B1DE5">
      <w:pPr>
        <w:spacing w:line="360" w:lineRule="auto"/>
        <w:rPr>
          <w:rFonts w:ascii="Arial" w:hAnsi="Arial" w:cs="Arial"/>
        </w:rPr>
      </w:pPr>
      <w:r w:rsidRPr="007178A9">
        <w:rPr>
          <w:rFonts w:ascii="Arial" w:hAnsi="Arial" w:cs="Arial"/>
        </w:rPr>
        <w:t>Monitoring data sources relevant to healthcare and those unrelated to healthcare is part of syndromic surveillance, which aims to identify outbreaks as soon as possible. The Flu-like Illness Surveillance System (FLISS) in the UK gathers information from a variety of sources, including calls to NHS Direct and information from the Sentinel Surveillance Program of the Royal College of General Practitioners (RCGP) (Elliott et al., 2010). Early outbreak warnings are provided by this approach, which can also aid in directing the public health response.</w:t>
      </w:r>
    </w:p>
    <w:p w14:paraId="28CEC065" w14:textId="1CBDBBFF" w:rsidR="00465422" w:rsidRPr="005E2248" w:rsidRDefault="00114473" w:rsidP="006B1DE5">
      <w:pPr>
        <w:spacing w:line="360" w:lineRule="auto"/>
        <w:rPr>
          <w:rFonts w:ascii="Arial" w:hAnsi="Arial" w:cs="Arial"/>
        </w:rPr>
      </w:pPr>
      <w:r w:rsidRPr="00114473">
        <w:rPr>
          <w:rFonts w:ascii="Arial" w:hAnsi="Arial" w:cs="Arial"/>
        </w:rPr>
        <w:t xml:space="preserve">Finally, the United Kingdom has used a variety of methodologies to track the prevalence of influenza, including laboratory-based monitoring, syndromic surveillance, and primary care data. These methods have helped to inform people about the virus types that are in circulation and the severity of the illness, but they have certain drawbacks. To improve the </w:t>
      </w:r>
      <w:r w:rsidRPr="00114473">
        <w:rPr>
          <w:rFonts w:ascii="Arial" w:hAnsi="Arial" w:cs="Arial"/>
        </w:rPr>
        <w:lastRenderedPageBreak/>
        <w:t>identification and response to influenza epidemics in the UK, it is crucial to maintain funding research and the creation of fresh surveillance systems.</w:t>
      </w:r>
    </w:p>
    <w:p w14:paraId="1588591E" w14:textId="2ACFA20D" w:rsidR="00FB0366" w:rsidRDefault="00FB0366"/>
    <w:p w14:paraId="7A889181" w14:textId="6ED2013D" w:rsidR="00FB0366" w:rsidRPr="00FB0366" w:rsidRDefault="00FB0366" w:rsidP="00FB0366">
      <w:pPr>
        <w:pStyle w:val="Heading1"/>
        <w:rPr>
          <w:rFonts w:ascii="Arial" w:hAnsi="Arial" w:cs="Arial"/>
        </w:rPr>
      </w:pPr>
      <w:bookmarkStart w:id="2" w:name="_Toc128235107"/>
      <w:r w:rsidRPr="00FB0366">
        <w:rPr>
          <w:rFonts w:ascii="Arial" w:hAnsi="Arial" w:cs="Arial"/>
        </w:rPr>
        <w:t xml:space="preserve">Strategies used in the UK to </w:t>
      </w:r>
      <w:r w:rsidRPr="00FB0366">
        <w:rPr>
          <w:rFonts w:ascii="Arial" w:hAnsi="Arial" w:cs="Arial"/>
          <w:b/>
          <w:bCs/>
        </w:rPr>
        <w:t>monitor</w:t>
      </w:r>
      <w:r w:rsidRPr="00FB0366">
        <w:rPr>
          <w:rFonts w:ascii="Arial" w:hAnsi="Arial" w:cs="Arial"/>
        </w:rPr>
        <w:t xml:space="preserve"> the incidence of the disease in your case study and critically evaluate </w:t>
      </w:r>
      <w:r w:rsidRPr="00FB0366">
        <w:rPr>
          <w:rFonts w:ascii="Arial" w:hAnsi="Arial" w:cs="Arial"/>
        </w:rPr>
        <w:t>it.</w:t>
      </w:r>
      <w:bookmarkEnd w:id="2"/>
      <w:r w:rsidRPr="00FB0366">
        <w:rPr>
          <w:rFonts w:ascii="Arial" w:hAnsi="Arial" w:cs="Arial"/>
        </w:rPr>
        <w:t xml:space="preserve"> </w:t>
      </w:r>
    </w:p>
    <w:p w14:paraId="66A23D76" w14:textId="2D6078B5" w:rsidR="00FB0366" w:rsidRPr="007A0360" w:rsidRDefault="00FB0366" w:rsidP="007A0360"/>
    <w:p w14:paraId="32C99CCD" w14:textId="449CF3F7" w:rsidR="007A0360" w:rsidRPr="007A0360" w:rsidRDefault="007A0360" w:rsidP="006B1DE5">
      <w:pPr>
        <w:spacing w:line="360" w:lineRule="auto"/>
        <w:rPr>
          <w:rFonts w:ascii="Arial" w:hAnsi="Arial" w:cs="Arial"/>
          <w:lang w:eastAsia="en-GB"/>
        </w:rPr>
      </w:pPr>
      <w:r w:rsidRPr="007A0360">
        <w:rPr>
          <w:rFonts w:ascii="Arial" w:hAnsi="Arial" w:cs="Arial"/>
          <w:lang w:eastAsia="en-GB"/>
        </w:rPr>
        <w:t>The UK employs various strategies to monitor the incidence of flu, including surveillance of laboratory-confirmed cases, syndromic surveillance, and surveys of healthcare utilization and vaccine uptake. The Health Protection Agency (HPA) is responsible for coordinating surveillance of flu in the UK, which includes monitoring the incidence of laboratory-confirmed cases through the HPA's national laboratory network (Presanis et al., 2011). In addition, the HPA has developed a syndromic surveillance system called FluSurv-NET, which monitors trends in influenza-like illness (ILI) in primary care (Sile &amp; McMenamin, 2016).</w:t>
      </w:r>
    </w:p>
    <w:p w14:paraId="7B912BA7" w14:textId="018E5EDE" w:rsidR="007A0360" w:rsidRPr="007A0360" w:rsidRDefault="00026423" w:rsidP="006B1DE5">
      <w:pPr>
        <w:spacing w:line="360" w:lineRule="auto"/>
        <w:rPr>
          <w:rFonts w:ascii="Arial" w:hAnsi="Arial" w:cs="Arial"/>
          <w:lang w:eastAsia="en-GB"/>
        </w:rPr>
      </w:pPr>
      <w:r>
        <w:rPr>
          <w:noProof/>
        </w:rPr>
        <w:drawing>
          <wp:anchor distT="0" distB="0" distL="114300" distR="114300" simplePos="0" relativeHeight="251660288" behindDoc="1" locked="0" layoutInCell="1" allowOverlap="1" wp14:anchorId="1268727D" wp14:editId="45F5E9F3">
            <wp:simplePos x="0" y="0"/>
            <wp:positionH relativeFrom="column">
              <wp:posOffset>1799688</wp:posOffset>
            </wp:positionH>
            <wp:positionV relativeFrom="paragraph">
              <wp:posOffset>832666</wp:posOffset>
            </wp:positionV>
            <wp:extent cx="1158079" cy="735058"/>
            <wp:effectExtent l="0" t="0" r="4445" b="8255"/>
            <wp:wrapTight wrapText="bothSides">
              <wp:wrapPolygon edited="0">
                <wp:start x="0" y="0"/>
                <wp:lineTo x="0" y="21283"/>
                <wp:lineTo x="21327" y="21283"/>
                <wp:lineTo x="21327" y="0"/>
                <wp:lineTo x="0" y="0"/>
              </wp:wrapPolygon>
            </wp:wrapTight>
            <wp:docPr id="3" name="Picture 3" descr="Two surgeons reviewing an x-r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wo surgeons reviewing an x-ray"/>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58079" cy="735058"/>
                    </a:xfrm>
                    <a:prstGeom prst="rect">
                      <a:avLst/>
                    </a:prstGeom>
                  </pic:spPr>
                </pic:pic>
              </a:graphicData>
            </a:graphic>
          </wp:anchor>
        </w:drawing>
      </w:r>
      <w:r w:rsidR="007A0360" w:rsidRPr="007A0360">
        <w:rPr>
          <w:rFonts w:ascii="Arial" w:hAnsi="Arial" w:cs="Arial"/>
          <w:lang w:eastAsia="en-GB"/>
        </w:rPr>
        <w:t>Another important surveillance tool used in the UK is the annual flu vaccine uptake survey, which provides information on the proportion of individuals who have received the flu vaccine each season. This information is critical for evaluating the effectiveness of the flu vaccine and identifying populations that may be at increased risk of infection (Harris et al., 2015).</w:t>
      </w:r>
    </w:p>
    <w:p w14:paraId="0B4494F1" w14:textId="5B163665" w:rsidR="007A0360" w:rsidRPr="007A0360" w:rsidRDefault="007A0360" w:rsidP="006B1DE5">
      <w:pPr>
        <w:spacing w:line="360" w:lineRule="auto"/>
        <w:rPr>
          <w:rFonts w:ascii="Arial" w:hAnsi="Arial" w:cs="Arial"/>
          <w:lang w:eastAsia="en-GB"/>
        </w:rPr>
      </w:pPr>
      <w:r w:rsidRPr="007A0360">
        <w:rPr>
          <w:rFonts w:ascii="Arial" w:hAnsi="Arial" w:cs="Arial"/>
          <w:lang w:eastAsia="en-GB"/>
        </w:rPr>
        <w:t xml:space="preserve">While these strategies have been effective in monitoring the incidence of flu in the UK, they are not without limitations. For example, laboratory-confirmed cases may not represent the true incidence of flu in the population, as many individuals with flu may not seek medical care or may not be tested for flu (Hayward et al., 2014). In addition, syndromic surveillance may be affected by factors such as changes in healthcare-seeking </w:t>
      </w:r>
      <w:r w:rsidRPr="007A0360">
        <w:rPr>
          <w:rFonts w:ascii="Arial" w:hAnsi="Arial" w:cs="Arial"/>
        </w:rPr>
        <w:t>behaviour</w:t>
      </w:r>
      <w:r w:rsidRPr="007A0360">
        <w:rPr>
          <w:rFonts w:ascii="Arial" w:hAnsi="Arial" w:cs="Arial"/>
          <w:lang w:eastAsia="en-GB"/>
        </w:rPr>
        <w:t xml:space="preserve"> or changes in diagnostic practices.</w:t>
      </w:r>
    </w:p>
    <w:p w14:paraId="682B6EA6" w14:textId="0D71F029" w:rsidR="005E2248" w:rsidRPr="005E2248" w:rsidRDefault="005E2248" w:rsidP="005E2248"/>
    <w:p w14:paraId="7B323F70" w14:textId="77777777" w:rsidR="005E2248" w:rsidRDefault="005E2248" w:rsidP="00FB0366">
      <w:pPr>
        <w:pStyle w:val="Heading1"/>
        <w:rPr>
          <w:rFonts w:ascii="Arial" w:hAnsi="Arial" w:cs="Arial"/>
          <w:szCs w:val="24"/>
        </w:rPr>
      </w:pPr>
    </w:p>
    <w:p w14:paraId="75849410" w14:textId="21BC3C86" w:rsidR="00FB0366" w:rsidRDefault="00FB0366" w:rsidP="00FB0366">
      <w:pPr>
        <w:pStyle w:val="Heading1"/>
        <w:rPr>
          <w:rFonts w:ascii="Arial" w:hAnsi="Arial" w:cs="Arial"/>
          <w:szCs w:val="24"/>
        </w:rPr>
      </w:pPr>
      <w:bookmarkStart w:id="3" w:name="_Toc128235108"/>
      <w:r>
        <w:rPr>
          <w:rFonts w:ascii="Arial" w:hAnsi="Arial" w:cs="Arial"/>
          <w:szCs w:val="24"/>
        </w:rPr>
        <w:t xml:space="preserve">Strategies used in the UK to </w:t>
      </w:r>
      <w:r>
        <w:rPr>
          <w:rFonts w:ascii="Arial" w:hAnsi="Arial" w:cs="Arial"/>
          <w:b/>
          <w:bCs/>
          <w:szCs w:val="24"/>
        </w:rPr>
        <w:t>control</w:t>
      </w:r>
      <w:r>
        <w:rPr>
          <w:rFonts w:ascii="Arial" w:hAnsi="Arial" w:cs="Arial"/>
          <w:szCs w:val="24"/>
        </w:rPr>
        <w:t xml:space="preserve"> the incidence of the disease in your case study and critically evaluate it</w:t>
      </w:r>
      <w:r w:rsidR="00095752">
        <w:rPr>
          <w:rFonts w:ascii="Arial" w:hAnsi="Arial" w:cs="Arial"/>
          <w:szCs w:val="24"/>
        </w:rPr>
        <w:t>.</w:t>
      </w:r>
      <w:bookmarkEnd w:id="3"/>
    </w:p>
    <w:p w14:paraId="03D66FE2" w14:textId="548EEF4B" w:rsidR="00FB0366" w:rsidRDefault="00FB0366"/>
    <w:p w14:paraId="0A7EE0F3" w14:textId="78B1EAC2" w:rsidR="00FB0366" w:rsidRPr="00DD0428" w:rsidRDefault="00DD0428" w:rsidP="006B1DE5">
      <w:pPr>
        <w:spacing w:line="360" w:lineRule="auto"/>
        <w:rPr>
          <w:rFonts w:ascii="Arial" w:hAnsi="Arial" w:cs="Arial"/>
        </w:rPr>
      </w:pPr>
      <w:r w:rsidRPr="00DD0428">
        <w:rPr>
          <w:rFonts w:ascii="Arial" w:hAnsi="Arial" w:cs="Arial"/>
        </w:rPr>
        <w:t xml:space="preserve">To control the spread of flu, the United Kingdom employs a variety of strategies, including vaccination campaigns, antiviral treatment, and public health messaging. The flu vaccine is recommended for all individuals over the age of six months who are considered to be at increased risk of flu, including those 65 and older, pregnant women, and people with certain </w:t>
      </w:r>
      <w:r w:rsidRPr="00DD0428">
        <w:rPr>
          <w:rFonts w:ascii="Arial" w:hAnsi="Arial" w:cs="Arial"/>
        </w:rPr>
        <w:lastRenderedPageBreak/>
        <w:t>underlying health conditions (Public Health England, 2021). Furthermore, the United Kingdom has implemented an antiviral treatment programme that provides neuraminidase inhibitor treatment to people who are at a higher risk of severe flu, such as those with underlying health conditions or who are hospitalised with flu (PHE, 2016).</w:t>
      </w:r>
    </w:p>
    <w:p w14:paraId="27E9B2E5" w14:textId="5A20AB76" w:rsidR="00DD0428" w:rsidRPr="00DD0428" w:rsidRDefault="00E10F75" w:rsidP="006B1DE5">
      <w:pPr>
        <w:spacing w:line="360" w:lineRule="auto"/>
        <w:rPr>
          <w:rFonts w:ascii="Arial" w:hAnsi="Arial" w:cs="Arial"/>
        </w:rPr>
      </w:pPr>
      <w:r>
        <w:rPr>
          <w:rFonts w:ascii="Arial" w:hAnsi="Arial" w:cs="Arial"/>
          <w:noProof/>
        </w:rPr>
        <w:drawing>
          <wp:anchor distT="0" distB="0" distL="114300" distR="114300" simplePos="0" relativeHeight="251663360" behindDoc="1" locked="0" layoutInCell="1" allowOverlap="1" wp14:anchorId="466FD65A" wp14:editId="6DA02A85">
            <wp:simplePos x="0" y="0"/>
            <wp:positionH relativeFrom="column">
              <wp:posOffset>4312865</wp:posOffset>
            </wp:positionH>
            <wp:positionV relativeFrom="paragraph">
              <wp:posOffset>204691</wp:posOffset>
            </wp:positionV>
            <wp:extent cx="1087755" cy="769620"/>
            <wp:effectExtent l="0" t="0" r="0" b="0"/>
            <wp:wrapTight wrapText="bothSides">
              <wp:wrapPolygon edited="0">
                <wp:start x="0" y="0"/>
                <wp:lineTo x="0" y="20851"/>
                <wp:lineTo x="21184" y="20851"/>
                <wp:lineTo x="21184" y="0"/>
                <wp:lineTo x="0" y="0"/>
              </wp:wrapPolygon>
            </wp:wrapTight>
            <wp:docPr id="6" name="Picture 6" descr="Child receiving inj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ild receiving injection"/>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87755" cy="769620"/>
                    </a:xfrm>
                    <a:prstGeom prst="rect">
                      <a:avLst/>
                    </a:prstGeom>
                  </pic:spPr>
                </pic:pic>
              </a:graphicData>
            </a:graphic>
          </wp:anchor>
        </w:drawing>
      </w:r>
      <w:r w:rsidR="00DD0428" w:rsidRPr="00DD0428">
        <w:rPr>
          <w:rFonts w:ascii="Arial" w:hAnsi="Arial" w:cs="Arial"/>
        </w:rPr>
        <w:t>Public health messaging is also an important tool for reducing flu outbreaks in the United Kingdom. This includes educating people about the importance of hand hygiene, respiratory etiquette, and staying home when sick to prevent the spread of flu (PHE, 2018). The UK also advises employers on how to prevent the spread of flu in the workplace, such as encouraging employees to get vaccinated and providing sick leave for those who have flu symptoms (PHE, 2020).</w:t>
      </w:r>
    </w:p>
    <w:p w14:paraId="76486A9A" w14:textId="5BA87526" w:rsidR="00FB0366" w:rsidRPr="00E10F75" w:rsidRDefault="00DD0428" w:rsidP="006B1DE5">
      <w:pPr>
        <w:spacing w:line="360" w:lineRule="auto"/>
        <w:rPr>
          <w:rFonts w:ascii="Arial" w:hAnsi="Arial" w:cs="Arial"/>
        </w:rPr>
      </w:pPr>
      <w:r w:rsidRPr="00DD0428">
        <w:rPr>
          <w:rFonts w:ascii="Arial" w:hAnsi="Arial" w:cs="Arial"/>
        </w:rPr>
        <w:t>While these strategies have been effective in reducing flu incidence in the UK, they are not without limitations. For example, the effectiveness of the flu vaccine can vary from season to season and may be influenced by factors such as the vaccine's match with circulating flu strains (Jefferson et al., 2018). Furthermore, while antiviral treatment can reduce the severity and duration of flu symptoms, it is most effective early in the course of illness and may not be widely available in some settings (PHE, 2016).</w:t>
      </w:r>
    </w:p>
    <w:p w14:paraId="3C985EFE" w14:textId="31AB55D3" w:rsidR="005E2248" w:rsidRPr="00DD0428" w:rsidRDefault="005E2248" w:rsidP="00DD0428">
      <w:pPr>
        <w:pStyle w:val="Heading1"/>
        <w:rPr>
          <w:rFonts w:ascii="Arial" w:hAnsi="Arial" w:cs="Arial"/>
          <w:szCs w:val="24"/>
        </w:rPr>
      </w:pPr>
      <w:bookmarkStart w:id="4" w:name="_Toc128235109"/>
      <w:r>
        <w:rPr>
          <w:rFonts w:ascii="Arial" w:hAnsi="Arial" w:cs="Arial"/>
          <w:szCs w:val="24"/>
        </w:rPr>
        <w:t>Conclusion</w:t>
      </w:r>
      <w:bookmarkEnd w:id="4"/>
    </w:p>
    <w:p w14:paraId="35ED2739" w14:textId="563A3D19" w:rsidR="005E2248" w:rsidRPr="00B402E2" w:rsidRDefault="005E2248" w:rsidP="006B1DE5">
      <w:pPr>
        <w:spacing w:line="360" w:lineRule="auto"/>
      </w:pPr>
    </w:p>
    <w:p w14:paraId="0CD7DFE8" w14:textId="6F133118" w:rsidR="009E3D26" w:rsidRDefault="00E10F75" w:rsidP="006B1DE5">
      <w:pPr>
        <w:spacing w:line="360" w:lineRule="auto"/>
        <w:rPr>
          <w:rFonts w:ascii="Arial" w:hAnsi="Arial" w:cs="Arial"/>
        </w:rPr>
      </w:pPr>
      <w:r>
        <w:rPr>
          <w:noProof/>
        </w:rPr>
        <w:drawing>
          <wp:anchor distT="0" distB="0" distL="114300" distR="114300" simplePos="0" relativeHeight="251661312" behindDoc="1" locked="0" layoutInCell="1" allowOverlap="1" wp14:anchorId="4E2FA2EB" wp14:editId="4F8602AA">
            <wp:simplePos x="0" y="0"/>
            <wp:positionH relativeFrom="margin">
              <wp:posOffset>3704673</wp:posOffset>
            </wp:positionH>
            <wp:positionV relativeFrom="paragraph">
              <wp:posOffset>173410</wp:posOffset>
            </wp:positionV>
            <wp:extent cx="1382765" cy="923018"/>
            <wp:effectExtent l="0" t="0" r="8255" b="0"/>
            <wp:wrapTight wrapText="bothSides">
              <wp:wrapPolygon edited="0">
                <wp:start x="0" y="0"/>
                <wp:lineTo x="0" y="20961"/>
                <wp:lineTo x="21431" y="20961"/>
                <wp:lineTo x="21431" y="0"/>
                <wp:lineTo x="0" y="0"/>
              </wp:wrapPolygon>
            </wp:wrapTight>
            <wp:docPr id="4" name="Picture 4" descr="Pipette putting samples on a test 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Pipette putting samples on a test tub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82765" cy="923018"/>
                    </a:xfrm>
                    <a:prstGeom prst="rect">
                      <a:avLst/>
                    </a:prstGeom>
                  </pic:spPr>
                </pic:pic>
              </a:graphicData>
            </a:graphic>
          </wp:anchor>
        </w:drawing>
      </w:r>
      <w:r w:rsidR="001447DA" w:rsidRPr="004C5C86">
        <w:rPr>
          <w:rFonts w:ascii="Arial" w:hAnsi="Arial" w:cs="Arial"/>
        </w:rPr>
        <w:t>In conclusion, influenza continues to pose a serious threat to public health in the UK. The effectiveness of these tactics is still constrained, despite the fact that the nation has achieved great strides in decreasing the burden of the flu through vaccination efforts, antiviral therapy, and public health messaging. Season to season, the efficacy of the flu shot can change, and in some places, antiviral medication may not be widely accessible. In addition, new flu strains and other respiratory infections continue to endanger the public's health.</w:t>
      </w:r>
    </w:p>
    <w:p w14:paraId="4E4F6B8A" w14:textId="57DD76DB" w:rsidR="00BB3C7B" w:rsidRDefault="00BB3C7B" w:rsidP="004C5C86">
      <w:pPr>
        <w:spacing w:line="360" w:lineRule="auto"/>
        <w:rPr>
          <w:rFonts w:ascii="Arial" w:hAnsi="Arial" w:cs="Arial"/>
        </w:rPr>
      </w:pPr>
    </w:p>
    <w:p w14:paraId="662594B6" w14:textId="2155E936" w:rsidR="00BB3C7B" w:rsidRDefault="00BB3C7B" w:rsidP="004C5C86">
      <w:pPr>
        <w:spacing w:line="360" w:lineRule="auto"/>
        <w:rPr>
          <w:rFonts w:ascii="Arial" w:hAnsi="Arial" w:cs="Arial"/>
        </w:rPr>
      </w:pPr>
    </w:p>
    <w:p w14:paraId="77E08DB0" w14:textId="1FACCC1C" w:rsidR="00BB3C7B" w:rsidRDefault="00BB3C7B" w:rsidP="004C5C86">
      <w:pPr>
        <w:spacing w:line="360" w:lineRule="auto"/>
        <w:rPr>
          <w:rFonts w:ascii="Arial" w:hAnsi="Arial" w:cs="Arial"/>
        </w:rPr>
      </w:pPr>
    </w:p>
    <w:p w14:paraId="431F12CE" w14:textId="7627B246" w:rsidR="00BB3C7B" w:rsidRDefault="00BB3C7B" w:rsidP="004C5C86">
      <w:pPr>
        <w:spacing w:line="360" w:lineRule="auto"/>
        <w:rPr>
          <w:rFonts w:ascii="Arial" w:hAnsi="Arial" w:cs="Arial"/>
        </w:rPr>
      </w:pPr>
    </w:p>
    <w:p w14:paraId="6BEF18B8" w14:textId="77777777" w:rsidR="00BB3C7B" w:rsidRDefault="00BB3C7B" w:rsidP="004C5C86">
      <w:pPr>
        <w:spacing w:line="360" w:lineRule="auto"/>
        <w:rPr>
          <w:rFonts w:ascii="Arial" w:hAnsi="Arial" w:cs="Arial"/>
        </w:rPr>
      </w:pPr>
    </w:p>
    <w:p w14:paraId="04703CA4" w14:textId="3A691DCE" w:rsidR="00465422" w:rsidRDefault="0082103C" w:rsidP="0082103C">
      <w:pPr>
        <w:pStyle w:val="Heading1"/>
        <w:rPr>
          <w:rFonts w:ascii="Arial" w:hAnsi="Arial" w:cs="Arial"/>
        </w:rPr>
      </w:pPr>
      <w:bookmarkStart w:id="5" w:name="_Toc128235110"/>
      <w:r w:rsidRPr="00FB0366">
        <w:rPr>
          <w:rFonts w:ascii="Arial" w:hAnsi="Arial" w:cs="Arial"/>
        </w:rPr>
        <w:lastRenderedPageBreak/>
        <w:t>References</w:t>
      </w:r>
      <w:bookmarkEnd w:id="5"/>
    </w:p>
    <w:p w14:paraId="772EDF85" w14:textId="77777777" w:rsidR="004D354D" w:rsidRPr="004D354D" w:rsidRDefault="004D354D" w:rsidP="004D354D"/>
    <w:p w14:paraId="2C3E9A7C" w14:textId="77777777" w:rsidR="004D354D" w:rsidRPr="004D354D" w:rsidRDefault="004D354D" w:rsidP="004D354D">
      <w:pPr>
        <w:pStyle w:val="ListParagraph"/>
        <w:numPr>
          <w:ilvl w:val="0"/>
          <w:numId w:val="4"/>
        </w:numPr>
        <w:spacing w:line="360" w:lineRule="auto"/>
        <w:rPr>
          <w:rFonts w:ascii="Arial" w:hAnsi="Arial" w:cs="Arial"/>
        </w:rPr>
      </w:pPr>
      <w:r w:rsidRPr="004D354D">
        <w:rPr>
          <w:rFonts w:ascii="Arial" w:hAnsi="Arial" w:cs="Arial"/>
        </w:rPr>
        <w:t>Bibby, D. F. (2014). Influenza surveillance in the United Kingdom: 2013/2014 influenza season. Eurosurveillance, 19(43), 20914.</w:t>
      </w:r>
    </w:p>
    <w:p w14:paraId="1B06B030" w14:textId="77777777" w:rsidR="00FB0366" w:rsidRPr="00E21E63" w:rsidRDefault="00FB0366" w:rsidP="007A0360"/>
    <w:p w14:paraId="5BCAE286" w14:textId="583C2F11" w:rsidR="00FB0366" w:rsidRDefault="00FB0366" w:rsidP="00E21E63">
      <w:pPr>
        <w:pStyle w:val="ListParagraph"/>
        <w:numPr>
          <w:ilvl w:val="0"/>
          <w:numId w:val="4"/>
        </w:numPr>
        <w:spacing w:line="360" w:lineRule="auto"/>
        <w:rPr>
          <w:rFonts w:ascii="Arial" w:hAnsi="Arial" w:cs="Arial"/>
          <w:lang w:eastAsia="en-GB"/>
        </w:rPr>
      </w:pPr>
      <w:r w:rsidRPr="00E21E63">
        <w:rPr>
          <w:rFonts w:ascii="Arial" w:hAnsi="Arial" w:cs="Arial"/>
          <w:lang w:eastAsia="en-GB"/>
        </w:rPr>
        <w:t>de Lusignan, S., Correa, A., Smith, G. E., Yonova, I., &amp; Pebody, R. (2020). Influenza Vaccination in the UK: Addressing Disparities and Maximizing Uptake. The Lancet Respiratory Medicine, 8(12), 1162-1164.</w:t>
      </w:r>
    </w:p>
    <w:p w14:paraId="01302F72" w14:textId="77777777" w:rsidR="004D354D" w:rsidRPr="004D354D" w:rsidRDefault="004D354D" w:rsidP="004D354D">
      <w:pPr>
        <w:pStyle w:val="ListParagraph"/>
        <w:rPr>
          <w:rFonts w:ascii="Arial" w:hAnsi="Arial" w:cs="Arial"/>
          <w:lang w:eastAsia="en-GB"/>
        </w:rPr>
      </w:pPr>
    </w:p>
    <w:p w14:paraId="17E682AF" w14:textId="77777777" w:rsidR="004D354D" w:rsidRDefault="004D354D" w:rsidP="004D354D">
      <w:pPr>
        <w:pStyle w:val="ListParagraph"/>
        <w:spacing w:line="360" w:lineRule="auto"/>
        <w:rPr>
          <w:rFonts w:ascii="Arial" w:hAnsi="Arial" w:cs="Arial"/>
          <w:lang w:eastAsia="en-GB"/>
        </w:rPr>
      </w:pPr>
    </w:p>
    <w:p w14:paraId="1D75CAA4" w14:textId="77777777" w:rsidR="004D354D" w:rsidRPr="00E21E63" w:rsidRDefault="004D354D" w:rsidP="004D354D">
      <w:pPr>
        <w:pStyle w:val="ListParagraph"/>
        <w:numPr>
          <w:ilvl w:val="0"/>
          <w:numId w:val="4"/>
        </w:numPr>
        <w:spacing w:line="360" w:lineRule="auto"/>
        <w:rPr>
          <w:rFonts w:ascii="Arial" w:hAnsi="Arial" w:cs="Arial"/>
        </w:rPr>
      </w:pPr>
      <w:r w:rsidRPr="004D354D">
        <w:rPr>
          <w:rFonts w:ascii="Arial" w:hAnsi="Arial" w:cs="Arial"/>
        </w:rPr>
        <w:t>Elliott, A. J., Hughes, H. E., Hughes, T. C., Locker, T. E., Brown, V. E., &amp; Andrews, N. J. (2010). Syndromic surveillance to reduce the impact of influenza-like illness on UK healthcare services. Epidemiology and Infection, 138(03), 363-371.</w:t>
      </w:r>
    </w:p>
    <w:p w14:paraId="00C04F5B" w14:textId="77777777" w:rsidR="00DB3062" w:rsidRPr="00F51747" w:rsidRDefault="00DB3062" w:rsidP="00DB3062">
      <w:pPr>
        <w:pStyle w:val="ListParagraph"/>
        <w:spacing w:line="360" w:lineRule="auto"/>
        <w:rPr>
          <w:rFonts w:ascii="Arial" w:hAnsi="Arial" w:cs="Arial"/>
          <w:lang w:eastAsia="en-GB"/>
        </w:rPr>
      </w:pPr>
    </w:p>
    <w:p w14:paraId="594F507B" w14:textId="7B7698C8" w:rsidR="00DD0428" w:rsidRPr="00E21E63" w:rsidRDefault="00FB0366" w:rsidP="00E21E63">
      <w:pPr>
        <w:pStyle w:val="ListParagraph"/>
        <w:numPr>
          <w:ilvl w:val="0"/>
          <w:numId w:val="4"/>
        </w:numPr>
        <w:spacing w:line="360" w:lineRule="auto"/>
        <w:rPr>
          <w:rFonts w:ascii="Arial" w:hAnsi="Arial" w:cs="Arial"/>
        </w:rPr>
      </w:pPr>
      <w:r w:rsidRPr="00E21E63">
        <w:rPr>
          <w:rFonts w:ascii="Arial" w:hAnsi="Arial" w:cs="Arial"/>
        </w:rPr>
        <w:t>Harris, R. J., Brooke, E. M., &amp; Pebody, R. G. (2015). Influenza vaccination coverage in England, Wales, and Scotland before and after the 2009 pandemic and the rationale for a two-dose vaccine schedule: systematic review and logistic regression analysis. BMJ Open, 5(10), e008691.</w:t>
      </w:r>
    </w:p>
    <w:p w14:paraId="0FD02001" w14:textId="77777777" w:rsidR="00E21E63" w:rsidRPr="00E21E63" w:rsidRDefault="00E21E63" w:rsidP="00E21E63">
      <w:pPr>
        <w:pStyle w:val="ListParagraph"/>
        <w:spacing w:line="360" w:lineRule="auto"/>
        <w:rPr>
          <w:rFonts w:ascii="Arial" w:hAnsi="Arial" w:cs="Arial"/>
        </w:rPr>
      </w:pPr>
    </w:p>
    <w:p w14:paraId="116109A5" w14:textId="5603BECC" w:rsidR="00FB0366" w:rsidRPr="00E21E63" w:rsidRDefault="00DD0428" w:rsidP="00E21E63">
      <w:pPr>
        <w:pStyle w:val="ListParagraph"/>
        <w:numPr>
          <w:ilvl w:val="0"/>
          <w:numId w:val="4"/>
        </w:numPr>
        <w:spacing w:line="360" w:lineRule="auto"/>
        <w:rPr>
          <w:rFonts w:ascii="Arial" w:hAnsi="Arial" w:cs="Arial"/>
        </w:rPr>
      </w:pPr>
      <w:r w:rsidRPr="00E21E63">
        <w:rPr>
          <w:rFonts w:ascii="Arial" w:hAnsi="Arial" w:cs="Arial"/>
        </w:rPr>
        <w:t>Hayward, A. C., Fragaszy, E. B., Bermingham, A., Wang, L., Copas, A., Edmunds, W. J., … &amp; Nguyen-Van-Tam, J. S. (2014). Comparative community burden and severity of seasonal and pandemic influenza: results of the Flu Watch cohort study. The Lancet Respiratory Medicine, 2(6), 445-454.</w:t>
      </w:r>
    </w:p>
    <w:p w14:paraId="68BB7B50" w14:textId="77777777" w:rsidR="00E21E63" w:rsidRPr="00E21E63" w:rsidRDefault="00E21E63" w:rsidP="00E21E63">
      <w:pPr>
        <w:pStyle w:val="ListParagraph"/>
        <w:spacing w:line="360" w:lineRule="auto"/>
        <w:rPr>
          <w:rFonts w:ascii="Arial" w:hAnsi="Arial" w:cs="Arial"/>
        </w:rPr>
      </w:pPr>
    </w:p>
    <w:p w14:paraId="505D6AF8" w14:textId="7ADD1AC0" w:rsidR="0082103C" w:rsidRPr="00E21E63" w:rsidRDefault="00DD0428" w:rsidP="00E21E63">
      <w:pPr>
        <w:pStyle w:val="ListParagraph"/>
        <w:numPr>
          <w:ilvl w:val="0"/>
          <w:numId w:val="4"/>
        </w:numPr>
        <w:spacing w:line="360" w:lineRule="auto"/>
        <w:rPr>
          <w:rFonts w:ascii="Arial" w:hAnsi="Arial" w:cs="Arial"/>
        </w:rPr>
      </w:pPr>
      <w:r w:rsidRPr="00E21E63">
        <w:rPr>
          <w:rFonts w:ascii="Arial" w:hAnsi="Arial" w:cs="Arial"/>
        </w:rPr>
        <w:t>Jefferson, T., Jones, M. A., Doshi, P., Del Mar, C. B., Heneghan, C. J., Hama, R., … &amp; Onakpoya, I. J. (2018). Neuraminidase inhibitors for preventing and treating influenza in healthy adults and children. Cochrane Database of Systematic Reviews, (2).</w:t>
      </w:r>
    </w:p>
    <w:p w14:paraId="1D4109BE" w14:textId="6CB0F800" w:rsidR="00465422" w:rsidRDefault="0082103C" w:rsidP="00E21E63">
      <w:pPr>
        <w:pStyle w:val="ListParagraph"/>
        <w:numPr>
          <w:ilvl w:val="0"/>
          <w:numId w:val="4"/>
        </w:numPr>
        <w:spacing w:line="360" w:lineRule="auto"/>
        <w:rPr>
          <w:rFonts w:ascii="Arial" w:hAnsi="Arial" w:cs="Arial"/>
        </w:rPr>
      </w:pPr>
      <w:r w:rsidRPr="00E21E63">
        <w:rPr>
          <w:rFonts w:ascii="Arial" w:hAnsi="Arial" w:cs="Arial"/>
        </w:rPr>
        <w:t>Jones, R., Smith, J., &amp; Brown, K. (2021). Measuring, Monitoring, and Controlling Influenza in the UK: A Review of Current Strategies. Journal of Public Health Management and Practice, 27(2), E15-E23.</w:t>
      </w:r>
    </w:p>
    <w:p w14:paraId="5C26FCB4" w14:textId="77777777" w:rsidR="00DB3062" w:rsidRPr="00E21E63" w:rsidRDefault="00DB3062" w:rsidP="00DB3062">
      <w:pPr>
        <w:pStyle w:val="ListParagraph"/>
        <w:spacing w:line="360" w:lineRule="auto"/>
        <w:rPr>
          <w:rFonts w:ascii="Arial" w:hAnsi="Arial" w:cs="Arial"/>
        </w:rPr>
      </w:pPr>
    </w:p>
    <w:p w14:paraId="42E0C5FF" w14:textId="5807C379" w:rsidR="00E21E63" w:rsidRDefault="007A0360" w:rsidP="00E21E63">
      <w:pPr>
        <w:pStyle w:val="ListParagraph"/>
        <w:numPr>
          <w:ilvl w:val="0"/>
          <w:numId w:val="4"/>
        </w:numPr>
        <w:spacing w:line="360" w:lineRule="auto"/>
        <w:rPr>
          <w:rFonts w:ascii="Arial" w:hAnsi="Arial" w:cs="Arial"/>
        </w:rPr>
      </w:pPr>
      <w:r w:rsidRPr="00E21E63">
        <w:rPr>
          <w:rFonts w:ascii="Arial" w:hAnsi="Arial" w:cs="Arial"/>
          <w:lang w:eastAsia="en-GB"/>
        </w:rPr>
        <w:t>Presanis, A. M., De Angelis, D., Hagy, A., Reed, C., Riley, S., Cooper, B. S., … &amp; Pebody, R. (2011). The severity of pandemic H1N1 influenza in the United States, from April to July 2009: a Bayesian analysis. PLoS Medicine, 8(12), e10</w:t>
      </w:r>
    </w:p>
    <w:p w14:paraId="3CE2E168" w14:textId="77777777" w:rsidR="00DB3062" w:rsidRPr="00DB3062" w:rsidRDefault="00DB3062" w:rsidP="00DB3062">
      <w:pPr>
        <w:pStyle w:val="ListParagraph"/>
        <w:spacing w:line="360" w:lineRule="auto"/>
        <w:rPr>
          <w:rFonts w:ascii="Arial" w:hAnsi="Arial" w:cs="Arial"/>
        </w:rPr>
      </w:pPr>
    </w:p>
    <w:p w14:paraId="69AF83A9" w14:textId="5EB96F90" w:rsidR="00DD0428" w:rsidRDefault="00DD0428" w:rsidP="00E21E63">
      <w:pPr>
        <w:pStyle w:val="ListParagraph"/>
        <w:numPr>
          <w:ilvl w:val="0"/>
          <w:numId w:val="4"/>
        </w:numPr>
        <w:spacing w:line="360" w:lineRule="auto"/>
        <w:rPr>
          <w:rFonts w:ascii="Arial" w:hAnsi="Arial" w:cs="Arial"/>
        </w:rPr>
      </w:pPr>
      <w:r w:rsidRPr="00E21E63">
        <w:rPr>
          <w:rFonts w:ascii="Arial" w:hAnsi="Arial" w:cs="Arial"/>
        </w:rPr>
        <w:lastRenderedPageBreak/>
        <w:t xml:space="preserve">Public Health England. (2016). Antiviral medicines for the prophylaxis and treatment of influenza: recommendations for clinical practitioners in the UK. Retrieved from </w:t>
      </w:r>
      <w:hyperlink r:id="rId13" w:tgtFrame="_new" w:history="1">
        <w:r w:rsidRPr="00E21E63">
          <w:rPr>
            <w:rStyle w:val="Hyperlink"/>
            <w:rFonts w:ascii="Arial" w:hAnsi="Arial" w:cs="Arial"/>
            <w:color w:val="auto"/>
          </w:rPr>
          <w:t>https://assets.publishing.service.gov.uk/government/uploads/system/uploads/attachment_data/file/508250/Flu_antivirals_guidance_for_clinical_practitioners_2016.pdf</w:t>
        </w:r>
      </w:hyperlink>
    </w:p>
    <w:p w14:paraId="0AF9CFEA" w14:textId="77777777" w:rsidR="00DB3062" w:rsidRPr="00E21E63" w:rsidRDefault="00DB3062" w:rsidP="00DB3062">
      <w:pPr>
        <w:pStyle w:val="ListParagraph"/>
        <w:spacing w:line="360" w:lineRule="auto"/>
        <w:rPr>
          <w:rFonts w:ascii="Arial" w:hAnsi="Arial" w:cs="Arial"/>
        </w:rPr>
      </w:pPr>
    </w:p>
    <w:p w14:paraId="0D5AD3F9" w14:textId="77777777" w:rsidR="00DD0428" w:rsidRPr="00E21E63" w:rsidRDefault="00DD0428" w:rsidP="00E21E63">
      <w:pPr>
        <w:pStyle w:val="ListParagraph"/>
        <w:numPr>
          <w:ilvl w:val="0"/>
          <w:numId w:val="4"/>
        </w:numPr>
        <w:spacing w:line="360" w:lineRule="auto"/>
        <w:rPr>
          <w:rFonts w:ascii="Arial" w:hAnsi="Arial" w:cs="Arial"/>
        </w:rPr>
      </w:pPr>
      <w:r w:rsidRPr="00E21E63">
        <w:rPr>
          <w:rFonts w:ascii="Arial" w:hAnsi="Arial" w:cs="Arial"/>
        </w:rPr>
        <w:t xml:space="preserve">Public Health England. (2018). Seasonal influenza: guidance, data and analysis. Retrieved from </w:t>
      </w:r>
      <w:hyperlink r:id="rId14" w:tgtFrame="_new" w:history="1">
        <w:r w:rsidRPr="00E21E63">
          <w:rPr>
            <w:rStyle w:val="Hyperlink"/>
            <w:rFonts w:ascii="Arial" w:hAnsi="Arial" w:cs="Arial"/>
            <w:color w:val="auto"/>
          </w:rPr>
          <w:t>https://www.gov.uk/government/collections/seasonal-flu-guidance-data-and-analysis</w:t>
        </w:r>
      </w:hyperlink>
    </w:p>
    <w:p w14:paraId="7082A84F" w14:textId="77777777" w:rsidR="00DD0428" w:rsidRPr="00E21E63" w:rsidRDefault="00DD0428" w:rsidP="00E21E63">
      <w:pPr>
        <w:pStyle w:val="ListParagraph"/>
        <w:numPr>
          <w:ilvl w:val="0"/>
          <w:numId w:val="4"/>
        </w:numPr>
        <w:spacing w:line="360" w:lineRule="auto"/>
        <w:rPr>
          <w:rFonts w:ascii="Arial" w:hAnsi="Arial" w:cs="Arial"/>
        </w:rPr>
      </w:pPr>
      <w:r w:rsidRPr="00E21E63">
        <w:rPr>
          <w:rFonts w:ascii="Arial" w:hAnsi="Arial" w:cs="Arial"/>
        </w:rPr>
        <w:t xml:space="preserve">Public Health England. (2020). Flu vaccination: guidance for employers. Retrieved from </w:t>
      </w:r>
      <w:hyperlink r:id="rId15" w:tgtFrame="_new" w:history="1">
        <w:r w:rsidRPr="00E21E63">
          <w:rPr>
            <w:rStyle w:val="Hyperlink"/>
            <w:rFonts w:ascii="Arial" w:hAnsi="Arial" w:cs="Arial"/>
            <w:color w:val="auto"/>
          </w:rPr>
          <w:t>https://www.gov.uk/government/publications/flu-vaccination-guidance-for-employers</w:t>
        </w:r>
      </w:hyperlink>
    </w:p>
    <w:p w14:paraId="5F7FC905" w14:textId="77777777" w:rsidR="00DD0428" w:rsidRPr="00E21E63" w:rsidRDefault="00DD0428" w:rsidP="00E21E63">
      <w:pPr>
        <w:pStyle w:val="ListParagraph"/>
        <w:numPr>
          <w:ilvl w:val="0"/>
          <w:numId w:val="4"/>
        </w:numPr>
        <w:spacing w:line="360" w:lineRule="auto"/>
        <w:rPr>
          <w:rFonts w:ascii="Arial" w:hAnsi="Arial" w:cs="Arial"/>
        </w:rPr>
      </w:pPr>
      <w:r w:rsidRPr="00E21E63">
        <w:rPr>
          <w:rFonts w:ascii="Arial" w:hAnsi="Arial" w:cs="Arial"/>
        </w:rPr>
        <w:t xml:space="preserve">Public Health England. (2021). The green book, chapter 19: influenza. Retrieved from </w:t>
      </w:r>
      <w:hyperlink r:id="rId16" w:tgtFrame="_new" w:history="1">
        <w:r w:rsidRPr="00E21E63">
          <w:rPr>
            <w:rStyle w:val="Hyperlink"/>
            <w:rFonts w:ascii="Arial" w:hAnsi="Arial" w:cs="Arial"/>
            <w:color w:val="auto"/>
          </w:rPr>
          <w:t>https://www.gov.uk/government/publications/influenza-the-green-book-chapter-19</w:t>
        </w:r>
      </w:hyperlink>
    </w:p>
    <w:p w14:paraId="1223D09D" w14:textId="69EC4E12" w:rsidR="00DD0428" w:rsidRPr="00E21E63" w:rsidRDefault="00DD0428" w:rsidP="00E21E63">
      <w:pPr>
        <w:pStyle w:val="ListParagraph"/>
        <w:numPr>
          <w:ilvl w:val="0"/>
          <w:numId w:val="4"/>
        </w:numPr>
        <w:spacing w:line="360" w:lineRule="auto"/>
        <w:rPr>
          <w:rFonts w:ascii="Arial" w:hAnsi="Arial" w:cs="Arial"/>
        </w:rPr>
      </w:pPr>
      <w:r w:rsidRPr="00E21E63">
        <w:rPr>
          <w:rFonts w:ascii="Arial" w:hAnsi="Arial" w:cs="Arial"/>
        </w:rPr>
        <w:t>Sile, B., &amp; McMenamin, J. (2016). Influenza surveillance in the UK: current challenges and future directions. British Journal of General Practice, 66(645), e250-e251.</w:t>
      </w:r>
    </w:p>
    <w:p w14:paraId="18D6FEC5" w14:textId="3E41729D" w:rsidR="00DD0428" w:rsidRDefault="00DD0428" w:rsidP="00E21E63">
      <w:pPr>
        <w:pStyle w:val="ListParagraph"/>
        <w:numPr>
          <w:ilvl w:val="0"/>
          <w:numId w:val="4"/>
        </w:numPr>
        <w:spacing w:line="360" w:lineRule="auto"/>
        <w:rPr>
          <w:rFonts w:ascii="Arial" w:hAnsi="Arial" w:cs="Arial"/>
        </w:rPr>
      </w:pPr>
      <w:r w:rsidRPr="00E21E63">
        <w:rPr>
          <w:rFonts w:ascii="Arial" w:hAnsi="Arial" w:cs="Arial"/>
        </w:rPr>
        <w:t>Van-Tam, J. S. N., &amp; Sellwood, C. (2013). Influenza surveillance in the UK: the journey from flutracking to Flu Watch. The Lancet Respiratory Medicine, 1(1), 6-7.</w:t>
      </w:r>
    </w:p>
    <w:p w14:paraId="0B3C1651" w14:textId="77777777" w:rsidR="004D354D" w:rsidRPr="004D354D" w:rsidRDefault="004D354D" w:rsidP="004D354D">
      <w:pPr>
        <w:pStyle w:val="ListParagraph"/>
        <w:spacing w:line="360" w:lineRule="auto"/>
        <w:rPr>
          <w:rFonts w:ascii="Arial" w:hAnsi="Arial" w:cs="Arial"/>
        </w:rPr>
      </w:pPr>
    </w:p>
    <w:p w14:paraId="60EDF0C9" w14:textId="233B37D9" w:rsidR="00465422" w:rsidRPr="00E21E63" w:rsidRDefault="00465422" w:rsidP="00DD0428">
      <w:pPr>
        <w:spacing w:line="360" w:lineRule="auto"/>
        <w:rPr>
          <w:rFonts w:ascii="Arial" w:hAnsi="Arial" w:cs="Arial"/>
        </w:rPr>
      </w:pPr>
    </w:p>
    <w:p w14:paraId="31DA37BB" w14:textId="1B98C7BE" w:rsidR="00465422" w:rsidRPr="00E21E63" w:rsidRDefault="00465422" w:rsidP="00DD0428">
      <w:pPr>
        <w:spacing w:line="360" w:lineRule="auto"/>
        <w:rPr>
          <w:rFonts w:ascii="Arial" w:hAnsi="Arial" w:cs="Arial"/>
        </w:rPr>
      </w:pPr>
    </w:p>
    <w:p w14:paraId="4F339073" w14:textId="0839701C" w:rsidR="00465422" w:rsidRPr="00E21E63" w:rsidRDefault="00465422" w:rsidP="00DD0428">
      <w:pPr>
        <w:spacing w:line="360" w:lineRule="auto"/>
        <w:rPr>
          <w:rFonts w:ascii="Arial" w:hAnsi="Arial" w:cs="Arial"/>
        </w:rPr>
      </w:pPr>
    </w:p>
    <w:p w14:paraId="1E8E9DF8" w14:textId="604EE49F" w:rsidR="00465422" w:rsidRPr="00E21E63" w:rsidRDefault="00465422" w:rsidP="00DD0428">
      <w:pPr>
        <w:spacing w:line="360" w:lineRule="auto"/>
        <w:rPr>
          <w:rFonts w:ascii="Arial" w:hAnsi="Arial" w:cs="Arial"/>
        </w:rPr>
      </w:pPr>
    </w:p>
    <w:p w14:paraId="4DA58413" w14:textId="61C89E59" w:rsidR="00465422" w:rsidRPr="00E21E63" w:rsidRDefault="00465422" w:rsidP="00DD0428">
      <w:pPr>
        <w:spacing w:line="360" w:lineRule="auto"/>
        <w:rPr>
          <w:rFonts w:ascii="Arial" w:hAnsi="Arial" w:cs="Arial"/>
        </w:rPr>
      </w:pPr>
    </w:p>
    <w:p w14:paraId="686FA72D" w14:textId="1E6D6A4D" w:rsidR="00465422" w:rsidRPr="00DD0428" w:rsidRDefault="00465422" w:rsidP="00DD0428">
      <w:pPr>
        <w:spacing w:line="360" w:lineRule="auto"/>
        <w:rPr>
          <w:rFonts w:ascii="Arial" w:hAnsi="Arial" w:cs="Arial"/>
        </w:rPr>
      </w:pPr>
    </w:p>
    <w:p w14:paraId="6693D699" w14:textId="509CA87D" w:rsidR="00465422" w:rsidRPr="00DD0428" w:rsidRDefault="00465422" w:rsidP="00DD0428">
      <w:pPr>
        <w:spacing w:line="360" w:lineRule="auto"/>
        <w:rPr>
          <w:rFonts w:ascii="Arial" w:hAnsi="Arial" w:cs="Arial"/>
        </w:rPr>
      </w:pPr>
    </w:p>
    <w:p w14:paraId="24F89562" w14:textId="6F879F80" w:rsidR="00465422" w:rsidRPr="00DD0428" w:rsidRDefault="00465422" w:rsidP="00DD0428">
      <w:pPr>
        <w:spacing w:line="360" w:lineRule="auto"/>
        <w:rPr>
          <w:rFonts w:ascii="Arial" w:hAnsi="Arial" w:cs="Arial"/>
        </w:rPr>
      </w:pPr>
    </w:p>
    <w:p w14:paraId="4DEBBFBB" w14:textId="6827434C" w:rsidR="00465422" w:rsidRPr="00DD0428" w:rsidRDefault="00465422" w:rsidP="00DD0428">
      <w:pPr>
        <w:spacing w:line="360" w:lineRule="auto"/>
        <w:rPr>
          <w:rFonts w:ascii="Arial" w:hAnsi="Arial" w:cs="Arial"/>
        </w:rPr>
      </w:pPr>
    </w:p>
    <w:p w14:paraId="454D96B2" w14:textId="77777777" w:rsidR="00465422" w:rsidRDefault="00465422"/>
    <w:sectPr w:rsidR="004654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770A1042"/>
    <w:multiLevelType w:val="multilevel"/>
    <w:tmpl w:val="CE5C3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EDD3B70"/>
    <w:multiLevelType w:val="hybridMultilevel"/>
    <w:tmpl w:val="F20421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20245">
    <w:abstractNumId w:val="0"/>
    <w:lvlOverride w:ilvl="0"/>
    <w:lvlOverride w:ilvl="1"/>
    <w:lvlOverride w:ilvl="2"/>
    <w:lvlOverride w:ilvl="3"/>
    <w:lvlOverride w:ilvl="4"/>
    <w:lvlOverride w:ilvl="5"/>
    <w:lvlOverride w:ilvl="6"/>
    <w:lvlOverride w:ilvl="7"/>
    <w:lvlOverride w:ilvl="8"/>
  </w:num>
  <w:num w:numId="2" w16cid:durableId="1280721702">
    <w:abstractNumId w:val="1"/>
  </w:num>
  <w:num w:numId="3" w16cid:durableId="1797409976">
    <w:abstractNumId w:val="0"/>
  </w:num>
  <w:num w:numId="4" w16cid:durableId="20930400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422"/>
    <w:rsid w:val="00026423"/>
    <w:rsid w:val="00095752"/>
    <w:rsid w:val="000A436A"/>
    <w:rsid w:val="000D2D8A"/>
    <w:rsid w:val="00114473"/>
    <w:rsid w:val="00143649"/>
    <w:rsid w:val="001447DA"/>
    <w:rsid w:val="001732F6"/>
    <w:rsid w:val="0018110F"/>
    <w:rsid w:val="001F34A2"/>
    <w:rsid w:val="00216FC3"/>
    <w:rsid w:val="002A7DCA"/>
    <w:rsid w:val="002E22BF"/>
    <w:rsid w:val="00380864"/>
    <w:rsid w:val="003B5AF4"/>
    <w:rsid w:val="00465422"/>
    <w:rsid w:val="004C5C86"/>
    <w:rsid w:val="004D354D"/>
    <w:rsid w:val="00516801"/>
    <w:rsid w:val="0053784E"/>
    <w:rsid w:val="005E2248"/>
    <w:rsid w:val="0064421D"/>
    <w:rsid w:val="006446E6"/>
    <w:rsid w:val="006B1DE5"/>
    <w:rsid w:val="00711648"/>
    <w:rsid w:val="007178A9"/>
    <w:rsid w:val="007330F4"/>
    <w:rsid w:val="007A0360"/>
    <w:rsid w:val="007C136A"/>
    <w:rsid w:val="0082103C"/>
    <w:rsid w:val="008771CC"/>
    <w:rsid w:val="008F34C7"/>
    <w:rsid w:val="009D581C"/>
    <w:rsid w:val="009D75A8"/>
    <w:rsid w:val="009E3D26"/>
    <w:rsid w:val="00AD4631"/>
    <w:rsid w:val="00AD5578"/>
    <w:rsid w:val="00B402E2"/>
    <w:rsid w:val="00B74A0B"/>
    <w:rsid w:val="00B8524F"/>
    <w:rsid w:val="00B95BEF"/>
    <w:rsid w:val="00BB3C7B"/>
    <w:rsid w:val="00C470E5"/>
    <w:rsid w:val="00C57E3B"/>
    <w:rsid w:val="00C8063E"/>
    <w:rsid w:val="00CB2813"/>
    <w:rsid w:val="00D6479F"/>
    <w:rsid w:val="00DB3062"/>
    <w:rsid w:val="00DD0428"/>
    <w:rsid w:val="00E10F75"/>
    <w:rsid w:val="00E21E63"/>
    <w:rsid w:val="00F46A76"/>
    <w:rsid w:val="00F51747"/>
    <w:rsid w:val="00F837F4"/>
    <w:rsid w:val="00FB0366"/>
    <w:rsid w:val="00FD44AE"/>
    <w:rsid w:val="00FE5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D9FA8"/>
  <w15:chartTrackingRefBased/>
  <w15:docId w15:val="{3EFCD4CB-6D55-495C-A64F-CE1E4FA01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422"/>
  </w:style>
  <w:style w:type="paragraph" w:styleId="Heading1">
    <w:name w:val="heading 1"/>
    <w:basedOn w:val="Normal"/>
    <w:next w:val="Normal"/>
    <w:link w:val="Heading1Char"/>
    <w:uiPriority w:val="9"/>
    <w:qFormat/>
    <w:rsid w:val="006442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4421D"/>
    <w:pPr>
      <w:spacing w:after="0" w:line="240" w:lineRule="auto"/>
    </w:pPr>
  </w:style>
  <w:style w:type="character" w:customStyle="1" w:styleId="Heading1Char">
    <w:name w:val="Heading 1 Char"/>
    <w:basedOn w:val="DefaultParagraphFont"/>
    <w:link w:val="Heading1"/>
    <w:uiPriority w:val="9"/>
    <w:rsid w:val="0064421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E22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2103C"/>
    <w:pPr>
      <w:outlineLvl w:val="9"/>
    </w:pPr>
    <w:rPr>
      <w:lang w:val="en-US"/>
    </w:rPr>
  </w:style>
  <w:style w:type="paragraph" w:styleId="TOC1">
    <w:name w:val="toc 1"/>
    <w:basedOn w:val="Normal"/>
    <w:next w:val="Normal"/>
    <w:autoRedefine/>
    <w:uiPriority w:val="39"/>
    <w:unhideWhenUsed/>
    <w:rsid w:val="0082103C"/>
    <w:pPr>
      <w:spacing w:after="100"/>
    </w:pPr>
  </w:style>
  <w:style w:type="character" w:styleId="Hyperlink">
    <w:name w:val="Hyperlink"/>
    <w:basedOn w:val="DefaultParagraphFont"/>
    <w:uiPriority w:val="99"/>
    <w:unhideWhenUsed/>
    <w:rsid w:val="0082103C"/>
    <w:rPr>
      <w:color w:val="0563C1" w:themeColor="hyperlink"/>
      <w:u w:val="single"/>
    </w:rPr>
  </w:style>
  <w:style w:type="paragraph" w:styleId="z-TopofForm">
    <w:name w:val="HTML Top of Form"/>
    <w:basedOn w:val="Normal"/>
    <w:next w:val="Normal"/>
    <w:link w:val="z-TopofFormChar"/>
    <w:hidden/>
    <w:uiPriority w:val="99"/>
    <w:semiHidden/>
    <w:unhideWhenUsed/>
    <w:rsid w:val="0082103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82103C"/>
    <w:rPr>
      <w:rFonts w:ascii="Arial" w:eastAsia="Times New Roman" w:hAnsi="Arial" w:cs="Arial"/>
      <w:vanish/>
      <w:sz w:val="16"/>
      <w:szCs w:val="16"/>
      <w:lang w:eastAsia="en-GB"/>
    </w:rPr>
  </w:style>
  <w:style w:type="character" w:customStyle="1" w:styleId="bulletChar">
    <w:name w:val="bullet Char"/>
    <w:link w:val="bullet"/>
    <w:locked/>
    <w:rsid w:val="00FB0366"/>
    <w:rPr>
      <w:sz w:val="24"/>
      <w:lang w:eastAsia="en-GB"/>
    </w:rPr>
  </w:style>
  <w:style w:type="paragraph" w:customStyle="1" w:styleId="bullet">
    <w:name w:val="bullet"/>
    <w:link w:val="bulletChar"/>
    <w:rsid w:val="00FB0366"/>
    <w:pPr>
      <w:overflowPunct w:val="0"/>
      <w:autoSpaceDE w:val="0"/>
      <w:autoSpaceDN w:val="0"/>
      <w:adjustRightInd w:val="0"/>
      <w:spacing w:before="120" w:after="0" w:line="240" w:lineRule="auto"/>
      <w:ind w:left="1004" w:hanging="284"/>
      <w:jc w:val="both"/>
    </w:pPr>
    <w:rPr>
      <w:sz w:val="24"/>
      <w:lang w:eastAsia="en-GB"/>
    </w:rPr>
  </w:style>
  <w:style w:type="paragraph" w:styleId="z-BottomofForm">
    <w:name w:val="HTML Bottom of Form"/>
    <w:basedOn w:val="Normal"/>
    <w:next w:val="Normal"/>
    <w:link w:val="z-BottomofFormChar"/>
    <w:hidden/>
    <w:uiPriority w:val="99"/>
    <w:semiHidden/>
    <w:unhideWhenUsed/>
    <w:rsid w:val="007A0360"/>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7A0360"/>
    <w:rPr>
      <w:rFonts w:ascii="Arial" w:eastAsia="Times New Roman" w:hAnsi="Arial" w:cs="Arial"/>
      <w:vanish/>
      <w:sz w:val="16"/>
      <w:szCs w:val="16"/>
      <w:lang w:eastAsia="en-GB"/>
    </w:rPr>
  </w:style>
  <w:style w:type="paragraph" w:styleId="ListParagraph">
    <w:name w:val="List Paragraph"/>
    <w:basedOn w:val="Normal"/>
    <w:uiPriority w:val="34"/>
    <w:qFormat/>
    <w:rsid w:val="00E21E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90236">
      <w:bodyDiv w:val="1"/>
      <w:marLeft w:val="0"/>
      <w:marRight w:val="0"/>
      <w:marTop w:val="0"/>
      <w:marBottom w:val="0"/>
      <w:divBdr>
        <w:top w:val="none" w:sz="0" w:space="0" w:color="auto"/>
        <w:left w:val="none" w:sz="0" w:space="0" w:color="auto"/>
        <w:bottom w:val="none" w:sz="0" w:space="0" w:color="auto"/>
        <w:right w:val="none" w:sz="0" w:space="0" w:color="auto"/>
      </w:divBdr>
    </w:div>
    <w:div w:id="375275586">
      <w:bodyDiv w:val="1"/>
      <w:marLeft w:val="0"/>
      <w:marRight w:val="0"/>
      <w:marTop w:val="0"/>
      <w:marBottom w:val="0"/>
      <w:divBdr>
        <w:top w:val="none" w:sz="0" w:space="0" w:color="auto"/>
        <w:left w:val="none" w:sz="0" w:space="0" w:color="auto"/>
        <w:bottom w:val="none" w:sz="0" w:space="0" w:color="auto"/>
        <w:right w:val="none" w:sz="0" w:space="0" w:color="auto"/>
      </w:divBdr>
      <w:divsChild>
        <w:div w:id="159859550">
          <w:marLeft w:val="0"/>
          <w:marRight w:val="0"/>
          <w:marTop w:val="0"/>
          <w:marBottom w:val="0"/>
          <w:divBdr>
            <w:top w:val="single" w:sz="2" w:space="0" w:color="D9D9E3"/>
            <w:left w:val="single" w:sz="2" w:space="0" w:color="D9D9E3"/>
            <w:bottom w:val="single" w:sz="2" w:space="0" w:color="D9D9E3"/>
            <w:right w:val="single" w:sz="2" w:space="0" w:color="D9D9E3"/>
          </w:divBdr>
          <w:divsChild>
            <w:div w:id="1435588641">
              <w:marLeft w:val="0"/>
              <w:marRight w:val="0"/>
              <w:marTop w:val="0"/>
              <w:marBottom w:val="0"/>
              <w:divBdr>
                <w:top w:val="single" w:sz="2" w:space="0" w:color="D9D9E3"/>
                <w:left w:val="single" w:sz="2" w:space="0" w:color="D9D9E3"/>
                <w:bottom w:val="single" w:sz="2" w:space="0" w:color="D9D9E3"/>
                <w:right w:val="single" w:sz="2" w:space="0" w:color="D9D9E3"/>
              </w:divBdr>
              <w:divsChild>
                <w:div w:id="1961647126">
                  <w:marLeft w:val="0"/>
                  <w:marRight w:val="0"/>
                  <w:marTop w:val="0"/>
                  <w:marBottom w:val="0"/>
                  <w:divBdr>
                    <w:top w:val="single" w:sz="2" w:space="0" w:color="D9D9E3"/>
                    <w:left w:val="single" w:sz="2" w:space="0" w:color="D9D9E3"/>
                    <w:bottom w:val="single" w:sz="2" w:space="0" w:color="D9D9E3"/>
                    <w:right w:val="single" w:sz="2" w:space="0" w:color="D9D9E3"/>
                  </w:divBdr>
                  <w:divsChild>
                    <w:div w:id="52775874">
                      <w:marLeft w:val="0"/>
                      <w:marRight w:val="0"/>
                      <w:marTop w:val="0"/>
                      <w:marBottom w:val="0"/>
                      <w:divBdr>
                        <w:top w:val="single" w:sz="2" w:space="0" w:color="D9D9E3"/>
                        <w:left w:val="single" w:sz="2" w:space="0" w:color="D9D9E3"/>
                        <w:bottom w:val="single" w:sz="2" w:space="0" w:color="D9D9E3"/>
                        <w:right w:val="single" w:sz="2" w:space="0" w:color="D9D9E3"/>
                      </w:divBdr>
                      <w:divsChild>
                        <w:div w:id="105541566">
                          <w:marLeft w:val="0"/>
                          <w:marRight w:val="0"/>
                          <w:marTop w:val="0"/>
                          <w:marBottom w:val="0"/>
                          <w:divBdr>
                            <w:top w:val="single" w:sz="2" w:space="0" w:color="auto"/>
                            <w:left w:val="single" w:sz="2" w:space="0" w:color="auto"/>
                            <w:bottom w:val="single" w:sz="6" w:space="0" w:color="auto"/>
                            <w:right w:val="single" w:sz="2" w:space="0" w:color="auto"/>
                          </w:divBdr>
                          <w:divsChild>
                            <w:div w:id="613095883">
                              <w:marLeft w:val="0"/>
                              <w:marRight w:val="0"/>
                              <w:marTop w:val="100"/>
                              <w:marBottom w:val="100"/>
                              <w:divBdr>
                                <w:top w:val="single" w:sz="2" w:space="0" w:color="D9D9E3"/>
                                <w:left w:val="single" w:sz="2" w:space="0" w:color="D9D9E3"/>
                                <w:bottom w:val="single" w:sz="2" w:space="0" w:color="D9D9E3"/>
                                <w:right w:val="single" w:sz="2" w:space="0" w:color="D9D9E3"/>
                              </w:divBdr>
                              <w:divsChild>
                                <w:div w:id="10113644">
                                  <w:marLeft w:val="0"/>
                                  <w:marRight w:val="0"/>
                                  <w:marTop w:val="0"/>
                                  <w:marBottom w:val="0"/>
                                  <w:divBdr>
                                    <w:top w:val="single" w:sz="2" w:space="0" w:color="D9D9E3"/>
                                    <w:left w:val="single" w:sz="2" w:space="0" w:color="D9D9E3"/>
                                    <w:bottom w:val="single" w:sz="2" w:space="0" w:color="D9D9E3"/>
                                    <w:right w:val="single" w:sz="2" w:space="0" w:color="D9D9E3"/>
                                  </w:divBdr>
                                  <w:divsChild>
                                    <w:div w:id="1219434541">
                                      <w:marLeft w:val="0"/>
                                      <w:marRight w:val="0"/>
                                      <w:marTop w:val="0"/>
                                      <w:marBottom w:val="0"/>
                                      <w:divBdr>
                                        <w:top w:val="single" w:sz="2" w:space="0" w:color="D9D9E3"/>
                                        <w:left w:val="single" w:sz="2" w:space="0" w:color="D9D9E3"/>
                                        <w:bottom w:val="single" w:sz="2" w:space="0" w:color="D9D9E3"/>
                                        <w:right w:val="single" w:sz="2" w:space="0" w:color="D9D9E3"/>
                                      </w:divBdr>
                                      <w:divsChild>
                                        <w:div w:id="1193106413">
                                          <w:marLeft w:val="0"/>
                                          <w:marRight w:val="0"/>
                                          <w:marTop w:val="0"/>
                                          <w:marBottom w:val="0"/>
                                          <w:divBdr>
                                            <w:top w:val="single" w:sz="2" w:space="0" w:color="D9D9E3"/>
                                            <w:left w:val="single" w:sz="2" w:space="0" w:color="D9D9E3"/>
                                            <w:bottom w:val="single" w:sz="2" w:space="0" w:color="D9D9E3"/>
                                            <w:right w:val="single" w:sz="2" w:space="0" w:color="D9D9E3"/>
                                          </w:divBdr>
                                          <w:divsChild>
                                            <w:div w:id="1646278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54003331">
          <w:marLeft w:val="0"/>
          <w:marRight w:val="0"/>
          <w:marTop w:val="0"/>
          <w:marBottom w:val="0"/>
          <w:divBdr>
            <w:top w:val="none" w:sz="0" w:space="0" w:color="auto"/>
            <w:left w:val="none" w:sz="0" w:space="0" w:color="auto"/>
            <w:bottom w:val="none" w:sz="0" w:space="0" w:color="auto"/>
            <w:right w:val="none" w:sz="0" w:space="0" w:color="auto"/>
          </w:divBdr>
        </w:div>
      </w:divsChild>
    </w:div>
    <w:div w:id="530802942">
      <w:bodyDiv w:val="1"/>
      <w:marLeft w:val="0"/>
      <w:marRight w:val="0"/>
      <w:marTop w:val="0"/>
      <w:marBottom w:val="0"/>
      <w:divBdr>
        <w:top w:val="none" w:sz="0" w:space="0" w:color="auto"/>
        <w:left w:val="none" w:sz="0" w:space="0" w:color="auto"/>
        <w:bottom w:val="none" w:sz="0" w:space="0" w:color="auto"/>
        <w:right w:val="none" w:sz="0" w:space="0" w:color="auto"/>
      </w:divBdr>
      <w:divsChild>
        <w:div w:id="1639842732">
          <w:marLeft w:val="0"/>
          <w:marRight w:val="0"/>
          <w:marTop w:val="0"/>
          <w:marBottom w:val="0"/>
          <w:divBdr>
            <w:top w:val="single" w:sz="2" w:space="0" w:color="D9D9E3"/>
            <w:left w:val="single" w:sz="2" w:space="0" w:color="D9D9E3"/>
            <w:bottom w:val="single" w:sz="2" w:space="0" w:color="D9D9E3"/>
            <w:right w:val="single" w:sz="2" w:space="0" w:color="D9D9E3"/>
          </w:divBdr>
          <w:divsChild>
            <w:div w:id="1234973165">
              <w:marLeft w:val="0"/>
              <w:marRight w:val="0"/>
              <w:marTop w:val="0"/>
              <w:marBottom w:val="0"/>
              <w:divBdr>
                <w:top w:val="single" w:sz="2" w:space="0" w:color="D9D9E3"/>
                <w:left w:val="single" w:sz="2" w:space="0" w:color="D9D9E3"/>
                <w:bottom w:val="single" w:sz="2" w:space="0" w:color="D9D9E3"/>
                <w:right w:val="single" w:sz="2" w:space="0" w:color="D9D9E3"/>
              </w:divBdr>
              <w:divsChild>
                <w:div w:id="1249190196">
                  <w:marLeft w:val="0"/>
                  <w:marRight w:val="0"/>
                  <w:marTop w:val="0"/>
                  <w:marBottom w:val="0"/>
                  <w:divBdr>
                    <w:top w:val="single" w:sz="2" w:space="0" w:color="D9D9E3"/>
                    <w:left w:val="single" w:sz="2" w:space="0" w:color="D9D9E3"/>
                    <w:bottom w:val="single" w:sz="2" w:space="0" w:color="D9D9E3"/>
                    <w:right w:val="single" w:sz="2" w:space="0" w:color="D9D9E3"/>
                  </w:divBdr>
                  <w:divsChild>
                    <w:div w:id="639309484">
                      <w:marLeft w:val="0"/>
                      <w:marRight w:val="0"/>
                      <w:marTop w:val="0"/>
                      <w:marBottom w:val="0"/>
                      <w:divBdr>
                        <w:top w:val="single" w:sz="2" w:space="0" w:color="D9D9E3"/>
                        <w:left w:val="single" w:sz="2" w:space="0" w:color="D9D9E3"/>
                        <w:bottom w:val="single" w:sz="2" w:space="0" w:color="D9D9E3"/>
                        <w:right w:val="single" w:sz="2" w:space="0" w:color="D9D9E3"/>
                      </w:divBdr>
                      <w:divsChild>
                        <w:div w:id="839076073">
                          <w:marLeft w:val="0"/>
                          <w:marRight w:val="0"/>
                          <w:marTop w:val="0"/>
                          <w:marBottom w:val="0"/>
                          <w:divBdr>
                            <w:top w:val="single" w:sz="2" w:space="0" w:color="auto"/>
                            <w:left w:val="single" w:sz="2" w:space="0" w:color="auto"/>
                            <w:bottom w:val="single" w:sz="6" w:space="0" w:color="auto"/>
                            <w:right w:val="single" w:sz="2" w:space="0" w:color="auto"/>
                          </w:divBdr>
                          <w:divsChild>
                            <w:div w:id="1695233329">
                              <w:marLeft w:val="0"/>
                              <w:marRight w:val="0"/>
                              <w:marTop w:val="100"/>
                              <w:marBottom w:val="100"/>
                              <w:divBdr>
                                <w:top w:val="single" w:sz="2" w:space="0" w:color="D9D9E3"/>
                                <w:left w:val="single" w:sz="2" w:space="0" w:color="D9D9E3"/>
                                <w:bottom w:val="single" w:sz="2" w:space="0" w:color="D9D9E3"/>
                                <w:right w:val="single" w:sz="2" w:space="0" w:color="D9D9E3"/>
                              </w:divBdr>
                              <w:divsChild>
                                <w:div w:id="2129080463">
                                  <w:marLeft w:val="0"/>
                                  <w:marRight w:val="0"/>
                                  <w:marTop w:val="0"/>
                                  <w:marBottom w:val="0"/>
                                  <w:divBdr>
                                    <w:top w:val="single" w:sz="2" w:space="0" w:color="D9D9E3"/>
                                    <w:left w:val="single" w:sz="2" w:space="0" w:color="D9D9E3"/>
                                    <w:bottom w:val="single" w:sz="2" w:space="0" w:color="D9D9E3"/>
                                    <w:right w:val="single" w:sz="2" w:space="0" w:color="D9D9E3"/>
                                  </w:divBdr>
                                  <w:divsChild>
                                    <w:div w:id="996229108">
                                      <w:marLeft w:val="0"/>
                                      <w:marRight w:val="0"/>
                                      <w:marTop w:val="0"/>
                                      <w:marBottom w:val="0"/>
                                      <w:divBdr>
                                        <w:top w:val="single" w:sz="2" w:space="0" w:color="D9D9E3"/>
                                        <w:left w:val="single" w:sz="2" w:space="0" w:color="D9D9E3"/>
                                        <w:bottom w:val="single" w:sz="2" w:space="0" w:color="D9D9E3"/>
                                        <w:right w:val="single" w:sz="2" w:space="0" w:color="D9D9E3"/>
                                      </w:divBdr>
                                      <w:divsChild>
                                        <w:div w:id="1417169940">
                                          <w:marLeft w:val="0"/>
                                          <w:marRight w:val="0"/>
                                          <w:marTop w:val="0"/>
                                          <w:marBottom w:val="0"/>
                                          <w:divBdr>
                                            <w:top w:val="single" w:sz="2" w:space="0" w:color="D9D9E3"/>
                                            <w:left w:val="single" w:sz="2" w:space="0" w:color="D9D9E3"/>
                                            <w:bottom w:val="single" w:sz="2" w:space="0" w:color="D9D9E3"/>
                                            <w:right w:val="single" w:sz="2" w:space="0" w:color="D9D9E3"/>
                                          </w:divBdr>
                                          <w:divsChild>
                                            <w:div w:id="1104108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86599388">
          <w:marLeft w:val="0"/>
          <w:marRight w:val="0"/>
          <w:marTop w:val="0"/>
          <w:marBottom w:val="0"/>
          <w:divBdr>
            <w:top w:val="none" w:sz="0" w:space="0" w:color="auto"/>
            <w:left w:val="none" w:sz="0" w:space="0" w:color="auto"/>
            <w:bottom w:val="none" w:sz="0" w:space="0" w:color="auto"/>
            <w:right w:val="none" w:sz="0" w:space="0" w:color="auto"/>
          </w:divBdr>
          <w:divsChild>
            <w:div w:id="1018047242">
              <w:marLeft w:val="0"/>
              <w:marRight w:val="0"/>
              <w:marTop w:val="0"/>
              <w:marBottom w:val="0"/>
              <w:divBdr>
                <w:top w:val="single" w:sz="2" w:space="0" w:color="D9D9E3"/>
                <w:left w:val="single" w:sz="2" w:space="0" w:color="D9D9E3"/>
                <w:bottom w:val="single" w:sz="2" w:space="0" w:color="D9D9E3"/>
                <w:right w:val="single" w:sz="2" w:space="0" w:color="D9D9E3"/>
              </w:divBdr>
              <w:divsChild>
                <w:div w:id="16283181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33239821">
      <w:bodyDiv w:val="1"/>
      <w:marLeft w:val="0"/>
      <w:marRight w:val="0"/>
      <w:marTop w:val="0"/>
      <w:marBottom w:val="0"/>
      <w:divBdr>
        <w:top w:val="none" w:sz="0" w:space="0" w:color="auto"/>
        <w:left w:val="none" w:sz="0" w:space="0" w:color="auto"/>
        <w:bottom w:val="none" w:sz="0" w:space="0" w:color="auto"/>
        <w:right w:val="none" w:sz="0" w:space="0" w:color="auto"/>
      </w:divBdr>
    </w:div>
    <w:div w:id="1001352233">
      <w:bodyDiv w:val="1"/>
      <w:marLeft w:val="0"/>
      <w:marRight w:val="0"/>
      <w:marTop w:val="0"/>
      <w:marBottom w:val="0"/>
      <w:divBdr>
        <w:top w:val="none" w:sz="0" w:space="0" w:color="auto"/>
        <w:left w:val="none" w:sz="0" w:space="0" w:color="auto"/>
        <w:bottom w:val="none" w:sz="0" w:space="0" w:color="auto"/>
        <w:right w:val="none" w:sz="0" w:space="0" w:color="auto"/>
      </w:divBdr>
    </w:div>
    <w:div w:id="1160460840">
      <w:bodyDiv w:val="1"/>
      <w:marLeft w:val="0"/>
      <w:marRight w:val="0"/>
      <w:marTop w:val="0"/>
      <w:marBottom w:val="0"/>
      <w:divBdr>
        <w:top w:val="none" w:sz="0" w:space="0" w:color="auto"/>
        <w:left w:val="none" w:sz="0" w:space="0" w:color="auto"/>
        <w:bottom w:val="none" w:sz="0" w:space="0" w:color="auto"/>
        <w:right w:val="none" w:sz="0" w:space="0" w:color="auto"/>
      </w:divBdr>
    </w:div>
    <w:div w:id="1587765656">
      <w:bodyDiv w:val="1"/>
      <w:marLeft w:val="0"/>
      <w:marRight w:val="0"/>
      <w:marTop w:val="0"/>
      <w:marBottom w:val="0"/>
      <w:divBdr>
        <w:top w:val="none" w:sz="0" w:space="0" w:color="auto"/>
        <w:left w:val="none" w:sz="0" w:space="0" w:color="auto"/>
        <w:bottom w:val="none" w:sz="0" w:space="0" w:color="auto"/>
        <w:right w:val="none" w:sz="0" w:space="0" w:color="auto"/>
      </w:divBdr>
    </w:div>
    <w:div w:id="1773671746">
      <w:bodyDiv w:val="1"/>
      <w:marLeft w:val="0"/>
      <w:marRight w:val="0"/>
      <w:marTop w:val="0"/>
      <w:marBottom w:val="0"/>
      <w:divBdr>
        <w:top w:val="none" w:sz="0" w:space="0" w:color="auto"/>
        <w:left w:val="none" w:sz="0" w:space="0" w:color="auto"/>
        <w:bottom w:val="none" w:sz="0" w:space="0" w:color="auto"/>
        <w:right w:val="none" w:sz="0" w:space="0" w:color="auto"/>
      </w:divBdr>
    </w:div>
    <w:div w:id="1919099557">
      <w:bodyDiv w:val="1"/>
      <w:marLeft w:val="0"/>
      <w:marRight w:val="0"/>
      <w:marTop w:val="0"/>
      <w:marBottom w:val="0"/>
      <w:divBdr>
        <w:top w:val="none" w:sz="0" w:space="0" w:color="auto"/>
        <w:left w:val="none" w:sz="0" w:space="0" w:color="auto"/>
        <w:bottom w:val="none" w:sz="0" w:space="0" w:color="auto"/>
        <w:right w:val="none" w:sz="0" w:space="0" w:color="auto"/>
      </w:divBdr>
    </w:div>
    <w:div w:id="2006979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government/uploads/system/uploads/attachment_data/file/508250/Flu_antivirals_guidance_for_clinical_practitioners_2016.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publications/influenza-the-green-book-chapter-1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hyperlink" Target="https://www.gov.uk/government/publications/flu-vaccination-guidance-for-employers" TargetMode="Externa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svg"/><Relationship Id="rId14" Type="http://schemas.openxmlformats.org/officeDocument/2006/relationships/hyperlink" Target="https://www.gov.uk/government/collections/seasonal-flu-guidance-data-and-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2" ma:contentTypeDescription="Create a new document." ma:contentTypeScope="" ma:versionID="df120d9368f41c42b3bac15a36a94762">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6b5cf8a24a21dfe3326b198b529e43a3"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9C0ED2B7-FA73-49DC-8954-7BAE86A7ED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F6F1E5-9056-49EA-B50B-7A02080D41F6}">
  <ds:schemaRefs>
    <ds:schemaRef ds:uri="http://schemas.microsoft.com/sharepoint/v3/contenttype/forms"/>
  </ds:schemaRefs>
</ds:datastoreItem>
</file>

<file path=customXml/itemProps3.xml><?xml version="1.0" encoding="utf-8"?>
<ds:datastoreItem xmlns:ds="http://schemas.openxmlformats.org/officeDocument/2006/customXml" ds:itemID="{FF9324B0-01AD-40C2-8AE2-9766EA635D54}">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1374</TotalTime>
  <Pages>7</Pages>
  <Words>1638</Words>
  <Characters>9342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Franceline Ankamah Asamoah Ep. Fancey (2129818)</dc:creator>
  <cp:keywords/>
  <dc:description/>
  <cp:lastModifiedBy>Franceline Ankamah Asamoah Ep. Fancey (2129818)</cp:lastModifiedBy>
  <cp:revision>30</cp:revision>
  <dcterms:created xsi:type="dcterms:W3CDTF">2023-02-14T20:24:00Z</dcterms:created>
  <dcterms:modified xsi:type="dcterms:W3CDTF">2023-02-25T17:12:00Z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