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31369" w14:textId="1C087D67" w:rsidR="00391EB6" w:rsidRPr="00391EB6" w:rsidRDefault="00391EB6" w:rsidP="00391EB6">
      <w:pPr>
        <w:spacing w:line="360" w:lineRule="auto"/>
        <w:jc w:val="center"/>
        <w:rPr>
          <w:rFonts w:ascii="Arial" w:hAnsi="Arial" w:cs="Arial"/>
        </w:rPr>
      </w:pPr>
      <w:r w:rsidRPr="00391EB6">
        <w:rPr>
          <w:rFonts w:ascii="Arial" w:hAnsi="Arial" w:cs="Arial"/>
        </w:rPr>
        <w:t>Student name: Natasha Rose-Taylor</w:t>
      </w:r>
    </w:p>
    <w:p w14:paraId="591F1992" w14:textId="0804157A" w:rsidR="00391EB6" w:rsidRPr="00391EB6" w:rsidRDefault="00391EB6" w:rsidP="00391EB6">
      <w:pPr>
        <w:spacing w:line="360" w:lineRule="auto"/>
        <w:jc w:val="center"/>
        <w:rPr>
          <w:rFonts w:ascii="Arial" w:hAnsi="Arial" w:cs="Arial"/>
        </w:rPr>
      </w:pPr>
      <w:r w:rsidRPr="00391EB6">
        <w:rPr>
          <w:rFonts w:ascii="Arial" w:hAnsi="Arial" w:cs="Arial"/>
        </w:rPr>
        <w:t>Student number: 2328696</w:t>
      </w:r>
    </w:p>
    <w:p w14:paraId="51CC08C3" w14:textId="0CBF94E3" w:rsidR="00391EB6" w:rsidRPr="00391EB6" w:rsidRDefault="00391EB6" w:rsidP="00391EB6">
      <w:pPr>
        <w:spacing w:line="360" w:lineRule="auto"/>
        <w:jc w:val="center"/>
        <w:rPr>
          <w:rFonts w:ascii="Arial" w:hAnsi="Arial" w:cs="Arial"/>
        </w:rPr>
      </w:pPr>
      <w:r w:rsidRPr="00391EB6">
        <w:rPr>
          <w:rFonts w:ascii="Arial" w:hAnsi="Arial" w:cs="Arial"/>
        </w:rPr>
        <w:t>Tutor: Neale Haddon</w:t>
      </w:r>
    </w:p>
    <w:p w14:paraId="51D0B352" w14:textId="2CBF9258" w:rsidR="00391EB6" w:rsidRDefault="00391EB6" w:rsidP="00391EB6">
      <w:pPr>
        <w:spacing w:line="360" w:lineRule="auto"/>
        <w:jc w:val="center"/>
        <w:rPr>
          <w:rFonts w:ascii="Arial" w:hAnsi="Arial" w:cs="Arial"/>
        </w:rPr>
      </w:pPr>
      <w:r w:rsidRPr="00391EB6">
        <w:rPr>
          <w:rFonts w:ascii="Arial" w:hAnsi="Arial" w:cs="Arial"/>
        </w:rPr>
        <w:t>BMHP6029 – Psychopathological Classifications &amp; Provisions – Component 2</w:t>
      </w:r>
    </w:p>
    <w:p w14:paraId="50AB60F7" w14:textId="77777777" w:rsidR="00391EB6" w:rsidRDefault="00391EB6" w:rsidP="00391EB6">
      <w:pPr>
        <w:spacing w:line="360" w:lineRule="auto"/>
        <w:jc w:val="center"/>
        <w:rPr>
          <w:rFonts w:ascii="Arial" w:hAnsi="Arial" w:cs="Arial"/>
        </w:rPr>
      </w:pPr>
    </w:p>
    <w:p w14:paraId="5F683C9D" w14:textId="77777777" w:rsidR="00391EB6" w:rsidRDefault="00391EB6" w:rsidP="00391EB6">
      <w:pPr>
        <w:spacing w:line="360" w:lineRule="auto"/>
        <w:jc w:val="center"/>
        <w:rPr>
          <w:rFonts w:ascii="Arial" w:hAnsi="Arial" w:cs="Arial"/>
        </w:rPr>
      </w:pPr>
    </w:p>
    <w:p w14:paraId="0309CE09" w14:textId="77777777" w:rsidR="00391EB6" w:rsidRDefault="00391EB6" w:rsidP="00391EB6">
      <w:pPr>
        <w:spacing w:line="360" w:lineRule="auto"/>
        <w:jc w:val="center"/>
        <w:rPr>
          <w:rFonts w:ascii="Arial" w:hAnsi="Arial" w:cs="Arial"/>
        </w:rPr>
      </w:pPr>
    </w:p>
    <w:p w14:paraId="5869D8D3" w14:textId="77777777" w:rsidR="00391EB6" w:rsidRDefault="00391EB6" w:rsidP="00391EB6">
      <w:pPr>
        <w:spacing w:line="360" w:lineRule="auto"/>
        <w:jc w:val="center"/>
        <w:rPr>
          <w:rFonts w:ascii="Arial" w:hAnsi="Arial" w:cs="Arial"/>
        </w:rPr>
      </w:pPr>
    </w:p>
    <w:p w14:paraId="4E338638" w14:textId="77777777" w:rsidR="00391EB6" w:rsidRDefault="00391EB6" w:rsidP="00391EB6">
      <w:pPr>
        <w:spacing w:line="360" w:lineRule="auto"/>
        <w:jc w:val="center"/>
        <w:rPr>
          <w:rFonts w:ascii="Arial" w:hAnsi="Arial" w:cs="Arial"/>
        </w:rPr>
      </w:pPr>
    </w:p>
    <w:p w14:paraId="01B82BE4" w14:textId="77777777" w:rsidR="00391EB6" w:rsidRDefault="00391EB6" w:rsidP="00391EB6">
      <w:pPr>
        <w:spacing w:line="360" w:lineRule="auto"/>
        <w:jc w:val="center"/>
        <w:rPr>
          <w:rFonts w:ascii="Arial" w:hAnsi="Arial" w:cs="Arial"/>
        </w:rPr>
      </w:pPr>
    </w:p>
    <w:p w14:paraId="55C53283" w14:textId="77777777" w:rsidR="00391EB6" w:rsidRDefault="00391EB6" w:rsidP="00391EB6">
      <w:pPr>
        <w:spacing w:line="360" w:lineRule="auto"/>
        <w:jc w:val="center"/>
        <w:rPr>
          <w:rFonts w:ascii="Arial" w:hAnsi="Arial" w:cs="Arial"/>
        </w:rPr>
      </w:pPr>
    </w:p>
    <w:p w14:paraId="02DEEAAA" w14:textId="77777777" w:rsidR="00391EB6" w:rsidRDefault="00391EB6" w:rsidP="00391EB6">
      <w:pPr>
        <w:spacing w:line="360" w:lineRule="auto"/>
        <w:jc w:val="center"/>
        <w:rPr>
          <w:rFonts w:ascii="Arial" w:hAnsi="Arial" w:cs="Arial"/>
        </w:rPr>
      </w:pPr>
    </w:p>
    <w:p w14:paraId="0C4A43E6" w14:textId="77777777" w:rsidR="00391EB6" w:rsidRDefault="00391EB6" w:rsidP="00391EB6">
      <w:pPr>
        <w:spacing w:line="360" w:lineRule="auto"/>
        <w:jc w:val="center"/>
        <w:rPr>
          <w:rFonts w:ascii="Arial" w:hAnsi="Arial" w:cs="Arial"/>
        </w:rPr>
      </w:pPr>
    </w:p>
    <w:p w14:paraId="71050DD6" w14:textId="77777777" w:rsidR="00391EB6" w:rsidRDefault="00391EB6" w:rsidP="00391EB6">
      <w:pPr>
        <w:spacing w:line="360" w:lineRule="auto"/>
        <w:jc w:val="center"/>
        <w:rPr>
          <w:rFonts w:ascii="Arial" w:hAnsi="Arial" w:cs="Arial"/>
        </w:rPr>
      </w:pPr>
    </w:p>
    <w:p w14:paraId="53B80DE7" w14:textId="77777777" w:rsidR="00391EB6" w:rsidRDefault="00391EB6" w:rsidP="00391EB6">
      <w:pPr>
        <w:spacing w:line="360" w:lineRule="auto"/>
        <w:jc w:val="center"/>
        <w:rPr>
          <w:rFonts w:ascii="Arial" w:hAnsi="Arial" w:cs="Arial"/>
        </w:rPr>
      </w:pPr>
    </w:p>
    <w:p w14:paraId="5AE4C957" w14:textId="77777777" w:rsidR="00391EB6" w:rsidRDefault="00391EB6" w:rsidP="00391EB6">
      <w:pPr>
        <w:spacing w:line="360" w:lineRule="auto"/>
        <w:jc w:val="center"/>
        <w:rPr>
          <w:rFonts w:ascii="Arial" w:hAnsi="Arial" w:cs="Arial"/>
        </w:rPr>
      </w:pPr>
    </w:p>
    <w:p w14:paraId="0AB97282" w14:textId="77777777" w:rsidR="00391EB6" w:rsidRDefault="00391EB6" w:rsidP="00391EB6">
      <w:pPr>
        <w:spacing w:line="360" w:lineRule="auto"/>
        <w:jc w:val="center"/>
        <w:rPr>
          <w:rFonts w:ascii="Arial" w:hAnsi="Arial" w:cs="Arial"/>
        </w:rPr>
      </w:pPr>
    </w:p>
    <w:p w14:paraId="20DE12A4" w14:textId="77777777" w:rsidR="00391EB6" w:rsidRDefault="00391EB6" w:rsidP="00391EB6">
      <w:pPr>
        <w:spacing w:line="360" w:lineRule="auto"/>
        <w:jc w:val="center"/>
        <w:rPr>
          <w:rFonts w:ascii="Arial" w:hAnsi="Arial" w:cs="Arial"/>
        </w:rPr>
      </w:pPr>
    </w:p>
    <w:p w14:paraId="31C6A0DE" w14:textId="77777777" w:rsidR="00391EB6" w:rsidRDefault="00391EB6" w:rsidP="00391EB6">
      <w:pPr>
        <w:spacing w:line="360" w:lineRule="auto"/>
        <w:jc w:val="center"/>
        <w:rPr>
          <w:rFonts w:ascii="Arial" w:hAnsi="Arial" w:cs="Arial"/>
        </w:rPr>
      </w:pPr>
    </w:p>
    <w:p w14:paraId="6C42CBC4" w14:textId="77777777" w:rsidR="00391EB6" w:rsidRDefault="00391EB6" w:rsidP="00391EB6">
      <w:pPr>
        <w:spacing w:line="360" w:lineRule="auto"/>
        <w:jc w:val="center"/>
        <w:rPr>
          <w:rFonts w:ascii="Arial" w:hAnsi="Arial" w:cs="Arial"/>
        </w:rPr>
      </w:pPr>
    </w:p>
    <w:p w14:paraId="040605EB" w14:textId="77777777" w:rsidR="00391EB6" w:rsidRDefault="00391EB6" w:rsidP="00391EB6">
      <w:pPr>
        <w:spacing w:line="360" w:lineRule="auto"/>
        <w:jc w:val="center"/>
        <w:rPr>
          <w:rFonts w:ascii="Arial" w:hAnsi="Arial" w:cs="Arial"/>
        </w:rPr>
      </w:pPr>
    </w:p>
    <w:p w14:paraId="6DC4E51D" w14:textId="77777777" w:rsidR="00391EB6" w:rsidRDefault="00391EB6" w:rsidP="00391EB6">
      <w:pPr>
        <w:spacing w:line="360" w:lineRule="auto"/>
        <w:jc w:val="center"/>
        <w:rPr>
          <w:rFonts w:ascii="Arial" w:hAnsi="Arial" w:cs="Arial"/>
        </w:rPr>
      </w:pPr>
    </w:p>
    <w:p w14:paraId="3AD28EDB" w14:textId="1DB470BB" w:rsidR="00391EB6" w:rsidRDefault="00391EB6" w:rsidP="00391EB6">
      <w:pPr>
        <w:spacing w:line="360" w:lineRule="auto"/>
        <w:rPr>
          <w:rFonts w:ascii="Arial" w:hAnsi="Arial" w:cs="Arial"/>
          <w:b/>
          <w:bCs/>
          <w:u w:val="single"/>
        </w:rPr>
      </w:pPr>
      <w:r w:rsidRPr="00391EB6">
        <w:rPr>
          <w:rFonts w:ascii="Arial" w:hAnsi="Arial" w:cs="Arial"/>
          <w:b/>
          <w:bCs/>
          <w:u w:val="single"/>
        </w:rPr>
        <w:t xml:space="preserve"> </w:t>
      </w:r>
    </w:p>
    <w:p w14:paraId="1D18BA10" w14:textId="77777777" w:rsidR="00391EB6" w:rsidRDefault="00391EB6" w:rsidP="00391EB6">
      <w:pPr>
        <w:spacing w:line="360" w:lineRule="auto"/>
        <w:rPr>
          <w:rFonts w:ascii="Arial" w:hAnsi="Arial" w:cs="Arial"/>
          <w:b/>
          <w:bCs/>
          <w:u w:val="single"/>
        </w:rPr>
      </w:pPr>
    </w:p>
    <w:p w14:paraId="0D0BC74D" w14:textId="77777777" w:rsidR="00391EB6" w:rsidRDefault="00391EB6" w:rsidP="00391EB6">
      <w:pPr>
        <w:spacing w:line="360" w:lineRule="auto"/>
        <w:rPr>
          <w:rFonts w:ascii="Arial" w:hAnsi="Arial" w:cs="Arial"/>
          <w:b/>
          <w:bCs/>
          <w:u w:val="single"/>
        </w:rPr>
      </w:pPr>
    </w:p>
    <w:p w14:paraId="11DDD437" w14:textId="77777777" w:rsidR="00391EB6" w:rsidRDefault="00391EB6" w:rsidP="00391EB6">
      <w:pPr>
        <w:spacing w:line="360" w:lineRule="auto"/>
        <w:rPr>
          <w:rFonts w:ascii="Arial" w:hAnsi="Arial" w:cs="Arial"/>
          <w:b/>
          <w:bCs/>
          <w:u w:val="single"/>
        </w:rPr>
      </w:pPr>
    </w:p>
    <w:p w14:paraId="093A5822" w14:textId="0C478D58" w:rsidR="00391EB6" w:rsidRPr="00292B36" w:rsidRDefault="00391EB6" w:rsidP="00D44EEF">
      <w:pPr>
        <w:spacing w:line="360" w:lineRule="auto"/>
        <w:jc w:val="center"/>
        <w:rPr>
          <w:rFonts w:ascii="Arial" w:hAnsi="Arial" w:cs="Arial"/>
          <w:b/>
          <w:bCs/>
          <w:u w:val="single"/>
        </w:rPr>
      </w:pPr>
      <w:r w:rsidRPr="00292B36">
        <w:rPr>
          <w:rFonts w:ascii="Arial" w:hAnsi="Arial" w:cs="Arial"/>
          <w:b/>
          <w:bCs/>
          <w:u w:val="single"/>
        </w:rPr>
        <w:lastRenderedPageBreak/>
        <w:t>Attention deficit hyperactivity disorder</w:t>
      </w:r>
      <w:r w:rsidR="000830BA">
        <w:rPr>
          <w:rFonts w:ascii="Arial" w:hAnsi="Arial" w:cs="Arial"/>
          <w:b/>
          <w:bCs/>
          <w:u w:val="single"/>
        </w:rPr>
        <w:t xml:space="preserve"> </w:t>
      </w:r>
      <w:r w:rsidR="00E65312">
        <w:rPr>
          <w:rFonts w:ascii="Arial" w:hAnsi="Arial" w:cs="Arial"/>
          <w:b/>
          <w:bCs/>
          <w:u w:val="single"/>
        </w:rPr>
        <w:t>(ASD)</w:t>
      </w:r>
      <w:r w:rsidRPr="00292B36">
        <w:rPr>
          <w:rFonts w:ascii="Arial" w:hAnsi="Arial" w:cs="Arial"/>
          <w:b/>
          <w:bCs/>
          <w:u w:val="single"/>
        </w:rPr>
        <w:t>.</w:t>
      </w:r>
    </w:p>
    <w:p w14:paraId="0AF7CC6D" w14:textId="24EEED5F" w:rsidR="00E55033" w:rsidRPr="00292B36" w:rsidRDefault="00391EB6" w:rsidP="00D44EEF">
      <w:pPr>
        <w:spacing w:line="360" w:lineRule="auto"/>
        <w:rPr>
          <w:rFonts w:ascii="Arial" w:hAnsi="Arial" w:cs="Arial"/>
          <w:b/>
          <w:bCs/>
          <w:u w:val="single"/>
        </w:rPr>
      </w:pPr>
      <w:r w:rsidRPr="00292B36">
        <w:rPr>
          <w:rFonts w:ascii="Arial" w:hAnsi="Arial" w:cs="Arial"/>
          <w:b/>
          <w:bCs/>
          <w:u w:val="single"/>
        </w:rPr>
        <w:t xml:space="preserve">Introduction </w:t>
      </w:r>
    </w:p>
    <w:p w14:paraId="3DFDF3FB" w14:textId="090B9199" w:rsidR="00E55033" w:rsidRPr="00292B36" w:rsidRDefault="00BC69CB" w:rsidP="00D44EEF">
      <w:pPr>
        <w:pStyle w:val="NormalWeb"/>
        <w:spacing w:line="360" w:lineRule="auto"/>
        <w:rPr>
          <w:rFonts w:ascii="Arial" w:hAnsi="Arial" w:cs="Arial"/>
          <w:sz w:val="22"/>
          <w:szCs w:val="22"/>
        </w:rPr>
      </w:pPr>
      <w:r w:rsidRPr="00BC69CB">
        <w:rPr>
          <w:rFonts w:ascii="Arial" w:hAnsi="Arial" w:cs="Arial"/>
          <w:sz w:val="22"/>
          <w:szCs w:val="22"/>
        </w:rPr>
        <w:t>ADHD is characterised as a neurodevelopmental condition in which enduring issues with focus, activity regulation, and impulsivity interfere with functioning across different areas of life.</w:t>
      </w:r>
      <w:r>
        <w:t xml:space="preserve"> </w:t>
      </w:r>
      <w:r w:rsidR="00E55033" w:rsidRPr="00292B36">
        <w:rPr>
          <w:rFonts w:ascii="Arial" w:hAnsi="Arial" w:cs="Arial"/>
          <w:sz w:val="22"/>
          <w:szCs w:val="22"/>
        </w:rPr>
        <w:t>ICD</w:t>
      </w:r>
      <w:r w:rsidR="00E55033" w:rsidRPr="00292B36">
        <w:rPr>
          <w:rFonts w:ascii="Arial" w:hAnsi="Arial" w:cs="Arial"/>
          <w:sz w:val="22"/>
          <w:szCs w:val="22"/>
        </w:rPr>
        <w:noBreakHyphen/>
        <w:t xml:space="preserve">11 classifies ADHD under “6A05 </w:t>
      </w:r>
      <w:proofErr w:type="gramStart"/>
      <w:r w:rsidR="00E55033" w:rsidRPr="00292B36">
        <w:rPr>
          <w:rFonts w:ascii="Arial" w:hAnsi="Arial" w:cs="Arial"/>
          <w:sz w:val="22"/>
          <w:szCs w:val="22"/>
        </w:rPr>
        <w:t>Attention Deficit Hyperactivity Disorder</w:t>
      </w:r>
      <w:proofErr w:type="gramEnd"/>
      <w:r w:rsidR="00E55033" w:rsidRPr="00292B36">
        <w:rPr>
          <w:rFonts w:ascii="Arial" w:hAnsi="Arial" w:cs="Arial"/>
          <w:sz w:val="22"/>
          <w:szCs w:val="22"/>
        </w:rPr>
        <w:t>,” recognising three presentations</w:t>
      </w:r>
      <w:r w:rsidR="00E65312">
        <w:rPr>
          <w:rFonts w:ascii="Arial" w:hAnsi="Arial" w:cs="Arial"/>
          <w:sz w:val="22"/>
          <w:szCs w:val="22"/>
        </w:rPr>
        <w:t xml:space="preserve"> </w:t>
      </w:r>
      <w:r w:rsidR="00E55033" w:rsidRPr="00292B36">
        <w:rPr>
          <w:rFonts w:ascii="Arial" w:hAnsi="Arial" w:cs="Arial"/>
          <w:sz w:val="22"/>
          <w:szCs w:val="22"/>
        </w:rPr>
        <w:t>inattentive, hyperactive</w:t>
      </w:r>
      <w:r w:rsidR="00E55033" w:rsidRPr="00292B36">
        <w:rPr>
          <w:rFonts w:ascii="Arial" w:hAnsi="Arial" w:cs="Arial"/>
          <w:sz w:val="22"/>
          <w:szCs w:val="22"/>
        </w:rPr>
        <w:noBreakHyphen/>
        <w:t>impulsive, and combined (WHO, 2026). ADHD is significant due to its impact on educational attainment, employment, mental health, and long</w:t>
      </w:r>
      <w:r w:rsidR="00E55033" w:rsidRPr="00292B36">
        <w:rPr>
          <w:rFonts w:ascii="Arial" w:hAnsi="Arial" w:cs="Arial"/>
          <w:sz w:val="22"/>
          <w:szCs w:val="22"/>
        </w:rPr>
        <w:noBreakHyphen/>
        <w:t xml:space="preserve">term social outcomes. UK prevalence estimates suggest around </w:t>
      </w:r>
      <w:r w:rsidR="00E55033" w:rsidRPr="00292B36">
        <w:rPr>
          <w:rStyle w:val="Strong"/>
          <w:rFonts w:ascii="Arial" w:hAnsi="Arial" w:cs="Arial"/>
          <w:b w:val="0"/>
          <w:bCs w:val="0"/>
          <w:sz w:val="22"/>
          <w:szCs w:val="22"/>
        </w:rPr>
        <w:t>5–7% of children</w:t>
      </w:r>
      <w:r w:rsidR="00E55033" w:rsidRPr="00292B36">
        <w:rPr>
          <w:rFonts w:ascii="Arial" w:hAnsi="Arial" w:cs="Arial"/>
          <w:b/>
          <w:bCs/>
          <w:sz w:val="22"/>
          <w:szCs w:val="22"/>
        </w:rPr>
        <w:t xml:space="preserve"> </w:t>
      </w:r>
      <w:r w:rsidR="00E55033" w:rsidRPr="00292B36">
        <w:rPr>
          <w:rFonts w:ascii="Arial" w:hAnsi="Arial" w:cs="Arial"/>
          <w:sz w:val="22"/>
          <w:szCs w:val="22"/>
        </w:rPr>
        <w:t>and</w:t>
      </w:r>
      <w:r w:rsidR="00E55033" w:rsidRPr="00292B36">
        <w:rPr>
          <w:rFonts w:ascii="Arial" w:hAnsi="Arial" w:cs="Arial"/>
          <w:b/>
          <w:bCs/>
          <w:sz w:val="22"/>
          <w:szCs w:val="22"/>
        </w:rPr>
        <w:t xml:space="preserve"> </w:t>
      </w:r>
      <w:r w:rsidR="00E55033" w:rsidRPr="00292B36">
        <w:rPr>
          <w:rStyle w:val="Strong"/>
          <w:rFonts w:ascii="Arial" w:hAnsi="Arial" w:cs="Arial"/>
          <w:b w:val="0"/>
          <w:bCs w:val="0"/>
          <w:sz w:val="22"/>
          <w:szCs w:val="22"/>
        </w:rPr>
        <w:t>3–4% of adults</w:t>
      </w:r>
      <w:r w:rsidR="00E55033" w:rsidRPr="00292B36">
        <w:rPr>
          <w:rFonts w:ascii="Arial" w:hAnsi="Arial" w:cs="Arial"/>
          <w:sz w:val="22"/>
          <w:szCs w:val="22"/>
        </w:rPr>
        <w:t xml:space="preserve"> meet diagnostic criteria (</w:t>
      </w:r>
      <w:proofErr w:type="spellStart"/>
      <w:r w:rsidR="00E55033" w:rsidRPr="00292B36">
        <w:rPr>
          <w:rFonts w:ascii="Arial" w:hAnsi="Arial" w:cs="Arial"/>
          <w:sz w:val="22"/>
          <w:szCs w:val="22"/>
        </w:rPr>
        <w:t>Popit</w:t>
      </w:r>
      <w:proofErr w:type="spellEnd"/>
      <w:r w:rsidR="00E55033" w:rsidRPr="00292B36">
        <w:rPr>
          <w:rFonts w:ascii="Arial" w:hAnsi="Arial" w:cs="Arial"/>
          <w:sz w:val="22"/>
          <w:szCs w:val="22"/>
        </w:rPr>
        <w:t xml:space="preserve"> et al., 2024; NOS, 2024). NHS Digital reports rising referrals for ADHD assessments, particularly among adults, reflecting increased awareness and evolving diagnostic practices (Department of Health and Social Care, 2026).</w:t>
      </w:r>
    </w:p>
    <w:p w14:paraId="13BEA8FC" w14:textId="0FF3ADF7"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This report examines ADHD classification, diagnosis, treatment approaches, rehabilitation and long</w:t>
      </w:r>
      <w:r w:rsidRPr="00292B36">
        <w:rPr>
          <w:rFonts w:ascii="Arial" w:hAnsi="Arial" w:cs="Arial"/>
          <w:sz w:val="22"/>
          <w:szCs w:val="22"/>
        </w:rPr>
        <w:noBreakHyphen/>
        <w:t>term management, emerging debates, UK</w:t>
      </w:r>
      <w:r w:rsidRPr="00292B36">
        <w:rPr>
          <w:rFonts w:ascii="Arial" w:hAnsi="Arial" w:cs="Arial"/>
          <w:sz w:val="22"/>
          <w:szCs w:val="22"/>
        </w:rPr>
        <w:noBreakHyphen/>
        <w:t xml:space="preserve">specific data, and policy implications. </w:t>
      </w:r>
      <w:r w:rsidR="00FF43C1" w:rsidRPr="00292B36">
        <w:rPr>
          <w:rFonts w:ascii="Arial" w:hAnsi="Arial" w:cs="Arial"/>
          <w:sz w:val="22"/>
          <w:szCs w:val="22"/>
        </w:rPr>
        <w:t>This condition was selected because ADHD holds personal significance for me as a parent of a child with an ADHD diagnosis. This lived experience has deepened my interest in understanding the condition, its impact, and the challenges associated with accessing support, making the topic both academically meaningful and personally relevant.</w:t>
      </w:r>
    </w:p>
    <w:p w14:paraId="7C519D2A" w14:textId="11E2FCCA" w:rsidR="00E55033" w:rsidRPr="00292B36" w:rsidRDefault="00E55033" w:rsidP="00D44EEF">
      <w:pPr>
        <w:pStyle w:val="NormalWeb"/>
        <w:spacing w:line="360" w:lineRule="auto"/>
        <w:rPr>
          <w:rFonts w:ascii="Arial" w:hAnsi="Arial" w:cs="Arial"/>
          <w:sz w:val="22"/>
          <w:szCs w:val="22"/>
        </w:rPr>
      </w:pPr>
      <w:r w:rsidRPr="00292B36">
        <w:rPr>
          <w:rStyle w:val="Strong"/>
          <w:rFonts w:ascii="Arial" w:hAnsi="Arial" w:cs="Arial"/>
          <w:sz w:val="22"/>
          <w:szCs w:val="22"/>
        </w:rPr>
        <w:t>Classification &amp; Diagnosis</w:t>
      </w:r>
    </w:p>
    <w:p w14:paraId="620751D6" w14:textId="76B44E20" w:rsidR="00E55033" w:rsidRPr="00292B36" w:rsidRDefault="0067191A" w:rsidP="00D44EEF">
      <w:pPr>
        <w:pStyle w:val="NormalWeb"/>
        <w:spacing w:line="360" w:lineRule="auto"/>
        <w:rPr>
          <w:rFonts w:ascii="Arial" w:hAnsi="Arial" w:cs="Arial"/>
          <w:sz w:val="22"/>
          <w:szCs w:val="22"/>
        </w:rPr>
      </w:pPr>
      <w:r w:rsidRPr="00AC6006">
        <w:rPr>
          <w:rFonts w:ascii="Arial" w:hAnsi="Arial" w:cs="Arial"/>
          <w:sz w:val="22"/>
          <w:szCs w:val="22"/>
        </w:rPr>
        <w:t>ICD</w:t>
      </w:r>
      <w:r w:rsidRPr="00AC6006">
        <w:rPr>
          <w:rFonts w:ascii="Arial" w:hAnsi="Arial" w:cs="Arial"/>
          <w:sz w:val="22"/>
          <w:szCs w:val="22"/>
        </w:rPr>
        <w:noBreakHyphen/>
        <w:t>11 defines ADHD as persistent inattention and hyperactive</w:t>
      </w:r>
      <w:r w:rsidRPr="00AC6006">
        <w:rPr>
          <w:rFonts w:ascii="Arial" w:hAnsi="Arial" w:cs="Arial"/>
          <w:sz w:val="22"/>
          <w:szCs w:val="22"/>
        </w:rPr>
        <w:noBreakHyphen/>
        <w:t>impulsive behaviour that is not appropriate for the individual’s developmental age</w:t>
      </w:r>
      <w:r w:rsidRPr="00292B36">
        <w:rPr>
          <w:rFonts w:ascii="Arial" w:hAnsi="Arial" w:cs="Arial"/>
          <w:sz w:val="22"/>
          <w:szCs w:val="22"/>
        </w:rPr>
        <w:t xml:space="preserve"> </w:t>
      </w:r>
      <w:r w:rsidR="00E55033" w:rsidRPr="00292B36">
        <w:rPr>
          <w:rFonts w:ascii="Arial" w:hAnsi="Arial" w:cs="Arial"/>
          <w:sz w:val="22"/>
          <w:szCs w:val="22"/>
        </w:rPr>
        <w:t>and causes functional impairment (WHO, 2026</w:t>
      </w:r>
      <w:r w:rsidR="00E55033" w:rsidRPr="00414F93">
        <w:rPr>
          <w:rFonts w:ascii="Arial" w:hAnsi="Arial" w:cs="Arial"/>
          <w:sz w:val="22"/>
          <w:szCs w:val="22"/>
        </w:rPr>
        <w:t xml:space="preserve">). Symptoms </w:t>
      </w:r>
      <w:r w:rsidR="00041321" w:rsidRPr="00414F93">
        <w:rPr>
          <w:rFonts w:ascii="Arial" w:hAnsi="Arial" w:cs="Arial"/>
          <w:sz w:val="22"/>
          <w:szCs w:val="22"/>
        </w:rPr>
        <w:t>must</w:t>
      </w:r>
      <w:r w:rsidR="00041321" w:rsidRPr="00414F93">
        <w:rPr>
          <w:rFonts w:ascii="Arial" w:hAnsi="Arial" w:cs="Arial"/>
          <w:sz w:val="22"/>
          <w:szCs w:val="22"/>
        </w:rPr>
        <w:t xml:space="preserve"> be evident over a period of six months or more</w:t>
      </w:r>
      <w:r w:rsidR="00041321" w:rsidRPr="00292B36">
        <w:rPr>
          <w:rFonts w:ascii="Arial" w:hAnsi="Arial" w:cs="Arial"/>
          <w:sz w:val="22"/>
          <w:szCs w:val="22"/>
        </w:rPr>
        <w:t xml:space="preserve"> </w:t>
      </w:r>
      <w:r w:rsidR="00E55033" w:rsidRPr="00292B36">
        <w:rPr>
          <w:rFonts w:ascii="Arial" w:hAnsi="Arial" w:cs="Arial"/>
          <w:sz w:val="22"/>
          <w:szCs w:val="22"/>
        </w:rPr>
        <w:t>and be present across multiple settings.</w:t>
      </w:r>
      <w:r w:rsidR="00C12C58" w:rsidRPr="00292B36">
        <w:rPr>
          <w:rFonts w:ascii="Arial" w:hAnsi="Arial" w:cs="Arial"/>
          <w:sz w:val="22"/>
          <w:szCs w:val="22"/>
        </w:rPr>
        <w:t xml:space="preserve"> Hammond (2021) highlights that accurate diagnosis of ADHD requires careful consideration of developmental history and functional impairment, </w:t>
      </w:r>
      <w:r w:rsidR="00E44A79" w:rsidRPr="00E44A79">
        <w:rPr>
          <w:rFonts w:ascii="Arial" w:hAnsi="Arial" w:cs="Arial"/>
          <w:sz w:val="22"/>
          <w:szCs w:val="22"/>
        </w:rPr>
        <w:t>highlighting the need for a thorough and holistic assessment process</w:t>
      </w:r>
      <w:r w:rsidR="00E44A79" w:rsidRPr="00292B36">
        <w:rPr>
          <w:rFonts w:ascii="Arial" w:hAnsi="Arial" w:cs="Arial"/>
          <w:sz w:val="22"/>
          <w:szCs w:val="22"/>
        </w:rPr>
        <w:t xml:space="preserve"> </w:t>
      </w:r>
      <w:r w:rsidR="00C12C58" w:rsidRPr="00292B36">
        <w:rPr>
          <w:rFonts w:ascii="Arial" w:hAnsi="Arial" w:cs="Arial"/>
          <w:sz w:val="22"/>
          <w:szCs w:val="22"/>
        </w:rPr>
        <w:t>in UK clinical practice.</w:t>
      </w:r>
      <w:r w:rsidR="00E55033" w:rsidRPr="00292B36">
        <w:rPr>
          <w:rFonts w:ascii="Arial" w:hAnsi="Arial" w:cs="Arial"/>
          <w:sz w:val="22"/>
          <w:szCs w:val="22"/>
        </w:rPr>
        <w:t xml:space="preserve"> ICD</w:t>
      </w:r>
      <w:r w:rsidR="00E55033" w:rsidRPr="00292B36">
        <w:rPr>
          <w:rFonts w:ascii="Arial" w:hAnsi="Arial" w:cs="Arial"/>
          <w:sz w:val="22"/>
          <w:szCs w:val="22"/>
        </w:rPr>
        <w:noBreakHyphen/>
        <w:t>11 adopts a dimensional approach, recognising variability in symptom severity</w:t>
      </w:r>
      <w:r w:rsidR="00FF43C1" w:rsidRPr="00292B36">
        <w:rPr>
          <w:rFonts w:ascii="Arial" w:hAnsi="Arial" w:cs="Arial"/>
          <w:sz w:val="22"/>
          <w:szCs w:val="22"/>
        </w:rPr>
        <w:t>. ICD</w:t>
      </w:r>
      <w:r w:rsidR="00FF43C1" w:rsidRPr="00292B36">
        <w:rPr>
          <w:rFonts w:ascii="Arial" w:hAnsi="Arial" w:cs="Arial"/>
          <w:sz w:val="22"/>
          <w:szCs w:val="22"/>
        </w:rPr>
        <w:noBreakHyphen/>
        <w:t>11 represents a significant evolution from ICD</w:t>
      </w:r>
      <w:r w:rsidR="00FF43C1" w:rsidRPr="00292B36">
        <w:rPr>
          <w:rFonts w:ascii="Arial" w:hAnsi="Arial" w:cs="Arial"/>
          <w:sz w:val="22"/>
          <w:szCs w:val="22"/>
        </w:rPr>
        <w:noBreakHyphen/>
        <w:t>10 by shifting from a categorical model to a dimensional framework. ICD</w:t>
      </w:r>
      <w:r w:rsidR="00FF43C1" w:rsidRPr="00292B36">
        <w:rPr>
          <w:rFonts w:ascii="Arial" w:hAnsi="Arial" w:cs="Arial"/>
          <w:sz w:val="22"/>
          <w:szCs w:val="22"/>
        </w:rPr>
        <w:noBreakHyphen/>
        <w:t>10 separated ADHD into distinct subtypes, whereas ICD</w:t>
      </w:r>
      <w:r w:rsidR="00FF43C1" w:rsidRPr="00292B36">
        <w:rPr>
          <w:rFonts w:ascii="Arial" w:hAnsi="Arial" w:cs="Arial"/>
          <w:sz w:val="22"/>
          <w:szCs w:val="22"/>
        </w:rPr>
        <w:noBreakHyphen/>
        <w:t>11 recognises symptom variability across a spectrum, allowing clinicians to capture the complexity of presentations more accurately (Thapar and Cooper, 2016). This change reflects contemporary neurodevelopmental research and improves diagnostic flexibility.</w:t>
      </w:r>
    </w:p>
    <w:p w14:paraId="4DDB6911" w14:textId="5D3C319F"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In UK clinical practice, diagnosis typically follows </w:t>
      </w:r>
      <w:r w:rsidRPr="00292B36">
        <w:rPr>
          <w:rStyle w:val="Strong"/>
          <w:rFonts w:ascii="Arial" w:hAnsi="Arial" w:cs="Arial"/>
          <w:b w:val="0"/>
          <w:bCs w:val="0"/>
          <w:sz w:val="22"/>
          <w:szCs w:val="22"/>
        </w:rPr>
        <w:t>NICE Guideline NG87 (2018)</w:t>
      </w:r>
      <w:r w:rsidRPr="00292B36">
        <w:rPr>
          <w:rFonts w:ascii="Arial" w:hAnsi="Arial" w:cs="Arial"/>
          <w:b/>
          <w:bCs/>
          <w:sz w:val="22"/>
          <w:szCs w:val="22"/>
        </w:rPr>
        <w:t>,</w:t>
      </w:r>
      <w:r w:rsidRPr="00292B36">
        <w:rPr>
          <w:rFonts w:ascii="Arial" w:hAnsi="Arial" w:cs="Arial"/>
          <w:sz w:val="22"/>
          <w:szCs w:val="22"/>
        </w:rPr>
        <w:t xml:space="preserve"> which outlines assessment procedures for children, young people, and adults. NICE emphasises </w:t>
      </w:r>
      <w:r w:rsidRPr="00292B36">
        <w:rPr>
          <w:rFonts w:ascii="Arial" w:hAnsi="Arial" w:cs="Arial"/>
          <w:sz w:val="22"/>
          <w:szCs w:val="22"/>
        </w:rPr>
        <w:lastRenderedPageBreak/>
        <w:t>multi</w:t>
      </w:r>
      <w:r w:rsidRPr="00292B36">
        <w:rPr>
          <w:rFonts w:ascii="Arial" w:hAnsi="Arial" w:cs="Arial"/>
          <w:sz w:val="22"/>
          <w:szCs w:val="22"/>
        </w:rPr>
        <w:noBreakHyphen/>
        <w:t>disciplinary evaluation, including developmental history, behavioural observation, and collateral information from schools or workplaces. Although ICD</w:t>
      </w:r>
      <w:r w:rsidRPr="00292B36">
        <w:rPr>
          <w:rFonts w:ascii="Arial" w:hAnsi="Arial" w:cs="Arial"/>
          <w:sz w:val="22"/>
          <w:szCs w:val="22"/>
        </w:rPr>
        <w:noBreakHyphen/>
        <w:t xml:space="preserve">11 provides the overarching classification, UK clinicians frequently use </w:t>
      </w:r>
      <w:r w:rsidRPr="00292B36">
        <w:rPr>
          <w:rStyle w:val="Strong"/>
          <w:rFonts w:ascii="Arial" w:hAnsi="Arial" w:cs="Arial"/>
          <w:b w:val="0"/>
          <w:bCs w:val="0"/>
          <w:sz w:val="22"/>
          <w:szCs w:val="22"/>
        </w:rPr>
        <w:t>DSM</w:t>
      </w:r>
      <w:r w:rsidRPr="00292B36">
        <w:rPr>
          <w:rStyle w:val="Strong"/>
          <w:rFonts w:ascii="Arial" w:hAnsi="Arial" w:cs="Arial"/>
          <w:b w:val="0"/>
          <w:bCs w:val="0"/>
          <w:sz w:val="22"/>
          <w:szCs w:val="22"/>
        </w:rPr>
        <w:noBreakHyphen/>
        <w:t>5</w:t>
      </w:r>
      <w:r w:rsidRPr="00292B36">
        <w:rPr>
          <w:rFonts w:ascii="Arial" w:hAnsi="Arial" w:cs="Arial"/>
          <w:sz w:val="22"/>
          <w:szCs w:val="22"/>
        </w:rPr>
        <w:t xml:space="preserve"> criteria due to their operational clarity and widespread use in research (Coghill and Seth, 2010). This dual</w:t>
      </w:r>
      <w:r w:rsidRPr="00292B36">
        <w:rPr>
          <w:rFonts w:ascii="Arial" w:hAnsi="Arial" w:cs="Arial"/>
          <w:sz w:val="22"/>
          <w:szCs w:val="22"/>
        </w:rPr>
        <w:noBreakHyphen/>
        <w:t>framework approach can create inconsistencies, particularly regarding symptom thresholds and age</w:t>
      </w:r>
      <w:r w:rsidRPr="00292B36">
        <w:rPr>
          <w:rFonts w:ascii="Arial" w:hAnsi="Arial" w:cs="Arial"/>
          <w:sz w:val="22"/>
          <w:szCs w:val="22"/>
        </w:rPr>
        <w:noBreakHyphen/>
        <w:t>of</w:t>
      </w:r>
      <w:r w:rsidRPr="00292B36">
        <w:rPr>
          <w:rFonts w:ascii="Arial" w:hAnsi="Arial" w:cs="Arial"/>
          <w:sz w:val="22"/>
          <w:szCs w:val="22"/>
        </w:rPr>
        <w:noBreakHyphen/>
        <w:t>onset criteria.</w:t>
      </w:r>
      <w:r w:rsidR="004432A1" w:rsidRPr="00292B36">
        <w:rPr>
          <w:rFonts w:ascii="Arial" w:hAnsi="Arial" w:cs="Arial"/>
          <w:sz w:val="22"/>
          <w:szCs w:val="22"/>
        </w:rPr>
        <w:t xml:space="preserve"> Changes in diagnostic criteria directly influence service delivery by altering referral patterns, increasing demand for specialist assessment, and requiring updated training for clinicians. The shift toward dimensional classification in ICD</w:t>
      </w:r>
      <w:r w:rsidR="004432A1" w:rsidRPr="00292B36">
        <w:rPr>
          <w:rFonts w:ascii="Arial" w:hAnsi="Arial" w:cs="Arial"/>
          <w:sz w:val="22"/>
          <w:szCs w:val="22"/>
        </w:rPr>
        <w:noBreakHyphen/>
        <w:t>11 has contributed to rising adult referrals and greater recognition of inattentive presentations, placing additional pressure on NHS neurodevelopmental pathways (Young et al., 2021).</w:t>
      </w:r>
    </w:p>
    <w:p w14:paraId="755A8159" w14:textId="77777777"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Diagnostic processes in the UK face significant challenges. NHS reports highlight </w:t>
      </w:r>
      <w:r w:rsidRPr="00292B36">
        <w:rPr>
          <w:rStyle w:val="Strong"/>
          <w:rFonts w:ascii="Arial" w:hAnsi="Arial" w:cs="Arial"/>
          <w:b w:val="0"/>
          <w:bCs w:val="0"/>
          <w:sz w:val="22"/>
          <w:szCs w:val="22"/>
        </w:rPr>
        <w:t>long waiting times</w:t>
      </w:r>
      <w:r w:rsidRPr="00292B36">
        <w:rPr>
          <w:rFonts w:ascii="Arial" w:hAnsi="Arial" w:cs="Arial"/>
          <w:sz w:val="22"/>
          <w:szCs w:val="22"/>
        </w:rPr>
        <w:t xml:space="preserve">, with many adults waiting </w:t>
      </w:r>
      <w:r w:rsidRPr="00292B36">
        <w:rPr>
          <w:rStyle w:val="Strong"/>
          <w:rFonts w:ascii="Arial" w:hAnsi="Arial" w:cs="Arial"/>
          <w:b w:val="0"/>
          <w:bCs w:val="0"/>
          <w:sz w:val="22"/>
          <w:szCs w:val="22"/>
        </w:rPr>
        <w:t>over two years</w:t>
      </w:r>
      <w:r w:rsidRPr="00292B36">
        <w:rPr>
          <w:rFonts w:ascii="Arial" w:hAnsi="Arial" w:cs="Arial"/>
          <w:sz w:val="22"/>
          <w:szCs w:val="22"/>
        </w:rPr>
        <w:t xml:space="preserve"> for assessment in some regions (Young et al., 2021). These delays reflect increased demand, limited specialist services, and regional variation in commissioning. The Department of Health and Social Care (2026) notes that rising referrals have outpaced service capacity, contributing to inequitable access. Waiting</w:t>
      </w:r>
      <w:r w:rsidRPr="00292B36">
        <w:rPr>
          <w:rFonts w:ascii="Arial" w:hAnsi="Arial" w:cs="Arial"/>
          <w:sz w:val="22"/>
          <w:szCs w:val="22"/>
        </w:rPr>
        <w:noBreakHyphen/>
        <w:t>time pressures can exacerbate functional impairment, reduce access to early intervention, and widen socioeconomic disparities.</w:t>
      </w:r>
    </w:p>
    <w:p w14:paraId="2C211ACF" w14:textId="77777777"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Internationally, diagnostic practices vary. The United States shows higher prevalence rates due to broader diagnostic criteria and greater use of pharmacological treatment (NIMH, 2024). Scandinavian countries emphasise early childhood screening and integrated educational support. The UK’s more conservative diagnostic approach reflects caution around over</w:t>
      </w:r>
      <w:r w:rsidRPr="00292B36">
        <w:rPr>
          <w:rFonts w:ascii="Arial" w:hAnsi="Arial" w:cs="Arial"/>
          <w:sz w:val="22"/>
          <w:szCs w:val="22"/>
        </w:rPr>
        <w:noBreakHyphen/>
        <w:t>diagnosis but may contribute to under</w:t>
      </w:r>
      <w:r w:rsidRPr="00292B36">
        <w:rPr>
          <w:rFonts w:ascii="Arial" w:hAnsi="Arial" w:cs="Arial"/>
          <w:sz w:val="22"/>
          <w:szCs w:val="22"/>
        </w:rPr>
        <w:noBreakHyphen/>
        <w:t>identification, particularly among women and ethnic minority groups (Thapar and Cooper, 2016). Debates also exist around terminology: some clinicians prefer “ADHD condition” rather than “disorder,” aligning with neurodiversity perspectives that challenge deficit</w:t>
      </w:r>
      <w:r w:rsidRPr="00292B36">
        <w:rPr>
          <w:rFonts w:ascii="Arial" w:hAnsi="Arial" w:cs="Arial"/>
          <w:sz w:val="22"/>
          <w:szCs w:val="22"/>
        </w:rPr>
        <w:noBreakHyphen/>
        <w:t>based language (Mind, 2022).</w:t>
      </w:r>
    </w:p>
    <w:p w14:paraId="4C6A0BFA" w14:textId="77777777" w:rsidR="00F87CAD"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Overall, UK diagnostic practice is shaped by ICD</w:t>
      </w:r>
      <w:r w:rsidRPr="00292B36">
        <w:rPr>
          <w:rFonts w:ascii="Arial" w:hAnsi="Arial" w:cs="Arial"/>
          <w:sz w:val="22"/>
          <w:szCs w:val="22"/>
        </w:rPr>
        <w:noBreakHyphen/>
        <w:t>11 classification, NICE guidelines, and systemic pressures within NHS mental health services. These factors influence access, equity, and the lived experience of individuals seeking assessment.</w:t>
      </w:r>
    </w:p>
    <w:p w14:paraId="78678864" w14:textId="1DFE517E" w:rsidR="00E55033" w:rsidRPr="00292B36" w:rsidRDefault="00E55033" w:rsidP="00D44EEF">
      <w:pPr>
        <w:pStyle w:val="NormalWeb"/>
        <w:spacing w:line="360" w:lineRule="auto"/>
        <w:rPr>
          <w:rFonts w:ascii="Arial" w:hAnsi="Arial" w:cs="Arial"/>
          <w:sz w:val="22"/>
          <w:szCs w:val="22"/>
        </w:rPr>
      </w:pPr>
      <w:r w:rsidRPr="00292B36">
        <w:rPr>
          <w:rStyle w:val="Strong"/>
          <w:rFonts w:ascii="Arial" w:hAnsi="Arial" w:cs="Arial"/>
          <w:sz w:val="22"/>
          <w:szCs w:val="22"/>
        </w:rPr>
        <w:t>Treatment Approaches</w:t>
      </w:r>
    </w:p>
    <w:p w14:paraId="36E84C41" w14:textId="4F8C3F7B"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Treatment for ADHD in the UK follows NICE NG87, which recommends a combination of pharmacological and psychological interventions depending on symptom severity and functional impairment (NICE, 2018). Medication is considered a first</w:t>
      </w:r>
      <w:r w:rsidRPr="00292B36">
        <w:rPr>
          <w:rFonts w:ascii="Arial" w:hAnsi="Arial" w:cs="Arial"/>
          <w:sz w:val="22"/>
          <w:szCs w:val="22"/>
        </w:rPr>
        <w:noBreakHyphen/>
        <w:t xml:space="preserve">line treatment for adults and for children with significant impairment. Commonly prescribed medications include </w:t>
      </w:r>
      <w:r w:rsidRPr="00292B36">
        <w:rPr>
          <w:rStyle w:val="Strong"/>
          <w:rFonts w:ascii="Arial" w:hAnsi="Arial" w:cs="Arial"/>
          <w:b w:val="0"/>
          <w:bCs w:val="0"/>
          <w:sz w:val="22"/>
          <w:szCs w:val="22"/>
        </w:rPr>
        <w:lastRenderedPageBreak/>
        <w:t>methylphenidate</w:t>
      </w:r>
      <w:r w:rsidRPr="00292B36">
        <w:rPr>
          <w:rFonts w:ascii="Arial" w:hAnsi="Arial" w:cs="Arial"/>
          <w:b/>
          <w:bCs/>
          <w:sz w:val="22"/>
          <w:szCs w:val="22"/>
        </w:rPr>
        <w:t xml:space="preserve">, </w:t>
      </w:r>
      <w:proofErr w:type="spellStart"/>
      <w:r w:rsidRPr="00292B36">
        <w:rPr>
          <w:rStyle w:val="Strong"/>
          <w:rFonts w:ascii="Arial" w:hAnsi="Arial" w:cs="Arial"/>
          <w:b w:val="0"/>
          <w:bCs w:val="0"/>
          <w:sz w:val="22"/>
          <w:szCs w:val="22"/>
        </w:rPr>
        <w:t>lisdexamfetamine</w:t>
      </w:r>
      <w:proofErr w:type="spellEnd"/>
      <w:r w:rsidRPr="00292B36">
        <w:rPr>
          <w:rFonts w:ascii="Arial" w:hAnsi="Arial" w:cs="Arial"/>
          <w:b/>
          <w:bCs/>
          <w:sz w:val="22"/>
          <w:szCs w:val="22"/>
        </w:rPr>
        <w:t xml:space="preserve">, </w:t>
      </w:r>
      <w:r w:rsidRPr="00292B36">
        <w:rPr>
          <w:rFonts w:ascii="Arial" w:hAnsi="Arial" w:cs="Arial"/>
          <w:sz w:val="22"/>
          <w:szCs w:val="22"/>
        </w:rPr>
        <w:t xml:space="preserve">and </w:t>
      </w:r>
      <w:r w:rsidRPr="00292B36">
        <w:rPr>
          <w:rStyle w:val="Strong"/>
          <w:rFonts w:ascii="Arial" w:hAnsi="Arial" w:cs="Arial"/>
          <w:b w:val="0"/>
          <w:bCs w:val="0"/>
          <w:sz w:val="22"/>
          <w:szCs w:val="22"/>
        </w:rPr>
        <w:t>atomoxetine</w:t>
      </w:r>
      <w:r w:rsidRPr="00292B36">
        <w:rPr>
          <w:rFonts w:ascii="Arial" w:hAnsi="Arial" w:cs="Arial"/>
          <w:sz w:val="22"/>
          <w:szCs w:val="22"/>
        </w:rPr>
        <w:t xml:space="preserve"> (NHS, 2025a). These medications improve attention, reduce impulsivity, and enhance executive functioning.</w:t>
      </w:r>
      <w:r w:rsidR="00F836C2" w:rsidRPr="00292B36">
        <w:rPr>
          <w:rFonts w:ascii="Arial" w:hAnsi="Arial" w:cs="Arial"/>
          <w:sz w:val="22"/>
          <w:szCs w:val="22"/>
        </w:rPr>
        <w:t xml:space="preserve"> However, medication has limitations, including side effects, titration challenges, and variable long</w:t>
      </w:r>
      <w:r w:rsidR="00F836C2" w:rsidRPr="00292B36">
        <w:rPr>
          <w:rFonts w:ascii="Arial" w:hAnsi="Arial" w:cs="Arial"/>
          <w:sz w:val="22"/>
          <w:szCs w:val="22"/>
        </w:rPr>
        <w:noBreakHyphen/>
        <w:t>term outcomes, highlighting the need for combined psychological support.</w:t>
      </w:r>
      <w:r w:rsidRPr="00292B36">
        <w:rPr>
          <w:rFonts w:ascii="Arial" w:hAnsi="Arial" w:cs="Arial"/>
          <w:sz w:val="22"/>
          <w:szCs w:val="22"/>
        </w:rPr>
        <w:t xml:space="preserve"> UK prescribing policies emphasise careful titration, regular monitoring, and shared decision</w:t>
      </w:r>
      <w:r w:rsidRPr="00292B36">
        <w:rPr>
          <w:rFonts w:ascii="Arial" w:hAnsi="Arial" w:cs="Arial"/>
          <w:sz w:val="22"/>
          <w:szCs w:val="22"/>
        </w:rPr>
        <w:noBreakHyphen/>
        <w:t>making (</w:t>
      </w:r>
      <w:proofErr w:type="spellStart"/>
      <w:r w:rsidRPr="00292B36">
        <w:rPr>
          <w:rFonts w:ascii="Arial" w:hAnsi="Arial" w:cs="Arial"/>
          <w:sz w:val="22"/>
          <w:szCs w:val="22"/>
        </w:rPr>
        <w:t>Faltinsen</w:t>
      </w:r>
      <w:proofErr w:type="spellEnd"/>
      <w:r w:rsidRPr="00292B36">
        <w:rPr>
          <w:rFonts w:ascii="Arial" w:hAnsi="Arial" w:cs="Arial"/>
          <w:sz w:val="22"/>
          <w:szCs w:val="22"/>
        </w:rPr>
        <w:t xml:space="preserve"> et al., 2019).</w:t>
      </w:r>
    </w:p>
    <w:p w14:paraId="08C2310F" w14:textId="352180D0"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Psychological interventions include </w:t>
      </w:r>
      <w:r w:rsidRPr="00292B36">
        <w:rPr>
          <w:rStyle w:val="Strong"/>
          <w:rFonts w:ascii="Arial" w:hAnsi="Arial" w:cs="Arial"/>
          <w:b w:val="0"/>
          <w:bCs w:val="0"/>
          <w:sz w:val="22"/>
          <w:szCs w:val="22"/>
        </w:rPr>
        <w:t>Cognitive Behavioural Therapy (CBT)</w:t>
      </w:r>
      <w:r w:rsidRPr="00292B36">
        <w:rPr>
          <w:rFonts w:ascii="Arial" w:hAnsi="Arial" w:cs="Arial"/>
          <w:b/>
          <w:bCs/>
          <w:sz w:val="22"/>
          <w:szCs w:val="22"/>
        </w:rPr>
        <w:t>,</w:t>
      </w:r>
      <w:r w:rsidRPr="00292B36">
        <w:rPr>
          <w:rFonts w:ascii="Arial" w:hAnsi="Arial" w:cs="Arial"/>
          <w:sz w:val="22"/>
          <w:szCs w:val="22"/>
        </w:rPr>
        <w:t xml:space="preserve"> psychoeducation, behavioural strategies, and coaching focused on organisation and time</w:t>
      </w:r>
      <w:r w:rsidRPr="00292B36">
        <w:rPr>
          <w:rFonts w:ascii="Arial" w:hAnsi="Arial" w:cs="Arial"/>
          <w:sz w:val="22"/>
          <w:szCs w:val="22"/>
        </w:rPr>
        <w:noBreakHyphen/>
        <w:t>management. NICE recommends parent</w:t>
      </w:r>
      <w:r w:rsidRPr="00292B36">
        <w:rPr>
          <w:rFonts w:ascii="Arial" w:hAnsi="Arial" w:cs="Arial"/>
          <w:sz w:val="22"/>
          <w:szCs w:val="22"/>
        </w:rPr>
        <w:noBreakHyphen/>
        <w:t>training programmes for children, recognising the importance of family</w:t>
      </w:r>
      <w:r w:rsidRPr="00292B36">
        <w:rPr>
          <w:rFonts w:ascii="Arial" w:hAnsi="Arial" w:cs="Arial"/>
          <w:sz w:val="22"/>
          <w:szCs w:val="22"/>
        </w:rPr>
        <w:noBreakHyphen/>
        <w:t xml:space="preserve">based interventions (NICE, 2018). For adults, CBT targeting emotional regulation and executive functioning is widely used. </w:t>
      </w:r>
      <w:r w:rsidR="00414697" w:rsidRPr="00292B36">
        <w:rPr>
          <w:rFonts w:ascii="Arial" w:hAnsi="Arial" w:cs="Arial"/>
          <w:sz w:val="22"/>
          <w:szCs w:val="22"/>
        </w:rPr>
        <w:t xml:space="preserve">Fiorillo, </w:t>
      </w:r>
      <w:proofErr w:type="spellStart"/>
      <w:r w:rsidR="00414697" w:rsidRPr="00292B36">
        <w:rPr>
          <w:rFonts w:ascii="Arial" w:hAnsi="Arial" w:cs="Arial"/>
          <w:sz w:val="22"/>
          <w:szCs w:val="22"/>
        </w:rPr>
        <w:t>Falkai</w:t>
      </w:r>
      <w:proofErr w:type="spellEnd"/>
      <w:r w:rsidR="00414697" w:rsidRPr="00292B36">
        <w:rPr>
          <w:rFonts w:ascii="Arial" w:hAnsi="Arial" w:cs="Arial"/>
          <w:sz w:val="22"/>
          <w:szCs w:val="22"/>
        </w:rPr>
        <w:t xml:space="preserve"> and </w:t>
      </w:r>
      <w:proofErr w:type="spellStart"/>
      <w:r w:rsidR="00414697" w:rsidRPr="00292B36">
        <w:rPr>
          <w:rFonts w:ascii="Arial" w:hAnsi="Arial" w:cs="Arial"/>
          <w:sz w:val="22"/>
          <w:szCs w:val="22"/>
        </w:rPr>
        <w:t>Gorwood</w:t>
      </w:r>
      <w:proofErr w:type="spellEnd"/>
      <w:r w:rsidR="00414697" w:rsidRPr="00292B36">
        <w:rPr>
          <w:rFonts w:ascii="Arial" w:hAnsi="Arial" w:cs="Arial"/>
          <w:sz w:val="22"/>
          <w:szCs w:val="22"/>
        </w:rPr>
        <w:t xml:space="preserve"> (2023) emphasise that effective ADHD care often requires combining medication with psychological support. </w:t>
      </w:r>
    </w:p>
    <w:p w14:paraId="1CE0BEF4" w14:textId="77777777"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The UK’s healthcare system presents accessibility challenges. The </w:t>
      </w:r>
      <w:r w:rsidRPr="00292B36">
        <w:rPr>
          <w:rStyle w:val="Strong"/>
          <w:rFonts w:ascii="Arial" w:hAnsi="Arial" w:cs="Arial"/>
          <w:b w:val="0"/>
          <w:bCs w:val="0"/>
          <w:sz w:val="22"/>
          <w:szCs w:val="22"/>
        </w:rPr>
        <w:t>Improving Access to Psychological Therapies (IAPT)</w:t>
      </w:r>
      <w:r w:rsidRPr="00292B36">
        <w:rPr>
          <w:rFonts w:ascii="Arial" w:hAnsi="Arial" w:cs="Arial"/>
          <w:sz w:val="22"/>
          <w:szCs w:val="22"/>
        </w:rPr>
        <w:t xml:space="preserve"> programme primarily targets anxiety and depression, meaning ADHD</w:t>
      </w:r>
      <w:r w:rsidRPr="00292B36">
        <w:rPr>
          <w:rFonts w:ascii="Arial" w:hAnsi="Arial" w:cs="Arial"/>
          <w:sz w:val="22"/>
          <w:szCs w:val="22"/>
        </w:rPr>
        <w:noBreakHyphen/>
        <w:t>specific psychological support is not consistently available. Many adults rely on private services due to NHS delays, raising concerns about equity and affordability (Young et al., 2021). The King’s Fund highlights that mental health services remain underfunded relative to demand, limiting access to specialist ADHD interventions (Charles et al., 2019).</w:t>
      </w:r>
    </w:p>
    <w:p w14:paraId="750A5A73" w14:textId="37E73098" w:rsidR="00E55033" w:rsidRPr="00292B36" w:rsidRDefault="002621CE" w:rsidP="00D44EEF">
      <w:pPr>
        <w:pStyle w:val="NormalWeb"/>
        <w:spacing w:line="360" w:lineRule="auto"/>
        <w:rPr>
          <w:rFonts w:ascii="Arial" w:hAnsi="Arial" w:cs="Arial"/>
          <w:sz w:val="22"/>
          <w:szCs w:val="22"/>
        </w:rPr>
      </w:pPr>
      <w:r w:rsidRPr="00292B36">
        <w:rPr>
          <w:rFonts w:ascii="Arial" w:hAnsi="Arial" w:cs="Arial"/>
          <w:sz w:val="22"/>
          <w:szCs w:val="22"/>
        </w:rPr>
        <w:t>Ogundele and Ayyash (2023) highlight that behavioural strategies can help children and adolescents manage routine and emotional regulation.</w:t>
      </w:r>
      <w:r w:rsidR="000C3562" w:rsidRPr="00292B36">
        <w:rPr>
          <w:rFonts w:ascii="Arial" w:hAnsi="Arial" w:cs="Arial"/>
          <w:sz w:val="22"/>
          <w:szCs w:val="22"/>
        </w:rPr>
        <w:t xml:space="preserve"> </w:t>
      </w:r>
      <w:r w:rsidR="00E55033" w:rsidRPr="00292B36">
        <w:rPr>
          <w:rFonts w:ascii="Arial" w:hAnsi="Arial" w:cs="Arial"/>
          <w:sz w:val="22"/>
          <w:szCs w:val="22"/>
        </w:rPr>
        <w:t>NICE does not recommend these as primary treatments but acknowledges potential benefits for some individuals (NICE, n.d.). Critics argue that the UK system remains overly reliant on medication due to resource constraints, while proponents emphasise its strong evidence base.</w:t>
      </w:r>
    </w:p>
    <w:p w14:paraId="41E817AC" w14:textId="77777777" w:rsidR="00F87CAD"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Overall, UK treatment approaches reflect evidence</w:t>
      </w:r>
      <w:r w:rsidRPr="00292B36">
        <w:rPr>
          <w:rFonts w:ascii="Arial" w:hAnsi="Arial" w:cs="Arial"/>
          <w:sz w:val="22"/>
          <w:szCs w:val="22"/>
        </w:rPr>
        <w:noBreakHyphen/>
        <w:t>based practice but are constrained by systemic pressures, regional inequalities, and limited psychological provision. Ensuring timely access to comprehensive treatment remains a major challenge.</w:t>
      </w:r>
    </w:p>
    <w:p w14:paraId="1DF91098" w14:textId="69A6033B" w:rsidR="00E55033" w:rsidRPr="00292B36" w:rsidRDefault="00E55033" w:rsidP="00D44EEF">
      <w:pPr>
        <w:pStyle w:val="NormalWeb"/>
        <w:spacing w:line="360" w:lineRule="auto"/>
        <w:rPr>
          <w:rFonts w:ascii="Arial" w:hAnsi="Arial" w:cs="Arial"/>
          <w:sz w:val="22"/>
          <w:szCs w:val="22"/>
        </w:rPr>
      </w:pPr>
      <w:r w:rsidRPr="00292B36">
        <w:rPr>
          <w:rStyle w:val="Strong"/>
          <w:rFonts w:ascii="Arial" w:hAnsi="Arial" w:cs="Arial"/>
          <w:sz w:val="22"/>
          <w:szCs w:val="22"/>
        </w:rPr>
        <w:t>Rehabilitation &amp; Long</w:t>
      </w:r>
      <w:r w:rsidRPr="00292B36">
        <w:rPr>
          <w:rStyle w:val="Strong"/>
          <w:rFonts w:ascii="Arial" w:hAnsi="Arial" w:cs="Arial"/>
          <w:sz w:val="22"/>
          <w:szCs w:val="22"/>
        </w:rPr>
        <w:noBreakHyphen/>
        <w:t>Term Management</w:t>
      </w:r>
    </w:p>
    <w:p w14:paraId="76FE6A63" w14:textId="19883600"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Rehabilitation for ADHD focuses on long</w:t>
      </w:r>
      <w:r w:rsidRPr="00292B36">
        <w:rPr>
          <w:rFonts w:ascii="Arial" w:hAnsi="Arial" w:cs="Arial"/>
          <w:sz w:val="22"/>
          <w:szCs w:val="22"/>
        </w:rPr>
        <w:noBreakHyphen/>
        <w:t>term functional support, social integration, and management of co</w:t>
      </w:r>
      <w:r w:rsidRPr="00292B36">
        <w:rPr>
          <w:rFonts w:ascii="Arial" w:hAnsi="Arial" w:cs="Arial"/>
          <w:sz w:val="22"/>
          <w:szCs w:val="22"/>
        </w:rPr>
        <w:noBreakHyphen/>
        <w:t>occurring conditions.</w:t>
      </w:r>
      <w:r w:rsidR="006F3B95" w:rsidRPr="00292B36">
        <w:rPr>
          <w:rFonts w:ascii="Arial" w:hAnsi="Arial" w:cs="Arial"/>
          <w:sz w:val="22"/>
          <w:szCs w:val="22"/>
        </w:rPr>
        <w:t xml:space="preserve"> Fiorillo, </w:t>
      </w:r>
      <w:proofErr w:type="spellStart"/>
      <w:r w:rsidR="006F3B95" w:rsidRPr="00292B36">
        <w:rPr>
          <w:rFonts w:ascii="Arial" w:hAnsi="Arial" w:cs="Arial"/>
          <w:sz w:val="22"/>
          <w:szCs w:val="22"/>
        </w:rPr>
        <w:t>Falkai</w:t>
      </w:r>
      <w:proofErr w:type="spellEnd"/>
      <w:r w:rsidR="006F3B95" w:rsidRPr="00292B36">
        <w:rPr>
          <w:rFonts w:ascii="Arial" w:hAnsi="Arial" w:cs="Arial"/>
          <w:sz w:val="22"/>
          <w:szCs w:val="22"/>
        </w:rPr>
        <w:t xml:space="preserve"> and </w:t>
      </w:r>
      <w:proofErr w:type="spellStart"/>
      <w:r w:rsidR="006F3B95" w:rsidRPr="00292B36">
        <w:rPr>
          <w:rFonts w:ascii="Arial" w:hAnsi="Arial" w:cs="Arial"/>
          <w:sz w:val="22"/>
          <w:szCs w:val="22"/>
        </w:rPr>
        <w:t>Gorwood</w:t>
      </w:r>
      <w:proofErr w:type="spellEnd"/>
      <w:r w:rsidR="006F3B95" w:rsidRPr="00292B36">
        <w:rPr>
          <w:rFonts w:ascii="Arial" w:hAnsi="Arial" w:cs="Arial"/>
          <w:sz w:val="22"/>
          <w:szCs w:val="22"/>
        </w:rPr>
        <w:t xml:space="preserve"> (2023) emphasise that neurodevelopmental conditions such as ADHD require long</w:t>
      </w:r>
      <w:r w:rsidR="006F3B95" w:rsidRPr="00292B36">
        <w:rPr>
          <w:rFonts w:ascii="Arial" w:hAnsi="Arial" w:cs="Arial"/>
          <w:sz w:val="22"/>
          <w:szCs w:val="22"/>
        </w:rPr>
        <w:noBreakHyphen/>
        <w:t xml:space="preserve">term, multidisciplinary management approaches that integrate psychological, social, and pharmacological </w:t>
      </w:r>
      <w:r w:rsidR="006F3B95" w:rsidRPr="00292B36">
        <w:rPr>
          <w:rFonts w:ascii="Arial" w:hAnsi="Arial" w:cs="Arial"/>
          <w:sz w:val="22"/>
          <w:szCs w:val="22"/>
        </w:rPr>
        <w:lastRenderedPageBreak/>
        <w:t>interventions.</w:t>
      </w:r>
      <w:r w:rsidR="00FF43C1" w:rsidRPr="00292B36">
        <w:rPr>
          <w:rFonts w:ascii="Arial" w:hAnsi="Arial" w:cs="Arial"/>
          <w:sz w:val="22"/>
          <w:szCs w:val="22"/>
        </w:rPr>
        <w:t xml:space="preserve"> Although ICD</w:t>
      </w:r>
      <w:r w:rsidR="00FF43C1" w:rsidRPr="00292B36">
        <w:rPr>
          <w:rFonts w:ascii="Arial" w:hAnsi="Arial" w:cs="Arial"/>
          <w:sz w:val="22"/>
          <w:szCs w:val="22"/>
        </w:rPr>
        <w:noBreakHyphen/>
        <w:t>11 does not prescribe specific rehabilitation programmes, it emphasises the need for ongoing functional support across the lifespan. This includes behavioural strategies, environmental adjustments, and interventions aimed at improving social participation and daily functioning (WHO, 2026).</w:t>
      </w:r>
      <w:r w:rsidRPr="00292B36">
        <w:rPr>
          <w:rFonts w:ascii="Arial" w:hAnsi="Arial" w:cs="Arial"/>
          <w:sz w:val="22"/>
          <w:szCs w:val="22"/>
        </w:rPr>
        <w:t xml:space="preserve"> In the UK, long</w:t>
      </w:r>
      <w:r w:rsidRPr="00292B36">
        <w:rPr>
          <w:rFonts w:ascii="Arial" w:hAnsi="Arial" w:cs="Arial"/>
          <w:sz w:val="22"/>
          <w:szCs w:val="22"/>
        </w:rPr>
        <w:noBreakHyphen/>
        <w:t>term management typically involves regular medication reviews, psychological support, workplace or educational accommodations, and community</w:t>
      </w:r>
      <w:r w:rsidRPr="00292B36">
        <w:rPr>
          <w:rFonts w:ascii="Arial" w:hAnsi="Arial" w:cs="Arial"/>
          <w:sz w:val="22"/>
          <w:szCs w:val="22"/>
        </w:rPr>
        <w:noBreakHyphen/>
        <w:t>based services.</w:t>
      </w:r>
    </w:p>
    <w:p w14:paraId="194449A2" w14:textId="77777777"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The </w:t>
      </w:r>
      <w:r w:rsidRPr="00292B36">
        <w:rPr>
          <w:rStyle w:val="Strong"/>
          <w:rFonts w:ascii="Arial" w:hAnsi="Arial" w:cs="Arial"/>
          <w:b w:val="0"/>
          <w:bCs w:val="0"/>
          <w:sz w:val="22"/>
          <w:szCs w:val="22"/>
        </w:rPr>
        <w:t>Mental Health Act (2007)</w:t>
      </w:r>
      <w:r w:rsidRPr="00292B36">
        <w:rPr>
          <w:rFonts w:ascii="Arial" w:hAnsi="Arial" w:cs="Arial"/>
          <w:sz w:val="22"/>
          <w:szCs w:val="22"/>
        </w:rPr>
        <w:t xml:space="preserve"> provides the legal framework for compulsory treatment, though ADHD rarely requires detention unless severe comorbidities are present. More relevant are rights to assessment, advocacy, and reasonable adjustments under the </w:t>
      </w:r>
      <w:r w:rsidRPr="00292B36">
        <w:rPr>
          <w:rStyle w:val="Strong"/>
          <w:rFonts w:ascii="Arial" w:hAnsi="Arial" w:cs="Arial"/>
          <w:b w:val="0"/>
          <w:bCs w:val="0"/>
          <w:sz w:val="22"/>
          <w:szCs w:val="22"/>
        </w:rPr>
        <w:t>Equality Act (2010)</w:t>
      </w:r>
      <w:r w:rsidRPr="00292B36">
        <w:rPr>
          <w:rFonts w:ascii="Arial" w:hAnsi="Arial" w:cs="Arial"/>
          <w:b/>
          <w:bCs/>
          <w:sz w:val="22"/>
          <w:szCs w:val="22"/>
        </w:rPr>
        <w:t>,</w:t>
      </w:r>
      <w:r w:rsidRPr="00292B36">
        <w:rPr>
          <w:rFonts w:ascii="Arial" w:hAnsi="Arial" w:cs="Arial"/>
          <w:sz w:val="22"/>
          <w:szCs w:val="22"/>
        </w:rPr>
        <w:t xml:space="preserve"> which protects individuals with ADHD from discrimination in employment, education, and public services. The </w:t>
      </w:r>
      <w:r w:rsidRPr="00292B36">
        <w:rPr>
          <w:rStyle w:val="Strong"/>
          <w:rFonts w:ascii="Arial" w:hAnsi="Arial" w:cs="Arial"/>
          <w:b w:val="0"/>
          <w:bCs w:val="0"/>
          <w:sz w:val="22"/>
          <w:szCs w:val="22"/>
        </w:rPr>
        <w:t>Care Act (2014)</w:t>
      </w:r>
      <w:r w:rsidRPr="00292B36">
        <w:rPr>
          <w:rFonts w:ascii="Arial" w:hAnsi="Arial" w:cs="Arial"/>
          <w:sz w:val="22"/>
          <w:szCs w:val="22"/>
        </w:rPr>
        <w:t xml:space="preserve"> supports adults with substantial care needs, though ADHD alone rarely meets eligibility thresholds unless accompanied by significant impairment.</w:t>
      </w:r>
    </w:p>
    <w:p w14:paraId="6BC99474" w14:textId="665D7490"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Community</w:t>
      </w:r>
      <w:r w:rsidRPr="00292B36">
        <w:rPr>
          <w:rFonts w:ascii="Arial" w:hAnsi="Arial" w:cs="Arial"/>
          <w:sz w:val="22"/>
          <w:szCs w:val="22"/>
        </w:rPr>
        <w:noBreakHyphen/>
        <w:t xml:space="preserve">based interventions play a crucial role. Charities such as </w:t>
      </w:r>
      <w:r w:rsidRPr="00292B36">
        <w:rPr>
          <w:rStyle w:val="Strong"/>
          <w:rFonts w:ascii="Arial" w:hAnsi="Arial" w:cs="Arial"/>
          <w:b w:val="0"/>
          <w:bCs w:val="0"/>
          <w:sz w:val="22"/>
          <w:szCs w:val="22"/>
        </w:rPr>
        <w:t>Mind</w:t>
      </w:r>
      <w:r w:rsidRPr="00292B36">
        <w:rPr>
          <w:rFonts w:ascii="Arial" w:hAnsi="Arial" w:cs="Arial"/>
          <w:b/>
          <w:bCs/>
          <w:sz w:val="22"/>
          <w:szCs w:val="22"/>
        </w:rPr>
        <w:t xml:space="preserve"> </w:t>
      </w:r>
      <w:r w:rsidRPr="00292B36">
        <w:rPr>
          <w:rFonts w:ascii="Arial" w:hAnsi="Arial" w:cs="Arial"/>
          <w:sz w:val="22"/>
          <w:szCs w:val="22"/>
        </w:rPr>
        <w:t xml:space="preserve">and </w:t>
      </w:r>
      <w:r w:rsidRPr="00292B36">
        <w:rPr>
          <w:rStyle w:val="Strong"/>
          <w:rFonts w:ascii="Arial" w:hAnsi="Arial" w:cs="Arial"/>
          <w:b w:val="0"/>
          <w:bCs w:val="0"/>
          <w:sz w:val="22"/>
          <w:szCs w:val="22"/>
        </w:rPr>
        <w:t>ADHD UK</w:t>
      </w:r>
      <w:r w:rsidRPr="00292B36">
        <w:rPr>
          <w:rFonts w:ascii="Arial" w:hAnsi="Arial" w:cs="Arial"/>
          <w:sz w:val="22"/>
          <w:szCs w:val="22"/>
        </w:rPr>
        <w:t xml:space="preserve"> offer peer support, crisis services, and advocacy (Mind, 2022; ADHD UK, 2022). ADHD</w:t>
      </w:r>
      <w:r w:rsidRPr="00292B36">
        <w:rPr>
          <w:rFonts w:ascii="Arial" w:hAnsi="Arial" w:cs="Arial"/>
          <w:sz w:val="22"/>
          <w:szCs w:val="22"/>
        </w:rPr>
        <w:noBreakHyphen/>
        <w:t xml:space="preserve">specific organisations provide education, coaching, and support groups. The </w:t>
      </w:r>
      <w:r w:rsidRPr="00292B36">
        <w:rPr>
          <w:rStyle w:val="Strong"/>
          <w:rFonts w:ascii="Arial" w:hAnsi="Arial" w:cs="Arial"/>
          <w:b w:val="0"/>
          <w:bCs w:val="0"/>
          <w:sz w:val="22"/>
          <w:szCs w:val="22"/>
        </w:rPr>
        <w:t>NHS Long Term Plan</w:t>
      </w:r>
      <w:r w:rsidRPr="00292B36">
        <w:rPr>
          <w:rFonts w:ascii="Arial" w:hAnsi="Arial" w:cs="Arial"/>
          <w:b/>
          <w:bCs/>
          <w:sz w:val="22"/>
          <w:szCs w:val="22"/>
        </w:rPr>
        <w:t xml:space="preserve"> </w:t>
      </w:r>
      <w:r w:rsidR="009A00A8" w:rsidRPr="009A00A8">
        <w:rPr>
          <w:rFonts w:ascii="Arial" w:hAnsi="Arial" w:cs="Arial"/>
          <w:sz w:val="22"/>
          <w:szCs w:val="22"/>
        </w:rPr>
        <w:t>focuses on expanding mental health access, early intervention, and coordinated care</w:t>
      </w:r>
      <w:r w:rsidRPr="00292B36">
        <w:rPr>
          <w:rFonts w:ascii="Arial" w:hAnsi="Arial" w:cs="Arial"/>
          <w:sz w:val="22"/>
          <w:szCs w:val="22"/>
        </w:rPr>
        <w:t>, though implementation remains uneven (Charles et al., 2019).</w:t>
      </w:r>
    </w:p>
    <w:p w14:paraId="2F5126B8" w14:textId="1D4F1594"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Social reintegration challenges include difficulties maintaining employment, managing finances, sustaining relationships, and navigating higher education. Adults with ADHD show higher rates of unemployment, substance misuse, and mental health comorbidities such as anxiety and depression (Young et al., 2021). Rehabilitation therefore requires holistic support addressing executive functioning, emotional regulation, and social skills</w:t>
      </w:r>
      <w:r w:rsidR="00B736F3" w:rsidRPr="00292B36">
        <w:rPr>
          <w:rFonts w:ascii="Arial" w:hAnsi="Arial" w:cs="Arial"/>
          <w:sz w:val="22"/>
          <w:szCs w:val="22"/>
        </w:rPr>
        <w:t xml:space="preserve">. </w:t>
      </w:r>
      <w:r w:rsidR="00292B36" w:rsidRPr="00292B36">
        <w:rPr>
          <w:rFonts w:ascii="Arial" w:hAnsi="Arial" w:cs="Arial"/>
          <w:sz w:val="22"/>
          <w:szCs w:val="22"/>
        </w:rPr>
        <w:t>Weiss and Weiss (2004) argue that adults with ADHD often need ongoing support to manage executive functioning difficulties.</w:t>
      </w:r>
    </w:p>
    <w:p w14:paraId="601A46A3" w14:textId="77777777" w:rsidR="00FF43C1"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Overall, long</w:t>
      </w:r>
      <w:r w:rsidRPr="00292B36">
        <w:rPr>
          <w:rFonts w:ascii="Arial" w:hAnsi="Arial" w:cs="Arial"/>
          <w:sz w:val="22"/>
          <w:szCs w:val="22"/>
        </w:rPr>
        <w:noBreakHyphen/>
        <w:t>term management in the UK is shaped by legal protections, community services, and NHS policy, but gaps remain in continuity of care and adult support provision.</w:t>
      </w:r>
    </w:p>
    <w:p w14:paraId="60E2B16B" w14:textId="7F1191FB" w:rsidR="00E55033" w:rsidRPr="00292B36" w:rsidRDefault="00E55033" w:rsidP="00D44EEF">
      <w:pPr>
        <w:pStyle w:val="NormalWeb"/>
        <w:spacing w:line="360" w:lineRule="auto"/>
        <w:rPr>
          <w:rFonts w:ascii="Arial" w:hAnsi="Arial" w:cs="Arial"/>
          <w:sz w:val="22"/>
          <w:szCs w:val="22"/>
        </w:rPr>
      </w:pPr>
      <w:r w:rsidRPr="00292B36">
        <w:rPr>
          <w:rStyle w:val="Strong"/>
          <w:rFonts w:ascii="Arial" w:hAnsi="Arial" w:cs="Arial"/>
          <w:sz w:val="22"/>
          <w:szCs w:val="22"/>
        </w:rPr>
        <w:t>Current Debates &amp; Emerging Issues</w:t>
      </w:r>
    </w:p>
    <w:p w14:paraId="73BD4C54" w14:textId="342E597E"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ADHD is at the centre of several academic and clinical debates. One major issue concerns </w:t>
      </w:r>
      <w:r w:rsidRPr="00292B36">
        <w:rPr>
          <w:rStyle w:val="Strong"/>
          <w:rFonts w:ascii="Arial" w:hAnsi="Arial" w:cs="Arial"/>
          <w:b w:val="0"/>
          <w:bCs w:val="0"/>
          <w:sz w:val="22"/>
          <w:szCs w:val="22"/>
        </w:rPr>
        <w:t>classification</w:t>
      </w:r>
      <w:r w:rsidRPr="00292B36">
        <w:rPr>
          <w:rFonts w:ascii="Arial" w:hAnsi="Arial" w:cs="Arial"/>
          <w:sz w:val="22"/>
          <w:szCs w:val="22"/>
        </w:rPr>
        <w:t xml:space="preserve"> whether ADHD should remain within neurodevelopmental disorders or be reframed through a neurodiversity lens. Advocates argue that deficit</w:t>
      </w:r>
      <w:r w:rsidRPr="00292B36">
        <w:rPr>
          <w:rFonts w:ascii="Arial" w:hAnsi="Arial" w:cs="Arial"/>
          <w:sz w:val="22"/>
          <w:szCs w:val="22"/>
        </w:rPr>
        <w:noBreakHyphen/>
        <w:t xml:space="preserve">based terminology reinforces stigma, while critics caution that removing “disorder” may undermine access to </w:t>
      </w:r>
      <w:r w:rsidRPr="00292B36">
        <w:rPr>
          <w:rFonts w:ascii="Arial" w:hAnsi="Arial" w:cs="Arial"/>
          <w:sz w:val="22"/>
          <w:szCs w:val="22"/>
        </w:rPr>
        <w:lastRenderedPageBreak/>
        <w:t>services (Mind, 2022). ICD</w:t>
      </w:r>
      <w:r w:rsidRPr="00292B36">
        <w:rPr>
          <w:rFonts w:ascii="Arial" w:hAnsi="Arial" w:cs="Arial"/>
          <w:sz w:val="22"/>
          <w:szCs w:val="22"/>
        </w:rPr>
        <w:noBreakHyphen/>
        <w:t>11’s dimensional approach reflects a shift toward recognising variability rather than rigid categories (WHO, 2026).</w:t>
      </w:r>
    </w:p>
    <w:p w14:paraId="40263963" w14:textId="66A57CE6"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Another debate concerns </w:t>
      </w:r>
      <w:r w:rsidRPr="00292B36">
        <w:rPr>
          <w:rStyle w:val="Strong"/>
          <w:rFonts w:ascii="Arial" w:hAnsi="Arial" w:cs="Arial"/>
          <w:b w:val="0"/>
          <w:bCs w:val="0"/>
          <w:sz w:val="22"/>
          <w:szCs w:val="22"/>
        </w:rPr>
        <w:t>diagnostic expansion</w:t>
      </w:r>
      <w:r w:rsidRPr="00292B36">
        <w:rPr>
          <w:rFonts w:ascii="Arial" w:hAnsi="Arial" w:cs="Arial"/>
          <w:sz w:val="22"/>
          <w:szCs w:val="22"/>
        </w:rPr>
        <w:t>. Rising adult diagnoses have prompted concerns about over</w:t>
      </w:r>
      <w:r w:rsidRPr="00292B36">
        <w:rPr>
          <w:rFonts w:ascii="Arial" w:hAnsi="Arial" w:cs="Arial"/>
          <w:sz w:val="22"/>
          <w:szCs w:val="22"/>
        </w:rPr>
        <w:noBreakHyphen/>
        <w:t>medicalisation, while others argue that historical under</w:t>
      </w:r>
      <w:r w:rsidRPr="00292B36">
        <w:rPr>
          <w:rFonts w:ascii="Arial" w:hAnsi="Arial" w:cs="Arial"/>
          <w:sz w:val="22"/>
          <w:szCs w:val="22"/>
        </w:rPr>
        <w:noBreakHyphen/>
        <w:t>diagnosis</w:t>
      </w:r>
      <w:r w:rsidR="004B0294" w:rsidRPr="00292B36">
        <w:rPr>
          <w:rFonts w:ascii="Arial" w:hAnsi="Arial" w:cs="Arial"/>
          <w:sz w:val="22"/>
          <w:szCs w:val="22"/>
        </w:rPr>
        <w:t xml:space="preserve"> - </w:t>
      </w:r>
      <w:r w:rsidRPr="00292B36">
        <w:rPr>
          <w:rFonts w:ascii="Arial" w:hAnsi="Arial" w:cs="Arial"/>
          <w:sz w:val="22"/>
          <w:szCs w:val="22"/>
        </w:rPr>
        <w:t>particularly among women and ethnic minorities</w:t>
      </w:r>
      <w:r w:rsidR="004B0294" w:rsidRPr="00292B36">
        <w:rPr>
          <w:rFonts w:ascii="Arial" w:hAnsi="Arial" w:cs="Arial"/>
          <w:sz w:val="22"/>
          <w:szCs w:val="22"/>
        </w:rPr>
        <w:t xml:space="preserve"> - </w:t>
      </w:r>
      <w:r w:rsidRPr="00292B36">
        <w:rPr>
          <w:rFonts w:ascii="Arial" w:hAnsi="Arial" w:cs="Arial"/>
          <w:sz w:val="22"/>
          <w:szCs w:val="22"/>
        </w:rPr>
        <w:t>is now being corrected (Thapar and Cooper, 2016). UK studies highlight gender bias in childhood diagnosis, with girls often presenting inattentive symptoms that are overlooked (Coghill and Seth, 2010).</w:t>
      </w:r>
    </w:p>
    <w:p w14:paraId="15746302" w14:textId="77777777"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Policy debates focus on </w:t>
      </w:r>
      <w:r w:rsidRPr="00292B36">
        <w:rPr>
          <w:rStyle w:val="Strong"/>
          <w:rFonts w:ascii="Arial" w:hAnsi="Arial" w:cs="Arial"/>
          <w:b w:val="0"/>
          <w:bCs w:val="0"/>
          <w:sz w:val="22"/>
          <w:szCs w:val="22"/>
        </w:rPr>
        <w:t>waiting times</w:t>
      </w:r>
      <w:r w:rsidRPr="00292B36">
        <w:rPr>
          <w:rFonts w:ascii="Arial" w:hAnsi="Arial" w:cs="Arial"/>
          <w:b/>
          <w:bCs/>
          <w:sz w:val="22"/>
          <w:szCs w:val="22"/>
        </w:rPr>
        <w:t>,</w:t>
      </w:r>
      <w:r w:rsidRPr="00292B36">
        <w:rPr>
          <w:rFonts w:ascii="Arial" w:hAnsi="Arial" w:cs="Arial"/>
          <w:sz w:val="22"/>
          <w:szCs w:val="22"/>
        </w:rPr>
        <w:t xml:space="preserve"> service capacity, and funding. NHS reports show significant regional disparities, with some areas offering timely assessment and others facing multi</w:t>
      </w:r>
      <w:r w:rsidRPr="00292B36">
        <w:rPr>
          <w:rFonts w:ascii="Arial" w:hAnsi="Arial" w:cs="Arial"/>
          <w:sz w:val="22"/>
          <w:szCs w:val="22"/>
        </w:rPr>
        <w:noBreakHyphen/>
        <w:t>year delays (Young et al., 2021). Proposed reforms to the Mental Health Act emphasise patient autonomy, cultural competence, and improved access to community services, which may benefit individuals with ADHD (Department of Health and Social Care, 2026).</w:t>
      </w:r>
    </w:p>
    <w:p w14:paraId="2D07079D" w14:textId="345A8036"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Emerging issues include the role of digital health tools, such as online assessments and telehealth medication reviews. While </w:t>
      </w:r>
      <w:r w:rsidR="004B0294" w:rsidRPr="00292B36">
        <w:rPr>
          <w:rFonts w:ascii="Arial" w:hAnsi="Arial" w:cs="Arial"/>
          <w:sz w:val="22"/>
          <w:szCs w:val="22"/>
        </w:rPr>
        <w:t>this increases accessibility</w:t>
      </w:r>
      <w:r w:rsidRPr="00292B36">
        <w:rPr>
          <w:rFonts w:ascii="Arial" w:hAnsi="Arial" w:cs="Arial"/>
          <w:sz w:val="22"/>
          <w:szCs w:val="22"/>
        </w:rPr>
        <w:t>, concerns exist about diagnostic accuracy and commercialisation. UK regulators are increasingly scrutinising private ADHD clinics following reports of inconsistent assessment practices (Young et al., 2021).</w:t>
      </w:r>
    </w:p>
    <w:p w14:paraId="01BBDB3F" w14:textId="77777777"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Neuroscience research continues to explore ADHD’s biological basis, including executive functioning deficits, dopamine regulation, and genetic influences. However, debates persist regarding environmental factors such as trauma, socioeconomic disadvantage, and educational pressures (Thapar and Cooper, 2016).</w:t>
      </w:r>
    </w:p>
    <w:p w14:paraId="1BB28497" w14:textId="77777777" w:rsidR="00227E3C"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Overall, current debates reflect tensions between medical, social, and policy perspectives, highlighting the need for balanced, evidence</w:t>
      </w:r>
      <w:r w:rsidRPr="00292B36">
        <w:rPr>
          <w:rFonts w:ascii="Arial" w:hAnsi="Arial" w:cs="Arial"/>
          <w:sz w:val="22"/>
          <w:szCs w:val="22"/>
        </w:rPr>
        <w:noBreakHyphen/>
        <w:t>based approaches.</w:t>
      </w:r>
    </w:p>
    <w:p w14:paraId="2A954C07" w14:textId="59662DDF" w:rsidR="00E55033" w:rsidRPr="00292B36" w:rsidRDefault="00E55033" w:rsidP="00D44EEF">
      <w:pPr>
        <w:pStyle w:val="NormalWeb"/>
        <w:spacing w:line="360" w:lineRule="auto"/>
        <w:rPr>
          <w:rFonts w:ascii="Arial" w:hAnsi="Arial" w:cs="Arial"/>
          <w:sz w:val="22"/>
          <w:szCs w:val="22"/>
        </w:rPr>
      </w:pPr>
      <w:r w:rsidRPr="00292B36">
        <w:rPr>
          <w:rStyle w:val="Strong"/>
          <w:rFonts w:ascii="Arial" w:hAnsi="Arial" w:cs="Arial"/>
          <w:sz w:val="22"/>
          <w:szCs w:val="22"/>
        </w:rPr>
        <w:t>UK Data &amp; Statistical Evidence</w:t>
      </w:r>
    </w:p>
    <w:p w14:paraId="3C9260F7" w14:textId="77777777"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UK prevalence estimates indicate ADHD affects </w:t>
      </w:r>
      <w:r w:rsidRPr="00292B36">
        <w:rPr>
          <w:rStyle w:val="Strong"/>
          <w:rFonts w:ascii="Arial" w:hAnsi="Arial" w:cs="Arial"/>
          <w:b w:val="0"/>
          <w:bCs w:val="0"/>
          <w:sz w:val="22"/>
          <w:szCs w:val="22"/>
        </w:rPr>
        <w:t>5–7% of children</w:t>
      </w:r>
      <w:r w:rsidRPr="00292B36">
        <w:rPr>
          <w:rFonts w:ascii="Arial" w:hAnsi="Arial" w:cs="Arial"/>
          <w:b/>
          <w:bCs/>
          <w:sz w:val="22"/>
          <w:szCs w:val="22"/>
        </w:rPr>
        <w:t xml:space="preserve"> </w:t>
      </w:r>
      <w:r w:rsidRPr="00292B36">
        <w:rPr>
          <w:rFonts w:ascii="Arial" w:hAnsi="Arial" w:cs="Arial"/>
          <w:sz w:val="22"/>
          <w:szCs w:val="22"/>
        </w:rPr>
        <w:t xml:space="preserve">and </w:t>
      </w:r>
      <w:r w:rsidRPr="00292B36">
        <w:rPr>
          <w:rStyle w:val="Strong"/>
          <w:rFonts w:ascii="Arial" w:hAnsi="Arial" w:cs="Arial"/>
          <w:b w:val="0"/>
          <w:bCs w:val="0"/>
          <w:sz w:val="22"/>
          <w:szCs w:val="22"/>
        </w:rPr>
        <w:t>3–4% of adults</w:t>
      </w:r>
      <w:r w:rsidRPr="00292B36">
        <w:rPr>
          <w:rFonts w:ascii="Arial" w:hAnsi="Arial" w:cs="Arial"/>
          <w:sz w:val="22"/>
          <w:szCs w:val="22"/>
        </w:rPr>
        <w:t xml:space="preserve"> (</w:t>
      </w:r>
      <w:proofErr w:type="spellStart"/>
      <w:r w:rsidRPr="00292B36">
        <w:rPr>
          <w:rFonts w:ascii="Arial" w:hAnsi="Arial" w:cs="Arial"/>
          <w:sz w:val="22"/>
          <w:szCs w:val="22"/>
        </w:rPr>
        <w:t>Popit</w:t>
      </w:r>
      <w:proofErr w:type="spellEnd"/>
      <w:r w:rsidRPr="00292B36">
        <w:rPr>
          <w:rFonts w:ascii="Arial" w:hAnsi="Arial" w:cs="Arial"/>
          <w:sz w:val="22"/>
          <w:szCs w:val="22"/>
        </w:rPr>
        <w:t xml:space="preserve"> et al., 2024; NOS, 2024). NHS Digital reports rising referrals for ADHD assessments, particularly among adults aged 18–35 (Department of Health and Social Care, 2026). Waiting</w:t>
      </w:r>
      <w:r w:rsidRPr="00292B36">
        <w:rPr>
          <w:rFonts w:ascii="Arial" w:hAnsi="Arial" w:cs="Arial"/>
          <w:sz w:val="22"/>
          <w:szCs w:val="22"/>
        </w:rPr>
        <w:noBreakHyphen/>
        <w:t xml:space="preserve">time data shows many patients wait </w:t>
      </w:r>
      <w:r w:rsidRPr="00292B36">
        <w:rPr>
          <w:rStyle w:val="Strong"/>
          <w:rFonts w:ascii="Arial" w:hAnsi="Arial" w:cs="Arial"/>
          <w:b w:val="0"/>
          <w:bCs w:val="0"/>
          <w:sz w:val="22"/>
          <w:szCs w:val="22"/>
        </w:rPr>
        <w:t>over six months</w:t>
      </w:r>
      <w:r w:rsidRPr="00292B36">
        <w:rPr>
          <w:rFonts w:ascii="Arial" w:hAnsi="Arial" w:cs="Arial"/>
          <w:sz w:val="22"/>
          <w:szCs w:val="22"/>
        </w:rPr>
        <w:t xml:space="preserve">, with some regions exceeding </w:t>
      </w:r>
      <w:r w:rsidRPr="00292B36">
        <w:rPr>
          <w:rStyle w:val="Strong"/>
          <w:rFonts w:ascii="Arial" w:hAnsi="Arial" w:cs="Arial"/>
          <w:b w:val="0"/>
          <w:bCs w:val="0"/>
          <w:sz w:val="22"/>
          <w:szCs w:val="22"/>
        </w:rPr>
        <w:t>two years</w:t>
      </w:r>
      <w:r w:rsidRPr="00292B36">
        <w:rPr>
          <w:rFonts w:ascii="Arial" w:hAnsi="Arial" w:cs="Arial"/>
          <w:sz w:val="22"/>
          <w:szCs w:val="22"/>
        </w:rPr>
        <w:t xml:space="preserve"> for specialist assessment (Young et al., 2021).</w:t>
      </w:r>
    </w:p>
    <w:p w14:paraId="569EB4F4" w14:textId="77777777" w:rsidR="00E55033"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lastRenderedPageBreak/>
        <w:t xml:space="preserve">Socioeconomic disparities are evident. ONS data shows higher ADHD diagnosis rates in areas of deprivation, though this may reflect both increased risk factors and greater contact with public services (NOS, 2024). Treatment access also </w:t>
      </w:r>
      <w:proofErr w:type="gramStart"/>
      <w:r w:rsidRPr="00292B36">
        <w:rPr>
          <w:rFonts w:ascii="Arial" w:hAnsi="Arial" w:cs="Arial"/>
          <w:sz w:val="22"/>
          <w:szCs w:val="22"/>
        </w:rPr>
        <w:t>varies:</w:t>
      </w:r>
      <w:proofErr w:type="gramEnd"/>
      <w:r w:rsidRPr="00292B36">
        <w:rPr>
          <w:rFonts w:ascii="Arial" w:hAnsi="Arial" w:cs="Arial"/>
          <w:sz w:val="22"/>
          <w:szCs w:val="22"/>
        </w:rPr>
        <w:t xml:space="preserve"> children in affluent areas are more likely to receive psychological interventions, while those in deprived areas rely more heavily on medication (NHS, 2025b).</w:t>
      </w:r>
    </w:p>
    <w:p w14:paraId="6D680BB1" w14:textId="77777777" w:rsidR="00227E3C" w:rsidRPr="00292B36" w:rsidRDefault="00E55033" w:rsidP="00D44EEF">
      <w:pPr>
        <w:pStyle w:val="NormalWeb"/>
        <w:spacing w:line="360" w:lineRule="auto"/>
        <w:rPr>
          <w:rFonts w:ascii="Arial" w:hAnsi="Arial" w:cs="Arial"/>
          <w:sz w:val="22"/>
          <w:szCs w:val="22"/>
        </w:rPr>
      </w:pPr>
      <w:r w:rsidRPr="00292B36">
        <w:rPr>
          <w:rFonts w:ascii="Arial" w:hAnsi="Arial" w:cs="Arial"/>
          <w:sz w:val="22"/>
          <w:szCs w:val="22"/>
        </w:rPr>
        <w:t xml:space="preserve">Global comparisons show the UK has lower diagnosis and medication rates than the US but higher than many European countries (CDC, 2024; NIMH, 2024). Treatment success rates for medication remain high, with around </w:t>
      </w:r>
      <w:r w:rsidRPr="00292B36">
        <w:rPr>
          <w:rStyle w:val="Strong"/>
          <w:rFonts w:ascii="Arial" w:hAnsi="Arial" w:cs="Arial"/>
          <w:b w:val="0"/>
          <w:bCs w:val="0"/>
          <w:sz w:val="22"/>
          <w:szCs w:val="22"/>
        </w:rPr>
        <w:t>70%</w:t>
      </w:r>
      <w:r w:rsidRPr="00292B36">
        <w:rPr>
          <w:rFonts w:ascii="Arial" w:hAnsi="Arial" w:cs="Arial"/>
          <w:b/>
          <w:bCs/>
          <w:sz w:val="22"/>
          <w:szCs w:val="22"/>
        </w:rPr>
        <w:t xml:space="preserve"> </w:t>
      </w:r>
      <w:r w:rsidRPr="00292B36">
        <w:rPr>
          <w:rFonts w:ascii="Arial" w:hAnsi="Arial" w:cs="Arial"/>
          <w:sz w:val="22"/>
          <w:szCs w:val="22"/>
        </w:rPr>
        <w:t>of individuals showing significant improvement (</w:t>
      </w:r>
      <w:proofErr w:type="spellStart"/>
      <w:r w:rsidRPr="00292B36">
        <w:rPr>
          <w:rFonts w:ascii="Arial" w:hAnsi="Arial" w:cs="Arial"/>
          <w:sz w:val="22"/>
          <w:szCs w:val="22"/>
        </w:rPr>
        <w:t>Faltinsen</w:t>
      </w:r>
      <w:proofErr w:type="spellEnd"/>
      <w:r w:rsidRPr="00292B36">
        <w:rPr>
          <w:rFonts w:ascii="Arial" w:hAnsi="Arial" w:cs="Arial"/>
          <w:sz w:val="22"/>
          <w:szCs w:val="22"/>
        </w:rPr>
        <w:t xml:space="preserve"> et al., 2019).</w:t>
      </w:r>
    </w:p>
    <w:p w14:paraId="37951F41" w14:textId="5AAE8B6B" w:rsidR="004F299F" w:rsidRPr="00292B36" w:rsidRDefault="004F299F" w:rsidP="00D44EEF">
      <w:pPr>
        <w:pStyle w:val="NormalWeb"/>
        <w:spacing w:line="360" w:lineRule="auto"/>
        <w:rPr>
          <w:rFonts w:ascii="Arial" w:hAnsi="Arial" w:cs="Arial"/>
          <w:sz w:val="22"/>
          <w:szCs w:val="22"/>
        </w:rPr>
      </w:pPr>
      <w:r w:rsidRPr="00292B36">
        <w:rPr>
          <w:rStyle w:val="Strong"/>
          <w:rFonts w:ascii="Arial" w:hAnsi="Arial" w:cs="Arial"/>
          <w:sz w:val="22"/>
          <w:szCs w:val="22"/>
        </w:rPr>
        <w:t>Recommendations</w:t>
      </w:r>
    </w:p>
    <w:p w14:paraId="25ED1EF5" w14:textId="6799E870" w:rsidR="004F299F" w:rsidRPr="00292B36" w:rsidRDefault="004F299F" w:rsidP="00D44EEF">
      <w:pPr>
        <w:pStyle w:val="NormalWeb"/>
        <w:spacing w:line="360" w:lineRule="auto"/>
        <w:rPr>
          <w:rFonts w:ascii="Arial" w:hAnsi="Arial" w:cs="Arial"/>
          <w:sz w:val="22"/>
          <w:szCs w:val="22"/>
        </w:rPr>
      </w:pPr>
      <w:r w:rsidRPr="00292B36">
        <w:rPr>
          <w:rFonts w:ascii="Arial" w:hAnsi="Arial" w:cs="Arial"/>
          <w:sz w:val="22"/>
          <w:szCs w:val="22"/>
        </w:rPr>
        <w:t>Improving support for individuals with ADHD in the UK requires changes across diagnostic pathways, treatment provision, education, and wider policy structures. These recommendations are informed by current evidence and lived experience navigating ADHD services as a parent, where support was often limited to short blocks of intervention, followed by long periods on waiting lists, and where mainstream schools lacked the resources and funding to respond appropriately to ADHD</w:t>
      </w:r>
      <w:r w:rsidRPr="00292B36">
        <w:rPr>
          <w:rFonts w:ascii="Arial" w:hAnsi="Arial" w:cs="Arial"/>
          <w:sz w:val="22"/>
          <w:szCs w:val="22"/>
        </w:rPr>
        <w:noBreakHyphen/>
        <w:t>related needs.</w:t>
      </w:r>
    </w:p>
    <w:p w14:paraId="14C96503" w14:textId="66810229" w:rsidR="004F299F" w:rsidRPr="00292B36" w:rsidRDefault="004F299F" w:rsidP="00D44EEF">
      <w:pPr>
        <w:pStyle w:val="NormalWeb"/>
        <w:numPr>
          <w:ilvl w:val="0"/>
          <w:numId w:val="2"/>
        </w:numPr>
        <w:spacing w:line="360" w:lineRule="auto"/>
        <w:rPr>
          <w:rFonts w:ascii="Arial" w:hAnsi="Arial" w:cs="Arial"/>
          <w:sz w:val="22"/>
          <w:szCs w:val="22"/>
        </w:rPr>
      </w:pPr>
      <w:r w:rsidRPr="00292B36">
        <w:rPr>
          <w:rStyle w:val="Strong"/>
          <w:rFonts w:ascii="Arial" w:hAnsi="Arial" w:cs="Arial"/>
          <w:sz w:val="22"/>
          <w:szCs w:val="22"/>
        </w:rPr>
        <w:t>Strengthen diagnostic capacity and reduce waiting times</w:t>
      </w:r>
      <w:r w:rsidR="004B0294" w:rsidRPr="00292B36">
        <w:rPr>
          <w:rStyle w:val="Strong"/>
          <w:rFonts w:ascii="Arial" w:hAnsi="Arial" w:cs="Arial"/>
          <w:sz w:val="22"/>
          <w:szCs w:val="22"/>
        </w:rPr>
        <w:t>:</w:t>
      </w:r>
      <w:r w:rsidRPr="00292B36">
        <w:rPr>
          <w:rFonts w:ascii="Arial" w:hAnsi="Arial" w:cs="Arial"/>
          <w:sz w:val="22"/>
          <w:szCs w:val="22"/>
        </w:rPr>
        <w:t xml:space="preserve"> </w:t>
      </w:r>
      <w:proofErr w:type="gramStart"/>
      <w:r w:rsidRPr="00292B36">
        <w:rPr>
          <w:rFonts w:ascii="Arial" w:hAnsi="Arial" w:cs="Arial"/>
          <w:sz w:val="22"/>
          <w:szCs w:val="22"/>
        </w:rPr>
        <w:t>Long</w:t>
      </w:r>
      <w:proofErr w:type="gramEnd"/>
      <w:r w:rsidRPr="00292B36">
        <w:rPr>
          <w:rFonts w:ascii="Arial" w:hAnsi="Arial" w:cs="Arial"/>
          <w:sz w:val="22"/>
          <w:szCs w:val="22"/>
        </w:rPr>
        <w:t xml:space="preserve"> delays for assessment and treatment create uncertainty and distress for families. Increasing specialist staffing and improving referral pathways would help ensure timely access to assessment and reduce the cycle of short interventions followed by extended waiting periods.</w:t>
      </w:r>
    </w:p>
    <w:p w14:paraId="0D34ECEC" w14:textId="7E3CD0B5" w:rsidR="004F299F" w:rsidRPr="00292B36" w:rsidRDefault="004F299F" w:rsidP="00D44EEF">
      <w:pPr>
        <w:pStyle w:val="NormalWeb"/>
        <w:numPr>
          <w:ilvl w:val="0"/>
          <w:numId w:val="2"/>
        </w:numPr>
        <w:spacing w:line="360" w:lineRule="auto"/>
        <w:rPr>
          <w:rFonts w:ascii="Arial" w:hAnsi="Arial" w:cs="Arial"/>
          <w:sz w:val="22"/>
          <w:szCs w:val="22"/>
        </w:rPr>
      </w:pPr>
      <w:r w:rsidRPr="00292B36">
        <w:rPr>
          <w:rStyle w:val="Strong"/>
          <w:rFonts w:ascii="Arial" w:hAnsi="Arial" w:cs="Arial"/>
          <w:sz w:val="22"/>
          <w:szCs w:val="22"/>
        </w:rPr>
        <w:t>Improve access to psychological and behavioural interventions</w:t>
      </w:r>
      <w:r w:rsidR="004B0294" w:rsidRPr="00292B36">
        <w:rPr>
          <w:rStyle w:val="Strong"/>
          <w:rFonts w:ascii="Arial" w:hAnsi="Arial" w:cs="Arial"/>
          <w:sz w:val="22"/>
          <w:szCs w:val="22"/>
        </w:rPr>
        <w:t>:</w:t>
      </w:r>
      <w:r w:rsidRPr="00292B36">
        <w:rPr>
          <w:rFonts w:ascii="Arial" w:hAnsi="Arial" w:cs="Arial"/>
          <w:sz w:val="22"/>
          <w:szCs w:val="22"/>
        </w:rPr>
        <w:t xml:space="preserve"> ADHD</w:t>
      </w:r>
      <w:r w:rsidRPr="00292B36">
        <w:rPr>
          <w:rFonts w:ascii="Arial" w:hAnsi="Arial" w:cs="Arial"/>
          <w:sz w:val="22"/>
          <w:szCs w:val="22"/>
        </w:rPr>
        <w:noBreakHyphen/>
        <w:t>specific psychological support should be consistently available across the UK. Sustained interventions</w:t>
      </w:r>
      <w:r w:rsidR="004B0294" w:rsidRPr="00292B36">
        <w:rPr>
          <w:rFonts w:ascii="Arial" w:hAnsi="Arial" w:cs="Arial"/>
          <w:sz w:val="22"/>
          <w:szCs w:val="22"/>
        </w:rPr>
        <w:t xml:space="preserve"> - </w:t>
      </w:r>
      <w:r w:rsidRPr="00292B36">
        <w:rPr>
          <w:rFonts w:ascii="Arial" w:hAnsi="Arial" w:cs="Arial"/>
          <w:sz w:val="22"/>
          <w:szCs w:val="22"/>
        </w:rPr>
        <w:t>rather than short six</w:t>
      </w:r>
      <w:r w:rsidRPr="00292B36">
        <w:rPr>
          <w:rFonts w:ascii="Arial" w:hAnsi="Arial" w:cs="Arial"/>
          <w:sz w:val="22"/>
          <w:szCs w:val="22"/>
        </w:rPr>
        <w:noBreakHyphen/>
        <w:t>week blocks</w:t>
      </w:r>
      <w:r w:rsidR="004B0294" w:rsidRPr="00292B36">
        <w:rPr>
          <w:rFonts w:ascii="Arial" w:hAnsi="Arial" w:cs="Arial"/>
          <w:sz w:val="22"/>
          <w:szCs w:val="22"/>
        </w:rPr>
        <w:t xml:space="preserve"> - </w:t>
      </w:r>
      <w:r w:rsidRPr="00292B36">
        <w:rPr>
          <w:rFonts w:ascii="Arial" w:hAnsi="Arial" w:cs="Arial"/>
          <w:sz w:val="22"/>
          <w:szCs w:val="22"/>
        </w:rPr>
        <w:t>would help individuals and families develop long</w:t>
      </w:r>
      <w:r w:rsidRPr="00292B36">
        <w:rPr>
          <w:rFonts w:ascii="Arial" w:hAnsi="Arial" w:cs="Arial"/>
          <w:sz w:val="22"/>
          <w:szCs w:val="22"/>
        </w:rPr>
        <w:noBreakHyphen/>
        <w:t>term coping strategies and reduce the pressure created by fragmented care.</w:t>
      </w:r>
    </w:p>
    <w:p w14:paraId="4271E27D" w14:textId="7E1FAC95" w:rsidR="004F299F" w:rsidRPr="00292B36" w:rsidRDefault="004F299F" w:rsidP="00D44EEF">
      <w:pPr>
        <w:pStyle w:val="NormalWeb"/>
        <w:numPr>
          <w:ilvl w:val="0"/>
          <w:numId w:val="2"/>
        </w:numPr>
        <w:spacing w:line="360" w:lineRule="auto"/>
        <w:rPr>
          <w:rFonts w:ascii="Arial" w:hAnsi="Arial" w:cs="Arial"/>
          <w:sz w:val="22"/>
          <w:szCs w:val="22"/>
        </w:rPr>
      </w:pPr>
      <w:r w:rsidRPr="00292B36">
        <w:rPr>
          <w:rStyle w:val="Strong"/>
          <w:rFonts w:ascii="Arial" w:hAnsi="Arial" w:cs="Arial"/>
          <w:sz w:val="22"/>
          <w:szCs w:val="22"/>
        </w:rPr>
        <w:t>Enhance early identification and support in educational settings</w:t>
      </w:r>
      <w:r w:rsidR="004B0294" w:rsidRPr="00292B36">
        <w:rPr>
          <w:rStyle w:val="Strong"/>
          <w:rFonts w:ascii="Arial" w:hAnsi="Arial" w:cs="Arial"/>
          <w:sz w:val="22"/>
          <w:szCs w:val="22"/>
        </w:rPr>
        <w:t>:</w:t>
      </w:r>
      <w:r w:rsidRPr="00292B36">
        <w:rPr>
          <w:rFonts w:ascii="Arial" w:hAnsi="Arial" w:cs="Arial"/>
          <w:sz w:val="22"/>
          <w:szCs w:val="22"/>
        </w:rPr>
        <w:t xml:space="preserve"> Schools need greater funding, training, and resources to recognise ADHD presentations and respond appropriately. Improved awareness would help prevent behaviours linked to ADHD from being misinterpreted as naughtiness or disruption.</w:t>
      </w:r>
    </w:p>
    <w:p w14:paraId="260ABD90" w14:textId="202CC1A6" w:rsidR="004F299F" w:rsidRPr="00292B36" w:rsidRDefault="004F299F" w:rsidP="00D44EEF">
      <w:pPr>
        <w:pStyle w:val="NormalWeb"/>
        <w:numPr>
          <w:ilvl w:val="0"/>
          <w:numId w:val="2"/>
        </w:numPr>
        <w:spacing w:line="360" w:lineRule="auto"/>
        <w:rPr>
          <w:rFonts w:ascii="Arial" w:hAnsi="Arial" w:cs="Arial"/>
          <w:sz w:val="22"/>
          <w:szCs w:val="22"/>
        </w:rPr>
      </w:pPr>
      <w:r w:rsidRPr="00292B36">
        <w:rPr>
          <w:rStyle w:val="Strong"/>
          <w:rFonts w:ascii="Arial" w:hAnsi="Arial" w:cs="Arial"/>
          <w:sz w:val="22"/>
          <w:szCs w:val="22"/>
        </w:rPr>
        <w:t>Expand support for adults across employment and daily living</w:t>
      </w:r>
      <w:r w:rsidR="004B0294" w:rsidRPr="00292B36">
        <w:rPr>
          <w:rStyle w:val="Strong"/>
          <w:rFonts w:ascii="Arial" w:hAnsi="Arial" w:cs="Arial"/>
          <w:sz w:val="22"/>
          <w:szCs w:val="22"/>
        </w:rPr>
        <w:t>:</w:t>
      </w:r>
      <w:r w:rsidRPr="00292B36">
        <w:rPr>
          <w:rFonts w:ascii="Arial" w:hAnsi="Arial" w:cs="Arial"/>
          <w:sz w:val="22"/>
          <w:szCs w:val="22"/>
        </w:rPr>
        <w:t xml:space="preserve"> Adults would benefit from structured rehabilitation programmes, workplace coaching, and clearer guidance for employers on reasonable adjustments.</w:t>
      </w:r>
    </w:p>
    <w:p w14:paraId="05170339" w14:textId="23C9D10E" w:rsidR="004F299F" w:rsidRPr="00292B36" w:rsidRDefault="004F299F" w:rsidP="00D44EEF">
      <w:pPr>
        <w:pStyle w:val="NormalWeb"/>
        <w:numPr>
          <w:ilvl w:val="0"/>
          <w:numId w:val="2"/>
        </w:numPr>
        <w:spacing w:line="360" w:lineRule="auto"/>
        <w:rPr>
          <w:rFonts w:ascii="Arial" w:hAnsi="Arial" w:cs="Arial"/>
          <w:sz w:val="22"/>
          <w:szCs w:val="22"/>
        </w:rPr>
      </w:pPr>
      <w:r w:rsidRPr="00292B36">
        <w:rPr>
          <w:rStyle w:val="Strong"/>
          <w:rFonts w:ascii="Arial" w:hAnsi="Arial" w:cs="Arial"/>
          <w:sz w:val="22"/>
          <w:szCs w:val="22"/>
        </w:rPr>
        <w:lastRenderedPageBreak/>
        <w:t>Improve oversight of private assessment providers</w:t>
      </w:r>
      <w:r w:rsidR="005644E7" w:rsidRPr="00292B36">
        <w:rPr>
          <w:rStyle w:val="Strong"/>
          <w:rFonts w:ascii="Arial" w:hAnsi="Arial" w:cs="Arial"/>
          <w:sz w:val="22"/>
          <w:szCs w:val="22"/>
        </w:rPr>
        <w:t>:</w:t>
      </w:r>
      <w:r w:rsidRPr="00292B36">
        <w:rPr>
          <w:rFonts w:ascii="Arial" w:hAnsi="Arial" w:cs="Arial"/>
          <w:sz w:val="22"/>
          <w:szCs w:val="22"/>
        </w:rPr>
        <w:t xml:space="preserve"> National standards for private and online assessments would ensure consistency and protect individuals seeking alternatives due to NHS delays.</w:t>
      </w:r>
    </w:p>
    <w:p w14:paraId="5EE3673D" w14:textId="1065CFAB" w:rsidR="004F299F" w:rsidRPr="00292B36" w:rsidRDefault="004F299F" w:rsidP="00D44EEF">
      <w:pPr>
        <w:pStyle w:val="NormalWeb"/>
        <w:numPr>
          <w:ilvl w:val="0"/>
          <w:numId w:val="2"/>
        </w:numPr>
        <w:spacing w:line="360" w:lineRule="auto"/>
        <w:rPr>
          <w:rFonts w:ascii="Arial" w:hAnsi="Arial" w:cs="Arial"/>
          <w:sz w:val="22"/>
          <w:szCs w:val="22"/>
        </w:rPr>
      </w:pPr>
      <w:r w:rsidRPr="00292B36">
        <w:rPr>
          <w:rStyle w:val="Strong"/>
          <w:rFonts w:ascii="Arial" w:hAnsi="Arial" w:cs="Arial"/>
          <w:sz w:val="22"/>
          <w:szCs w:val="22"/>
        </w:rPr>
        <w:t>Address socioeconomic inequalities and prioritise further research</w:t>
      </w:r>
      <w:r w:rsidR="005644E7" w:rsidRPr="00292B36">
        <w:rPr>
          <w:rStyle w:val="Strong"/>
          <w:rFonts w:ascii="Arial" w:hAnsi="Arial" w:cs="Arial"/>
          <w:sz w:val="22"/>
          <w:szCs w:val="22"/>
        </w:rPr>
        <w:t>:</w:t>
      </w:r>
      <w:r w:rsidRPr="00292B36">
        <w:rPr>
          <w:rFonts w:ascii="Arial" w:hAnsi="Arial" w:cs="Arial"/>
          <w:sz w:val="22"/>
          <w:szCs w:val="22"/>
        </w:rPr>
        <w:t xml:space="preserve"> Community</w:t>
      </w:r>
      <w:r w:rsidRPr="00292B36">
        <w:rPr>
          <w:rFonts w:ascii="Arial" w:hAnsi="Arial" w:cs="Arial"/>
          <w:sz w:val="22"/>
          <w:szCs w:val="22"/>
        </w:rPr>
        <w:noBreakHyphen/>
        <w:t>based services should be expanded in deprived areas, and further research is needed to understand gender differences, long</w:t>
      </w:r>
      <w:r w:rsidRPr="00292B36">
        <w:rPr>
          <w:rFonts w:ascii="Arial" w:hAnsi="Arial" w:cs="Arial"/>
          <w:sz w:val="22"/>
          <w:szCs w:val="22"/>
        </w:rPr>
        <w:noBreakHyphen/>
        <w:t>term outcomes, and the impact of socioeconomic disadvantage on access to care.</w:t>
      </w:r>
    </w:p>
    <w:p w14:paraId="624FA616" w14:textId="4C45B1E1" w:rsidR="00E55033" w:rsidRPr="00292B36" w:rsidRDefault="00E55033" w:rsidP="00D44EEF">
      <w:pPr>
        <w:pStyle w:val="NormalWeb"/>
        <w:spacing w:line="360" w:lineRule="auto"/>
        <w:rPr>
          <w:rFonts w:ascii="Arial" w:hAnsi="Arial" w:cs="Arial"/>
          <w:sz w:val="22"/>
          <w:szCs w:val="22"/>
        </w:rPr>
      </w:pPr>
      <w:r w:rsidRPr="00292B36">
        <w:rPr>
          <w:rStyle w:val="Strong"/>
          <w:rFonts w:ascii="Arial" w:hAnsi="Arial" w:cs="Arial"/>
          <w:sz w:val="22"/>
          <w:szCs w:val="22"/>
        </w:rPr>
        <w:t>Conclusion</w:t>
      </w:r>
    </w:p>
    <w:p w14:paraId="082419C6" w14:textId="77777777" w:rsidR="004B0294" w:rsidRPr="00292B36" w:rsidRDefault="004B0294" w:rsidP="00D44EEF">
      <w:pPr>
        <w:pStyle w:val="NormalWeb"/>
        <w:spacing w:line="360" w:lineRule="auto"/>
        <w:rPr>
          <w:rFonts w:ascii="Arial" w:hAnsi="Arial" w:cs="Arial"/>
          <w:sz w:val="22"/>
          <w:szCs w:val="22"/>
        </w:rPr>
      </w:pPr>
      <w:r w:rsidRPr="00292B36">
        <w:rPr>
          <w:rFonts w:ascii="Arial" w:hAnsi="Arial" w:cs="Arial"/>
          <w:sz w:val="22"/>
          <w:szCs w:val="22"/>
        </w:rPr>
        <w:t>ADHD is a complex neurodevelopmental condition that affects individuals across the lifespan and presents significant challenges for families, education systems, and healthcare services in the UK. ICD</w:t>
      </w:r>
      <w:r w:rsidRPr="00292B36">
        <w:rPr>
          <w:rFonts w:ascii="Arial" w:hAnsi="Arial" w:cs="Arial"/>
          <w:sz w:val="22"/>
          <w:szCs w:val="22"/>
        </w:rPr>
        <w:noBreakHyphen/>
        <w:t>11 provides a more flexible and accurate classification framework, while current diagnostic and treatment pathways highlight both strengths and persistent gaps in provision. Long waiting times, limited psychological support, and inconsistent educational resources continue to affect outcomes, particularly for those in deprived areas. Emerging debates around neurodiversity, diagnostic expansion, and private assessment practices further shape how ADHD is understood and managed.</w:t>
      </w:r>
    </w:p>
    <w:p w14:paraId="6BFD8736" w14:textId="77777777" w:rsidR="004B0294" w:rsidRPr="00292B36" w:rsidRDefault="004B0294" w:rsidP="00D44EEF">
      <w:pPr>
        <w:pStyle w:val="NormalWeb"/>
        <w:spacing w:line="360" w:lineRule="auto"/>
        <w:rPr>
          <w:rFonts w:ascii="Arial" w:hAnsi="Arial" w:cs="Arial"/>
          <w:sz w:val="22"/>
          <w:szCs w:val="22"/>
        </w:rPr>
      </w:pPr>
      <w:r w:rsidRPr="00292B36">
        <w:rPr>
          <w:rFonts w:ascii="Arial" w:hAnsi="Arial" w:cs="Arial"/>
          <w:sz w:val="22"/>
          <w:szCs w:val="22"/>
        </w:rPr>
        <w:t>Improving ADHD support requires investment in diagnostic capacity, sustained psychological interventions, enhanced school</w:t>
      </w:r>
      <w:r w:rsidRPr="00292B36">
        <w:rPr>
          <w:rFonts w:ascii="Arial" w:hAnsi="Arial" w:cs="Arial"/>
          <w:sz w:val="22"/>
          <w:szCs w:val="22"/>
        </w:rPr>
        <w:noBreakHyphen/>
        <w:t>based provision, and clearer guidance for employers and service providers. Strengthening policy frameworks and addressing inequalities will be essential for delivering consistent, person</w:t>
      </w:r>
      <w:r w:rsidRPr="00292B36">
        <w:rPr>
          <w:rFonts w:ascii="Arial" w:hAnsi="Arial" w:cs="Arial"/>
          <w:sz w:val="22"/>
          <w:szCs w:val="22"/>
        </w:rPr>
        <w:noBreakHyphen/>
        <w:t>centred care. Continued research and lived</w:t>
      </w:r>
      <w:r w:rsidRPr="00292B36">
        <w:rPr>
          <w:rFonts w:ascii="Arial" w:hAnsi="Arial" w:cs="Arial"/>
          <w:sz w:val="22"/>
          <w:szCs w:val="22"/>
        </w:rPr>
        <w:noBreakHyphen/>
        <w:t>experience</w:t>
      </w:r>
      <w:r w:rsidRPr="00292B36">
        <w:rPr>
          <w:rFonts w:ascii="Arial" w:hAnsi="Arial" w:cs="Arial"/>
          <w:sz w:val="22"/>
          <w:szCs w:val="22"/>
        </w:rPr>
        <w:noBreakHyphen/>
        <w:t>informed practice will play a crucial role in shaping more equitable and effective ADHD services across the UK.</w:t>
      </w:r>
    </w:p>
    <w:p w14:paraId="622284E8" w14:textId="77777777" w:rsidR="00370036" w:rsidRDefault="00370036" w:rsidP="00370036">
      <w:pPr>
        <w:spacing w:line="360" w:lineRule="auto"/>
        <w:rPr>
          <w:rFonts w:ascii="Arial" w:hAnsi="Arial" w:cs="Arial"/>
          <w:b/>
          <w:bCs/>
          <w:u w:val="single"/>
        </w:rPr>
      </w:pPr>
    </w:p>
    <w:p w14:paraId="14E33875" w14:textId="77777777" w:rsidR="00370036" w:rsidRDefault="00370036" w:rsidP="00370036">
      <w:pPr>
        <w:spacing w:line="360" w:lineRule="auto"/>
        <w:rPr>
          <w:rFonts w:ascii="Arial" w:hAnsi="Arial" w:cs="Arial"/>
          <w:b/>
          <w:bCs/>
          <w:u w:val="single"/>
        </w:rPr>
      </w:pPr>
    </w:p>
    <w:p w14:paraId="62C85DAB" w14:textId="77777777" w:rsidR="00370036" w:rsidRDefault="00370036" w:rsidP="00370036">
      <w:pPr>
        <w:spacing w:line="360" w:lineRule="auto"/>
        <w:rPr>
          <w:rFonts w:ascii="Arial" w:hAnsi="Arial" w:cs="Arial"/>
          <w:b/>
          <w:bCs/>
          <w:u w:val="single"/>
        </w:rPr>
      </w:pPr>
    </w:p>
    <w:p w14:paraId="124BAD4B" w14:textId="77777777" w:rsidR="00370036" w:rsidRDefault="00370036" w:rsidP="00370036">
      <w:pPr>
        <w:spacing w:line="360" w:lineRule="auto"/>
        <w:rPr>
          <w:rFonts w:ascii="Arial" w:hAnsi="Arial" w:cs="Arial"/>
          <w:b/>
          <w:bCs/>
          <w:u w:val="single"/>
        </w:rPr>
      </w:pPr>
    </w:p>
    <w:p w14:paraId="51AF7815" w14:textId="77777777" w:rsidR="00370036" w:rsidRDefault="00370036" w:rsidP="00370036">
      <w:pPr>
        <w:spacing w:line="360" w:lineRule="auto"/>
        <w:rPr>
          <w:rFonts w:ascii="Arial" w:hAnsi="Arial" w:cs="Arial"/>
          <w:b/>
          <w:bCs/>
          <w:u w:val="single"/>
        </w:rPr>
      </w:pPr>
    </w:p>
    <w:p w14:paraId="07731944" w14:textId="77777777" w:rsidR="00370036" w:rsidRDefault="00370036" w:rsidP="00370036">
      <w:pPr>
        <w:spacing w:line="360" w:lineRule="auto"/>
        <w:rPr>
          <w:rFonts w:ascii="Arial" w:hAnsi="Arial" w:cs="Arial"/>
          <w:b/>
          <w:bCs/>
          <w:u w:val="single"/>
        </w:rPr>
      </w:pPr>
    </w:p>
    <w:p w14:paraId="55184877" w14:textId="77777777" w:rsidR="00370036" w:rsidRDefault="00370036" w:rsidP="00370036">
      <w:pPr>
        <w:spacing w:line="360" w:lineRule="auto"/>
        <w:rPr>
          <w:rFonts w:ascii="Arial" w:hAnsi="Arial" w:cs="Arial"/>
          <w:b/>
          <w:bCs/>
          <w:u w:val="single"/>
        </w:rPr>
      </w:pPr>
    </w:p>
    <w:p w14:paraId="026A2329" w14:textId="77777777" w:rsidR="0056518B" w:rsidRDefault="0056518B" w:rsidP="00370036">
      <w:pPr>
        <w:spacing w:line="360" w:lineRule="auto"/>
        <w:rPr>
          <w:rFonts w:ascii="Arial" w:hAnsi="Arial" w:cs="Arial"/>
          <w:b/>
          <w:bCs/>
          <w:u w:val="single"/>
        </w:rPr>
      </w:pPr>
    </w:p>
    <w:p w14:paraId="28CB4A97" w14:textId="6991334E" w:rsidR="00370036" w:rsidRPr="00370036" w:rsidRDefault="00370036" w:rsidP="00370036">
      <w:pPr>
        <w:spacing w:line="360" w:lineRule="auto"/>
        <w:rPr>
          <w:rFonts w:ascii="Arial" w:hAnsi="Arial" w:cs="Arial"/>
          <w:b/>
          <w:bCs/>
          <w:u w:val="single"/>
        </w:rPr>
      </w:pPr>
      <w:r>
        <w:rPr>
          <w:rFonts w:ascii="Arial" w:hAnsi="Arial" w:cs="Arial"/>
          <w:b/>
          <w:bCs/>
          <w:u w:val="single"/>
        </w:rPr>
        <w:lastRenderedPageBreak/>
        <w:t xml:space="preserve">Reference List </w:t>
      </w:r>
    </w:p>
    <w:p w14:paraId="1588A6FC" w14:textId="679D9A82" w:rsidR="00370036" w:rsidRDefault="00370036" w:rsidP="00370036">
      <w:pPr>
        <w:pStyle w:val="NormalWeb"/>
        <w:spacing w:before="0" w:beforeAutospacing="0" w:after="240" w:afterAutospacing="0" w:line="360" w:lineRule="auto"/>
      </w:pPr>
      <w:r>
        <w:t xml:space="preserve">ADHD UK (2020). </w:t>
      </w:r>
      <w:r>
        <w:rPr>
          <w:i/>
          <w:iCs/>
        </w:rPr>
        <w:t>About ADHD</w:t>
      </w:r>
      <w:r>
        <w:t xml:space="preserve">. [online] ADHD UK. Available at: </w:t>
      </w:r>
      <w:hyperlink r:id="rId5" w:history="1">
        <w:r w:rsidRPr="0010642D">
          <w:rPr>
            <w:rStyle w:val="Hyperlink"/>
          </w:rPr>
          <w:t>https://adhduk.co.uk/about-adhd/</w:t>
        </w:r>
      </w:hyperlink>
      <w:r>
        <w:t xml:space="preserve"> [Accessed 19 July 2026].</w:t>
      </w:r>
    </w:p>
    <w:p w14:paraId="367ADB81" w14:textId="1C8A3ED8" w:rsidR="00370036" w:rsidRDefault="00370036" w:rsidP="00370036">
      <w:pPr>
        <w:pStyle w:val="NormalWeb"/>
        <w:spacing w:before="0" w:beforeAutospacing="0" w:after="240" w:afterAutospacing="0" w:line="360" w:lineRule="auto"/>
      </w:pPr>
      <w:r>
        <w:t xml:space="preserve">ADHD UK (2022). </w:t>
      </w:r>
      <w:r>
        <w:rPr>
          <w:i/>
          <w:iCs/>
        </w:rPr>
        <w:t>ADHD UK | ADHD UK</w:t>
      </w:r>
      <w:r>
        <w:t xml:space="preserve">. [online] ADHD UK. Available at: </w:t>
      </w:r>
      <w:hyperlink r:id="rId6" w:history="1">
        <w:r w:rsidRPr="0010642D">
          <w:rPr>
            <w:rStyle w:val="Hyperlink"/>
          </w:rPr>
          <w:t>https://adhduk.co.uk/</w:t>
        </w:r>
      </w:hyperlink>
      <w:r>
        <w:t xml:space="preserve"> [Accessed 19 July 2026].</w:t>
      </w:r>
    </w:p>
    <w:p w14:paraId="2243A20E" w14:textId="35D4CB75" w:rsidR="00370036" w:rsidRDefault="00370036" w:rsidP="00370036">
      <w:pPr>
        <w:pStyle w:val="NormalWeb"/>
        <w:spacing w:before="0" w:beforeAutospacing="0" w:after="240" w:afterAutospacing="0" w:line="360" w:lineRule="auto"/>
      </w:pPr>
      <w:r>
        <w:t xml:space="preserve">Care Act (2014). </w:t>
      </w:r>
      <w:r>
        <w:rPr>
          <w:i/>
          <w:iCs/>
        </w:rPr>
        <w:t>Care act 2014</w:t>
      </w:r>
      <w:r>
        <w:t xml:space="preserve">. [online] Legislation.gov.uk. Available at: </w:t>
      </w:r>
      <w:hyperlink r:id="rId7" w:history="1">
        <w:r w:rsidRPr="0010642D">
          <w:rPr>
            <w:rStyle w:val="Hyperlink"/>
          </w:rPr>
          <w:t>https://www.legislation.gov.uk/ukpga/2014/23/contents</w:t>
        </w:r>
      </w:hyperlink>
      <w:r>
        <w:t xml:space="preserve"> [Accessed 19 July 2026].</w:t>
      </w:r>
    </w:p>
    <w:p w14:paraId="17ACC3C9" w14:textId="2EB54831" w:rsidR="00370036" w:rsidRDefault="00370036" w:rsidP="00370036">
      <w:pPr>
        <w:pStyle w:val="NormalWeb"/>
        <w:spacing w:before="0" w:beforeAutospacing="0" w:after="240" w:afterAutospacing="0" w:line="360" w:lineRule="auto"/>
      </w:pPr>
      <w:r>
        <w:t xml:space="preserve">CDC (2024). </w:t>
      </w:r>
      <w:r>
        <w:rPr>
          <w:i/>
          <w:iCs/>
        </w:rPr>
        <w:t>Treatment of ADHD</w:t>
      </w:r>
      <w:r>
        <w:t xml:space="preserve">. [online] Attention-Deficit / hyperactivity disorder (ADHD). Available at: </w:t>
      </w:r>
      <w:hyperlink r:id="rId8" w:history="1">
        <w:r w:rsidRPr="0010642D">
          <w:rPr>
            <w:rStyle w:val="Hyperlink"/>
          </w:rPr>
          <w:t>https://www.cdc.gov/adhd/treatment/index.html</w:t>
        </w:r>
      </w:hyperlink>
      <w:r>
        <w:t xml:space="preserve"> [Accessed 19 July 2026].</w:t>
      </w:r>
    </w:p>
    <w:p w14:paraId="59DFC18C" w14:textId="7B8C8D4F" w:rsidR="00370036" w:rsidRDefault="00370036" w:rsidP="00370036">
      <w:pPr>
        <w:pStyle w:val="NormalWeb"/>
        <w:spacing w:before="0" w:beforeAutospacing="0" w:after="240" w:afterAutospacing="0" w:line="360" w:lineRule="auto"/>
      </w:pPr>
      <w:r>
        <w:t xml:space="preserve">Charles, A., Ewbank, L., McKenna, H. and Wenzel, L. (2019). </w:t>
      </w:r>
      <w:r>
        <w:rPr>
          <w:i/>
          <w:iCs/>
        </w:rPr>
        <w:t>The NHS long-term plan explained</w:t>
      </w:r>
      <w:r>
        <w:t xml:space="preserve">. [online] The king’s fund. Available at: </w:t>
      </w:r>
      <w:hyperlink r:id="rId9" w:history="1">
        <w:r w:rsidRPr="0010642D">
          <w:rPr>
            <w:rStyle w:val="Hyperlink"/>
          </w:rPr>
          <w:t>https://www.kingsfund.org.uk/insight-and-analysis/long-reads/nhs-long-term-plan-explained</w:t>
        </w:r>
      </w:hyperlink>
      <w:r>
        <w:t xml:space="preserve"> [Accessed 19 July 2026].</w:t>
      </w:r>
    </w:p>
    <w:p w14:paraId="7810F54B" w14:textId="0C90594B" w:rsidR="00370036" w:rsidRDefault="00370036" w:rsidP="00370036">
      <w:pPr>
        <w:pStyle w:val="NormalWeb"/>
        <w:spacing w:before="0" w:beforeAutospacing="0" w:after="240" w:afterAutospacing="0" w:line="360" w:lineRule="auto"/>
      </w:pPr>
      <w:r>
        <w:t xml:space="preserve">Coghill, D. and Seth, S. (2010). Do the diagnostic criteria for ADHD need to change? Comments on the preliminary proposals of the DSM-5 ADHD and disruptive </w:t>
      </w:r>
      <w:proofErr w:type="spellStart"/>
      <w:r>
        <w:t>behavior</w:t>
      </w:r>
      <w:proofErr w:type="spellEnd"/>
      <w:r>
        <w:t xml:space="preserve"> disorders committee. </w:t>
      </w:r>
      <w:r>
        <w:rPr>
          <w:i/>
          <w:iCs/>
        </w:rPr>
        <w:t>European child &amp; adolescent psychiatry</w:t>
      </w:r>
      <w:r>
        <w:t xml:space="preserve">, 20(2), pp.75–81. doi:10.1007/s00787-010-0142-4. </w:t>
      </w:r>
    </w:p>
    <w:p w14:paraId="3D9F2B7E" w14:textId="1C1DC440" w:rsidR="00370036" w:rsidRDefault="00370036" w:rsidP="00370036">
      <w:pPr>
        <w:pStyle w:val="NormalWeb"/>
        <w:spacing w:before="0" w:beforeAutospacing="0" w:after="240" w:afterAutospacing="0" w:line="360" w:lineRule="auto"/>
      </w:pPr>
      <w:r>
        <w:t xml:space="preserve">Department of Health and Social Care (2026). Independent review into mental health conditions, ADHD and autism: Interim report. </w:t>
      </w:r>
      <w:r>
        <w:rPr>
          <w:i/>
          <w:iCs/>
        </w:rPr>
        <w:t>GOV.UK</w:t>
      </w:r>
      <w:r>
        <w:t xml:space="preserve">. [online] doi:10.13140/RG.2.2.24367.39840. </w:t>
      </w:r>
    </w:p>
    <w:p w14:paraId="1E545452" w14:textId="33ABFC12" w:rsidR="00370036" w:rsidRDefault="00370036" w:rsidP="00370036">
      <w:pPr>
        <w:pStyle w:val="NormalWeb"/>
        <w:spacing w:before="0" w:beforeAutospacing="0" w:after="240" w:afterAutospacing="0" w:line="360" w:lineRule="auto"/>
      </w:pPr>
      <w:r>
        <w:t xml:space="preserve">Equality Act (2010). </w:t>
      </w:r>
      <w:r>
        <w:rPr>
          <w:i/>
          <w:iCs/>
        </w:rPr>
        <w:t>Equality act 2010</w:t>
      </w:r>
      <w:r>
        <w:t xml:space="preserve">. [online] Legislation.gov.uk. Available at: </w:t>
      </w:r>
      <w:hyperlink r:id="rId10" w:history="1">
        <w:r w:rsidRPr="0010642D">
          <w:rPr>
            <w:rStyle w:val="Hyperlink"/>
          </w:rPr>
          <w:t>https://www.legislation.gov.uk/ukpga/2010/15/contents</w:t>
        </w:r>
      </w:hyperlink>
      <w:r>
        <w:t xml:space="preserve"> [Accessed 19 July 2026].</w:t>
      </w:r>
    </w:p>
    <w:p w14:paraId="24339593" w14:textId="77777777" w:rsidR="00370036" w:rsidRDefault="00370036" w:rsidP="00370036">
      <w:pPr>
        <w:pStyle w:val="NormalWeb"/>
        <w:spacing w:before="0" w:beforeAutospacing="0" w:after="240" w:afterAutospacing="0" w:line="360" w:lineRule="auto"/>
      </w:pPr>
      <w:proofErr w:type="spellStart"/>
      <w:r>
        <w:t>Faltinsen</w:t>
      </w:r>
      <w:proofErr w:type="spellEnd"/>
      <w:r>
        <w:t xml:space="preserve">, E., Zwi, M. and Castells, X. (2019). Updated 2018 nice guideline on pharmacological treatments for people with ADHD: A critical look. </w:t>
      </w:r>
      <w:r>
        <w:rPr>
          <w:i/>
          <w:iCs/>
        </w:rPr>
        <w:t>BMJ Evidence-Based medicine</w:t>
      </w:r>
      <w:r>
        <w:t>, 24(3), pp.99–102.</w:t>
      </w:r>
    </w:p>
    <w:p w14:paraId="69FDDC53" w14:textId="77777777" w:rsidR="00370036" w:rsidRDefault="00370036" w:rsidP="00370036">
      <w:pPr>
        <w:pStyle w:val="NormalWeb"/>
        <w:spacing w:before="0" w:beforeAutospacing="0" w:after="240" w:afterAutospacing="0" w:line="360" w:lineRule="auto"/>
      </w:pPr>
      <w:r>
        <w:t xml:space="preserve">Fiorillo, A., </w:t>
      </w:r>
      <w:proofErr w:type="spellStart"/>
      <w:r>
        <w:t>Falkai</w:t>
      </w:r>
      <w:proofErr w:type="spellEnd"/>
      <w:r>
        <w:t xml:space="preserve">, P. and </w:t>
      </w:r>
      <w:proofErr w:type="spellStart"/>
      <w:r>
        <w:t>Gorwood</w:t>
      </w:r>
      <w:proofErr w:type="spellEnd"/>
      <w:r>
        <w:t xml:space="preserve">, P. (2023). </w:t>
      </w:r>
      <w:r>
        <w:rPr>
          <w:i/>
          <w:iCs/>
        </w:rPr>
        <w:t>Mental health research and practice</w:t>
      </w:r>
      <w:r>
        <w:t>. Cambridge University Press, pp.135–157.</w:t>
      </w:r>
    </w:p>
    <w:p w14:paraId="4AFA57A2" w14:textId="7B7875E3" w:rsidR="00370036" w:rsidRDefault="00370036" w:rsidP="00370036">
      <w:pPr>
        <w:pStyle w:val="NormalWeb"/>
        <w:spacing w:before="0" w:beforeAutospacing="0" w:after="240" w:afterAutospacing="0" w:line="360" w:lineRule="auto"/>
      </w:pPr>
      <w:r>
        <w:lastRenderedPageBreak/>
        <w:t xml:space="preserve">Guy-Evans, O. (2022). </w:t>
      </w:r>
      <w:r>
        <w:rPr>
          <w:i/>
          <w:iCs/>
        </w:rPr>
        <w:t>ADHD (attention deficit hyperactivity disorder): What is it?</w:t>
      </w:r>
      <w:r>
        <w:t xml:space="preserve"> [online] Www.simplypsychology.org. Available at: </w:t>
      </w:r>
      <w:hyperlink r:id="rId11" w:history="1">
        <w:r w:rsidRPr="0010642D">
          <w:rPr>
            <w:rStyle w:val="Hyperlink"/>
          </w:rPr>
          <w:t>https://www.simplypsychology.org/ADHD.html</w:t>
        </w:r>
      </w:hyperlink>
      <w:r>
        <w:t xml:space="preserve"> [Accessed 19 July 2026].</w:t>
      </w:r>
    </w:p>
    <w:p w14:paraId="0100C8E2" w14:textId="77777777" w:rsidR="00370036" w:rsidRDefault="00370036" w:rsidP="00370036">
      <w:pPr>
        <w:pStyle w:val="NormalWeb"/>
        <w:spacing w:before="0" w:beforeAutospacing="0" w:after="240" w:afterAutospacing="0" w:line="360" w:lineRule="auto"/>
      </w:pPr>
      <w:r>
        <w:t xml:space="preserve">Hammond, C. (2021). </w:t>
      </w:r>
      <w:r>
        <w:rPr>
          <w:i/>
          <w:iCs/>
        </w:rPr>
        <w:t>Diagnostic essentials of psychopathology: A Case-Based approach</w:t>
      </w:r>
      <w:r>
        <w:t>. SAGE Publications, Incorporated, pp.101–105.</w:t>
      </w:r>
    </w:p>
    <w:p w14:paraId="16273037" w14:textId="36CFE136" w:rsidR="00370036" w:rsidRDefault="00370036" w:rsidP="00370036">
      <w:pPr>
        <w:pStyle w:val="NormalWeb"/>
        <w:spacing w:before="0" w:beforeAutospacing="0" w:after="240" w:afterAutospacing="0" w:line="360" w:lineRule="auto"/>
      </w:pPr>
      <w:r>
        <w:t xml:space="preserve">Mental Health Act (2007). </w:t>
      </w:r>
      <w:r>
        <w:rPr>
          <w:i/>
          <w:iCs/>
        </w:rPr>
        <w:t>Mental health act 2007</w:t>
      </w:r>
      <w:r>
        <w:t xml:space="preserve">. [online] Legislation.gov.uk. Available at: </w:t>
      </w:r>
      <w:hyperlink r:id="rId12" w:history="1">
        <w:r w:rsidRPr="0010642D">
          <w:rPr>
            <w:rStyle w:val="Hyperlink"/>
          </w:rPr>
          <w:t>https://www.legislation.gov.uk/ukpga/2007/12/contents</w:t>
        </w:r>
      </w:hyperlink>
      <w:r>
        <w:t xml:space="preserve"> [Accessed 19 July 2026].</w:t>
      </w:r>
    </w:p>
    <w:p w14:paraId="7871649A" w14:textId="20CB6E66" w:rsidR="00370036" w:rsidRDefault="00370036" w:rsidP="00370036">
      <w:pPr>
        <w:pStyle w:val="NormalWeb"/>
        <w:spacing w:before="0" w:beforeAutospacing="0" w:after="240" w:afterAutospacing="0" w:line="360" w:lineRule="auto"/>
      </w:pPr>
      <w:r>
        <w:t xml:space="preserve">mind (2022). </w:t>
      </w:r>
      <w:r>
        <w:rPr>
          <w:i/>
          <w:iCs/>
        </w:rPr>
        <w:t>ADHD and mental health</w:t>
      </w:r>
      <w:r>
        <w:t xml:space="preserve">. [online] Www.mind.org.uk. Available at: </w:t>
      </w:r>
      <w:hyperlink r:id="rId13" w:history="1">
        <w:r w:rsidRPr="0010642D">
          <w:rPr>
            <w:rStyle w:val="Hyperlink"/>
          </w:rPr>
          <w:t>https://www.mind.org.uk/information-support/tips-for-everyday-living/adhd-and-mental-health/</w:t>
        </w:r>
      </w:hyperlink>
      <w:r>
        <w:t xml:space="preserve"> [Accessed 19 July 2026].</w:t>
      </w:r>
    </w:p>
    <w:p w14:paraId="312D5D3F" w14:textId="4C4D93B0" w:rsidR="00370036" w:rsidRDefault="00370036" w:rsidP="00370036">
      <w:pPr>
        <w:pStyle w:val="NormalWeb"/>
        <w:spacing w:before="0" w:beforeAutospacing="0" w:after="240" w:afterAutospacing="0" w:line="360" w:lineRule="auto"/>
      </w:pPr>
      <w:r>
        <w:t xml:space="preserve">National Institute of Mental Health (2024). </w:t>
      </w:r>
      <w:r>
        <w:rPr>
          <w:i/>
          <w:iCs/>
        </w:rPr>
        <w:t>Attention-Deficit/Hyperactivity disorder (ADHD)</w:t>
      </w:r>
      <w:r>
        <w:t xml:space="preserve">. [online] Www.nimh.nih.gov. Available at: </w:t>
      </w:r>
      <w:hyperlink r:id="rId14" w:history="1">
        <w:r w:rsidRPr="0010642D">
          <w:rPr>
            <w:rStyle w:val="Hyperlink"/>
          </w:rPr>
          <w:t>https://www.nimh.nih.gov/health/topics/attention-deficit-hyperactivity-disorder-adhd</w:t>
        </w:r>
      </w:hyperlink>
      <w:r>
        <w:t xml:space="preserve"> [Accessed 19 July 2026].</w:t>
      </w:r>
    </w:p>
    <w:p w14:paraId="345F0E55" w14:textId="23EC378F" w:rsidR="00370036" w:rsidRDefault="00370036" w:rsidP="00370036">
      <w:pPr>
        <w:pStyle w:val="NormalWeb"/>
        <w:spacing w:before="0" w:beforeAutospacing="0" w:after="240" w:afterAutospacing="0" w:line="360" w:lineRule="auto"/>
      </w:pPr>
      <w:r>
        <w:t xml:space="preserve">National Institute of Mental Health (n.d.). </w:t>
      </w:r>
      <w:r>
        <w:rPr>
          <w:i/>
          <w:iCs/>
        </w:rPr>
        <w:t>Attention-Deficit/Hyperactivity disorder (ADHD)</w:t>
      </w:r>
      <w:r>
        <w:t xml:space="preserve">. [online] Www.nimh.nih.gov. Available at: </w:t>
      </w:r>
      <w:hyperlink r:id="rId15" w:history="1">
        <w:r w:rsidRPr="0010642D">
          <w:rPr>
            <w:rStyle w:val="Hyperlink"/>
          </w:rPr>
          <w:t>https://www.nimh.nih.gov/health/statistics/attention-deficit-hyperactivity-disorder-adhd</w:t>
        </w:r>
      </w:hyperlink>
      <w:r>
        <w:t xml:space="preserve"> [Accessed 19 July 2026].</w:t>
      </w:r>
    </w:p>
    <w:p w14:paraId="3DB5A18E" w14:textId="6D543EEF" w:rsidR="00370036" w:rsidRDefault="00370036" w:rsidP="00370036">
      <w:pPr>
        <w:pStyle w:val="NormalWeb"/>
        <w:spacing w:before="0" w:beforeAutospacing="0" w:after="240" w:afterAutospacing="0" w:line="360" w:lineRule="auto"/>
      </w:pPr>
      <w:r>
        <w:t xml:space="preserve">NHS (2025a). </w:t>
      </w:r>
      <w:r>
        <w:rPr>
          <w:i/>
          <w:iCs/>
        </w:rPr>
        <w:t>About methylphenidate for Children</w:t>
      </w:r>
      <w:r>
        <w:t xml:space="preserve">. [online] Nhs.uk. Available at: </w:t>
      </w:r>
      <w:hyperlink r:id="rId16" w:history="1">
        <w:r w:rsidRPr="0010642D">
          <w:rPr>
            <w:rStyle w:val="Hyperlink"/>
          </w:rPr>
          <w:t>https://www.nhs.uk/medicines/methylphenidate-children/about-methylphenidate-for-children/</w:t>
        </w:r>
      </w:hyperlink>
      <w:r>
        <w:t xml:space="preserve"> [Accessed 19 July 2026a].</w:t>
      </w:r>
    </w:p>
    <w:p w14:paraId="7C0393C8" w14:textId="0E3AB67B" w:rsidR="00370036" w:rsidRDefault="00370036" w:rsidP="00370036">
      <w:pPr>
        <w:pStyle w:val="NormalWeb"/>
        <w:spacing w:before="0" w:beforeAutospacing="0" w:after="240" w:afterAutospacing="0" w:line="360" w:lineRule="auto"/>
      </w:pPr>
      <w:r>
        <w:t xml:space="preserve">NHS (2025b). </w:t>
      </w:r>
      <w:r>
        <w:rPr>
          <w:i/>
          <w:iCs/>
        </w:rPr>
        <w:t>ADHD in Children and young people</w:t>
      </w:r>
      <w:r>
        <w:t xml:space="preserve">. [online] Nhs.uk. Available at: </w:t>
      </w:r>
      <w:hyperlink r:id="rId17" w:history="1">
        <w:r w:rsidRPr="0010642D">
          <w:rPr>
            <w:rStyle w:val="Hyperlink"/>
          </w:rPr>
          <w:t>https://www.nhs.uk/conditions/adhd-children-teenagers/</w:t>
        </w:r>
      </w:hyperlink>
      <w:r>
        <w:t xml:space="preserve"> [Accessed 19 July 2026b].</w:t>
      </w:r>
    </w:p>
    <w:p w14:paraId="30495FA3" w14:textId="5B9A557F" w:rsidR="00370036" w:rsidRDefault="00370036" w:rsidP="00370036">
      <w:pPr>
        <w:pStyle w:val="NormalWeb"/>
        <w:spacing w:before="0" w:beforeAutospacing="0" w:after="240" w:afterAutospacing="0" w:line="360" w:lineRule="auto"/>
      </w:pPr>
      <w:r>
        <w:t xml:space="preserve">NHS (2025c). </w:t>
      </w:r>
      <w:r>
        <w:rPr>
          <w:i/>
          <w:iCs/>
        </w:rPr>
        <w:t>Side effects of Methylphenidate for Children</w:t>
      </w:r>
      <w:r>
        <w:t xml:space="preserve">. [online] Nhs.uk. Available at: </w:t>
      </w:r>
      <w:hyperlink r:id="rId18" w:history="1">
        <w:r w:rsidRPr="0010642D">
          <w:rPr>
            <w:rStyle w:val="Hyperlink"/>
          </w:rPr>
          <w:t>https://www.nhs.uk/medicines/methylphenidate-children/side-effects-of-methylphenidate-for-children/</w:t>
        </w:r>
      </w:hyperlink>
      <w:r>
        <w:t xml:space="preserve"> [Accessed 19 July 2026c].</w:t>
      </w:r>
    </w:p>
    <w:p w14:paraId="09E6ACFC" w14:textId="2C7B08FC" w:rsidR="00370036" w:rsidRDefault="00370036" w:rsidP="00370036">
      <w:pPr>
        <w:pStyle w:val="NormalWeb"/>
        <w:spacing w:before="0" w:beforeAutospacing="0" w:after="240" w:afterAutospacing="0" w:line="360" w:lineRule="auto"/>
      </w:pPr>
      <w:r>
        <w:t xml:space="preserve">NICE (2018). </w:t>
      </w:r>
      <w:r>
        <w:rPr>
          <w:i/>
          <w:iCs/>
        </w:rPr>
        <w:t>Recommendations | attention deficit hyperactivity disorder: Diagnosis and management | guidance | NICE</w:t>
      </w:r>
      <w:r>
        <w:t xml:space="preserve">. [online] Nice.org.uk. Available at: </w:t>
      </w:r>
      <w:hyperlink r:id="rId19" w:history="1">
        <w:r w:rsidRPr="0010642D">
          <w:rPr>
            <w:rStyle w:val="Hyperlink"/>
          </w:rPr>
          <w:t>https://www.nice.org.uk/guidance/ng87/chapter/Recommendations</w:t>
        </w:r>
      </w:hyperlink>
      <w:r>
        <w:t xml:space="preserve"> [Accessed 19 July 2026].</w:t>
      </w:r>
    </w:p>
    <w:p w14:paraId="7186FEEF" w14:textId="79E5FE31" w:rsidR="00370036" w:rsidRDefault="00370036" w:rsidP="00370036">
      <w:pPr>
        <w:pStyle w:val="NormalWeb"/>
        <w:spacing w:before="0" w:beforeAutospacing="0" w:after="240" w:afterAutospacing="0" w:line="360" w:lineRule="auto"/>
      </w:pPr>
      <w:r>
        <w:lastRenderedPageBreak/>
        <w:t xml:space="preserve">NICE (n.d.). </w:t>
      </w:r>
      <w:r>
        <w:rPr>
          <w:i/>
          <w:iCs/>
        </w:rPr>
        <w:t>Attention deficit hyperactivity disorder</w:t>
      </w:r>
      <w:r>
        <w:t xml:space="preserve">. [online] Nice. Available at: </w:t>
      </w:r>
      <w:hyperlink r:id="rId20" w:history="1">
        <w:r w:rsidRPr="0010642D">
          <w:rPr>
            <w:rStyle w:val="Hyperlink"/>
          </w:rPr>
          <w:t>https://bnf.nice.org.uk/treatment-summaries/attention-deficit-hyperactivity-disorder/</w:t>
        </w:r>
      </w:hyperlink>
      <w:r>
        <w:t xml:space="preserve"> [Accessed 19 July 2026].</w:t>
      </w:r>
    </w:p>
    <w:p w14:paraId="62EF0A49" w14:textId="5FF5F978" w:rsidR="00370036" w:rsidRDefault="00370036" w:rsidP="00370036">
      <w:pPr>
        <w:pStyle w:val="NormalWeb"/>
        <w:spacing w:before="0" w:beforeAutospacing="0" w:after="240" w:afterAutospacing="0" w:line="360" w:lineRule="auto"/>
      </w:pPr>
      <w:r>
        <w:t xml:space="preserve">NOS (2024). </w:t>
      </w:r>
      <w:r>
        <w:rPr>
          <w:i/>
          <w:iCs/>
        </w:rPr>
        <w:t>Diagnosis of ADHD in the UK - office for National statistics</w:t>
      </w:r>
      <w:r>
        <w:t xml:space="preserve">. [online] Ons.gov.uk. Available at: </w:t>
      </w:r>
      <w:hyperlink r:id="rId21" w:history="1">
        <w:r w:rsidRPr="0010642D">
          <w:rPr>
            <w:rStyle w:val="Hyperlink"/>
          </w:rPr>
          <w:t>https://www.ons.gov.uk/aboutus/transparencyandgovernance/freedomofinformationfoi/diagnosisofadhdintheuk</w:t>
        </w:r>
      </w:hyperlink>
      <w:r>
        <w:t xml:space="preserve"> [Accessed 19 July 2026].</w:t>
      </w:r>
    </w:p>
    <w:p w14:paraId="076A8F47" w14:textId="77777777" w:rsidR="00370036" w:rsidRDefault="00370036" w:rsidP="00370036">
      <w:pPr>
        <w:pStyle w:val="NormalWeb"/>
        <w:spacing w:before="0" w:beforeAutospacing="0" w:after="240" w:afterAutospacing="0" w:line="360" w:lineRule="auto"/>
      </w:pPr>
      <w:r>
        <w:t xml:space="preserve">Ogundele, M.O. and Ayyash, H.F. (2023). ADHD in children and adolescents: Review of current practice of non-pharmacological and behavioural management. </w:t>
      </w:r>
      <w:r>
        <w:rPr>
          <w:i/>
          <w:iCs/>
        </w:rPr>
        <w:t>Aims public health</w:t>
      </w:r>
      <w:r>
        <w:t>, 10(1), pp.35–51. doi:10.3934/publichealth.2023004.</w:t>
      </w:r>
    </w:p>
    <w:p w14:paraId="1E075AD5" w14:textId="77777777" w:rsidR="00370036" w:rsidRDefault="00370036" w:rsidP="00370036">
      <w:pPr>
        <w:pStyle w:val="NormalWeb"/>
        <w:spacing w:before="0" w:beforeAutospacing="0" w:after="240" w:afterAutospacing="0" w:line="360" w:lineRule="auto"/>
      </w:pPr>
      <w:proofErr w:type="spellStart"/>
      <w:r>
        <w:t>Popit</w:t>
      </w:r>
      <w:proofErr w:type="spellEnd"/>
      <w:r>
        <w:t xml:space="preserve">, S., Serod, K., Locatelli, I. and </w:t>
      </w:r>
      <w:proofErr w:type="spellStart"/>
      <w:r>
        <w:t>Stuhec</w:t>
      </w:r>
      <w:proofErr w:type="spellEnd"/>
      <w:r>
        <w:t xml:space="preserve">, M. (2024). Prevalence of attention-deficit hyperactivity disorder (ADHD): Systematic review and meta-analysis. </w:t>
      </w:r>
      <w:r>
        <w:rPr>
          <w:i/>
          <w:iCs/>
        </w:rPr>
        <w:t>European psychiatry</w:t>
      </w:r>
      <w:r>
        <w:t xml:space="preserve">, [online] 67(1). </w:t>
      </w:r>
      <w:proofErr w:type="gramStart"/>
      <w:r>
        <w:t>doi:10.1192/j.eurpsy</w:t>
      </w:r>
      <w:proofErr w:type="gramEnd"/>
      <w:r>
        <w:t>.2024.1786.</w:t>
      </w:r>
    </w:p>
    <w:p w14:paraId="1B344E29" w14:textId="77777777" w:rsidR="00370036" w:rsidRDefault="00370036" w:rsidP="00370036">
      <w:pPr>
        <w:pStyle w:val="NormalWeb"/>
        <w:spacing w:before="0" w:beforeAutospacing="0" w:after="240" w:afterAutospacing="0" w:line="360" w:lineRule="auto"/>
      </w:pPr>
      <w:r>
        <w:t xml:space="preserve">Thapar, A. and Cooper, M. (2016). Attention deficit hyperactivity disorder. </w:t>
      </w:r>
      <w:r>
        <w:rPr>
          <w:i/>
          <w:iCs/>
        </w:rPr>
        <w:t>The lancet</w:t>
      </w:r>
      <w:r>
        <w:t>, 387(10024), pp.1240–1250.</w:t>
      </w:r>
    </w:p>
    <w:p w14:paraId="40A737E3" w14:textId="5FA736FA" w:rsidR="00370036" w:rsidRDefault="00370036" w:rsidP="00370036">
      <w:pPr>
        <w:pStyle w:val="NormalWeb"/>
        <w:spacing w:before="0" w:beforeAutospacing="0" w:after="240" w:afterAutospacing="0" w:line="360" w:lineRule="auto"/>
      </w:pPr>
      <w:r>
        <w:t xml:space="preserve">Weiss, M. and Weiss, J. (2004). A guide to the treatment of adults with ADHD a guide to the treatment of adults with ADHD. </w:t>
      </w:r>
      <w:r>
        <w:rPr>
          <w:i/>
          <w:iCs/>
        </w:rPr>
        <w:t>J clin psychiatry</w:t>
      </w:r>
      <w:r>
        <w:t xml:space="preserve">, [online] 65(3). Available at: </w:t>
      </w:r>
      <w:hyperlink r:id="rId22" w:history="1">
        <w:r w:rsidRPr="0010642D">
          <w:rPr>
            <w:rStyle w:val="Hyperlink"/>
          </w:rPr>
          <w:t>https://www.psychiatrist.com/wp-content/uploads/2021/02/13791_guide-treatment-adults-adhd.pdf</w:t>
        </w:r>
      </w:hyperlink>
      <w:r>
        <w:t xml:space="preserve"> [Accessed 19 July 2026].</w:t>
      </w:r>
    </w:p>
    <w:p w14:paraId="6A17D3C2" w14:textId="4E16BDFE" w:rsidR="00370036" w:rsidRDefault="00370036" w:rsidP="00370036">
      <w:pPr>
        <w:pStyle w:val="NormalWeb"/>
        <w:spacing w:before="0" w:beforeAutospacing="0" w:after="240" w:afterAutospacing="0" w:line="360" w:lineRule="auto"/>
      </w:pPr>
      <w:r>
        <w:t xml:space="preserve">WHO (2026). </w:t>
      </w:r>
      <w:r>
        <w:rPr>
          <w:i/>
          <w:iCs/>
        </w:rPr>
        <w:t>ICD-11 for mortality and morbidity statistics</w:t>
      </w:r>
      <w:r>
        <w:t xml:space="preserve">. [online] Who.int. Available at: </w:t>
      </w:r>
      <w:hyperlink r:id="rId23" w:anchor="821852937" w:history="1">
        <w:r w:rsidRPr="0010642D">
          <w:rPr>
            <w:rStyle w:val="Hyperlink"/>
          </w:rPr>
          <w:t>https://icd.who.int/browse/2026-01/mms/en#821852937</w:t>
        </w:r>
      </w:hyperlink>
      <w:r>
        <w:t xml:space="preserve"> [Accessed 19 July 2026].</w:t>
      </w:r>
    </w:p>
    <w:p w14:paraId="2F23A094" w14:textId="77777777" w:rsidR="00370036" w:rsidRDefault="00370036" w:rsidP="00370036">
      <w:pPr>
        <w:pStyle w:val="NormalWeb"/>
        <w:spacing w:before="0" w:beforeAutospacing="0" w:after="240" w:afterAutospacing="0" w:line="360" w:lineRule="auto"/>
      </w:pPr>
      <w:r>
        <w:t xml:space="preserve">Young, S., Asherson, P., Lloyd, T., </w:t>
      </w:r>
      <w:proofErr w:type="spellStart"/>
      <w:r>
        <w:t>Absoud</w:t>
      </w:r>
      <w:proofErr w:type="spellEnd"/>
      <w:r>
        <w:t xml:space="preserve">, M., Arif, M., Colley, W.A., Cortese, S., Cubbin, S., Doyle, N., Morua, S.D., Ferreira-Lay, P., Gudjonsson, G., Ivens, V., Jarvis, C., Lewis, A., Mason, P., Newlove-Delgado, T., Pitts, M., Read, H., van Rensburg, K., </w:t>
      </w:r>
      <w:proofErr w:type="spellStart"/>
      <w:r>
        <w:t>Zoritch</w:t>
      </w:r>
      <w:proofErr w:type="spellEnd"/>
      <w:r>
        <w:t xml:space="preserve">, B. and Skirrow, C. (2021). Failure of Healthcare provision for Attention-Deficit/Hyperactivity disorder in the </w:t>
      </w:r>
      <w:proofErr w:type="gramStart"/>
      <w:r>
        <w:t>united kingdom</w:t>
      </w:r>
      <w:proofErr w:type="gramEnd"/>
      <w:r>
        <w:t xml:space="preserve">: A consensus statement. </w:t>
      </w:r>
      <w:r>
        <w:rPr>
          <w:i/>
          <w:iCs/>
        </w:rPr>
        <w:t>Frontiers in Psychiatry</w:t>
      </w:r>
      <w:r>
        <w:t>, [online] 12(649399). doi:10.3389/fpsyt.2021.649399.</w:t>
      </w:r>
    </w:p>
    <w:p w14:paraId="3F51C353" w14:textId="04FEA7BC" w:rsidR="00391EB6" w:rsidRPr="00391EB6" w:rsidRDefault="00391EB6" w:rsidP="00391EB6">
      <w:pPr>
        <w:spacing w:line="360" w:lineRule="auto"/>
        <w:rPr>
          <w:rFonts w:ascii="Arial" w:hAnsi="Arial" w:cs="Arial"/>
          <w:b/>
          <w:bCs/>
          <w:u w:val="single"/>
        </w:rPr>
      </w:pPr>
    </w:p>
    <w:sectPr w:rsidR="00391EB6" w:rsidRPr="00391E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1724A"/>
    <w:multiLevelType w:val="multilevel"/>
    <w:tmpl w:val="7DE8C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446E8E"/>
    <w:multiLevelType w:val="hybridMultilevel"/>
    <w:tmpl w:val="1ECC0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542A5E"/>
    <w:multiLevelType w:val="hybridMultilevel"/>
    <w:tmpl w:val="BC243B32"/>
    <w:lvl w:ilvl="0" w:tplc="AF5032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7098831">
    <w:abstractNumId w:val="0"/>
  </w:num>
  <w:num w:numId="2" w16cid:durableId="554975784">
    <w:abstractNumId w:val="1"/>
  </w:num>
  <w:num w:numId="3" w16cid:durableId="8940451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EB6"/>
    <w:rsid w:val="00041321"/>
    <w:rsid w:val="000830BA"/>
    <w:rsid w:val="000C3562"/>
    <w:rsid w:val="00227E3C"/>
    <w:rsid w:val="002621CE"/>
    <w:rsid w:val="00287F27"/>
    <w:rsid w:val="00292B36"/>
    <w:rsid w:val="00370036"/>
    <w:rsid w:val="00391EB6"/>
    <w:rsid w:val="00414697"/>
    <w:rsid w:val="00414F93"/>
    <w:rsid w:val="004432A1"/>
    <w:rsid w:val="004B0294"/>
    <w:rsid w:val="004F299F"/>
    <w:rsid w:val="005644E7"/>
    <w:rsid w:val="0056518B"/>
    <w:rsid w:val="00594679"/>
    <w:rsid w:val="0064723F"/>
    <w:rsid w:val="0067191A"/>
    <w:rsid w:val="006F3B95"/>
    <w:rsid w:val="00751CA8"/>
    <w:rsid w:val="007A2BA9"/>
    <w:rsid w:val="009A00A8"/>
    <w:rsid w:val="009D4D1E"/>
    <w:rsid w:val="00AC6006"/>
    <w:rsid w:val="00B736F3"/>
    <w:rsid w:val="00BC69CB"/>
    <w:rsid w:val="00BF20F4"/>
    <w:rsid w:val="00C12C58"/>
    <w:rsid w:val="00D44EEF"/>
    <w:rsid w:val="00E44A79"/>
    <w:rsid w:val="00E55033"/>
    <w:rsid w:val="00E65312"/>
    <w:rsid w:val="00EF3650"/>
    <w:rsid w:val="00F836C2"/>
    <w:rsid w:val="00F87CAD"/>
    <w:rsid w:val="00FF4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FD925"/>
  <w15:chartTrackingRefBased/>
  <w15:docId w15:val="{5268C6BC-5B38-4E90-946F-4E7350DB0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91EB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E550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EB6"/>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3700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70036"/>
    <w:rPr>
      <w:color w:val="0563C1" w:themeColor="hyperlink"/>
      <w:u w:val="single"/>
    </w:rPr>
  </w:style>
  <w:style w:type="character" w:styleId="UnresolvedMention">
    <w:name w:val="Unresolved Mention"/>
    <w:basedOn w:val="DefaultParagraphFont"/>
    <w:uiPriority w:val="99"/>
    <w:semiHidden/>
    <w:unhideWhenUsed/>
    <w:rsid w:val="00370036"/>
    <w:rPr>
      <w:color w:val="605E5C"/>
      <w:shd w:val="clear" w:color="auto" w:fill="E1DFDD"/>
    </w:rPr>
  </w:style>
  <w:style w:type="character" w:customStyle="1" w:styleId="Heading2Char">
    <w:name w:val="Heading 2 Char"/>
    <w:basedOn w:val="DefaultParagraphFont"/>
    <w:link w:val="Heading2"/>
    <w:uiPriority w:val="9"/>
    <w:semiHidden/>
    <w:rsid w:val="00E5503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E550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399535">
      <w:bodyDiv w:val="1"/>
      <w:marLeft w:val="0"/>
      <w:marRight w:val="0"/>
      <w:marTop w:val="0"/>
      <w:marBottom w:val="0"/>
      <w:divBdr>
        <w:top w:val="none" w:sz="0" w:space="0" w:color="auto"/>
        <w:left w:val="none" w:sz="0" w:space="0" w:color="auto"/>
        <w:bottom w:val="none" w:sz="0" w:space="0" w:color="auto"/>
        <w:right w:val="none" w:sz="0" w:space="0" w:color="auto"/>
      </w:divBdr>
      <w:divsChild>
        <w:div w:id="13931879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7653629">
      <w:bodyDiv w:val="1"/>
      <w:marLeft w:val="0"/>
      <w:marRight w:val="0"/>
      <w:marTop w:val="0"/>
      <w:marBottom w:val="0"/>
      <w:divBdr>
        <w:top w:val="none" w:sz="0" w:space="0" w:color="auto"/>
        <w:left w:val="none" w:sz="0" w:space="0" w:color="auto"/>
        <w:bottom w:val="none" w:sz="0" w:space="0" w:color="auto"/>
        <w:right w:val="none" w:sz="0" w:space="0" w:color="auto"/>
      </w:divBdr>
    </w:div>
    <w:div w:id="925529698">
      <w:bodyDiv w:val="1"/>
      <w:marLeft w:val="0"/>
      <w:marRight w:val="0"/>
      <w:marTop w:val="0"/>
      <w:marBottom w:val="0"/>
      <w:divBdr>
        <w:top w:val="none" w:sz="0" w:space="0" w:color="auto"/>
        <w:left w:val="none" w:sz="0" w:space="0" w:color="auto"/>
        <w:bottom w:val="none" w:sz="0" w:space="0" w:color="auto"/>
        <w:right w:val="none" w:sz="0" w:space="0" w:color="auto"/>
      </w:divBdr>
      <w:divsChild>
        <w:div w:id="1306666418">
          <w:marLeft w:val="0"/>
          <w:marRight w:val="0"/>
          <w:marTop w:val="0"/>
          <w:marBottom w:val="0"/>
          <w:divBdr>
            <w:top w:val="none" w:sz="0" w:space="0" w:color="auto"/>
            <w:left w:val="none" w:sz="0" w:space="0" w:color="auto"/>
            <w:bottom w:val="none" w:sz="0" w:space="0" w:color="auto"/>
            <w:right w:val="none" w:sz="0" w:space="0" w:color="auto"/>
          </w:divBdr>
        </w:div>
      </w:divsChild>
    </w:div>
    <w:div w:id="932473329">
      <w:bodyDiv w:val="1"/>
      <w:marLeft w:val="0"/>
      <w:marRight w:val="0"/>
      <w:marTop w:val="0"/>
      <w:marBottom w:val="0"/>
      <w:divBdr>
        <w:top w:val="none" w:sz="0" w:space="0" w:color="auto"/>
        <w:left w:val="none" w:sz="0" w:space="0" w:color="auto"/>
        <w:bottom w:val="none" w:sz="0" w:space="0" w:color="auto"/>
        <w:right w:val="none" w:sz="0" w:space="0" w:color="auto"/>
      </w:divBdr>
    </w:div>
    <w:div w:id="1041592285">
      <w:bodyDiv w:val="1"/>
      <w:marLeft w:val="0"/>
      <w:marRight w:val="0"/>
      <w:marTop w:val="0"/>
      <w:marBottom w:val="0"/>
      <w:divBdr>
        <w:top w:val="none" w:sz="0" w:space="0" w:color="auto"/>
        <w:left w:val="none" w:sz="0" w:space="0" w:color="auto"/>
        <w:bottom w:val="none" w:sz="0" w:space="0" w:color="auto"/>
        <w:right w:val="none" w:sz="0" w:space="0" w:color="auto"/>
      </w:divBdr>
    </w:div>
    <w:div w:id="154509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adhd/treatment/index.html" TargetMode="External"/><Relationship Id="rId13" Type="http://schemas.openxmlformats.org/officeDocument/2006/relationships/hyperlink" Target="https://www.mind.org.uk/information-support/tips-for-everyday-living/adhd-and-mental-health/" TargetMode="External"/><Relationship Id="rId18" Type="http://schemas.openxmlformats.org/officeDocument/2006/relationships/hyperlink" Target="https://www.nhs.uk/medicines/methylphenidate-children/side-effects-of-methylphenidate-for-children/" TargetMode="External"/><Relationship Id="rId3" Type="http://schemas.openxmlformats.org/officeDocument/2006/relationships/settings" Target="settings.xml"/><Relationship Id="rId21" Type="http://schemas.openxmlformats.org/officeDocument/2006/relationships/hyperlink" Target="https://www.ons.gov.uk/aboutus/transparencyandgovernance/freedomofinformationfoi/diagnosisofadhdintheuk" TargetMode="External"/><Relationship Id="rId7" Type="http://schemas.openxmlformats.org/officeDocument/2006/relationships/hyperlink" Target="https://www.legislation.gov.uk/ukpga/2014/23/contents" TargetMode="External"/><Relationship Id="rId12" Type="http://schemas.openxmlformats.org/officeDocument/2006/relationships/hyperlink" Target="https://www.legislation.gov.uk/ukpga/2007/12/contents" TargetMode="External"/><Relationship Id="rId17" Type="http://schemas.openxmlformats.org/officeDocument/2006/relationships/hyperlink" Target="https://www.nhs.uk/conditions/adhd-children-teenager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hs.uk/medicines/methylphenidate-children/about-methylphenidate-for-children/" TargetMode="External"/><Relationship Id="rId20" Type="http://schemas.openxmlformats.org/officeDocument/2006/relationships/hyperlink" Target="https://bnf.nice.org.uk/treatment-summaries/attention-deficit-hyperactivity-disorder/" TargetMode="External"/><Relationship Id="rId1" Type="http://schemas.openxmlformats.org/officeDocument/2006/relationships/numbering" Target="numbering.xml"/><Relationship Id="rId6" Type="http://schemas.openxmlformats.org/officeDocument/2006/relationships/hyperlink" Target="https://adhduk.co.uk/" TargetMode="External"/><Relationship Id="rId11" Type="http://schemas.openxmlformats.org/officeDocument/2006/relationships/hyperlink" Target="https://www.simplypsychology.org/ADHD.html" TargetMode="External"/><Relationship Id="rId24" Type="http://schemas.openxmlformats.org/officeDocument/2006/relationships/fontTable" Target="fontTable.xml"/><Relationship Id="rId5" Type="http://schemas.openxmlformats.org/officeDocument/2006/relationships/hyperlink" Target="https://adhduk.co.uk/about-adhd/" TargetMode="External"/><Relationship Id="rId15" Type="http://schemas.openxmlformats.org/officeDocument/2006/relationships/hyperlink" Target="https://www.nimh.nih.gov/health/statistics/attention-deficit-hyperactivity-disorder-adhd" TargetMode="External"/><Relationship Id="rId23" Type="http://schemas.openxmlformats.org/officeDocument/2006/relationships/hyperlink" Target="https://icd.who.int/browse/2026-01/mms/en" TargetMode="External"/><Relationship Id="rId10" Type="http://schemas.openxmlformats.org/officeDocument/2006/relationships/hyperlink" Target="https://www.legislation.gov.uk/ukpga/2010/15/contents" TargetMode="External"/><Relationship Id="rId19" Type="http://schemas.openxmlformats.org/officeDocument/2006/relationships/hyperlink" Target="https://www.nice.org.uk/guidance/ng87/chapter/Recommendations" TargetMode="External"/><Relationship Id="rId4" Type="http://schemas.openxmlformats.org/officeDocument/2006/relationships/webSettings" Target="webSettings.xml"/><Relationship Id="rId9" Type="http://schemas.openxmlformats.org/officeDocument/2006/relationships/hyperlink" Target="https://www.kingsfund.org.uk/insight-and-analysis/long-reads/nhs-long-term-plan-explained" TargetMode="External"/><Relationship Id="rId14" Type="http://schemas.openxmlformats.org/officeDocument/2006/relationships/hyperlink" Target="https://www.nimh.nih.gov/health/topics/attention-deficit-hyperactivity-disorder-adhd" TargetMode="External"/><Relationship Id="rId22" Type="http://schemas.openxmlformats.org/officeDocument/2006/relationships/hyperlink" Target="https://www.psychiatrist.com/wp-content/uploads/2021/02/13791_guide-treatment-adults-adh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916</TotalTime>
  <Pages>11</Pages>
  <Words>3626</Words>
  <Characters>20673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Victoria Rose-Taylor (2328696)</dc:creator>
  <cp:keywords/>
  <dc:description/>
  <cp:lastModifiedBy>Natasha Victoria Rose-Taylor</cp:lastModifiedBy>
  <cp:revision>27</cp:revision>
  <dcterms:created xsi:type="dcterms:W3CDTF">2026-07-19T11:49:00Z</dcterms:created>
  <dcterms:modified xsi:type="dcterms:W3CDTF">2026-07-20T03:52:00Z</dcterms:modified>
</cp:coreProperties>
</file>