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3FB64" w14:textId="77777777" w:rsidR="002175C8" w:rsidRPr="00A40CC8" w:rsidRDefault="002175C8" w:rsidP="002175C8">
      <w:pPr>
        <w:rPr>
          <w:rFonts w:ascii="Arial" w:hAnsi="Arial" w:cs="Arial"/>
          <w:lang w:val="en-US"/>
        </w:rPr>
      </w:pPr>
      <w:r w:rsidRPr="00A40CC8">
        <w:rPr>
          <w:rFonts w:ascii="Arial" w:hAnsi="Arial" w:cs="Arial"/>
          <w:noProof/>
          <w:lang w:val="en-US"/>
        </w:rPr>
        <w:drawing>
          <wp:inline distT="0" distB="0" distL="0" distR="0" wp14:anchorId="358DC7D8" wp14:editId="1B38894E">
            <wp:extent cx="5593080" cy="1379220"/>
            <wp:effectExtent l="0" t="0" r="7620" b="0"/>
            <wp:docPr id="1167126295" name="Picture 8"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126295" name="Picture 8" descr="A black text on a white backgroun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93080" cy="1379220"/>
                    </a:xfrm>
                    <a:prstGeom prst="rect">
                      <a:avLst/>
                    </a:prstGeom>
                    <a:noFill/>
                    <a:ln>
                      <a:noFill/>
                    </a:ln>
                  </pic:spPr>
                </pic:pic>
              </a:graphicData>
            </a:graphic>
          </wp:inline>
        </w:drawing>
      </w:r>
    </w:p>
    <w:p w14:paraId="277002C5" w14:textId="77777777" w:rsidR="002175C8" w:rsidRDefault="002175C8" w:rsidP="002175C8">
      <w:pPr>
        <w:jc w:val="center"/>
        <w:rPr>
          <w:rFonts w:ascii="Arial" w:hAnsi="Arial" w:cs="Arial"/>
          <w:b/>
          <w:bCs/>
          <w:sz w:val="44"/>
          <w:szCs w:val="44"/>
        </w:rPr>
      </w:pPr>
    </w:p>
    <w:p w14:paraId="0F27186F" w14:textId="77777777" w:rsidR="002175C8" w:rsidRPr="00A40CC8" w:rsidRDefault="002175C8" w:rsidP="002175C8">
      <w:pPr>
        <w:jc w:val="center"/>
        <w:rPr>
          <w:rFonts w:ascii="Arial" w:hAnsi="Arial" w:cs="Arial"/>
          <w:b/>
          <w:bCs/>
          <w:sz w:val="44"/>
          <w:szCs w:val="44"/>
        </w:rPr>
      </w:pPr>
      <w:r w:rsidRPr="00A40CC8">
        <w:rPr>
          <w:rFonts w:ascii="Arial" w:hAnsi="Arial" w:cs="Arial"/>
          <w:b/>
          <w:bCs/>
          <w:sz w:val="44"/>
          <w:szCs w:val="44"/>
        </w:rPr>
        <w:t>Master of Business Administration</w:t>
      </w:r>
    </w:p>
    <w:p w14:paraId="69E11E22" w14:textId="77777777" w:rsidR="002175C8" w:rsidRPr="00A40CC8" w:rsidRDefault="002175C8" w:rsidP="002175C8">
      <w:pPr>
        <w:rPr>
          <w:rFonts w:ascii="Arial" w:hAnsi="Arial" w:cs="Arial"/>
          <w:b/>
          <w:bCs/>
        </w:rPr>
      </w:pPr>
    </w:p>
    <w:p w14:paraId="7C4DE6F3" w14:textId="77777777" w:rsidR="002175C8" w:rsidRPr="00A40CC8" w:rsidRDefault="002175C8" w:rsidP="002175C8"/>
    <w:p w14:paraId="53A1E7FF" w14:textId="40D2760A" w:rsidR="002175C8" w:rsidRPr="00A40CC8" w:rsidRDefault="002175C8" w:rsidP="002175C8">
      <w:pPr>
        <w:rPr>
          <w:rFonts w:ascii="Arial" w:hAnsi="Arial" w:cs="Arial"/>
        </w:rPr>
      </w:pPr>
      <w:r w:rsidRPr="00A40CC8">
        <w:rPr>
          <w:rFonts w:ascii="Arial" w:hAnsi="Arial" w:cs="Arial"/>
        </w:rPr>
        <w:t xml:space="preserve">Module name: - </w:t>
      </w:r>
      <w:r>
        <w:rPr>
          <w:rFonts w:ascii="Arial" w:hAnsi="Arial" w:cs="Arial"/>
        </w:rPr>
        <w:t>Dissertation</w:t>
      </w:r>
    </w:p>
    <w:p w14:paraId="054DF4E3" w14:textId="77777777" w:rsidR="002175C8" w:rsidRPr="00A40CC8" w:rsidRDefault="002175C8" w:rsidP="002175C8">
      <w:pPr>
        <w:rPr>
          <w:rFonts w:ascii="Arial" w:hAnsi="Arial" w:cs="Arial"/>
        </w:rPr>
      </w:pPr>
    </w:p>
    <w:p w14:paraId="1AB85460" w14:textId="378A433E" w:rsidR="002175C8" w:rsidRPr="00A40CC8" w:rsidRDefault="002175C8" w:rsidP="002175C8">
      <w:pPr>
        <w:rPr>
          <w:rFonts w:ascii="Arial" w:hAnsi="Arial" w:cs="Arial"/>
          <w:b/>
          <w:bCs/>
        </w:rPr>
      </w:pPr>
      <w:r w:rsidRPr="00A40CC8">
        <w:rPr>
          <w:rFonts w:ascii="Arial" w:hAnsi="Arial" w:cs="Arial"/>
        </w:rPr>
        <w:t>Module code: - LCMB703</w:t>
      </w:r>
      <w:r>
        <w:rPr>
          <w:rFonts w:ascii="Arial" w:hAnsi="Arial" w:cs="Arial"/>
        </w:rPr>
        <w:t>5</w:t>
      </w:r>
    </w:p>
    <w:p w14:paraId="2C89AB49" w14:textId="77777777" w:rsidR="002175C8" w:rsidRPr="00A40CC8" w:rsidRDefault="002175C8" w:rsidP="002175C8">
      <w:pPr>
        <w:rPr>
          <w:rFonts w:ascii="Arial" w:hAnsi="Arial" w:cs="Arial"/>
        </w:rPr>
      </w:pPr>
    </w:p>
    <w:p w14:paraId="387CE324" w14:textId="616E6967" w:rsidR="002175C8" w:rsidRPr="00A40CC8" w:rsidRDefault="002175C8" w:rsidP="002175C8">
      <w:pPr>
        <w:rPr>
          <w:rFonts w:ascii="Arial" w:hAnsi="Arial" w:cs="Arial"/>
        </w:rPr>
      </w:pPr>
      <w:r>
        <w:rPr>
          <w:rFonts w:ascii="Arial" w:hAnsi="Arial" w:cs="Arial"/>
        </w:rPr>
        <w:t xml:space="preserve">Supervisor </w:t>
      </w:r>
      <w:r w:rsidRPr="00A40CC8">
        <w:rPr>
          <w:rFonts w:ascii="Arial" w:hAnsi="Arial" w:cs="Arial"/>
        </w:rPr>
        <w:t xml:space="preserve">name: - </w:t>
      </w:r>
      <w:r>
        <w:rPr>
          <w:rFonts w:ascii="Arial" w:hAnsi="Arial" w:cs="Arial"/>
        </w:rPr>
        <w:t>Dr. Isaiah Oino</w:t>
      </w:r>
    </w:p>
    <w:p w14:paraId="2A22AAD4" w14:textId="77777777" w:rsidR="002175C8" w:rsidRPr="00A40CC8" w:rsidRDefault="002175C8" w:rsidP="002175C8">
      <w:pPr>
        <w:rPr>
          <w:rFonts w:ascii="Arial" w:hAnsi="Arial" w:cs="Arial"/>
        </w:rPr>
      </w:pPr>
    </w:p>
    <w:p w14:paraId="1C03A992" w14:textId="2C639A1D" w:rsidR="002175C8" w:rsidRDefault="002175C8" w:rsidP="002175C8">
      <w:pPr>
        <w:rPr>
          <w:rFonts w:ascii="Arial" w:hAnsi="Arial" w:cs="Arial"/>
        </w:rPr>
      </w:pPr>
      <w:r>
        <w:rPr>
          <w:rFonts w:ascii="Arial" w:hAnsi="Arial" w:cs="Arial"/>
        </w:rPr>
        <w:t>Project Title</w:t>
      </w:r>
      <w:r w:rsidRPr="00A40CC8">
        <w:rPr>
          <w:rFonts w:ascii="Arial" w:hAnsi="Arial" w:cs="Arial"/>
        </w:rPr>
        <w:t xml:space="preserve">: - </w:t>
      </w:r>
      <w:r>
        <w:rPr>
          <w:rFonts w:ascii="Arial" w:hAnsi="Arial" w:cs="Arial"/>
        </w:rPr>
        <w:t>The Impact of US Interest rates on the correlation between gold returns and US equity returns (S&amp;P 500 and Nasdaq)</w:t>
      </w:r>
    </w:p>
    <w:p w14:paraId="41CFA08C" w14:textId="77777777" w:rsidR="002175C8" w:rsidRPr="00A40CC8" w:rsidRDefault="002175C8" w:rsidP="002175C8">
      <w:pPr>
        <w:rPr>
          <w:rFonts w:ascii="Arial" w:hAnsi="Arial" w:cs="Arial"/>
        </w:rPr>
      </w:pPr>
    </w:p>
    <w:p w14:paraId="538D032E" w14:textId="77777777" w:rsidR="002175C8" w:rsidRPr="00A40CC8" w:rsidRDefault="002175C8" w:rsidP="002175C8">
      <w:pPr>
        <w:rPr>
          <w:rFonts w:ascii="Arial" w:hAnsi="Arial" w:cs="Arial"/>
        </w:rPr>
      </w:pPr>
      <w:r w:rsidRPr="00A40CC8">
        <w:rPr>
          <w:rFonts w:ascii="Arial" w:hAnsi="Arial" w:cs="Arial"/>
        </w:rPr>
        <w:t xml:space="preserve">Student name: - Neel </w:t>
      </w:r>
      <w:proofErr w:type="spellStart"/>
      <w:r w:rsidRPr="00A40CC8">
        <w:rPr>
          <w:rFonts w:ascii="Arial" w:hAnsi="Arial" w:cs="Arial"/>
        </w:rPr>
        <w:t>MevalKumar</w:t>
      </w:r>
      <w:proofErr w:type="spellEnd"/>
      <w:r w:rsidRPr="00A40CC8">
        <w:rPr>
          <w:rFonts w:ascii="Arial" w:hAnsi="Arial" w:cs="Arial"/>
        </w:rPr>
        <w:t xml:space="preserve"> Patel</w:t>
      </w:r>
    </w:p>
    <w:p w14:paraId="63BFDDF1" w14:textId="77777777" w:rsidR="002175C8" w:rsidRPr="00A40CC8" w:rsidRDefault="002175C8" w:rsidP="002175C8">
      <w:pPr>
        <w:rPr>
          <w:rFonts w:ascii="Arial" w:hAnsi="Arial" w:cs="Arial"/>
        </w:rPr>
      </w:pPr>
    </w:p>
    <w:p w14:paraId="52B24569" w14:textId="77777777" w:rsidR="002175C8" w:rsidRPr="00A40CC8" w:rsidRDefault="002175C8" w:rsidP="002175C8">
      <w:pPr>
        <w:rPr>
          <w:rFonts w:ascii="Arial" w:hAnsi="Arial" w:cs="Arial"/>
        </w:rPr>
      </w:pPr>
      <w:r w:rsidRPr="00A40CC8">
        <w:rPr>
          <w:rFonts w:ascii="Arial" w:hAnsi="Arial" w:cs="Arial"/>
        </w:rPr>
        <w:t>Student ID: - 2428324</w:t>
      </w:r>
    </w:p>
    <w:p w14:paraId="1C1DA556" w14:textId="77777777" w:rsidR="002175C8" w:rsidRPr="00A40CC8" w:rsidRDefault="002175C8" w:rsidP="002175C8">
      <w:pPr>
        <w:rPr>
          <w:rFonts w:ascii="Arial" w:hAnsi="Arial" w:cs="Arial"/>
        </w:rPr>
      </w:pPr>
    </w:p>
    <w:p w14:paraId="385CA611" w14:textId="2037DEB6" w:rsidR="002175C8" w:rsidRPr="00A40CC8" w:rsidRDefault="002175C8" w:rsidP="002175C8">
      <w:pPr>
        <w:rPr>
          <w:rFonts w:ascii="Arial" w:hAnsi="Arial" w:cs="Arial"/>
        </w:rPr>
      </w:pPr>
      <w:r w:rsidRPr="00A40CC8">
        <w:rPr>
          <w:rFonts w:ascii="Arial" w:hAnsi="Arial" w:cs="Arial"/>
        </w:rPr>
        <w:t xml:space="preserve">Word Count: - </w:t>
      </w:r>
      <w:r w:rsidR="00DB47EE">
        <w:rPr>
          <w:rFonts w:ascii="Arial" w:hAnsi="Arial" w:cs="Arial"/>
        </w:rPr>
        <w:t>2040</w:t>
      </w:r>
    </w:p>
    <w:p w14:paraId="555B9B23" w14:textId="77777777" w:rsidR="002175C8" w:rsidRPr="00A40CC8" w:rsidRDefault="002175C8" w:rsidP="002175C8">
      <w:pPr>
        <w:rPr>
          <w:rFonts w:ascii="Arial" w:hAnsi="Arial" w:cs="Arial"/>
        </w:rPr>
      </w:pPr>
    </w:p>
    <w:p w14:paraId="365B7A10" w14:textId="3658A1D0" w:rsidR="002175C8" w:rsidRPr="00A40CC8" w:rsidRDefault="002175C8" w:rsidP="002175C8">
      <w:pPr>
        <w:rPr>
          <w:rFonts w:ascii="Arial" w:hAnsi="Arial" w:cs="Arial"/>
        </w:rPr>
      </w:pPr>
      <w:r w:rsidRPr="00A40CC8">
        <w:rPr>
          <w:rFonts w:ascii="Arial" w:hAnsi="Arial" w:cs="Arial"/>
        </w:rPr>
        <w:t xml:space="preserve">Submission Date: - </w:t>
      </w:r>
      <w:r w:rsidR="00794749">
        <w:rPr>
          <w:rFonts w:ascii="Arial" w:hAnsi="Arial" w:cs="Arial"/>
        </w:rPr>
        <w:t>7</w:t>
      </w:r>
      <w:r w:rsidR="00794749" w:rsidRPr="00794749">
        <w:rPr>
          <w:rFonts w:ascii="Arial" w:hAnsi="Arial" w:cs="Arial"/>
          <w:vertAlign w:val="superscript"/>
        </w:rPr>
        <w:t>th</w:t>
      </w:r>
      <w:r w:rsidRPr="00A40CC8">
        <w:rPr>
          <w:rFonts w:ascii="Arial" w:hAnsi="Arial" w:cs="Arial"/>
        </w:rPr>
        <w:t xml:space="preserve"> </w:t>
      </w:r>
      <w:r w:rsidR="00794749">
        <w:rPr>
          <w:rFonts w:ascii="Arial" w:hAnsi="Arial" w:cs="Arial"/>
        </w:rPr>
        <w:t>November</w:t>
      </w:r>
      <w:r w:rsidRPr="00A40CC8">
        <w:rPr>
          <w:rFonts w:ascii="Arial" w:hAnsi="Arial" w:cs="Arial"/>
        </w:rPr>
        <w:t xml:space="preserve"> 2025</w:t>
      </w:r>
    </w:p>
    <w:p w14:paraId="6E668450" w14:textId="77777777" w:rsidR="002175C8" w:rsidRPr="00A40CC8" w:rsidRDefault="002175C8" w:rsidP="002175C8"/>
    <w:p w14:paraId="6DEEDC5B" w14:textId="77777777" w:rsidR="002175C8" w:rsidRPr="00A40CC8" w:rsidRDefault="002175C8" w:rsidP="002175C8"/>
    <w:p w14:paraId="7F889374" w14:textId="77777777" w:rsidR="002175C8" w:rsidRPr="00A40CC8" w:rsidRDefault="002175C8" w:rsidP="002175C8"/>
    <w:sdt>
      <w:sdtPr>
        <w:id w:val="1190807213"/>
        <w:docPartObj>
          <w:docPartGallery w:val="Table of Contents"/>
          <w:docPartUnique/>
        </w:docPartObj>
      </w:sdtPr>
      <w:sdtEndPr>
        <w:rPr>
          <w:rFonts w:asciiTheme="minorHAnsi" w:eastAsiaTheme="minorHAnsi" w:hAnsiTheme="minorHAnsi" w:cstheme="minorBidi"/>
          <w:b/>
          <w:bCs/>
          <w:noProof/>
          <w:color w:val="auto"/>
          <w:kern w:val="2"/>
          <w:sz w:val="24"/>
          <w:szCs w:val="24"/>
          <w:lang w:val="en-IN" w:bidi="gu-IN"/>
          <w14:ligatures w14:val="standardContextual"/>
        </w:rPr>
      </w:sdtEndPr>
      <w:sdtContent>
        <w:p w14:paraId="08D90C71" w14:textId="51A143EA" w:rsidR="00385C27" w:rsidRDefault="004A661A" w:rsidP="006F033D">
          <w:pPr>
            <w:pStyle w:val="TOCHeading"/>
            <w:jc w:val="both"/>
            <w:rPr>
              <w:rFonts w:ascii="Arial" w:hAnsi="Arial" w:cs="Arial"/>
              <w:b/>
              <w:bCs/>
              <w:color w:val="000000" w:themeColor="text1"/>
              <w:sz w:val="24"/>
              <w:szCs w:val="24"/>
            </w:rPr>
          </w:pPr>
          <w:r w:rsidRPr="006F033D">
            <w:rPr>
              <w:rFonts w:ascii="Arial" w:hAnsi="Arial" w:cs="Arial"/>
              <w:b/>
              <w:bCs/>
              <w:color w:val="000000" w:themeColor="text1"/>
              <w:sz w:val="24"/>
              <w:szCs w:val="24"/>
            </w:rPr>
            <w:t>Table of Contents</w:t>
          </w:r>
        </w:p>
        <w:p w14:paraId="028B8D88" w14:textId="77777777" w:rsidR="004C17CD" w:rsidRPr="004C17CD" w:rsidRDefault="004C17CD" w:rsidP="004C17CD">
          <w:pPr>
            <w:rPr>
              <w:lang w:val="en-US" w:bidi="ar-SA"/>
            </w:rPr>
          </w:pPr>
        </w:p>
        <w:p w14:paraId="4062FA66" w14:textId="4DA8E267" w:rsidR="00653C5D" w:rsidRDefault="00385C27" w:rsidP="004C17CD">
          <w:pPr>
            <w:pStyle w:val="TOC1"/>
            <w:rPr>
              <w:rFonts w:eastAsiaTheme="minorEastAsia"/>
              <w:noProof/>
              <w:lang w:val="en-GB" w:eastAsia="en-GB" w:bidi="ar-SA"/>
            </w:rPr>
          </w:pPr>
          <w:r>
            <w:fldChar w:fldCharType="begin"/>
          </w:r>
          <w:r>
            <w:instrText xml:space="preserve"> TOC \o "1-3" \h \z \u </w:instrText>
          </w:r>
          <w:r>
            <w:fldChar w:fldCharType="separate"/>
          </w:r>
          <w:hyperlink w:anchor="_Toc213355209" w:history="1">
            <w:r w:rsidR="00653C5D" w:rsidRPr="00215668">
              <w:rPr>
                <w:rStyle w:val="Hyperlink"/>
                <w:b/>
                <w:bCs/>
                <w:noProof/>
              </w:rPr>
              <w:t>Introduction</w:t>
            </w:r>
            <w:r w:rsidR="00653C5D">
              <w:rPr>
                <w:noProof/>
                <w:webHidden/>
              </w:rPr>
              <w:tab/>
            </w:r>
            <w:r w:rsidR="00653C5D" w:rsidRPr="00BB5608">
              <w:rPr>
                <w:rFonts w:ascii="Arial" w:hAnsi="Arial" w:cs="Arial"/>
                <w:b/>
                <w:bCs/>
                <w:noProof/>
                <w:webHidden/>
              </w:rPr>
              <w:fldChar w:fldCharType="begin"/>
            </w:r>
            <w:r w:rsidR="00653C5D" w:rsidRPr="00BB5608">
              <w:rPr>
                <w:rFonts w:ascii="Arial" w:hAnsi="Arial" w:cs="Arial"/>
                <w:b/>
                <w:bCs/>
                <w:noProof/>
                <w:webHidden/>
              </w:rPr>
              <w:instrText xml:space="preserve"> PAGEREF _Toc213355209 \h </w:instrText>
            </w:r>
            <w:r w:rsidR="00653C5D" w:rsidRPr="00BB5608">
              <w:rPr>
                <w:rFonts w:ascii="Arial" w:hAnsi="Arial" w:cs="Arial"/>
                <w:b/>
                <w:bCs/>
                <w:noProof/>
                <w:webHidden/>
              </w:rPr>
            </w:r>
            <w:r w:rsidR="00653C5D" w:rsidRPr="00BB5608">
              <w:rPr>
                <w:rFonts w:ascii="Arial" w:hAnsi="Arial" w:cs="Arial"/>
                <w:b/>
                <w:bCs/>
                <w:noProof/>
                <w:webHidden/>
              </w:rPr>
              <w:fldChar w:fldCharType="separate"/>
            </w:r>
            <w:r w:rsidR="00653C5D" w:rsidRPr="00BB5608">
              <w:rPr>
                <w:rFonts w:ascii="Arial" w:hAnsi="Arial" w:cs="Arial"/>
                <w:b/>
                <w:bCs/>
                <w:noProof/>
                <w:webHidden/>
              </w:rPr>
              <w:t>2</w:t>
            </w:r>
            <w:r w:rsidR="00653C5D" w:rsidRPr="00BB5608">
              <w:rPr>
                <w:rFonts w:ascii="Arial" w:hAnsi="Arial" w:cs="Arial"/>
                <w:b/>
                <w:bCs/>
                <w:noProof/>
                <w:webHidden/>
              </w:rPr>
              <w:fldChar w:fldCharType="end"/>
            </w:r>
          </w:hyperlink>
        </w:p>
        <w:p w14:paraId="302D01C8" w14:textId="14CE8EF5" w:rsidR="00653C5D" w:rsidRPr="009C08C7" w:rsidRDefault="009C08C7" w:rsidP="009C08C7">
          <w:pPr>
            <w:pStyle w:val="TOC2"/>
            <w:rPr>
              <w:rFonts w:ascii="Arial" w:eastAsiaTheme="minorEastAsia" w:hAnsi="Arial" w:cs="Arial"/>
              <w:noProof/>
              <w:color w:val="000000" w:themeColor="text1"/>
              <w:lang w:val="en-GB" w:eastAsia="en-GB" w:bidi="ar-SA"/>
            </w:rPr>
          </w:pPr>
          <w:r w:rsidRPr="009C08C7">
            <w:rPr>
              <w:rStyle w:val="Hyperlink"/>
              <w:rFonts w:ascii="Arial" w:hAnsi="Arial" w:cs="Arial"/>
              <w:noProof/>
              <w:color w:val="000000" w:themeColor="text1"/>
              <w:u w:val="none"/>
            </w:rPr>
            <w:t>1.1)</w:t>
          </w:r>
          <w:hyperlink w:anchor="_Toc213355210" w:history="1">
            <w:r w:rsidR="00653C5D" w:rsidRPr="009C08C7">
              <w:rPr>
                <w:rStyle w:val="Hyperlink"/>
                <w:rFonts w:ascii="Arial" w:hAnsi="Arial" w:cs="Arial"/>
                <w:noProof/>
                <w:color w:val="000000" w:themeColor="text1"/>
                <w:u w:val="none"/>
              </w:rPr>
              <w:t>Background and Context</w:t>
            </w:r>
            <w:r w:rsidR="00653C5D" w:rsidRPr="009C08C7">
              <w:rPr>
                <w:rFonts w:ascii="Arial" w:hAnsi="Arial" w:cs="Arial"/>
                <w:noProof/>
                <w:webHidden/>
                <w:color w:val="000000" w:themeColor="text1"/>
              </w:rPr>
              <w:tab/>
            </w:r>
            <w:r w:rsidR="00653C5D" w:rsidRPr="009C08C7">
              <w:rPr>
                <w:rFonts w:ascii="Arial" w:hAnsi="Arial" w:cs="Arial"/>
                <w:noProof/>
                <w:webHidden/>
                <w:color w:val="000000" w:themeColor="text1"/>
              </w:rPr>
              <w:fldChar w:fldCharType="begin"/>
            </w:r>
            <w:r w:rsidR="00653C5D" w:rsidRPr="009C08C7">
              <w:rPr>
                <w:rFonts w:ascii="Arial" w:hAnsi="Arial" w:cs="Arial"/>
                <w:noProof/>
                <w:webHidden/>
                <w:color w:val="000000" w:themeColor="text1"/>
              </w:rPr>
              <w:instrText xml:space="preserve"> PAGEREF _Toc213355210 \h </w:instrText>
            </w:r>
            <w:r w:rsidR="00653C5D" w:rsidRPr="009C08C7">
              <w:rPr>
                <w:rFonts w:ascii="Arial" w:hAnsi="Arial" w:cs="Arial"/>
                <w:noProof/>
                <w:webHidden/>
                <w:color w:val="000000" w:themeColor="text1"/>
              </w:rPr>
            </w:r>
            <w:r w:rsidR="00653C5D" w:rsidRPr="009C08C7">
              <w:rPr>
                <w:rFonts w:ascii="Arial" w:hAnsi="Arial" w:cs="Arial"/>
                <w:noProof/>
                <w:webHidden/>
                <w:color w:val="000000" w:themeColor="text1"/>
              </w:rPr>
              <w:fldChar w:fldCharType="separate"/>
            </w:r>
            <w:r w:rsidR="00653C5D" w:rsidRPr="009C08C7">
              <w:rPr>
                <w:rFonts w:ascii="Arial" w:hAnsi="Arial" w:cs="Arial"/>
                <w:noProof/>
                <w:webHidden/>
                <w:color w:val="000000" w:themeColor="text1"/>
              </w:rPr>
              <w:t>2</w:t>
            </w:r>
            <w:r w:rsidR="00653C5D" w:rsidRPr="009C08C7">
              <w:rPr>
                <w:rFonts w:ascii="Arial" w:hAnsi="Arial" w:cs="Arial"/>
                <w:noProof/>
                <w:webHidden/>
                <w:color w:val="000000" w:themeColor="text1"/>
              </w:rPr>
              <w:fldChar w:fldCharType="end"/>
            </w:r>
          </w:hyperlink>
        </w:p>
        <w:p w14:paraId="49AA309E" w14:textId="1F582D4C" w:rsidR="00653C5D" w:rsidRPr="009C08C7" w:rsidRDefault="009C08C7" w:rsidP="009C08C7">
          <w:pPr>
            <w:pStyle w:val="TOC2"/>
            <w:rPr>
              <w:rFonts w:ascii="Arial" w:eastAsiaTheme="minorEastAsia" w:hAnsi="Arial" w:cs="Arial"/>
              <w:noProof/>
              <w:color w:val="000000" w:themeColor="text1"/>
              <w:lang w:val="en-GB" w:eastAsia="en-GB" w:bidi="ar-SA"/>
            </w:rPr>
          </w:pPr>
          <w:r w:rsidRPr="009C08C7">
            <w:rPr>
              <w:rStyle w:val="Hyperlink"/>
              <w:rFonts w:ascii="Arial" w:hAnsi="Arial" w:cs="Arial"/>
              <w:noProof/>
              <w:color w:val="000000" w:themeColor="text1"/>
              <w:u w:val="none"/>
            </w:rPr>
            <w:t>1.2)</w:t>
          </w:r>
          <w:hyperlink w:anchor="_Toc213355211" w:history="1">
            <w:r w:rsidR="00653C5D" w:rsidRPr="009C08C7">
              <w:rPr>
                <w:rStyle w:val="Hyperlink"/>
                <w:rFonts w:ascii="Arial" w:hAnsi="Arial" w:cs="Arial"/>
                <w:noProof/>
                <w:color w:val="000000" w:themeColor="text1"/>
                <w:u w:val="none"/>
              </w:rPr>
              <w:t>Problem Statement</w:t>
            </w:r>
            <w:r w:rsidR="00653C5D" w:rsidRPr="009C08C7">
              <w:rPr>
                <w:rFonts w:ascii="Arial" w:hAnsi="Arial" w:cs="Arial"/>
                <w:noProof/>
                <w:webHidden/>
                <w:color w:val="000000" w:themeColor="text1"/>
              </w:rPr>
              <w:tab/>
            </w:r>
            <w:r w:rsidR="00653C5D" w:rsidRPr="009C08C7">
              <w:rPr>
                <w:rFonts w:ascii="Arial" w:hAnsi="Arial" w:cs="Arial"/>
                <w:noProof/>
                <w:webHidden/>
                <w:color w:val="000000" w:themeColor="text1"/>
              </w:rPr>
              <w:fldChar w:fldCharType="begin"/>
            </w:r>
            <w:r w:rsidR="00653C5D" w:rsidRPr="009C08C7">
              <w:rPr>
                <w:rFonts w:ascii="Arial" w:hAnsi="Arial" w:cs="Arial"/>
                <w:noProof/>
                <w:webHidden/>
                <w:color w:val="000000" w:themeColor="text1"/>
              </w:rPr>
              <w:instrText xml:space="preserve"> PAGEREF _Toc213355211 \h </w:instrText>
            </w:r>
            <w:r w:rsidR="00653C5D" w:rsidRPr="009C08C7">
              <w:rPr>
                <w:rFonts w:ascii="Arial" w:hAnsi="Arial" w:cs="Arial"/>
                <w:noProof/>
                <w:webHidden/>
                <w:color w:val="000000" w:themeColor="text1"/>
              </w:rPr>
            </w:r>
            <w:r w:rsidR="00653C5D" w:rsidRPr="009C08C7">
              <w:rPr>
                <w:rFonts w:ascii="Arial" w:hAnsi="Arial" w:cs="Arial"/>
                <w:noProof/>
                <w:webHidden/>
                <w:color w:val="000000" w:themeColor="text1"/>
              </w:rPr>
              <w:fldChar w:fldCharType="separate"/>
            </w:r>
            <w:r w:rsidR="00653C5D" w:rsidRPr="009C08C7">
              <w:rPr>
                <w:rFonts w:ascii="Arial" w:hAnsi="Arial" w:cs="Arial"/>
                <w:noProof/>
                <w:webHidden/>
                <w:color w:val="000000" w:themeColor="text1"/>
              </w:rPr>
              <w:t>2</w:t>
            </w:r>
            <w:r w:rsidR="00653C5D" w:rsidRPr="009C08C7">
              <w:rPr>
                <w:rFonts w:ascii="Arial" w:hAnsi="Arial" w:cs="Arial"/>
                <w:noProof/>
                <w:webHidden/>
                <w:color w:val="000000" w:themeColor="text1"/>
              </w:rPr>
              <w:fldChar w:fldCharType="end"/>
            </w:r>
          </w:hyperlink>
        </w:p>
        <w:p w14:paraId="21180ADF" w14:textId="749146AF" w:rsidR="00653C5D" w:rsidRPr="009C08C7" w:rsidRDefault="009C08C7" w:rsidP="009C08C7">
          <w:pPr>
            <w:pStyle w:val="TOC2"/>
            <w:rPr>
              <w:rFonts w:ascii="Arial" w:eastAsiaTheme="minorEastAsia" w:hAnsi="Arial" w:cs="Arial"/>
              <w:noProof/>
              <w:color w:val="000000" w:themeColor="text1"/>
              <w:lang w:val="en-GB" w:eastAsia="en-GB" w:bidi="ar-SA"/>
            </w:rPr>
          </w:pPr>
          <w:r w:rsidRPr="009C08C7">
            <w:rPr>
              <w:rStyle w:val="Hyperlink"/>
              <w:rFonts w:ascii="Arial" w:hAnsi="Arial" w:cs="Arial"/>
              <w:noProof/>
              <w:color w:val="000000" w:themeColor="text1"/>
              <w:u w:val="none"/>
            </w:rPr>
            <w:t>1.3)</w:t>
          </w:r>
          <w:hyperlink w:anchor="_Toc213355212" w:history="1">
            <w:r w:rsidR="00653C5D" w:rsidRPr="009C08C7">
              <w:rPr>
                <w:rStyle w:val="Hyperlink"/>
                <w:rFonts w:ascii="Arial" w:hAnsi="Arial" w:cs="Arial"/>
                <w:noProof/>
                <w:color w:val="000000" w:themeColor="text1"/>
                <w:u w:val="none"/>
              </w:rPr>
              <w:t>Research Aim and Objectives</w:t>
            </w:r>
            <w:r w:rsidR="00653C5D" w:rsidRPr="009C08C7">
              <w:rPr>
                <w:rFonts w:ascii="Arial" w:hAnsi="Arial" w:cs="Arial"/>
                <w:noProof/>
                <w:webHidden/>
                <w:color w:val="000000" w:themeColor="text1"/>
              </w:rPr>
              <w:tab/>
            </w:r>
            <w:r w:rsidR="00653C5D" w:rsidRPr="009C08C7">
              <w:rPr>
                <w:rFonts w:ascii="Arial" w:hAnsi="Arial" w:cs="Arial"/>
                <w:noProof/>
                <w:webHidden/>
                <w:color w:val="000000" w:themeColor="text1"/>
              </w:rPr>
              <w:fldChar w:fldCharType="begin"/>
            </w:r>
            <w:r w:rsidR="00653C5D" w:rsidRPr="009C08C7">
              <w:rPr>
                <w:rFonts w:ascii="Arial" w:hAnsi="Arial" w:cs="Arial"/>
                <w:noProof/>
                <w:webHidden/>
                <w:color w:val="000000" w:themeColor="text1"/>
              </w:rPr>
              <w:instrText xml:space="preserve"> PAGEREF _Toc213355212 \h </w:instrText>
            </w:r>
            <w:r w:rsidR="00653C5D" w:rsidRPr="009C08C7">
              <w:rPr>
                <w:rFonts w:ascii="Arial" w:hAnsi="Arial" w:cs="Arial"/>
                <w:noProof/>
                <w:webHidden/>
                <w:color w:val="000000" w:themeColor="text1"/>
              </w:rPr>
            </w:r>
            <w:r w:rsidR="00653C5D" w:rsidRPr="009C08C7">
              <w:rPr>
                <w:rFonts w:ascii="Arial" w:hAnsi="Arial" w:cs="Arial"/>
                <w:noProof/>
                <w:webHidden/>
                <w:color w:val="000000" w:themeColor="text1"/>
              </w:rPr>
              <w:fldChar w:fldCharType="separate"/>
            </w:r>
            <w:r w:rsidR="00653C5D" w:rsidRPr="009C08C7">
              <w:rPr>
                <w:rFonts w:ascii="Arial" w:hAnsi="Arial" w:cs="Arial"/>
                <w:noProof/>
                <w:webHidden/>
                <w:color w:val="000000" w:themeColor="text1"/>
              </w:rPr>
              <w:t>3</w:t>
            </w:r>
            <w:r w:rsidR="00653C5D" w:rsidRPr="009C08C7">
              <w:rPr>
                <w:rFonts w:ascii="Arial" w:hAnsi="Arial" w:cs="Arial"/>
                <w:noProof/>
                <w:webHidden/>
                <w:color w:val="000000" w:themeColor="text1"/>
              </w:rPr>
              <w:fldChar w:fldCharType="end"/>
            </w:r>
          </w:hyperlink>
        </w:p>
        <w:p w14:paraId="3265CEF3" w14:textId="66267ABF" w:rsidR="00653C5D" w:rsidRPr="009C08C7" w:rsidRDefault="009C08C7" w:rsidP="009C08C7">
          <w:pPr>
            <w:pStyle w:val="TOC2"/>
            <w:rPr>
              <w:rFonts w:eastAsiaTheme="minorEastAsia"/>
              <w:noProof/>
              <w:lang w:val="en-GB" w:eastAsia="en-GB" w:bidi="ar-SA"/>
            </w:rPr>
          </w:pPr>
          <w:r w:rsidRPr="009C08C7">
            <w:rPr>
              <w:rStyle w:val="Hyperlink"/>
              <w:rFonts w:ascii="Arial" w:hAnsi="Arial" w:cs="Arial"/>
              <w:noProof/>
              <w:color w:val="000000" w:themeColor="text1"/>
              <w:u w:val="none"/>
            </w:rPr>
            <w:t>1.4)</w:t>
          </w:r>
          <w:hyperlink w:anchor="_Toc213355213" w:history="1">
            <w:r w:rsidR="00653C5D" w:rsidRPr="009C08C7">
              <w:rPr>
                <w:rStyle w:val="Hyperlink"/>
                <w:noProof/>
                <w:u w:val="none"/>
              </w:rPr>
              <w:t>Research Question and Hypotheses</w:t>
            </w:r>
            <w:r w:rsidR="00653C5D" w:rsidRPr="009C08C7">
              <w:rPr>
                <w:noProof/>
                <w:webHidden/>
              </w:rPr>
              <w:tab/>
            </w:r>
            <w:r w:rsidR="00653C5D" w:rsidRPr="009C08C7">
              <w:rPr>
                <w:noProof/>
                <w:webHidden/>
              </w:rPr>
              <w:fldChar w:fldCharType="begin"/>
            </w:r>
            <w:r w:rsidR="00653C5D" w:rsidRPr="009C08C7">
              <w:rPr>
                <w:noProof/>
                <w:webHidden/>
              </w:rPr>
              <w:instrText xml:space="preserve"> PAGEREF _Toc213355213 \h </w:instrText>
            </w:r>
            <w:r w:rsidR="00653C5D" w:rsidRPr="009C08C7">
              <w:rPr>
                <w:noProof/>
                <w:webHidden/>
              </w:rPr>
            </w:r>
            <w:r w:rsidR="00653C5D" w:rsidRPr="009C08C7">
              <w:rPr>
                <w:noProof/>
                <w:webHidden/>
              </w:rPr>
              <w:fldChar w:fldCharType="separate"/>
            </w:r>
            <w:r w:rsidR="00653C5D" w:rsidRPr="009C08C7">
              <w:rPr>
                <w:noProof/>
                <w:webHidden/>
              </w:rPr>
              <w:t>3</w:t>
            </w:r>
            <w:r w:rsidR="00653C5D" w:rsidRPr="009C08C7">
              <w:rPr>
                <w:noProof/>
                <w:webHidden/>
              </w:rPr>
              <w:fldChar w:fldCharType="end"/>
            </w:r>
          </w:hyperlink>
        </w:p>
        <w:p w14:paraId="06C11420" w14:textId="78858BA0" w:rsidR="00653C5D" w:rsidRDefault="00E512B4" w:rsidP="009C08C7">
          <w:pPr>
            <w:pStyle w:val="TOC2"/>
            <w:rPr>
              <w:rFonts w:eastAsiaTheme="minorEastAsia"/>
              <w:noProof/>
              <w:lang w:val="en-GB" w:eastAsia="en-GB" w:bidi="ar-SA"/>
            </w:rPr>
          </w:pPr>
          <w:r w:rsidRPr="00BB5608">
            <w:rPr>
              <w:rStyle w:val="Hyperlink"/>
              <w:rFonts w:ascii="Arial" w:hAnsi="Arial" w:cs="Arial"/>
              <w:b/>
              <w:bCs/>
              <w:noProof/>
              <w:color w:val="000000" w:themeColor="text1"/>
              <w:u w:val="none"/>
            </w:rPr>
            <w:t>2)</w:t>
          </w:r>
          <w:hyperlink w:anchor="_Toc213355214" w:history="1">
            <w:r w:rsidR="00653C5D" w:rsidRPr="009C08C7">
              <w:rPr>
                <w:rStyle w:val="Hyperlink"/>
                <w:b/>
                <w:bCs/>
                <w:noProof/>
                <w:u w:val="none"/>
              </w:rPr>
              <w:t>Literature Review</w:t>
            </w:r>
            <w:r w:rsidR="00653C5D" w:rsidRPr="009C08C7">
              <w:rPr>
                <w:noProof/>
                <w:webHidden/>
              </w:rPr>
              <w:tab/>
            </w:r>
            <w:r w:rsidR="00653C5D" w:rsidRPr="00BB5608">
              <w:rPr>
                <w:rFonts w:ascii="Arial" w:hAnsi="Arial" w:cs="Arial"/>
                <w:b/>
                <w:bCs/>
                <w:noProof/>
                <w:webHidden/>
              </w:rPr>
              <w:fldChar w:fldCharType="begin"/>
            </w:r>
            <w:r w:rsidR="00653C5D" w:rsidRPr="00BB5608">
              <w:rPr>
                <w:rFonts w:ascii="Arial" w:hAnsi="Arial" w:cs="Arial"/>
                <w:b/>
                <w:bCs/>
                <w:noProof/>
                <w:webHidden/>
              </w:rPr>
              <w:instrText xml:space="preserve"> PAGEREF _Toc213355214 \h </w:instrText>
            </w:r>
            <w:r w:rsidR="00653C5D" w:rsidRPr="00BB5608">
              <w:rPr>
                <w:rFonts w:ascii="Arial" w:hAnsi="Arial" w:cs="Arial"/>
                <w:b/>
                <w:bCs/>
                <w:noProof/>
                <w:webHidden/>
              </w:rPr>
            </w:r>
            <w:r w:rsidR="00653C5D" w:rsidRPr="00BB5608">
              <w:rPr>
                <w:rFonts w:ascii="Arial" w:hAnsi="Arial" w:cs="Arial"/>
                <w:b/>
                <w:bCs/>
                <w:noProof/>
                <w:webHidden/>
              </w:rPr>
              <w:fldChar w:fldCharType="separate"/>
            </w:r>
            <w:r w:rsidR="00653C5D" w:rsidRPr="00BB5608">
              <w:rPr>
                <w:rFonts w:ascii="Arial" w:hAnsi="Arial" w:cs="Arial"/>
                <w:b/>
                <w:bCs/>
                <w:noProof/>
                <w:webHidden/>
              </w:rPr>
              <w:t>4</w:t>
            </w:r>
            <w:r w:rsidR="00653C5D" w:rsidRPr="00BB5608">
              <w:rPr>
                <w:rFonts w:ascii="Arial" w:hAnsi="Arial" w:cs="Arial"/>
                <w:b/>
                <w:bCs/>
                <w:noProof/>
                <w:webHidden/>
              </w:rPr>
              <w:fldChar w:fldCharType="end"/>
            </w:r>
          </w:hyperlink>
        </w:p>
        <w:p w14:paraId="382DCCEB" w14:textId="2E04622A" w:rsidR="00653C5D" w:rsidRDefault="00653C5D" w:rsidP="009C08C7">
          <w:pPr>
            <w:pStyle w:val="TOC2"/>
            <w:rPr>
              <w:rFonts w:eastAsiaTheme="minorEastAsia"/>
              <w:noProof/>
              <w:lang w:val="en-GB" w:eastAsia="en-GB" w:bidi="ar-SA"/>
            </w:rPr>
          </w:pPr>
          <w:hyperlink w:anchor="_Toc213355215" w:history="1">
            <w:r w:rsidRPr="00215668">
              <w:rPr>
                <w:rStyle w:val="Hyperlink"/>
                <w:noProof/>
              </w:rPr>
              <w:t>2.1) Gold as a Hedge and Safe Haven</w:t>
            </w:r>
            <w:r>
              <w:rPr>
                <w:noProof/>
                <w:webHidden/>
              </w:rPr>
              <w:tab/>
            </w:r>
            <w:r>
              <w:rPr>
                <w:noProof/>
                <w:webHidden/>
              </w:rPr>
              <w:fldChar w:fldCharType="begin"/>
            </w:r>
            <w:r>
              <w:rPr>
                <w:noProof/>
                <w:webHidden/>
              </w:rPr>
              <w:instrText xml:space="preserve"> PAGEREF _Toc213355215 \h </w:instrText>
            </w:r>
            <w:r>
              <w:rPr>
                <w:noProof/>
                <w:webHidden/>
              </w:rPr>
            </w:r>
            <w:r>
              <w:rPr>
                <w:noProof/>
                <w:webHidden/>
              </w:rPr>
              <w:fldChar w:fldCharType="separate"/>
            </w:r>
            <w:r>
              <w:rPr>
                <w:noProof/>
                <w:webHidden/>
              </w:rPr>
              <w:t>4</w:t>
            </w:r>
            <w:r>
              <w:rPr>
                <w:noProof/>
                <w:webHidden/>
              </w:rPr>
              <w:fldChar w:fldCharType="end"/>
            </w:r>
          </w:hyperlink>
        </w:p>
        <w:p w14:paraId="501B1D2D" w14:textId="42BB85DC" w:rsidR="00653C5D" w:rsidRDefault="00653C5D" w:rsidP="009C08C7">
          <w:pPr>
            <w:pStyle w:val="TOC2"/>
            <w:rPr>
              <w:rFonts w:eastAsiaTheme="minorEastAsia"/>
              <w:noProof/>
              <w:lang w:val="en-GB" w:eastAsia="en-GB" w:bidi="ar-SA"/>
            </w:rPr>
          </w:pPr>
          <w:hyperlink w:anchor="_Toc213355216" w:history="1">
            <w:r w:rsidRPr="00215668">
              <w:rPr>
                <w:rStyle w:val="Hyperlink"/>
                <w:noProof/>
              </w:rPr>
              <w:t>2.2) Relationship Between Gold and Equity Returns</w:t>
            </w:r>
            <w:r>
              <w:rPr>
                <w:noProof/>
                <w:webHidden/>
              </w:rPr>
              <w:tab/>
            </w:r>
            <w:r>
              <w:rPr>
                <w:noProof/>
                <w:webHidden/>
              </w:rPr>
              <w:fldChar w:fldCharType="begin"/>
            </w:r>
            <w:r>
              <w:rPr>
                <w:noProof/>
                <w:webHidden/>
              </w:rPr>
              <w:instrText xml:space="preserve"> PAGEREF _Toc213355216 \h </w:instrText>
            </w:r>
            <w:r>
              <w:rPr>
                <w:noProof/>
                <w:webHidden/>
              </w:rPr>
            </w:r>
            <w:r>
              <w:rPr>
                <w:noProof/>
                <w:webHidden/>
              </w:rPr>
              <w:fldChar w:fldCharType="separate"/>
            </w:r>
            <w:r>
              <w:rPr>
                <w:noProof/>
                <w:webHidden/>
              </w:rPr>
              <w:t>4</w:t>
            </w:r>
            <w:r>
              <w:rPr>
                <w:noProof/>
                <w:webHidden/>
              </w:rPr>
              <w:fldChar w:fldCharType="end"/>
            </w:r>
          </w:hyperlink>
        </w:p>
        <w:p w14:paraId="3B3B1DF7" w14:textId="596F6271" w:rsidR="00653C5D" w:rsidRDefault="00653C5D" w:rsidP="009C08C7">
          <w:pPr>
            <w:pStyle w:val="TOC2"/>
            <w:rPr>
              <w:rFonts w:eastAsiaTheme="minorEastAsia"/>
              <w:noProof/>
              <w:lang w:val="en-GB" w:eastAsia="en-GB" w:bidi="ar-SA"/>
            </w:rPr>
          </w:pPr>
          <w:hyperlink w:anchor="_Toc213355217" w:history="1">
            <w:r w:rsidRPr="00215668">
              <w:rPr>
                <w:rStyle w:val="Hyperlink"/>
                <w:noProof/>
                <w:lang w:val="en-GB"/>
              </w:rPr>
              <w:t>2.3) Role of US Interest Rates and Monetary Policy</w:t>
            </w:r>
            <w:r>
              <w:rPr>
                <w:noProof/>
                <w:webHidden/>
              </w:rPr>
              <w:tab/>
            </w:r>
            <w:r>
              <w:rPr>
                <w:noProof/>
                <w:webHidden/>
              </w:rPr>
              <w:fldChar w:fldCharType="begin"/>
            </w:r>
            <w:r>
              <w:rPr>
                <w:noProof/>
                <w:webHidden/>
              </w:rPr>
              <w:instrText xml:space="preserve"> PAGEREF _Toc213355217 \h </w:instrText>
            </w:r>
            <w:r>
              <w:rPr>
                <w:noProof/>
                <w:webHidden/>
              </w:rPr>
            </w:r>
            <w:r>
              <w:rPr>
                <w:noProof/>
                <w:webHidden/>
              </w:rPr>
              <w:fldChar w:fldCharType="separate"/>
            </w:r>
            <w:r>
              <w:rPr>
                <w:noProof/>
                <w:webHidden/>
              </w:rPr>
              <w:t>5</w:t>
            </w:r>
            <w:r>
              <w:rPr>
                <w:noProof/>
                <w:webHidden/>
              </w:rPr>
              <w:fldChar w:fldCharType="end"/>
            </w:r>
          </w:hyperlink>
        </w:p>
        <w:p w14:paraId="65F965AB" w14:textId="740B44A6" w:rsidR="00653C5D" w:rsidRDefault="00653C5D" w:rsidP="009C08C7">
          <w:pPr>
            <w:pStyle w:val="TOC2"/>
            <w:rPr>
              <w:rFonts w:eastAsiaTheme="minorEastAsia"/>
              <w:noProof/>
              <w:lang w:val="en-GB" w:eastAsia="en-GB" w:bidi="ar-SA"/>
            </w:rPr>
          </w:pPr>
          <w:hyperlink w:anchor="_Toc213355218" w:history="1">
            <w:r w:rsidRPr="00215668">
              <w:rPr>
                <w:rStyle w:val="Hyperlink"/>
                <w:noProof/>
              </w:rPr>
              <w:t>2.4) Gaps in the Literature</w:t>
            </w:r>
            <w:r>
              <w:rPr>
                <w:noProof/>
                <w:webHidden/>
              </w:rPr>
              <w:tab/>
            </w:r>
            <w:r>
              <w:rPr>
                <w:noProof/>
                <w:webHidden/>
              </w:rPr>
              <w:fldChar w:fldCharType="begin"/>
            </w:r>
            <w:r>
              <w:rPr>
                <w:noProof/>
                <w:webHidden/>
              </w:rPr>
              <w:instrText xml:space="preserve"> PAGEREF _Toc213355218 \h </w:instrText>
            </w:r>
            <w:r>
              <w:rPr>
                <w:noProof/>
                <w:webHidden/>
              </w:rPr>
            </w:r>
            <w:r>
              <w:rPr>
                <w:noProof/>
                <w:webHidden/>
              </w:rPr>
              <w:fldChar w:fldCharType="separate"/>
            </w:r>
            <w:r>
              <w:rPr>
                <w:noProof/>
                <w:webHidden/>
              </w:rPr>
              <w:t>6</w:t>
            </w:r>
            <w:r>
              <w:rPr>
                <w:noProof/>
                <w:webHidden/>
              </w:rPr>
              <w:fldChar w:fldCharType="end"/>
            </w:r>
          </w:hyperlink>
        </w:p>
        <w:p w14:paraId="2BBE4244" w14:textId="37C935EC" w:rsidR="00653C5D" w:rsidRDefault="00BB5608" w:rsidP="00BB5608">
          <w:pPr>
            <w:pStyle w:val="TOC1"/>
            <w:numPr>
              <w:ilvl w:val="0"/>
              <w:numId w:val="0"/>
            </w:numPr>
            <w:rPr>
              <w:rFonts w:eastAsiaTheme="minorEastAsia"/>
              <w:noProof/>
              <w:lang w:val="en-GB" w:eastAsia="en-GB" w:bidi="ar-SA"/>
            </w:rPr>
          </w:pPr>
          <w:r w:rsidRPr="00BB5608">
            <w:rPr>
              <w:rStyle w:val="Hyperlink"/>
              <w:rFonts w:ascii="Arial" w:hAnsi="Arial" w:cs="Arial"/>
              <w:b/>
              <w:bCs/>
              <w:noProof/>
              <w:color w:val="000000" w:themeColor="text1"/>
              <w:u w:val="none"/>
            </w:rPr>
            <w:t>3)</w:t>
          </w:r>
          <w:hyperlink w:anchor="_Toc213355219" w:history="1">
            <w:r w:rsidR="00653C5D" w:rsidRPr="00215668">
              <w:rPr>
                <w:rStyle w:val="Hyperlink"/>
                <w:b/>
                <w:bCs/>
                <w:noProof/>
                <w:lang w:val="en-GB"/>
              </w:rPr>
              <w:t>Methodology</w:t>
            </w:r>
            <w:r w:rsidR="00653C5D">
              <w:rPr>
                <w:noProof/>
                <w:webHidden/>
              </w:rPr>
              <w:tab/>
            </w:r>
            <w:r w:rsidR="00653C5D" w:rsidRPr="00BB5608">
              <w:rPr>
                <w:rFonts w:ascii="Arial" w:hAnsi="Arial" w:cs="Arial"/>
                <w:b/>
                <w:bCs/>
                <w:noProof/>
                <w:webHidden/>
                <w:color w:val="000000" w:themeColor="text1"/>
              </w:rPr>
              <w:fldChar w:fldCharType="begin"/>
            </w:r>
            <w:r w:rsidR="00653C5D" w:rsidRPr="00BB5608">
              <w:rPr>
                <w:rFonts w:ascii="Arial" w:hAnsi="Arial" w:cs="Arial"/>
                <w:b/>
                <w:bCs/>
                <w:noProof/>
                <w:webHidden/>
                <w:color w:val="000000" w:themeColor="text1"/>
              </w:rPr>
              <w:instrText xml:space="preserve"> PAGEREF _Toc213355219 \h </w:instrText>
            </w:r>
            <w:r w:rsidR="00653C5D" w:rsidRPr="00BB5608">
              <w:rPr>
                <w:rFonts w:ascii="Arial" w:hAnsi="Arial" w:cs="Arial"/>
                <w:b/>
                <w:bCs/>
                <w:noProof/>
                <w:webHidden/>
                <w:color w:val="000000" w:themeColor="text1"/>
              </w:rPr>
            </w:r>
            <w:r w:rsidR="00653C5D" w:rsidRPr="00BB5608">
              <w:rPr>
                <w:rFonts w:ascii="Arial" w:hAnsi="Arial" w:cs="Arial"/>
                <w:b/>
                <w:bCs/>
                <w:noProof/>
                <w:webHidden/>
                <w:color w:val="000000" w:themeColor="text1"/>
              </w:rPr>
              <w:fldChar w:fldCharType="separate"/>
            </w:r>
            <w:r w:rsidR="00653C5D" w:rsidRPr="00BB5608">
              <w:rPr>
                <w:rFonts w:ascii="Arial" w:hAnsi="Arial" w:cs="Arial"/>
                <w:b/>
                <w:bCs/>
                <w:noProof/>
                <w:webHidden/>
                <w:color w:val="000000" w:themeColor="text1"/>
              </w:rPr>
              <w:t>6</w:t>
            </w:r>
            <w:r w:rsidR="00653C5D" w:rsidRPr="00BB5608">
              <w:rPr>
                <w:rFonts w:ascii="Arial" w:hAnsi="Arial" w:cs="Arial"/>
                <w:b/>
                <w:bCs/>
                <w:noProof/>
                <w:webHidden/>
                <w:color w:val="000000" w:themeColor="text1"/>
              </w:rPr>
              <w:fldChar w:fldCharType="end"/>
            </w:r>
          </w:hyperlink>
        </w:p>
        <w:p w14:paraId="3D00E8D2" w14:textId="61584CEE" w:rsidR="00653C5D" w:rsidRDefault="00653C5D" w:rsidP="009C08C7">
          <w:pPr>
            <w:pStyle w:val="TOC2"/>
            <w:rPr>
              <w:rFonts w:eastAsiaTheme="minorEastAsia"/>
              <w:noProof/>
              <w:lang w:val="en-GB" w:eastAsia="en-GB" w:bidi="ar-SA"/>
            </w:rPr>
          </w:pPr>
          <w:hyperlink w:anchor="_Toc213355220" w:history="1">
            <w:r w:rsidRPr="00215668">
              <w:rPr>
                <w:rStyle w:val="Hyperlink"/>
                <w:noProof/>
                <w:lang w:val="en-GB"/>
              </w:rPr>
              <w:t>3.1) Data Collection</w:t>
            </w:r>
            <w:r>
              <w:rPr>
                <w:noProof/>
                <w:webHidden/>
              </w:rPr>
              <w:tab/>
            </w:r>
            <w:r>
              <w:rPr>
                <w:noProof/>
                <w:webHidden/>
              </w:rPr>
              <w:fldChar w:fldCharType="begin"/>
            </w:r>
            <w:r>
              <w:rPr>
                <w:noProof/>
                <w:webHidden/>
              </w:rPr>
              <w:instrText xml:space="preserve"> PAGEREF _Toc213355220 \h </w:instrText>
            </w:r>
            <w:r>
              <w:rPr>
                <w:noProof/>
                <w:webHidden/>
              </w:rPr>
            </w:r>
            <w:r>
              <w:rPr>
                <w:noProof/>
                <w:webHidden/>
              </w:rPr>
              <w:fldChar w:fldCharType="separate"/>
            </w:r>
            <w:r>
              <w:rPr>
                <w:noProof/>
                <w:webHidden/>
              </w:rPr>
              <w:t>6</w:t>
            </w:r>
            <w:r>
              <w:rPr>
                <w:noProof/>
                <w:webHidden/>
              </w:rPr>
              <w:fldChar w:fldCharType="end"/>
            </w:r>
          </w:hyperlink>
        </w:p>
        <w:p w14:paraId="66F08A04" w14:textId="0682C4D0" w:rsidR="00653C5D" w:rsidRDefault="00653C5D" w:rsidP="009C08C7">
          <w:pPr>
            <w:pStyle w:val="TOC2"/>
            <w:rPr>
              <w:rFonts w:eastAsiaTheme="minorEastAsia"/>
              <w:noProof/>
              <w:lang w:val="en-GB" w:eastAsia="en-GB" w:bidi="ar-SA"/>
            </w:rPr>
          </w:pPr>
          <w:hyperlink w:anchor="_Toc213355221" w:history="1">
            <w:r w:rsidRPr="00215668">
              <w:rPr>
                <w:rStyle w:val="Hyperlink"/>
                <w:noProof/>
              </w:rPr>
              <w:t>3.2) Sampling Strategy</w:t>
            </w:r>
            <w:r>
              <w:rPr>
                <w:noProof/>
                <w:webHidden/>
              </w:rPr>
              <w:tab/>
            </w:r>
            <w:r>
              <w:rPr>
                <w:noProof/>
                <w:webHidden/>
              </w:rPr>
              <w:fldChar w:fldCharType="begin"/>
            </w:r>
            <w:r>
              <w:rPr>
                <w:noProof/>
                <w:webHidden/>
              </w:rPr>
              <w:instrText xml:space="preserve"> PAGEREF _Toc213355221 \h </w:instrText>
            </w:r>
            <w:r>
              <w:rPr>
                <w:noProof/>
                <w:webHidden/>
              </w:rPr>
            </w:r>
            <w:r>
              <w:rPr>
                <w:noProof/>
                <w:webHidden/>
              </w:rPr>
              <w:fldChar w:fldCharType="separate"/>
            </w:r>
            <w:r>
              <w:rPr>
                <w:noProof/>
                <w:webHidden/>
              </w:rPr>
              <w:t>7</w:t>
            </w:r>
            <w:r>
              <w:rPr>
                <w:noProof/>
                <w:webHidden/>
              </w:rPr>
              <w:fldChar w:fldCharType="end"/>
            </w:r>
          </w:hyperlink>
        </w:p>
        <w:p w14:paraId="34EBB177" w14:textId="6301DB13" w:rsidR="00653C5D" w:rsidRDefault="00653C5D" w:rsidP="009C08C7">
          <w:pPr>
            <w:pStyle w:val="TOC2"/>
            <w:rPr>
              <w:rFonts w:eastAsiaTheme="minorEastAsia"/>
              <w:noProof/>
              <w:lang w:val="en-GB" w:eastAsia="en-GB" w:bidi="ar-SA"/>
            </w:rPr>
          </w:pPr>
          <w:hyperlink w:anchor="_Toc213355222" w:history="1">
            <w:r w:rsidRPr="00215668">
              <w:rPr>
                <w:rStyle w:val="Hyperlink"/>
                <w:noProof/>
              </w:rPr>
              <w:t>3.3) Data Analysis</w:t>
            </w:r>
            <w:r>
              <w:rPr>
                <w:noProof/>
                <w:webHidden/>
              </w:rPr>
              <w:tab/>
            </w:r>
            <w:r>
              <w:rPr>
                <w:noProof/>
                <w:webHidden/>
              </w:rPr>
              <w:fldChar w:fldCharType="begin"/>
            </w:r>
            <w:r>
              <w:rPr>
                <w:noProof/>
                <w:webHidden/>
              </w:rPr>
              <w:instrText xml:space="preserve"> PAGEREF _Toc213355222 \h </w:instrText>
            </w:r>
            <w:r>
              <w:rPr>
                <w:noProof/>
                <w:webHidden/>
              </w:rPr>
            </w:r>
            <w:r>
              <w:rPr>
                <w:noProof/>
                <w:webHidden/>
              </w:rPr>
              <w:fldChar w:fldCharType="separate"/>
            </w:r>
            <w:r>
              <w:rPr>
                <w:noProof/>
                <w:webHidden/>
              </w:rPr>
              <w:t>7</w:t>
            </w:r>
            <w:r>
              <w:rPr>
                <w:noProof/>
                <w:webHidden/>
              </w:rPr>
              <w:fldChar w:fldCharType="end"/>
            </w:r>
          </w:hyperlink>
        </w:p>
        <w:p w14:paraId="5103FF4A" w14:textId="4883389F" w:rsidR="00653C5D" w:rsidRDefault="00653C5D" w:rsidP="009C08C7">
          <w:pPr>
            <w:pStyle w:val="TOC2"/>
            <w:rPr>
              <w:rFonts w:eastAsiaTheme="minorEastAsia"/>
              <w:noProof/>
              <w:lang w:val="en-GB" w:eastAsia="en-GB" w:bidi="ar-SA"/>
            </w:rPr>
          </w:pPr>
          <w:hyperlink w:anchor="_Toc213355223" w:history="1">
            <w:r w:rsidRPr="00215668">
              <w:rPr>
                <w:rStyle w:val="Hyperlink"/>
                <w:rFonts w:eastAsia="Times New Roman"/>
                <w:noProof/>
                <w:lang w:val="en-GB" w:eastAsia="en-GB"/>
              </w:rPr>
              <w:t>3.4) Ethical Considerations</w:t>
            </w:r>
            <w:r>
              <w:rPr>
                <w:noProof/>
                <w:webHidden/>
              </w:rPr>
              <w:tab/>
            </w:r>
            <w:r>
              <w:rPr>
                <w:noProof/>
                <w:webHidden/>
              </w:rPr>
              <w:fldChar w:fldCharType="begin"/>
            </w:r>
            <w:r>
              <w:rPr>
                <w:noProof/>
                <w:webHidden/>
              </w:rPr>
              <w:instrText xml:space="preserve"> PAGEREF _Toc213355223 \h </w:instrText>
            </w:r>
            <w:r>
              <w:rPr>
                <w:noProof/>
                <w:webHidden/>
              </w:rPr>
            </w:r>
            <w:r>
              <w:rPr>
                <w:noProof/>
                <w:webHidden/>
              </w:rPr>
              <w:fldChar w:fldCharType="separate"/>
            </w:r>
            <w:r>
              <w:rPr>
                <w:noProof/>
                <w:webHidden/>
              </w:rPr>
              <w:t>7</w:t>
            </w:r>
            <w:r>
              <w:rPr>
                <w:noProof/>
                <w:webHidden/>
              </w:rPr>
              <w:fldChar w:fldCharType="end"/>
            </w:r>
          </w:hyperlink>
        </w:p>
        <w:p w14:paraId="2165AAA7" w14:textId="7FDCFE1D" w:rsidR="00653C5D" w:rsidRDefault="00653C5D" w:rsidP="009C08C7">
          <w:pPr>
            <w:pStyle w:val="TOC2"/>
            <w:rPr>
              <w:rFonts w:eastAsiaTheme="minorEastAsia"/>
              <w:noProof/>
              <w:lang w:val="en-GB" w:eastAsia="en-GB" w:bidi="ar-SA"/>
            </w:rPr>
          </w:pPr>
          <w:hyperlink w:anchor="_Toc213355224" w:history="1">
            <w:r w:rsidRPr="00215668">
              <w:rPr>
                <w:rStyle w:val="Hyperlink"/>
                <w:rFonts w:eastAsia="Times New Roman"/>
                <w:noProof/>
                <w:lang w:val="en-GB" w:eastAsia="en-GB"/>
              </w:rPr>
              <w:t>3.5) Feasibility</w:t>
            </w:r>
            <w:r>
              <w:rPr>
                <w:noProof/>
                <w:webHidden/>
              </w:rPr>
              <w:tab/>
            </w:r>
            <w:r>
              <w:rPr>
                <w:noProof/>
                <w:webHidden/>
              </w:rPr>
              <w:fldChar w:fldCharType="begin"/>
            </w:r>
            <w:r>
              <w:rPr>
                <w:noProof/>
                <w:webHidden/>
              </w:rPr>
              <w:instrText xml:space="preserve"> PAGEREF _Toc213355224 \h </w:instrText>
            </w:r>
            <w:r>
              <w:rPr>
                <w:noProof/>
                <w:webHidden/>
              </w:rPr>
            </w:r>
            <w:r>
              <w:rPr>
                <w:noProof/>
                <w:webHidden/>
              </w:rPr>
              <w:fldChar w:fldCharType="separate"/>
            </w:r>
            <w:r>
              <w:rPr>
                <w:noProof/>
                <w:webHidden/>
              </w:rPr>
              <w:t>8</w:t>
            </w:r>
            <w:r>
              <w:rPr>
                <w:noProof/>
                <w:webHidden/>
              </w:rPr>
              <w:fldChar w:fldCharType="end"/>
            </w:r>
          </w:hyperlink>
        </w:p>
        <w:p w14:paraId="54508A4E" w14:textId="2FB7CBE4" w:rsidR="00653C5D" w:rsidRPr="00BB5608" w:rsidRDefault="00BB5608" w:rsidP="00BB5608">
          <w:pPr>
            <w:pStyle w:val="TOC1"/>
            <w:numPr>
              <w:ilvl w:val="0"/>
              <w:numId w:val="0"/>
            </w:numPr>
            <w:rPr>
              <w:rFonts w:ascii="Arial" w:eastAsiaTheme="minorEastAsia" w:hAnsi="Arial" w:cs="Arial"/>
              <w:b/>
              <w:bCs/>
              <w:noProof/>
              <w:color w:val="000000" w:themeColor="text1"/>
              <w:lang w:val="en-GB" w:eastAsia="en-GB" w:bidi="ar-SA"/>
            </w:rPr>
          </w:pPr>
          <w:r w:rsidRPr="00BB5608">
            <w:rPr>
              <w:rStyle w:val="Hyperlink"/>
              <w:rFonts w:ascii="Arial" w:hAnsi="Arial" w:cs="Arial"/>
              <w:b/>
              <w:bCs/>
              <w:noProof/>
              <w:color w:val="000000" w:themeColor="text1"/>
              <w:u w:val="none"/>
            </w:rPr>
            <w:t>4)</w:t>
          </w:r>
          <w:hyperlink w:anchor="_Toc213355225" w:history="1">
            <w:r w:rsidR="00653C5D" w:rsidRPr="00BB5608">
              <w:rPr>
                <w:rStyle w:val="Hyperlink"/>
                <w:rFonts w:ascii="Arial" w:eastAsia="Times New Roman" w:hAnsi="Arial" w:cs="Arial"/>
                <w:b/>
                <w:bCs/>
                <w:noProof/>
                <w:color w:val="000000" w:themeColor="text1"/>
                <w:u w:val="none"/>
                <w:lang w:val="en-GB" w:eastAsia="en-GB"/>
              </w:rPr>
              <w:t>Expected Findings</w:t>
            </w:r>
            <w:r w:rsidR="00653C5D" w:rsidRPr="00BB5608">
              <w:rPr>
                <w:rFonts w:ascii="Arial" w:hAnsi="Arial" w:cs="Arial"/>
                <w:b/>
                <w:bCs/>
                <w:noProof/>
                <w:webHidden/>
                <w:color w:val="000000" w:themeColor="text1"/>
              </w:rPr>
              <w:tab/>
            </w:r>
            <w:r w:rsidR="00653C5D" w:rsidRPr="00BB5608">
              <w:rPr>
                <w:rFonts w:ascii="Arial" w:hAnsi="Arial" w:cs="Arial"/>
                <w:b/>
                <w:bCs/>
                <w:noProof/>
                <w:webHidden/>
                <w:color w:val="000000" w:themeColor="text1"/>
              </w:rPr>
              <w:fldChar w:fldCharType="begin"/>
            </w:r>
            <w:r w:rsidR="00653C5D" w:rsidRPr="00BB5608">
              <w:rPr>
                <w:rFonts w:ascii="Arial" w:hAnsi="Arial" w:cs="Arial"/>
                <w:b/>
                <w:bCs/>
                <w:noProof/>
                <w:webHidden/>
                <w:color w:val="000000" w:themeColor="text1"/>
              </w:rPr>
              <w:instrText xml:space="preserve"> PAGEREF _Toc213355225 \h </w:instrText>
            </w:r>
            <w:r w:rsidR="00653C5D" w:rsidRPr="00BB5608">
              <w:rPr>
                <w:rFonts w:ascii="Arial" w:hAnsi="Arial" w:cs="Arial"/>
                <w:b/>
                <w:bCs/>
                <w:noProof/>
                <w:webHidden/>
                <w:color w:val="000000" w:themeColor="text1"/>
              </w:rPr>
            </w:r>
            <w:r w:rsidR="00653C5D" w:rsidRPr="00BB5608">
              <w:rPr>
                <w:rFonts w:ascii="Arial" w:hAnsi="Arial" w:cs="Arial"/>
                <w:b/>
                <w:bCs/>
                <w:noProof/>
                <w:webHidden/>
                <w:color w:val="000000" w:themeColor="text1"/>
              </w:rPr>
              <w:fldChar w:fldCharType="separate"/>
            </w:r>
            <w:r w:rsidR="00653C5D" w:rsidRPr="00BB5608">
              <w:rPr>
                <w:rFonts w:ascii="Arial" w:hAnsi="Arial" w:cs="Arial"/>
                <w:b/>
                <w:bCs/>
                <w:noProof/>
                <w:webHidden/>
                <w:color w:val="000000" w:themeColor="text1"/>
              </w:rPr>
              <w:t>8</w:t>
            </w:r>
            <w:r w:rsidR="00653C5D" w:rsidRPr="00BB5608">
              <w:rPr>
                <w:rFonts w:ascii="Arial" w:hAnsi="Arial" w:cs="Arial"/>
                <w:b/>
                <w:bCs/>
                <w:noProof/>
                <w:webHidden/>
                <w:color w:val="000000" w:themeColor="text1"/>
              </w:rPr>
              <w:fldChar w:fldCharType="end"/>
            </w:r>
          </w:hyperlink>
        </w:p>
        <w:p w14:paraId="30D6B0AC" w14:textId="77CB6637" w:rsidR="00653C5D" w:rsidRPr="00BB5608" w:rsidRDefault="00BB5608" w:rsidP="00BB5608">
          <w:pPr>
            <w:pStyle w:val="TOC1"/>
            <w:numPr>
              <w:ilvl w:val="0"/>
              <w:numId w:val="0"/>
            </w:numPr>
            <w:rPr>
              <w:rFonts w:ascii="Arial" w:eastAsiaTheme="minorEastAsia" w:hAnsi="Arial" w:cs="Arial"/>
              <w:b/>
              <w:bCs/>
              <w:noProof/>
              <w:color w:val="000000" w:themeColor="text1"/>
              <w:lang w:val="en-GB" w:eastAsia="en-GB" w:bidi="ar-SA"/>
            </w:rPr>
          </w:pPr>
          <w:r w:rsidRPr="00BB5608">
            <w:rPr>
              <w:rStyle w:val="Hyperlink"/>
              <w:rFonts w:ascii="Arial" w:hAnsi="Arial" w:cs="Arial"/>
              <w:b/>
              <w:bCs/>
              <w:noProof/>
              <w:color w:val="000000" w:themeColor="text1"/>
              <w:u w:val="none"/>
            </w:rPr>
            <w:t xml:space="preserve">5) </w:t>
          </w:r>
          <w:hyperlink w:anchor="_Toc213355226" w:history="1">
            <w:r w:rsidR="00653C5D" w:rsidRPr="00BB5608">
              <w:rPr>
                <w:rStyle w:val="Hyperlink"/>
                <w:rFonts w:ascii="Arial" w:eastAsia="Times New Roman" w:hAnsi="Arial" w:cs="Arial"/>
                <w:b/>
                <w:bCs/>
                <w:noProof/>
                <w:color w:val="000000" w:themeColor="text1"/>
                <w:u w:val="none"/>
                <w:lang w:val="en-GB" w:eastAsia="en-GB"/>
              </w:rPr>
              <w:t>Limitation</w:t>
            </w:r>
            <w:r w:rsidR="00653C5D" w:rsidRPr="00BB5608">
              <w:rPr>
                <w:rFonts w:ascii="Arial" w:hAnsi="Arial" w:cs="Arial"/>
                <w:b/>
                <w:bCs/>
                <w:noProof/>
                <w:webHidden/>
                <w:color w:val="000000" w:themeColor="text1"/>
              </w:rPr>
              <w:tab/>
            </w:r>
            <w:r w:rsidR="00653C5D" w:rsidRPr="00BB5608">
              <w:rPr>
                <w:rFonts w:ascii="Arial" w:hAnsi="Arial" w:cs="Arial"/>
                <w:b/>
                <w:bCs/>
                <w:noProof/>
                <w:webHidden/>
                <w:color w:val="000000" w:themeColor="text1"/>
              </w:rPr>
              <w:fldChar w:fldCharType="begin"/>
            </w:r>
            <w:r w:rsidR="00653C5D" w:rsidRPr="00BB5608">
              <w:rPr>
                <w:rFonts w:ascii="Arial" w:hAnsi="Arial" w:cs="Arial"/>
                <w:b/>
                <w:bCs/>
                <w:noProof/>
                <w:webHidden/>
                <w:color w:val="000000" w:themeColor="text1"/>
              </w:rPr>
              <w:instrText xml:space="preserve"> PAGEREF _Toc213355226 \h </w:instrText>
            </w:r>
            <w:r w:rsidR="00653C5D" w:rsidRPr="00BB5608">
              <w:rPr>
                <w:rFonts w:ascii="Arial" w:hAnsi="Arial" w:cs="Arial"/>
                <w:b/>
                <w:bCs/>
                <w:noProof/>
                <w:webHidden/>
                <w:color w:val="000000" w:themeColor="text1"/>
              </w:rPr>
            </w:r>
            <w:r w:rsidR="00653C5D" w:rsidRPr="00BB5608">
              <w:rPr>
                <w:rFonts w:ascii="Arial" w:hAnsi="Arial" w:cs="Arial"/>
                <w:b/>
                <w:bCs/>
                <w:noProof/>
                <w:webHidden/>
                <w:color w:val="000000" w:themeColor="text1"/>
              </w:rPr>
              <w:fldChar w:fldCharType="separate"/>
            </w:r>
            <w:r w:rsidR="00653C5D" w:rsidRPr="00BB5608">
              <w:rPr>
                <w:rFonts w:ascii="Arial" w:hAnsi="Arial" w:cs="Arial"/>
                <w:b/>
                <w:bCs/>
                <w:noProof/>
                <w:webHidden/>
                <w:color w:val="000000" w:themeColor="text1"/>
              </w:rPr>
              <w:t>8</w:t>
            </w:r>
            <w:r w:rsidR="00653C5D" w:rsidRPr="00BB5608">
              <w:rPr>
                <w:rFonts w:ascii="Arial" w:hAnsi="Arial" w:cs="Arial"/>
                <w:b/>
                <w:bCs/>
                <w:noProof/>
                <w:webHidden/>
                <w:color w:val="000000" w:themeColor="text1"/>
              </w:rPr>
              <w:fldChar w:fldCharType="end"/>
            </w:r>
          </w:hyperlink>
        </w:p>
        <w:p w14:paraId="37448443" w14:textId="6131E8F1" w:rsidR="00653C5D" w:rsidRPr="00BB5608" w:rsidRDefault="00BB5608" w:rsidP="00BB5608">
          <w:pPr>
            <w:pStyle w:val="TOC1"/>
            <w:numPr>
              <w:ilvl w:val="0"/>
              <w:numId w:val="0"/>
            </w:numPr>
            <w:rPr>
              <w:rFonts w:ascii="Arial" w:eastAsiaTheme="minorEastAsia" w:hAnsi="Arial" w:cs="Arial"/>
              <w:b/>
              <w:bCs/>
              <w:noProof/>
              <w:color w:val="000000" w:themeColor="text1"/>
              <w:lang w:val="en-GB" w:eastAsia="en-GB" w:bidi="ar-SA"/>
            </w:rPr>
          </w:pPr>
          <w:r w:rsidRPr="00BB5608">
            <w:rPr>
              <w:rStyle w:val="Hyperlink"/>
              <w:rFonts w:ascii="Arial" w:hAnsi="Arial" w:cs="Arial"/>
              <w:b/>
              <w:bCs/>
              <w:noProof/>
              <w:color w:val="000000" w:themeColor="text1"/>
              <w:u w:val="none"/>
            </w:rPr>
            <w:t xml:space="preserve">6) </w:t>
          </w:r>
          <w:hyperlink w:anchor="_Toc213355227" w:history="1">
            <w:r w:rsidR="00653C5D" w:rsidRPr="00BB5608">
              <w:rPr>
                <w:rStyle w:val="Hyperlink"/>
                <w:rFonts w:ascii="Arial" w:eastAsia="Times New Roman" w:hAnsi="Arial" w:cs="Arial"/>
                <w:b/>
                <w:bCs/>
                <w:noProof/>
                <w:color w:val="000000" w:themeColor="text1"/>
                <w:u w:val="none"/>
                <w:lang w:eastAsia="en-GB"/>
              </w:rPr>
              <w:t>Timeframe</w:t>
            </w:r>
            <w:r w:rsidR="00653C5D" w:rsidRPr="00BB5608">
              <w:rPr>
                <w:rFonts w:ascii="Arial" w:hAnsi="Arial" w:cs="Arial"/>
                <w:b/>
                <w:bCs/>
                <w:noProof/>
                <w:webHidden/>
                <w:color w:val="000000" w:themeColor="text1"/>
              </w:rPr>
              <w:tab/>
            </w:r>
            <w:r w:rsidR="00653C5D" w:rsidRPr="00BB5608">
              <w:rPr>
                <w:rFonts w:ascii="Arial" w:hAnsi="Arial" w:cs="Arial"/>
                <w:b/>
                <w:bCs/>
                <w:noProof/>
                <w:webHidden/>
                <w:color w:val="000000" w:themeColor="text1"/>
              </w:rPr>
              <w:fldChar w:fldCharType="begin"/>
            </w:r>
            <w:r w:rsidR="00653C5D" w:rsidRPr="00BB5608">
              <w:rPr>
                <w:rFonts w:ascii="Arial" w:hAnsi="Arial" w:cs="Arial"/>
                <w:b/>
                <w:bCs/>
                <w:noProof/>
                <w:webHidden/>
                <w:color w:val="000000" w:themeColor="text1"/>
              </w:rPr>
              <w:instrText xml:space="preserve"> PAGEREF _Toc213355227 \h </w:instrText>
            </w:r>
            <w:r w:rsidR="00653C5D" w:rsidRPr="00BB5608">
              <w:rPr>
                <w:rFonts w:ascii="Arial" w:hAnsi="Arial" w:cs="Arial"/>
                <w:b/>
                <w:bCs/>
                <w:noProof/>
                <w:webHidden/>
                <w:color w:val="000000" w:themeColor="text1"/>
              </w:rPr>
            </w:r>
            <w:r w:rsidR="00653C5D" w:rsidRPr="00BB5608">
              <w:rPr>
                <w:rFonts w:ascii="Arial" w:hAnsi="Arial" w:cs="Arial"/>
                <w:b/>
                <w:bCs/>
                <w:noProof/>
                <w:webHidden/>
                <w:color w:val="000000" w:themeColor="text1"/>
              </w:rPr>
              <w:fldChar w:fldCharType="separate"/>
            </w:r>
            <w:r w:rsidR="00653C5D" w:rsidRPr="00BB5608">
              <w:rPr>
                <w:rFonts w:ascii="Arial" w:hAnsi="Arial" w:cs="Arial"/>
                <w:b/>
                <w:bCs/>
                <w:noProof/>
                <w:webHidden/>
                <w:color w:val="000000" w:themeColor="text1"/>
              </w:rPr>
              <w:t>9</w:t>
            </w:r>
            <w:r w:rsidR="00653C5D" w:rsidRPr="00BB5608">
              <w:rPr>
                <w:rFonts w:ascii="Arial" w:hAnsi="Arial" w:cs="Arial"/>
                <w:b/>
                <w:bCs/>
                <w:noProof/>
                <w:webHidden/>
                <w:color w:val="000000" w:themeColor="text1"/>
              </w:rPr>
              <w:fldChar w:fldCharType="end"/>
            </w:r>
          </w:hyperlink>
        </w:p>
        <w:p w14:paraId="5A92C6A5" w14:textId="00EFB20A" w:rsidR="00653C5D" w:rsidRPr="00BB5608" w:rsidRDefault="00BB5608" w:rsidP="00BB5608">
          <w:pPr>
            <w:pStyle w:val="TOC1"/>
            <w:numPr>
              <w:ilvl w:val="0"/>
              <w:numId w:val="0"/>
            </w:numPr>
            <w:rPr>
              <w:rFonts w:ascii="Arial" w:eastAsiaTheme="minorEastAsia" w:hAnsi="Arial" w:cs="Arial"/>
              <w:b/>
              <w:bCs/>
              <w:noProof/>
              <w:color w:val="000000" w:themeColor="text1"/>
              <w:lang w:val="en-GB" w:eastAsia="en-GB" w:bidi="ar-SA"/>
            </w:rPr>
          </w:pPr>
          <w:r w:rsidRPr="00BB5608">
            <w:rPr>
              <w:rStyle w:val="Hyperlink"/>
              <w:rFonts w:ascii="Arial" w:hAnsi="Arial" w:cs="Arial"/>
              <w:b/>
              <w:bCs/>
              <w:noProof/>
              <w:color w:val="000000" w:themeColor="text1"/>
              <w:u w:val="none"/>
            </w:rPr>
            <w:t>7)</w:t>
          </w:r>
          <w:hyperlink w:anchor="_Toc213355228" w:history="1">
            <w:r w:rsidR="00653C5D" w:rsidRPr="00BB5608">
              <w:rPr>
                <w:rStyle w:val="Hyperlink"/>
                <w:rFonts w:ascii="Arial" w:eastAsia="Times New Roman" w:hAnsi="Arial" w:cs="Arial"/>
                <w:b/>
                <w:bCs/>
                <w:noProof/>
                <w:color w:val="000000" w:themeColor="text1"/>
                <w:u w:val="none"/>
                <w:lang w:val="en-GB" w:eastAsia="en-GB"/>
              </w:rPr>
              <w:t>Conclusion</w:t>
            </w:r>
            <w:r w:rsidR="00653C5D" w:rsidRPr="00BB5608">
              <w:rPr>
                <w:rFonts w:ascii="Arial" w:hAnsi="Arial" w:cs="Arial"/>
                <w:b/>
                <w:bCs/>
                <w:noProof/>
                <w:webHidden/>
                <w:color w:val="000000" w:themeColor="text1"/>
              </w:rPr>
              <w:tab/>
            </w:r>
            <w:r w:rsidR="00653C5D" w:rsidRPr="00BB5608">
              <w:rPr>
                <w:rFonts w:ascii="Arial" w:hAnsi="Arial" w:cs="Arial"/>
                <w:b/>
                <w:bCs/>
                <w:noProof/>
                <w:webHidden/>
                <w:color w:val="000000" w:themeColor="text1"/>
              </w:rPr>
              <w:fldChar w:fldCharType="begin"/>
            </w:r>
            <w:r w:rsidR="00653C5D" w:rsidRPr="00BB5608">
              <w:rPr>
                <w:rFonts w:ascii="Arial" w:hAnsi="Arial" w:cs="Arial"/>
                <w:b/>
                <w:bCs/>
                <w:noProof/>
                <w:webHidden/>
                <w:color w:val="000000" w:themeColor="text1"/>
              </w:rPr>
              <w:instrText xml:space="preserve"> PAGEREF _Toc213355228 \h </w:instrText>
            </w:r>
            <w:r w:rsidR="00653C5D" w:rsidRPr="00BB5608">
              <w:rPr>
                <w:rFonts w:ascii="Arial" w:hAnsi="Arial" w:cs="Arial"/>
                <w:b/>
                <w:bCs/>
                <w:noProof/>
                <w:webHidden/>
                <w:color w:val="000000" w:themeColor="text1"/>
              </w:rPr>
            </w:r>
            <w:r w:rsidR="00653C5D" w:rsidRPr="00BB5608">
              <w:rPr>
                <w:rFonts w:ascii="Arial" w:hAnsi="Arial" w:cs="Arial"/>
                <w:b/>
                <w:bCs/>
                <w:noProof/>
                <w:webHidden/>
                <w:color w:val="000000" w:themeColor="text1"/>
              </w:rPr>
              <w:fldChar w:fldCharType="separate"/>
            </w:r>
            <w:r w:rsidR="00653C5D" w:rsidRPr="00BB5608">
              <w:rPr>
                <w:rFonts w:ascii="Arial" w:hAnsi="Arial" w:cs="Arial"/>
                <w:b/>
                <w:bCs/>
                <w:noProof/>
                <w:webHidden/>
                <w:color w:val="000000" w:themeColor="text1"/>
              </w:rPr>
              <w:t>9</w:t>
            </w:r>
            <w:r w:rsidR="00653C5D" w:rsidRPr="00BB5608">
              <w:rPr>
                <w:rFonts w:ascii="Arial" w:hAnsi="Arial" w:cs="Arial"/>
                <w:b/>
                <w:bCs/>
                <w:noProof/>
                <w:webHidden/>
                <w:color w:val="000000" w:themeColor="text1"/>
              </w:rPr>
              <w:fldChar w:fldCharType="end"/>
            </w:r>
          </w:hyperlink>
        </w:p>
        <w:p w14:paraId="4BDB8CA5" w14:textId="0A8816F0" w:rsidR="00653C5D" w:rsidRDefault="00BB5608" w:rsidP="00BB5608">
          <w:pPr>
            <w:pStyle w:val="TOC1"/>
            <w:numPr>
              <w:ilvl w:val="0"/>
              <w:numId w:val="0"/>
            </w:numPr>
            <w:ind w:left="360" w:hanging="360"/>
            <w:rPr>
              <w:rFonts w:eastAsiaTheme="minorEastAsia"/>
              <w:noProof/>
              <w:lang w:val="en-GB" w:eastAsia="en-GB" w:bidi="ar-SA"/>
            </w:rPr>
          </w:pPr>
          <w:r w:rsidRPr="00BB5608">
            <w:rPr>
              <w:rStyle w:val="Hyperlink"/>
              <w:rFonts w:ascii="Arial" w:hAnsi="Arial" w:cs="Arial"/>
              <w:b/>
              <w:bCs/>
              <w:noProof/>
              <w:color w:val="000000" w:themeColor="text1"/>
              <w:u w:val="none"/>
            </w:rPr>
            <w:t>8)</w:t>
          </w:r>
          <w:hyperlink w:anchor="_Toc213355229" w:history="1">
            <w:r w:rsidR="00653C5D" w:rsidRPr="00215668">
              <w:rPr>
                <w:rStyle w:val="Hyperlink"/>
                <w:rFonts w:eastAsia="Times New Roman"/>
                <w:b/>
                <w:bCs/>
                <w:noProof/>
                <w:lang w:eastAsia="en-GB"/>
              </w:rPr>
              <w:t>Reference List</w:t>
            </w:r>
            <w:r w:rsidR="00653C5D">
              <w:rPr>
                <w:noProof/>
                <w:webHidden/>
              </w:rPr>
              <w:tab/>
            </w:r>
            <w:r w:rsidR="00653C5D" w:rsidRPr="00BB5608">
              <w:rPr>
                <w:rFonts w:ascii="Arial" w:hAnsi="Arial" w:cs="Arial"/>
                <w:b/>
                <w:bCs/>
                <w:noProof/>
                <w:webHidden/>
                <w:color w:val="000000" w:themeColor="text1"/>
              </w:rPr>
              <w:fldChar w:fldCharType="begin"/>
            </w:r>
            <w:r w:rsidR="00653C5D" w:rsidRPr="00BB5608">
              <w:rPr>
                <w:rFonts w:ascii="Arial" w:hAnsi="Arial" w:cs="Arial"/>
                <w:b/>
                <w:bCs/>
                <w:noProof/>
                <w:webHidden/>
                <w:color w:val="000000" w:themeColor="text1"/>
              </w:rPr>
              <w:instrText xml:space="preserve"> PAGEREF _Toc213355229 \h </w:instrText>
            </w:r>
            <w:r w:rsidR="00653C5D" w:rsidRPr="00BB5608">
              <w:rPr>
                <w:rFonts w:ascii="Arial" w:hAnsi="Arial" w:cs="Arial"/>
                <w:b/>
                <w:bCs/>
                <w:noProof/>
                <w:webHidden/>
                <w:color w:val="000000" w:themeColor="text1"/>
              </w:rPr>
            </w:r>
            <w:r w:rsidR="00653C5D" w:rsidRPr="00BB5608">
              <w:rPr>
                <w:rFonts w:ascii="Arial" w:hAnsi="Arial" w:cs="Arial"/>
                <w:b/>
                <w:bCs/>
                <w:noProof/>
                <w:webHidden/>
                <w:color w:val="000000" w:themeColor="text1"/>
              </w:rPr>
              <w:fldChar w:fldCharType="separate"/>
            </w:r>
            <w:r w:rsidR="00653C5D" w:rsidRPr="00BB5608">
              <w:rPr>
                <w:rFonts w:ascii="Arial" w:hAnsi="Arial" w:cs="Arial"/>
                <w:b/>
                <w:bCs/>
                <w:noProof/>
                <w:webHidden/>
                <w:color w:val="000000" w:themeColor="text1"/>
              </w:rPr>
              <w:t>10</w:t>
            </w:r>
            <w:r w:rsidR="00653C5D" w:rsidRPr="00BB5608">
              <w:rPr>
                <w:rFonts w:ascii="Arial" w:hAnsi="Arial" w:cs="Arial"/>
                <w:b/>
                <w:bCs/>
                <w:noProof/>
                <w:webHidden/>
                <w:color w:val="000000" w:themeColor="text1"/>
              </w:rPr>
              <w:fldChar w:fldCharType="end"/>
            </w:r>
          </w:hyperlink>
        </w:p>
        <w:p w14:paraId="09BEF04B" w14:textId="40AF7493" w:rsidR="00385C27" w:rsidRDefault="00385C27">
          <w:r>
            <w:rPr>
              <w:b/>
              <w:bCs/>
              <w:noProof/>
            </w:rPr>
            <w:fldChar w:fldCharType="end"/>
          </w:r>
        </w:p>
      </w:sdtContent>
    </w:sdt>
    <w:p w14:paraId="530E8C67" w14:textId="77777777" w:rsidR="002175C8" w:rsidRDefault="002175C8" w:rsidP="00CD7E52">
      <w:pPr>
        <w:spacing w:line="360" w:lineRule="auto"/>
        <w:ind w:left="360" w:hanging="360"/>
        <w:jc w:val="both"/>
      </w:pPr>
    </w:p>
    <w:p w14:paraId="675ADF13" w14:textId="77777777" w:rsidR="002175C8" w:rsidRDefault="002175C8" w:rsidP="00CD7E52">
      <w:pPr>
        <w:spacing w:line="360" w:lineRule="auto"/>
        <w:ind w:left="360" w:hanging="360"/>
        <w:jc w:val="both"/>
      </w:pPr>
    </w:p>
    <w:p w14:paraId="638CBCF3" w14:textId="77777777" w:rsidR="002175C8" w:rsidRDefault="002175C8" w:rsidP="00CD7E52">
      <w:pPr>
        <w:spacing w:line="360" w:lineRule="auto"/>
        <w:ind w:left="360" w:hanging="360"/>
        <w:jc w:val="both"/>
      </w:pPr>
    </w:p>
    <w:p w14:paraId="249EEF6E" w14:textId="77777777" w:rsidR="002175C8" w:rsidRDefault="002175C8" w:rsidP="00CD7E52">
      <w:pPr>
        <w:spacing w:line="360" w:lineRule="auto"/>
        <w:ind w:left="360" w:hanging="360"/>
        <w:jc w:val="both"/>
      </w:pPr>
    </w:p>
    <w:p w14:paraId="32E5893D" w14:textId="77777777" w:rsidR="002175C8" w:rsidRDefault="002175C8" w:rsidP="00CD7E52">
      <w:pPr>
        <w:spacing w:line="360" w:lineRule="auto"/>
        <w:ind w:left="360" w:hanging="360"/>
        <w:jc w:val="both"/>
      </w:pPr>
    </w:p>
    <w:p w14:paraId="646ABD1A" w14:textId="2BE538AC" w:rsidR="00154A2E" w:rsidRPr="006F033D" w:rsidRDefault="00154A2E" w:rsidP="006F033D">
      <w:pPr>
        <w:pStyle w:val="Heading1"/>
        <w:numPr>
          <w:ilvl w:val="0"/>
          <w:numId w:val="8"/>
        </w:numPr>
        <w:rPr>
          <w:rFonts w:ascii="Arial" w:hAnsi="Arial" w:cs="Arial"/>
          <w:b/>
          <w:bCs/>
          <w:color w:val="000000" w:themeColor="text1"/>
          <w:sz w:val="24"/>
          <w:szCs w:val="24"/>
        </w:rPr>
      </w:pPr>
      <w:bookmarkStart w:id="0" w:name="_Toc213355209"/>
      <w:r w:rsidRPr="006F033D">
        <w:rPr>
          <w:rFonts w:ascii="Arial" w:hAnsi="Arial" w:cs="Arial"/>
          <w:b/>
          <w:bCs/>
          <w:color w:val="000000" w:themeColor="text1"/>
          <w:sz w:val="24"/>
          <w:szCs w:val="24"/>
        </w:rPr>
        <w:lastRenderedPageBreak/>
        <w:t>Introduction</w:t>
      </w:r>
      <w:bookmarkEnd w:id="0"/>
    </w:p>
    <w:p w14:paraId="2C4ABADF" w14:textId="2300F253" w:rsidR="00131563" w:rsidRDefault="006A7F7A" w:rsidP="00AC2AC0">
      <w:pPr>
        <w:pStyle w:val="ListParagraph"/>
        <w:spacing w:line="360" w:lineRule="auto"/>
        <w:ind w:left="0"/>
        <w:jc w:val="both"/>
        <w:rPr>
          <w:rFonts w:ascii="Arial" w:hAnsi="Arial" w:cs="Arial"/>
        </w:rPr>
      </w:pPr>
      <w:r w:rsidRPr="006A7F7A">
        <w:rPr>
          <w:rFonts w:ascii="Arial" w:hAnsi="Arial" w:cs="Arial"/>
        </w:rPr>
        <w:t>This section presents the research topic in with the topic's background and context, primary aims and objectives of the study, setting the stage for the following comparative analysis.</w:t>
      </w:r>
    </w:p>
    <w:p w14:paraId="6B8A4387" w14:textId="77777777" w:rsidR="00412A96" w:rsidRPr="006A7F7A" w:rsidRDefault="00412A96" w:rsidP="00AC2AC0">
      <w:pPr>
        <w:pStyle w:val="ListParagraph"/>
        <w:spacing w:line="360" w:lineRule="auto"/>
        <w:ind w:left="0"/>
        <w:jc w:val="both"/>
        <w:rPr>
          <w:rFonts w:ascii="Arial" w:hAnsi="Arial" w:cs="Arial"/>
        </w:rPr>
      </w:pPr>
    </w:p>
    <w:p w14:paraId="5FA8C428" w14:textId="79FECFEB" w:rsidR="005A3FE2" w:rsidRPr="006F033D" w:rsidRDefault="00D8634A" w:rsidP="006F033D">
      <w:pPr>
        <w:pStyle w:val="Heading2"/>
        <w:numPr>
          <w:ilvl w:val="1"/>
          <w:numId w:val="9"/>
        </w:numPr>
        <w:rPr>
          <w:rFonts w:ascii="Arial" w:hAnsi="Arial" w:cs="Arial"/>
          <w:b/>
          <w:bCs/>
          <w:color w:val="000000" w:themeColor="text1"/>
          <w:sz w:val="24"/>
          <w:szCs w:val="24"/>
        </w:rPr>
      </w:pPr>
      <w:bookmarkStart w:id="1" w:name="_Toc213355210"/>
      <w:r w:rsidRPr="006F033D">
        <w:rPr>
          <w:rFonts w:ascii="Arial" w:hAnsi="Arial" w:cs="Arial"/>
          <w:b/>
          <w:bCs/>
          <w:color w:val="000000" w:themeColor="text1"/>
          <w:sz w:val="24"/>
          <w:szCs w:val="24"/>
        </w:rPr>
        <w:t>Background and Context</w:t>
      </w:r>
      <w:bookmarkEnd w:id="1"/>
    </w:p>
    <w:p w14:paraId="4AD3D2CD" w14:textId="324D84E9" w:rsidR="009D1AF4" w:rsidRDefault="00CD2D41" w:rsidP="00AC2AC0">
      <w:pPr>
        <w:pStyle w:val="ListParagraph"/>
        <w:spacing w:line="360" w:lineRule="auto"/>
        <w:ind w:left="0"/>
        <w:jc w:val="both"/>
        <w:rPr>
          <w:rFonts w:ascii="Arial" w:hAnsi="Arial" w:cs="Arial"/>
          <w:color w:val="1B1C1D"/>
          <w:shd w:val="clear" w:color="auto" w:fill="FFFFFF"/>
        </w:rPr>
      </w:pPr>
      <w:r w:rsidRPr="00CD2D41">
        <w:rPr>
          <w:rFonts w:ascii="Arial" w:hAnsi="Arial" w:cs="Arial"/>
        </w:rPr>
        <w:t xml:space="preserve">This research examines how changing US interest rates from 2005 to 2025 impact gold's function as an asset hedge or </w:t>
      </w:r>
      <w:r>
        <w:rPr>
          <w:rFonts w:ascii="Arial" w:hAnsi="Arial" w:cs="Arial"/>
        </w:rPr>
        <w:t>S</w:t>
      </w:r>
      <w:r w:rsidRPr="00CD2D41">
        <w:rPr>
          <w:rFonts w:ascii="Arial" w:hAnsi="Arial" w:cs="Arial"/>
        </w:rPr>
        <w:t>afe</w:t>
      </w:r>
      <w:r>
        <w:rPr>
          <w:rFonts w:ascii="Arial" w:hAnsi="Arial" w:cs="Arial"/>
        </w:rPr>
        <w:t xml:space="preserve"> </w:t>
      </w:r>
      <w:r w:rsidRPr="00CD2D41">
        <w:rPr>
          <w:rFonts w:ascii="Arial" w:hAnsi="Arial" w:cs="Arial"/>
        </w:rPr>
        <w:t>haven against S&amp;P 500 and Nasdaq return.</w:t>
      </w:r>
      <w:r w:rsidR="00591145">
        <w:rPr>
          <w:rFonts w:ascii="Arial" w:hAnsi="Arial" w:cs="Arial"/>
        </w:rPr>
        <w:t xml:space="preserve"> However</w:t>
      </w:r>
      <w:r w:rsidR="00591145" w:rsidRPr="00591145">
        <w:rPr>
          <w:rFonts w:ascii="Arial" w:hAnsi="Arial" w:cs="Arial"/>
        </w:rPr>
        <w:t>, the Federal Reserve's changes to its interest rate affect the economic environment. This affects how attractive it is to own non-interest-paying gold, and it also changes the overall expectations for the stock market.</w:t>
      </w:r>
      <w:r w:rsidR="00CA5AB4" w:rsidRPr="00CA5AB4">
        <w:rPr>
          <w:rFonts w:ascii="Arial" w:hAnsi="Arial" w:cs="Arial"/>
          <w:color w:val="1B1C1D"/>
          <w:shd w:val="clear" w:color="auto" w:fill="FFFFFF"/>
        </w:rPr>
        <w:t xml:space="preserve"> </w:t>
      </w:r>
    </w:p>
    <w:p w14:paraId="44C322AC" w14:textId="77777777" w:rsidR="00412A96" w:rsidRDefault="00412A96" w:rsidP="00AC2AC0">
      <w:pPr>
        <w:pStyle w:val="ListParagraph"/>
        <w:spacing w:line="360" w:lineRule="auto"/>
        <w:ind w:left="0"/>
        <w:jc w:val="both"/>
        <w:rPr>
          <w:rFonts w:ascii="Arial" w:hAnsi="Arial" w:cs="Arial"/>
          <w:color w:val="1B1C1D"/>
          <w:shd w:val="clear" w:color="auto" w:fill="FFFFFF"/>
        </w:rPr>
      </w:pPr>
    </w:p>
    <w:p w14:paraId="40159034" w14:textId="77777777" w:rsidR="009D1AF4" w:rsidRDefault="00EE08E0" w:rsidP="00AC2AC0">
      <w:pPr>
        <w:pStyle w:val="ListParagraph"/>
        <w:spacing w:line="360" w:lineRule="auto"/>
        <w:ind w:left="0"/>
        <w:jc w:val="both"/>
        <w:rPr>
          <w:rFonts w:ascii="Arial" w:hAnsi="Arial" w:cs="Arial"/>
          <w:color w:val="1B1C1D"/>
          <w:shd w:val="clear" w:color="auto" w:fill="FFFFFF"/>
        </w:rPr>
      </w:pPr>
      <w:r w:rsidRPr="00EE08E0">
        <w:rPr>
          <w:rFonts w:ascii="Arial" w:hAnsi="Arial" w:cs="Arial"/>
          <w:color w:val="1B1C1D"/>
          <w:shd w:val="clear" w:color="auto" w:fill="FFFFFF"/>
        </w:rPr>
        <w:t xml:space="preserve">Gold has been recognized for its distinctive value; it is an asset commonly known as a </w:t>
      </w:r>
      <w:r w:rsidR="00A00311">
        <w:rPr>
          <w:rFonts w:ascii="Arial" w:hAnsi="Arial" w:cs="Arial"/>
          <w:color w:val="1B1C1D"/>
          <w:shd w:val="clear" w:color="auto" w:fill="FFFFFF"/>
        </w:rPr>
        <w:t>S</w:t>
      </w:r>
      <w:r>
        <w:rPr>
          <w:rFonts w:ascii="Arial" w:hAnsi="Arial" w:cs="Arial"/>
          <w:color w:val="1B1C1D"/>
          <w:shd w:val="clear" w:color="auto" w:fill="FFFFFF"/>
        </w:rPr>
        <w:t xml:space="preserve">afe </w:t>
      </w:r>
      <w:r w:rsidRPr="00EE08E0">
        <w:rPr>
          <w:rFonts w:ascii="Arial" w:hAnsi="Arial" w:cs="Arial"/>
          <w:color w:val="1B1C1D"/>
          <w:shd w:val="clear" w:color="auto" w:fill="FFFFFF"/>
        </w:rPr>
        <w:t xml:space="preserve">haven and recognized as a valuable resource during financial crises and </w:t>
      </w:r>
      <w:r w:rsidR="0011385E" w:rsidRPr="00EE08E0">
        <w:rPr>
          <w:rFonts w:ascii="Arial" w:hAnsi="Arial" w:cs="Arial"/>
          <w:color w:val="1B1C1D"/>
          <w:shd w:val="clear" w:color="auto" w:fill="FFFFFF"/>
        </w:rPr>
        <w:t>instability.</w:t>
      </w:r>
      <w:r w:rsidR="0011385E" w:rsidRPr="0011385E">
        <w:rPr>
          <w:rFonts w:ascii="Arial" w:hAnsi="Arial" w:cs="Arial"/>
          <w:color w:val="1B1C1D"/>
          <w:shd w:val="clear" w:color="auto" w:fill="FFFFFF"/>
        </w:rPr>
        <w:t xml:space="preserve"> Therefore, its effectiveness as a hedge or </w:t>
      </w:r>
      <w:r w:rsidR="00A00311">
        <w:rPr>
          <w:rFonts w:ascii="Arial" w:hAnsi="Arial" w:cs="Arial"/>
          <w:color w:val="1B1C1D"/>
          <w:shd w:val="clear" w:color="auto" w:fill="FFFFFF"/>
        </w:rPr>
        <w:t>S</w:t>
      </w:r>
      <w:r w:rsidR="0011385E" w:rsidRPr="0011385E">
        <w:rPr>
          <w:rFonts w:ascii="Arial" w:hAnsi="Arial" w:cs="Arial"/>
          <w:color w:val="1B1C1D"/>
          <w:shd w:val="clear" w:color="auto" w:fill="FFFFFF"/>
        </w:rPr>
        <w:t>afe haven is usually examined for its correlation with stock indices such as the S&amp;P500 and Nasdaq during periods of market turmoil</w:t>
      </w:r>
      <w:r w:rsidR="0011385E">
        <w:rPr>
          <w:rFonts w:ascii="Arial" w:hAnsi="Arial" w:cs="Arial"/>
          <w:color w:val="1B1C1D"/>
          <w:shd w:val="clear" w:color="auto" w:fill="FFFFFF"/>
        </w:rPr>
        <w:t xml:space="preserve"> (</w:t>
      </w:r>
      <w:r w:rsidR="0011385E" w:rsidRPr="0011385E">
        <w:rPr>
          <w:rFonts w:ascii="Arial" w:hAnsi="Arial" w:cs="Arial"/>
          <w:color w:val="1B1C1D"/>
          <w:shd w:val="clear" w:color="auto" w:fill="FFFFFF"/>
        </w:rPr>
        <w:t>Dee, Li &amp; Zheng, 2013</w:t>
      </w:r>
      <w:r w:rsidR="0011385E">
        <w:rPr>
          <w:rFonts w:ascii="Arial" w:hAnsi="Arial" w:cs="Arial"/>
          <w:color w:val="1B1C1D"/>
          <w:shd w:val="clear" w:color="auto" w:fill="FFFFFF"/>
        </w:rPr>
        <w:t>)</w:t>
      </w:r>
      <w:r w:rsidR="0011385E" w:rsidRPr="0011385E">
        <w:rPr>
          <w:rFonts w:ascii="Arial" w:hAnsi="Arial" w:cs="Arial"/>
          <w:color w:val="1B1C1D"/>
          <w:shd w:val="clear" w:color="auto" w:fill="FFFFFF"/>
        </w:rPr>
        <w:t xml:space="preserve">. </w:t>
      </w:r>
    </w:p>
    <w:p w14:paraId="2D360781" w14:textId="77777777" w:rsidR="009D1AF4" w:rsidRDefault="009D1AF4" w:rsidP="00AC2AC0">
      <w:pPr>
        <w:pStyle w:val="ListParagraph"/>
        <w:spacing w:line="360" w:lineRule="auto"/>
        <w:ind w:left="0"/>
        <w:jc w:val="both"/>
        <w:rPr>
          <w:rFonts w:ascii="Arial" w:hAnsi="Arial" w:cs="Arial"/>
          <w:color w:val="1B1C1D"/>
          <w:shd w:val="clear" w:color="auto" w:fill="FFFFFF"/>
        </w:rPr>
      </w:pPr>
    </w:p>
    <w:p w14:paraId="63148BEF" w14:textId="7C2B67C9" w:rsidR="00672F65" w:rsidRDefault="003A1D04" w:rsidP="00AC2AC0">
      <w:pPr>
        <w:pStyle w:val="ListParagraph"/>
        <w:spacing w:line="360" w:lineRule="auto"/>
        <w:ind w:left="0"/>
        <w:jc w:val="both"/>
        <w:rPr>
          <w:rFonts w:ascii="Arial" w:hAnsi="Arial" w:cs="Arial"/>
        </w:rPr>
      </w:pPr>
      <w:r w:rsidRPr="003A1D04">
        <w:rPr>
          <w:rFonts w:ascii="Arial" w:hAnsi="Arial" w:cs="Arial"/>
        </w:rPr>
        <w:t>This research involves an investigation into the effects of US interest rate increases and decreases on gold returns and US stock indices (S&amp;P 500 and Nasdaq). Understanding this relationship is important for portfolio construction and risk management.</w:t>
      </w:r>
    </w:p>
    <w:p w14:paraId="42CADD40" w14:textId="77777777" w:rsidR="003A1D04" w:rsidRPr="00672F65" w:rsidRDefault="003A1D04" w:rsidP="00AC2AC0">
      <w:pPr>
        <w:pStyle w:val="ListParagraph"/>
        <w:spacing w:line="360" w:lineRule="auto"/>
        <w:ind w:left="0"/>
        <w:jc w:val="both"/>
        <w:rPr>
          <w:rFonts w:ascii="Arial" w:hAnsi="Arial" w:cs="Arial"/>
        </w:rPr>
      </w:pPr>
    </w:p>
    <w:p w14:paraId="79B9335A" w14:textId="62D8C412" w:rsidR="006B4CF5" w:rsidRPr="004C17CD" w:rsidRDefault="006B4CF5" w:rsidP="004C17CD">
      <w:pPr>
        <w:pStyle w:val="Heading2"/>
        <w:numPr>
          <w:ilvl w:val="1"/>
          <w:numId w:val="9"/>
        </w:numPr>
        <w:rPr>
          <w:rFonts w:ascii="Arial" w:hAnsi="Arial" w:cs="Arial"/>
          <w:b/>
          <w:bCs/>
          <w:color w:val="000000" w:themeColor="text1"/>
          <w:sz w:val="24"/>
          <w:szCs w:val="24"/>
        </w:rPr>
      </w:pPr>
      <w:bookmarkStart w:id="2" w:name="_Toc213355211"/>
      <w:r w:rsidRPr="004C17CD">
        <w:rPr>
          <w:rFonts w:ascii="Arial" w:hAnsi="Arial" w:cs="Arial"/>
          <w:b/>
          <w:bCs/>
          <w:color w:val="000000" w:themeColor="text1"/>
          <w:sz w:val="24"/>
          <w:szCs w:val="24"/>
        </w:rPr>
        <w:t>Problem Statement</w:t>
      </w:r>
      <w:bookmarkEnd w:id="2"/>
    </w:p>
    <w:p w14:paraId="57854899" w14:textId="77777777" w:rsidR="009D1AF4" w:rsidRDefault="0068119E" w:rsidP="00AC2AC0">
      <w:pPr>
        <w:pStyle w:val="ListParagraph"/>
        <w:spacing w:line="360" w:lineRule="auto"/>
        <w:ind w:left="0"/>
        <w:jc w:val="both"/>
        <w:rPr>
          <w:rFonts w:ascii="Arial" w:hAnsi="Arial" w:cs="Arial"/>
        </w:rPr>
      </w:pPr>
      <w:r w:rsidRPr="0068119E">
        <w:rPr>
          <w:rFonts w:ascii="Arial" w:hAnsi="Arial" w:cs="Arial"/>
        </w:rPr>
        <w:t>Gold is generally regarded as a Safe asset that appreciates when Equity indices such as the S&amp;P 500 and Nasdaq are decreasing. However, this negative correlation is unreliable and breaks down when market conditions change</w:t>
      </w:r>
      <w:r w:rsidR="00D920D8">
        <w:rPr>
          <w:rFonts w:ascii="Arial" w:hAnsi="Arial" w:cs="Arial"/>
        </w:rPr>
        <w:t xml:space="preserve"> (</w:t>
      </w:r>
      <w:r w:rsidR="00D920D8" w:rsidRPr="00D920D8">
        <w:rPr>
          <w:rFonts w:ascii="Arial" w:hAnsi="Arial" w:cs="Arial"/>
        </w:rPr>
        <w:t>Baur &amp; McDermott, 2010</w:t>
      </w:r>
      <w:r w:rsidR="00D920D8">
        <w:rPr>
          <w:rFonts w:ascii="Arial" w:hAnsi="Arial" w:cs="Arial"/>
        </w:rPr>
        <w:t>)</w:t>
      </w:r>
      <w:r w:rsidRPr="0068119E">
        <w:rPr>
          <w:rFonts w:ascii="Arial" w:hAnsi="Arial" w:cs="Arial"/>
        </w:rPr>
        <w:t xml:space="preserve">. </w:t>
      </w:r>
    </w:p>
    <w:p w14:paraId="1CE6CEBC" w14:textId="77777777" w:rsidR="009D1AF4" w:rsidRDefault="009D1AF4" w:rsidP="00AC2AC0">
      <w:pPr>
        <w:pStyle w:val="ListParagraph"/>
        <w:spacing w:line="360" w:lineRule="auto"/>
        <w:ind w:left="0"/>
        <w:jc w:val="both"/>
        <w:rPr>
          <w:rFonts w:ascii="Arial" w:hAnsi="Arial" w:cs="Arial"/>
        </w:rPr>
      </w:pPr>
    </w:p>
    <w:p w14:paraId="47A5EA28" w14:textId="77777777" w:rsidR="009D1AF4" w:rsidRDefault="0068119E" w:rsidP="009D1AF4">
      <w:pPr>
        <w:pStyle w:val="ListParagraph"/>
        <w:spacing w:line="360" w:lineRule="auto"/>
        <w:ind w:left="0"/>
        <w:jc w:val="both"/>
        <w:rPr>
          <w:rFonts w:ascii="Arial" w:hAnsi="Arial" w:cs="Arial"/>
        </w:rPr>
      </w:pPr>
      <w:r w:rsidRPr="0068119E">
        <w:rPr>
          <w:rFonts w:ascii="Arial" w:hAnsi="Arial" w:cs="Arial"/>
        </w:rPr>
        <w:t xml:space="preserve">This instability is connected to changes in US interest rates that affect the opportunity cost of holding gold compared to the interest generated by other </w:t>
      </w:r>
      <w:r w:rsidR="00FB5625" w:rsidRPr="0068119E">
        <w:rPr>
          <w:rFonts w:ascii="Arial" w:hAnsi="Arial" w:cs="Arial"/>
        </w:rPr>
        <w:t>investments.</w:t>
      </w:r>
      <w:r w:rsidR="00FB5625" w:rsidRPr="00FB5625">
        <w:rPr>
          <w:rFonts w:ascii="Arial" w:hAnsi="Arial" w:cs="Arial"/>
        </w:rPr>
        <w:t xml:space="preserve"> This study will use correlation and regression analysis in Excel to measure the systematic impact of US interest rate changes on the dynamic relationship between gold returns </w:t>
      </w:r>
      <w:r w:rsidR="00FB5625" w:rsidRPr="00FB5625">
        <w:rPr>
          <w:rFonts w:ascii="Arial" w:hAnsi="Arial" w:cs="Arial"/>
        </w:rPr>
        <w:lastRenderedPageBreak/>
        <w:t>and US equity returns (S&amp;P 500 and Nasdaq), with an analysis of its implications for portfolio diversification and risk management.</w:t>
      </w:r>
    </w:p>
    <w:p w14:paraId="110D4B91" w14:textId="77777777" w:rsidR="009D1AF4" w:rsidRDefault="009D1AF4" w:rsidP="009D1AF4">
      <w:pPr>
        <w:pStyle w:val="ListParagraph"/>
        <w:spacing w:line="360" w:lineRule="auto"/>
        <w:ind w:left="0"/>
        <w:jc w:val="both"/>
        <w:rPr>
          <w:rFonts w:ascii="Arial" w:hAnsi="Arial" w:cs="Arial"/>
        </w:rPr>
      </w:pPr>
    </w:p>
    <w:p w14:paraId="13CEBE05" w14:textId="26E1252B" w:rsidR="00347BCC" w:rsidRPr="004C17CD" w:rsidRDefault="006B4CF5" w:rsidP="004C17CD">
      <w:pPr>
        <w:pStyle w:val="Heading2"/>
        <w:numPr>
          <w:ilvl w:val="1"/>
          <w:numId w:val="9"/>
        </w:numPr>
        <w:rPr>
          <w:rFonts w:ascii="Arial" w:hAnsi="Arial" w:cs="Arial"/>
          <w:b/>
          <w:bCs/>
          <w:color w:val="000000" w:themeColor="text1"/>
          <w:sz w:val="24"/>
          <w:szCs w:val="24"/>
        </w:rPr>
      </w:pPr>
      <w:bookmarkStart w:id="3" w:name="_Toc213355212"/>
      <w:r w:rsidRPr="004C17CD">
        <w:rPr>
          <w:rFonts w:ascii="Arial" w:hAnsi="Arial" w:cs="Arial"/>
          <w:b/>
          <w:bCs/>
          <w:color w:val="000000" w:themeColor="text1"/>
          <w:sz w:val="24"/>
          <w:szCs w:val="24"/>
        </w:rPr>
        <w:t>Research Aim and Objectives</w:t>
      </w:r>
      <w:bookmarkEnd w:id="3"/>
    </w:p>
    <w:p w14:paraId="4E5EB98B" w14:textId="77777777" w:rsidR="00412A96" w:rsidRPr="00412A96" w:rsidRDefault="00412A96" w:rsidP="00412A96">
      <w:pPr>
        <w:pStyle w:val="ListParagraph"/>
        <w:spacing w:line="360" w:lineRule="auto"/>
        <w:jc w:val="both"/>
        <w:rPr>
          <w:rFonts w:ascii="Arial" w:hAnsi="Arial" w:cs="Arial"/>
          <w:b/>
          <w:bCs/>
        </w:rPr>
      </w:pPr>
    </w:p>
    <w:p w14:paraId="460F1247" w14:textId="77777777" w:rsidR="004122C1" w:rsidRPr="004122C1" w:rsidRDefault="00347BCC" w:rsidP="004122C1">
      <w:pPr>
        <w:pStyle w:val="ListParagraph"/>
        <w:spacing w:line="360" w:lineRule="auto"/>
        <w:ind w:left="0"/>
        <w:jc w:val="both"/>
        <w:rPr>
          <w:rFonts w:ascii="Arial" w:hAnsi="Arial" w:cs="Arial"/>
          <w:lang w:val="en-GB"/>
        </w:rPr>
      </w:pPr>
      <w:r w:rsidRPr="00347BCC">
        <w:rPr>
          <w:rFonts w:ascii="Arial" w:hAnsi="Arial" w:cs="Arial"/>
          <w:b/>
          <w:bCs/>
        </w:rPr>
        <w:t>Research Aim:</w:t>
      </w:r>
      <w:r>
        <w:rPr>
          <w:rFonts w:ascii="Arial" w:hAnsi="Arial" w:cs="Arial"/>
        </w:rPr>
        <w:t xml:space="preserve"> </w:t>
      </w:r>
      <w:r w:rsidRPr="00347BCC">
        <w:rPr>
          <w:rFonts w:ascii="Arial" w:hAnsi="Arial" w:cs="Arial"/>
        </w:rPr>
        <w:t>The aim of this research is to examine the effect of</w:t>
      </w:r>
      <w:r w:rsidR="004122C1">
        <w:rPr>
          <w:rFonts w:ascii="Arial" w:hAnsi="Arial" w:cs="Arial"/>
        </w:rPr>
        <w:t xml:space="preserve"> changes in</w:t>
      </w:r>
      <w:r w:rsidRPr="00347BCC">
        <w:rPr>
          <w:rFonts w:ascii="Arial" w:hAnsi="Arial" w:cs="Arial"/>
        </w:rPr>
        <w:t xml:space="preserve"> US interest rate change between 2005 to 2025 on gold's effectiveness as a hedge and </w:t>
      </w:r>
      <w:r>
        <w:rPr>
          <w:rFonts w:ascii="Arial" w:hAnsi="Arial" w:cs="Arial"/>
        </w:rPr>
        <w:t>S</w:t>
      </w:r>
      <w:r w:rsidRPr="00347BCC">
        <w:rPr>
          <w:rFonts w:ascii="Arial" w:hAnsi="Arial" w:cs="Arial"/>
        </w:rPr>
        <w:t>afe haven against the S&amp;P 500 and Nasdaq.</w:t>
      </w:r>
      <w:r>
        <w:rPr>
          <w:rFonts w:ascii="Arial" w:hAnsi="Arial" w:cs="Arial"/>
        </w:rPr>
        <w:t xml:space="preserve"> </w:t>
      </w:r>
      <w:r w:rsidR="004122C1" w:rsidRPr="004122C1">
        <w:rPr>
          <w:rFonts w:ascii="Arial" w:hAnsi="Arial" w:cs="Arial"/>
          <w:lang w:val="en-GB"/>
        </w:rPr>
        <w:t>The purpose of the study is to determine whether gold provides a reliable Safe haven during periods of stock markets volatility and to analyse how changes in monetary policy influence this relationship.</w:t>
      </w:r>
    </w:p>
    <w:p w14:paraId="3E41259D" w14:textId="4B3CFDAB" w:rsidR="009D1AF4" w:rsidRDefault="009D1AF4" w:rsidP="009D1AF4">
      <w:pPr>
        <w:pStyle w:val="ListParagraph"/>
        <w:spacing w:line="360" w:lineRule="auto"/>
        <w:ind w:left="0"/>
        <w:jc w:val="both"/>
        <w:rPr>
          <w:rFonts w:ascii="Arial" w:hAnsi="Arial" w:cs="Arial"/>
        </w:rPr>
      </w:pPr>
    </w:p>
    <w:p w14:paraId="743ECEB0" w14:textId="0BA08240" w:rsidR="004122C1" w:rsidRPr="004122C1" w:rsidRDefault="004122C1" w:rsidP="009D1AF4">
      <w:pPr>
        <w:pStyle w:val="ListParagraph"/>
        <w:spacing w:line="360" w:lineRule="auto"/>
        <w:ind w:left="0"/>
        <w:jc w:val="both"/>
        <w:rPr>
          <w:rFonts w:ascii="Arial" w:hAnsi="Arial" w:cs="Arial"/>
          <w:b/>
          <w:bCs/>
        </w:rPr>
      </w:pPr>
      <w:r w:rsidRPr="004122C1">
        <w:rPr>
          <w:rFonts w:ascii="Arial" w:hAnsi="Arial" w:cs="Arial"/>
          <w:b/>
          <w:bCs/>
        </w:rPr>
        <w:t>Research Objectives</w:t>
      </w:r>
      <w:r>
        <w:rPr>
          <w:rFonts w:ascii="Arial" w:hAnsi="Arial" w:cs="Arial"/>
          <w:b/>
          <w:bCs/>
        </w:rPr>
        <w:t xml:space="preserve">: </w:t>
      </w:r>
    </w:p>
    <w:p w14:paraId="235F7359" w14:textId="1899028C" w:rsidR="004122C1" w:rsidRDefault="00286590" w:rsidP="00286590">
      <w:pPr>
        <w:pStyle w:val="ListParagraph"/>
        <w:numPr>
          <w:ilvl w:val="0"/>
          <w:numId w:val="5"/>
        </w:numPr>
        <w:spacing w:line="360" w:lineRule="auto"/>
        <w:jc w:val="both"/>
        <w:rPr>
          <w:rFonts w:ascii="Arial" w:hAnsi="Arial" w:cs="Arial"/>
        </w:rPr>
      </w:pPr>
      <w:r w:rsidRPr="00286590">
        <w:rPr>
          <w:rFonts w:ascii="Arial" w:hAnsi="Arial" w:cs="Arial"/>
        </w:rPr>
        <w:t>This research will investigate the correlation between US interest rate shifts and the profitability of gold investments during the 2005 - 2025 period.</w:t>
      </w:r>
    </w:p>
    <w:p w14:paraId="57C0C02A" w14:textId="10928AD4" w:rsidR="00286590" w:rsidRDefault="00286590" w:rsidP="00286590">
      <w:pPr>
        <w:pStyle w:val="ListParagraph"/>
        <w:numPr>
          <w:ilvl w:val="0"/>
          <w:numId w:val="5"/>
        </w:numPr>
        <w:spacing w:line="360" w:lineRule="auto"/>
        <w:jc w:val="both"/>
        <w:rPr>
          <w:rFonts w:ascii="Arial" w:hAnsi="Arial" w:cs="Arial"/>
        </w:rPr>
      </w:pPr>
      <w:r w:rsidRPr="00286590">
        <w:rPr>
          <w:rFonts w:ascii="Arial" w:hAnsi="Arial" w:cs="Arial"/>
        </w:rPr>
        <w:t>This study will examine the performance of gold and US stock markets (S&amp;P 500 and Nasdaq), separating the data based on different phases of the interest rate cycle.</w:t>
      </w:r>
    </w:p>
    <w:p w14:paraId="4242DB73" w14:textId="78FA0662" w:rsidR="00286590" w:rsidRDefault="00FE20AC" w:rsidP="00286590">
      <w:pPr>
        <w:pStyle w:val="ListParagraph"/>
        <w:numPr>
          <w:ilvl w:val="0"/>
          <w:numId w:val="5"/>
        </w:numPr>
        <w:spacing w:line="360" w:lineRule="auto"/>
        <w:jc w:val="both"/>
        <w:rPr>
          <w:rFonts w:ascii="Arial" w:hAnsi="Arial" w:cs="Arial"/>
        </w:rPr>
      </w:pPr>
      <w:r w:rsidRPr="00FE20AC">
        <w:rPr>
          <w:rFonts w:ascii="Arial" w:hAnsi="Arial" w:cs="Arial"/>
        </w:rPr>
        <w:t>This study will assess how the effectiveness of gold in protecting portfolios and holding value during crises (</w:t>
      </w:r>
      <w:r w:rsidR="00B26808">
        <w:rPr>
          <w:rFonts w:ascii="Arial" w:hAnsi="Arial" w:cs="Arial"/>
        </w:rPr>
        <w:t>S</w:t>
      </w:r>
      <w:r w:rsidRPr="00FE20AC">
        <w:rPr>
          <w:rFonts w:ascii="Arial" w:hAnsi="Arial" w:cs="Arial"/>
        </w:rPr>
        <w:t>afe haven) changes when interest rates move up or down under different market conditions.</w:t>
      </w:r>
    </w:p>
    <w:p w14:paraId="438541E6" w14:textId="4DD08F15" w:rsidR="00924D57" w:rsidRDefault="00924D57" w:rsidP="00286590">
      <w:pPr>
        <w:pStyle w:val="ListParagraph"/>
        <w:numPr>
          <w:ilvl w:val="0"/>
          <w:numId w:val="5"/>
        </w:numPr>
        <w:spacing w:line="360" w:lineRule="auto"/>
        <w:jc w:val="both"/>
        <w:rPr>
          <w:rFonts w:ascii="Arial" w:hAnsi="Arial" w:cs="Arial"/>
        </w:rPr>
      </w:pPr>
      <w:r w:rsidRPr="00924D57">
        <w:rPr>
          <w:rFonts w:ascii="Arial" w:hAnsi="Arial" w:cs="Arial"/>
        </w:rPr>
        <w:t>This study will evaluate how these established relationships impact portfolio diversification and risk management.</w:t>
      </w:r>
    </w:p>
    <w:p w14:paraId="0703A5DE" w14:textId="77777777" w:rsidR="00FE20AC" w:rsidRPr="009D1AF4" w:rsidRDefault="00FE20AC" w:rsidP="00FE20AC">
      <w:pPr>
        <w:pStyle w:val="ListParagraph"/>
        <w:spacing w:line="360" w:lineRule="auto"/>
        <w:ind w:left="360"/>
        <w:jc w:val="both"/>
        <w:rPr>
          <w:rFonts w:ascii="Arial" w:hAnsi="Arial" w:cs="Arial"/>
        </w:rPr>
      </w:pPr>
    </w:p>
    <w:p w14:paraId="73416D56" w14:textId="0FAF2C1B" w:rsidR="006B4CF5" w:rsidRPr="004C17CD" w:rsidRDefault="006B4CF5" w:rsidP="004C17CD">
      <w:pPr>
        <w:pStyle w:val="Heading2"/>
        <w:numPr>
          <w:ilvl w:val="1"/>
          <w:numId w:val="9"/>
        </w:numPr>
        <w:jc w:val="both"/>
        <w:rPr>
          <w:rFonts w:ascii="Arial" w:hAnsi="Arial" w:cs="Arial"/>
          <w:b/>
          <w:bCs/>
          <w:color w:val="000000" w:themeColor="text1"/>
          <w:sz w:val="24"/>
          <w:szCs w:val="24"/>
        </w:rPr>
      </w:pPr>
      <w:bookmarkStart w:id="4" w:name="_Toc213355213"/>
      <w:r w:rsidRPr="004C17CD">
        <w:rPr>
          <w:rFonts w:ascii="Arial" w:hAnsi="Arial" w:cs="Arial"/>
          <w:b/>
          <w:bCs/>
          <w:color w:val="000000" w:themeColor="text1"/>
          <w:sz w:val="24"/>
          <w:szCs w:val="24"/>
        </w:rPr>
        <w:t>Research Question and Hypotheses</w:t>
      </w:r>
      <w:bookmarkEnd w:id="4"/>
    </w:p>
    <w:p w14:paraId="54B4D0A0" w14:textId="77777777" w:rsidR="00B46F9F" w:rsidRDefault="00B46F9F" w:rsidP="00B46F9F">
      <w:pPr>
        <w:pStyle w:val="ListParagraph"/>
        <w:spacing w:line="360" w:lineRule="auto"/>
        <w:jc w:val="both"/>
        <w:rPr>
          <w:rFonts w:ascii="Arial" w:hAnsi="Arial" w:cs="Arial"/>
          <w:b/>
          <w:bCs/>
        </w:rPr>
      </w:pPr>
    </w:p>
    <w:p w14:paraId="2242E02D" w14:textId="1A5A99D2" w:rsidR="00B46F9F" w:rsidRDefault="00B46F9F" w:rsidP="00B46F9F">
      <w:pPr>
        <w:pStyle w:val="ListParagraph"/>
        <w:spacing w:line="360" w:lineRule="auto"/>
        <w:ind w:left="0"/>
        <w:jc w:val="both"/>
        <w:rPr>
          <w:rFonts w:ascii="Arial" w:hAnsi="Arial" w:cs="Arial"/>
        </w:rPr>
      </w:pPr>
      <w:r>
        <w:rPr>
          <w:rFonts w:ascii="Arial" w:hAnsi="Arial" w:cs="Arial"/>
          <w:b/>
          <w:bCs/>
        </w:rPr>
        <w:t xml:space="preserve">RQ1: </w:t>
      </w:r>
      <w:r w:rsidRPr="00B46F9F">
        <w:rPr>
          <w:rFonts w:ascii="Arial" w:hAnsi="Arial" w:cs="Arial"/>
        </w:rPr>
        <w:t xml:space="preserve">What is the </w:t>
      </w:r>
      <w:r w:rsidR="00347E10">
        <w:rPr>
          <w:rFonts w:ascii="Arial" w:hAnsi="Arial" w:cs="Arial"/>
        </w:rPr>
        <w:t>relationship</w:t>
      </w:r>
      <w:r w:rsidRPr="00B46F9F">
        <w:rPr>
          <w:rFonts w:ascii="Arial" w:hAnsi="Arial" w:cs="Arial"/>
        </w:rPr>
        <w:t xml:space="preserve"> between </w:t>
      </w:r>
      <w:r w:rsidR="00347E10">
        <w:rPr>
          <w:rFonts w:ascii="Arial" w:hAnsi="Arial" w:cs="Arial"/>
        </w:rPr>
        <w:t>changes</w:t>
      </w:r>
      <w:r w:rsidRPr="00B46F9F">
        <w:rPr>
          <w:rFonts w:ascii="Arial" w:hAnsi="Arial" w:cs="Arial"/>
        </w:rPr>
        <w:t xml:space="preserve"> in US rates and the movement of gold and US equity returns</w:t>
      </w:r>
      <w:r w:rsidR="00347E10">
        <w:rPr>
          <w:rFonts w:ascii="Arial" w:hAnsi="Arial" w:cs="Arial"/>
        </w:rPr>
        <w:t xml:space="preserve"> </w:t>
      </w:r>
      <w:r w:rsidR="001E3D88">
        <w:rPr>
          <w:rFonts w:ascii="Arial" w:hAnsi="Arial" w:cs="Arial"/>
        </w:rPr>
        <w:t>during the periods of 2005 to 2025</w:t>
      </w:r>
      <w:r w:rsidRPr="00B46F9F">
        <w:rPr>
          <w:rFonts w:ascii="Arial" w:hAnsi="Arial" w:cs="Arial"/>
        </w:rPr>
        <w:t>?</w:t>
      </w:r>
    </w:p>
    <w:p w14:paraId="1C19D89A" w14:textId="3715B8F1" w:rsidR="00FE20AC" w:rsidRDefault="00B46F9F" w:rsidP="00FE20AC">
      <w:pPr>
        <w:pStyle w:val="ListParagraph"/>
        <w:spacing w:line="360" w:lineRule="auto"/>
        <w:ind w:left="0"/>
        <w:jc w:val="both"/>
        <w:rPr>
          <w:rFonts w:ascii="Arial" w:hAnsi="Arial" w:cs="Arial"/>
          <w:b/>
          <w:bCs/>
        </w:rPr>
      </w:pPr>
      <w:r w:rsidRPr="00B46F9F">
        <w:rPr>
          <w:rFonts w:ascii="Arial" w:hAnsi="Arial" w:cs="Arial"/>
          <w:b/>
          <w:bCs/>
        </w:rPr>
        <w:t>RQ2:</w:t>
      </w:r>
      <w:r>
        <w:rPr>
          <w:rFonts w:ascii="Arial" w:hAnsi="Arial" w:cs="Arial"/>
          <w:b/>
          <w:bCs/>
        </w:rPr>
        <w:t xml:space="preserve"> </w:t>
      </w:r>
      <w:r w:rsidR="00347E10">
        <w:rPr>
          <w:rFonts w:ascii="Arial" w:hAnsi="Arial" w:cs="Arial"/>
        </w:rPr>
        <w:t>Is</w:t>
      </w:r>
      <w:r w:rsidR="00F60F48" w:rsidRPr="00F60F48">
        <w:rPr>
          <w:rFonts w:ascii="Arial" w:hAnsi="Arial" w:cs="Arial"/>
        </w:rPr>
        <w:t xml:space="preserve"> gold a hedge or against the </w:t>
      </w:r>
      <w:r w:rsidR="001E3D88">
        <w:rPr>
          <w:rFonts w:ascii="Arial" w:hAnsi="Arial" w:cs="Arial"/>
        </w:rPr>
        <w:t xml:space="preserve">US equity </w:t>
      </w:r>
      <w:r w:rsidR="00347E10">
        <w:rPr>
          <w:rFonts w:ascii="Arial" w:hAnsi="Arial" w:cs="Arial"/>
        </w:rPr>
        <w:t xml:space="preserve">returns </w:t>
      </w:r>
      <w:r w:rsidR="00F60F48" w:rsidRPr="00F60F48">
        <w:rPr>
          <w:rFonts w:ascii="Arial" w:hAnsi="Arial" w:cs="Arial"/>
        </w:rPr>
        <w:t>during</w:t>
      </w:r>
      <w:r w:rsidR="00347E10">
        <w:rPr>
          <w:rFonts w:ascii="Arial" w:hAnsi="Arial" w:cs="Arial"/>
        </w:rPr>
        <w:t xml:space="preserve"> </w:t>
      </w:r>
      <w:r w:rsidR="001E3D88">
        <w:rPr>
          <w:rFonts w:ascii="Arial" w:hAnsi="Arial" w:cs="Arial"/>
        </w:rPr>
        <w:t xml:space="preserve">the </w:t>
      </w:r>
      <w:r w:rsidR="00347E10">
        <w:rPr>
          <w:rFonts w:ascii="Arial" w:hAnsi="Arial" w:cs="Arial"/>
        </w:rPr>
        <w:t>periods of</w:t>
      </w:r>
      <w:r w:rsidR="00F60F48" w:rsidRPr="00F60F48">
        <w:rPr>
          <w:rFonts w:ascii="Arial" w:hAnsi="Arial" w:cs="Arial"/>
        </w:rPr>
        <w:t xml:space="preserve"> high or low interest rates?</w:t>
      </w:r>
    </w:p>
    <w:p w14:paraId="70CEDF48" w14:textId="71EAB68D" w:rsidR="00F60F48" w:rsidRPr="00ED6129" w:rsidRDefault="00F60F48" w:rsidP="00FE20AC">
      <w:pPr>
        <w:pStyle w:val="ListParagraph"/>
        <w:spacing w:line="360" w:lineRule="auto"/>
        <w:ind w:left="0"/>
        <w:jc w:val="both"/>
        <w:rPr>
          <w:rFonts w:ascii="Arial" w:hAnsi="Arial" w:cs="Arial"/>
        </w:rPr>
      </w:pPr>
      <w:r>
        <w:rPr>
          <w:rFonts w:ascii="Arial" w:hAnsi="Arial" w:cs="Arial"/>
          <w:b/>
          <w:bCs/>
        </w:rPr>
        <w:t xml:space="preserve">RQ3: </w:t>
      </w:r>
      <w:r w:rsidR="00D16C51" w:rsidRPr="00D16C51">
        <w:rPr>
          <w:rFonts w:ascii="Arial" w:hAnsi="Arial" w:cs="Arial"/>
        </w:rPr>
        <w:t>What is the relationship between the price of gold and the returns of the US stock market during the changing of interest rates?</w:t>
      </w:r>
    </w:p>
    <w:p w14:paraId="35560148" w14:textId="1EE32C65" w:rsidR="005F40F4" w:rsidRDefault="00ED6129" w:rsidP="00FE20AC">
      <w:pPr>
        <w:pStyle w:val="ListParagraph"/>
        <w:spacing w:line="360" w:lineRule="auto"/>
        <w:ind w:left="0"/>
        <w:jc w:val="both"/>
        <w:rPr>
          <w:rFonts w:ascii="Arial" w:hAnsi="Arial" w:cs="Arial"/>
        </w:rPr>
      </w:pPr>
      <w:r>
        <w:rPr>
          <w:rFonts w:ascii="Arial" w:hAnsi="Arial" w:cs="Arial"/>
          <w:b/>
          <w:bCs/>
        </w:rPr>
        <w:t xml:space="preserve">RQ4: </w:t>
      </w:r>
      <w:r w:rsidR="005F40F4" w:rsidRPr="005F40F4">
        <w:rPr>
          <w:rFonts w:ascii="Arial" w:hAnsi="Arial" w:cs="Arial"/>
        </w:rPr>
        <w:t xml:space="preserve">How does the changing relationship between gold and US stock returns </w:t>
      </w:r>
      <w:r w:rsidR="00347E10">
        <w:rPr>
          <w:rFonts w:ascii="Arial" w:hAnsi="Arial" w:cs="Arial"/>
        </w:rPr>
        <w:t xml:space="preserve">for </w:t>
      </w:r>
      <w:r w:rsidR="005F40F4" w:rsidRPr="005F40F4">
        <w:rPr>
          <w:rFonts w:ascii="Arial" w:hAnsi="Arial" w:cs="Arial"/>
        </w:rPr>
        <w:t>portfolio diversification and risk management</w:t>
      </w:r>
      <w:r w:rsidR="00BD0C69">
        <w:rPr>
          <w:rFonts w:ascii="Arial" w:hAnsi="Arial" w:cs="Arial"/>
        </w:rPr>
        <w:t>.</w:t>
      </w:r>
    </w:p>
    <w:p w14:paraId="11144146" w14:textId="4C85EE43" w:rsidR="005F40F4" w:rsidRPr="00923E73" w:rsidRDefault="005F40F4" w:rsidP="00FE20AC">
      <w:pPr>
        <w:pStyle w:val="ListParagraph"/>
        <w:spacing w:line="360" w:lineRule="auto"/>
        <w:ind w:left="0"/>
        <w:jc w:val="both"/>
        <w:rPr>
          <w:rFonts w:ascii="Arial" w:hAnsi="Arial" w:cs="Arial"/>
        </w:rPr>
      </w:pPr>
      <w:r w:rsidRPr="005F40F4">
        <w:rPr>
          <w:rFonts w:ascii="Arial" w:hAnsi="Arial" w:cs="Arial"/>
          <w:b/>
          <w:bCs/>
        </w:rPr>
        <w:lastRenderedPageBreak/>
        <w:t>H1:</w:t>
      </w:r>
      <w:r w:rsidR="00923E73" w:rsidRPr="00923E73">
        <w:rPr>
          <w:rFonts w:ascii="Arial" w:hAnsi="Arial" w:cs="Arial"/>
          <w:color w:val="1B1C1D"/>
          <w:shd w:val="clear" w:color="auto" w:fill="FFFFFF"/>
        </w:rPr>
        <w:t xml:space="preserve"> </w:t>
      </w:r>
      <w:r w:rsidR="00923E73" w:rsidRPr="00923E73">
        <w:rPr>
          <w:rFonts w:ascii="Arial" w:hAnsi="Arial" w:cs="Arial"/>
        </w:rPr>
        <w:t>How do the prices of gold and US equities react to changes in US interest rates?</w:t>
      </w:r>
    </w:p>
    <w:p w14:paraId="4BD21192" w14:textId="4C983C41" w:rsidR="00923E73" w:rsidRDefault="00923E73" w:rsidP="00FE20AC">
      <w:pPr>
        <w:pStyle w:val="ListParagraph"/>
        <w:spacing w:line="360" w:lineRule="auto"/>
        <w:ind w:left="0"/>
        <w:jc w:val="both"/>
        <w:rPr>
          <w:rFonts w:ascii="Arial" w:hAnsi="Arial" w:cs="Arial"/>
          <w:b/>
          <w:bCs/>
        </w:rPr>
      </w:pPr>
      <w:r>
        <w:rPr>
          <w:rFonts w:ascii="Arial" w:hAnsi="Arial" w:cs="Arial"/>
          <w:b/>
          <w:bCs/>
        </w:rPr>
        <w:t>H2:</w:t>
      </w:r>
      <w:r w:rsidRPr="00923E73">
        <w:rPr>
          <w:rFonts w:ascii="Arial" w:hAnsi="Arial" w:cs="Arial"/>
          <w:color w:val="1B1C1D"/>
          <w:shd w:val="clear" w:color="auto" w:fill="FFFFFF"/>
        </w:rPr>
        <w:t xml:space="preserve"> </w:t>
      </w:r>
      <w:r w:rsidRPr="00923E73">
        <w:rPr>
          <w:rFonts w:ascii="Arial" w:hAnsi="Arial" w:cs="Arial"/>
        </w:rPr>
        <w:t>Gold is considered a Safe asset during periods when US equity returns are dropping and amid falling interest rates.</w:t>
      </w:r>
    </w:p>
    <w:p w14:paraId="191744BD" w14:textId="21B1C854" w:rsidR="00923E73" w:rsidRPr="00BF4AB4" w:rsidRDefault="00923E73" w:rsidP="00FE20AC">
      <w:pPr>
        <w:pStyle w:val="ListParagraph"/>
        <w:spacing w:line="360" w:lineRule="auto"/>
        <w:ind w:left="0"/>
        <w:jc w:val="both"/>
        <w:rPr>
          <w:rFonts w:ascii="Arial" w:hAnsi="Arial" w:cs="Arial"/>
        </w:rPr>
      </w:pPr>
      <w:r>
        <w:rPr>
          <w:rFonts w:ascii="Arial" w:hAnsi="Arial" w:cs="Arial"/>
          <w:b/>
          <w:bCs/>
        </w:rPr>
        <w:t>H3:</w:t>
      </w:r>
      <w:r w:rsidR="00BF4AB4" w:rsidRPr="00BF4AB4">
        <w:rPr>
          <w:rFonts w:ascii="Nunito Sans" w:hAnsi="Nunito Sans"/>
          <w:color w:val="212529"/>
          <w:shd w:val="clear" w:color="auto" w:fill="FFFFFF"/>
        </w:rPr>
        <w:t xml:space="preserve"> </w:t>
      </w:r>
      <w:r w:rsidR="00BF4AB4" w:rsidRPr="00BF4AB4">
        <w:rPr>
          <w:rFonts w:ascii="Arial" w:hAnsi="Arial" w:cs="Arial"/>
        </w:rPr>
        <w:t>The relationship between gold returns and US equity returns is weaker during periods of decreasing interest rates compared to periods of rising interest rates.</w:t>
      </w:r>
    </w:p>
    <w:p w14:paraId="0E867A52" w14:textId="249CB10D" w:rsidR="00BF4AB4" w:rsidRDefault="00BF4AB4" w:rsidP="00FE20AC">
      <w:pPr>
        <w:pStyle w:val="ListParagraph"/>
        <w:spacing w:line="360" w:lineRule="auto"/>
        <w:ind w:left="0"/>
        <w:jc w:val="both"/>
        <w:rPr>
          <w:rFonts w:ascii="Arial" w:hAnsi="Arial" w:cs="Arial"/>
        </w:rPr>
      </w:pPr>
      <w:r>
        <w:rPr>
          <w:rFonts w:ascii="Arial" w:hAnsi="Arial" w:cs="Arial"/>
          <w:b/>
          <w:bCs/>
        </w:rPr>
        <w:t xml:space="preserve">H4: </w:t>
      </w:r>
      <w:r w:rsidR="004E4F75" w:rsidRPr="004E4F75">
        <w:rPr>
          <w:rFonts w:ascii="Arial" w:hAnsi="Arial" w:cs="Arial"/>
        </w:rPr>
        <w:t>US interest rate changes influence gold's role in portfolio diversification and risk management.</w:t>
      </w:r>
    </w:p>
    <w:p w14:paraId="244D81E5" w14:textId="77777777" w:rsidR="004E4F75" w:rsidRDefault="004E4F75" w:rsidP="00525CB3">
      <w:pPr>
        <w:pStyle w:val="Heading2"/>
      </w:pPr>
    </w:p>
    <w:p w14:paraId="6DD60FB2" w14:textId="371E3C4E" w:rsidR="004E4F75" w:rsidRPr="00BD0C69" w:rsidRDefault="00C174E8" w:rsidP="00BD0C69">
      <w:pPr>
        <w:pStyle w:val="Heading2"/>
        <w:numPr>
          <w:ilvl w:val="0"/>
          <w:numId w:val="8"/>
        </w:numPr>
        <w:rPr>
          <w:rFonts w:ascii="Arial" w:hAnsi="Arial" w:cs="Arial"/>
          <w:b/>
          <w:bCs/>
          <w:color w:val="000000" w:themeColor="text1"/>
          <w:sz w:val="24"/>
          <w:szCs w:val="24"/>
        </w:rPr>
      </w:pPr>
      <w:bookmarkStart w:id="5" w:name="_Toc213355214"/>
      <w:r w:rsidRPr="00BD0C69">
        <w:rPr>
          <w:rFonts w:ascii="Arial" w:hAnsi="Arial" w:cs="Arial"/>
          <w:b/>
          <w:bCs/>
          <w:color w:val="000000" w:themeColor="text1"/>
          <w:sz w:val="24"/>
          <w:szCs w:val="24"/>
        </w:rPr>
        <w:t>Literature Review</w:t>
      </w:r>
      <w:bookmarkEnd w:id="5"/>
    </w:p>
    <w:p w14:paraId="12CE7862" w14:textId="3E5B8197" w:rsidR="00AC6582" w:rsidRDefault="00D81260" w:rsidP="00412A96">
      <w:pPr>
        <w:pStyle w:val="ListParagraph"/>
        <w:spacing w:line="360" w:lineRule="auto"/>
        <w:ind w:left="0"/>
        <w:jc w:val="both"/>
        <w:rPr>
          <w:rFonts w:ascii="Arial" w:hAnsi="Arial" w:cs="Arial"/>
        </w:rPr>
      </w:pPr>
      <w:r w:rsidRPr="00D81260">
        <w:rPr>
          <w:rFonts w:ascii="Arial" w:hAnsi="Arial" w:cs="Arial"/>
        </w:rPr>
        <w:t>While many studies examine gold's hedge and Safe-haven roles, few analyse how changing US interest rates affect its correlation with US indices over time. This study fills that gap by exploring the period of 2005 to 2025 and to</w:t>
      </w:r>
      <w:r>
        <w:rPr>
          <w:rFonts w:ascii="Arial" w:hAnsi="Arial" w:cs="Arial"/>
        </w:rPr>
        <w:t xml:space="preserve"> </w:t>
      </w:r>
      <w:r w:rsidRPr="00D81260">
        <w:rPr>
          <w:rFonts w:ascii="Arial" w:hAnsi="Arial" w:cs="Arial"/>
        </w:rPr>
        <w:t>understand gold's behaviour under different rate conditions.</w:t>
      </w:r>
    </w:p>
    <w:p w14:paraId="1E569DA8" w14:textId="77777777" w:rsidR="00412A96" w:rsidRPr="00412A96" w:rsidRDefault="00412A96" w:rsidP="00412A96">
      <w:pPr>
        <w:pStyle w:val="ListParagraph"/>
        <w:spacing w:line="360" w:lineRule="auto"/>
        <w:ind w:left="0"/>
        <w:jc w:val="both"/>
        <w:rPr>
          <w:rFonts w:ascii="Arial" w:hAnsi="Arial" w:cs="Arial"/>
        </w:rPr>
      </w:pPr>
    </w:p>
    <w:p w14:paraId="3F72B800" w14:textId="77777777" w:rsidR="00A731CA" w:rsidRDefault="00AC6582" w:rsidP="00525CB3">
      <w:pPr>
        <w:pStyle w:val="Heading2"/>
      </w:pPr>
      <w:bookmarkStart w:id="6" w:name="_Toc213355215"/>
      <w:r w:rsidRPr="00BD0C69">
        <w:rPr>
          <w:rFonts w:ascii="Arial" w:hAnsi="Arial" w:cs="Arial"/>
          <w:b/>
          <w:bCs/>
          <w:color w:val="000000" w:themeColor="text1"/>
          <w:sz w:val="24"/>
          <w:szCs w:val="24"/>
        </w:rPr>
        <w:t>2.1)</w:t>
      </w:r>
      <w:r w:rsidRPr="00BD0C69">
        <w:rPr>
          <w:color w:val="000000" w:themeColor="text1"/>
        </w:rPr>
        <w:t xml:space="preserve"> </w:t>
      </w:r>
      <w:r w:rsidRPr="00BD0C69">
        <w:rPr>
          <w:rFonts w:ascii="Arial" w:hAnsi="Arial" w:cs="Arial"/>
          <w:b/>
          <w:bCs/>
          <w:color w:val="000000" w:themeColor="text1"/>
          <w:sz w:val="24"/>
          <w:szCs w:val="24"/>
        </w:rPr>
        <w:t>Gold as a Hedge and Safe Haven</w:t>
      </w:r>
      <w:bookmarkEnd w:id="6"/>
    </w:p>
    <w:p w14:paraId="10F9BE67" w14:textId="6759F5D4" w:rsidR="00AC6582" w:rsidRDefault="00652BE0" w:rsidP="00A731CA">
      <w:pPr>
        <w:spacing w:line="360" w:lineRule="auto"/>
        <w:jc w:val="both"/>
        <w:rPr>
          <w:rFonts w:ascii="Arial" w:hAnsi="Arial" w:cs="Arial"/>
        </w:rPr>
      </w:pPr>
      <w:r w:rsidRPr="00652BE0">
        <w:rPr>
          <w:rFonts w:ascii="Arial" w:hAnsi="Arial" w:cs="Arial"/>
        </w:rPr>
        <w:t>Gold is a financial asset that provides protection during market uncertainty.</w:t>
      </w:r>
      <w:r w:rsidR="00F05454">
        <w:rPr>
          <w:rFonts w:ascii="Arial" w:hAnsi="Arial" w:cs="Arial"/>
        </w:rPr>
        <w:t xml:space="preserve"> </w:t>
      </w:r>
      <w:r w:rsidR="00F05454" w:rsidRPr="00F05454">
        <w:rPr>
          <w:rFonts w:ascii="Arial" w:hAnsi="Arial" w:cs="Arial"/>
        </w:rPr>
        <w:t>For example, gold serves as a hedge by maintaining a negative correlation with equities during normal times, and as a Safe haven by increasing in value during crises</w:t>
      </w:r>
      <w:r w:rsidR="00793F20">
        <w:rPr>
          <w:rFonts w:ascii="Arial" w:hAnsi="Arial" w:cs="Arial"/>
        </w:rPr>
        <w:t xml:space="preserve"> (</w:t>
      </w:r>
      <w:r w:rsidR="00793F20" w:rsidRPr="00793F20">
        <w:rPr>
          <w:rFonts w:ascii="Arial" w:hAnsi="Arial" w:cs="Arial"/>
        </w:rPr>
        <w:t>Baur &amp; Lucey, 2010</w:t>
      </w:r>
      <w:r w:rsidR="00793F20">
        <w:rPr>
          <w:rFonts w:ascii="Arial" w:hAnsi="Arial" w:cs="Arial"/>
        </w:rPr>
        <w:t>).</w:t>
      </w:r>
      <w:r w:rsidR="00555F52">
        <w:rPr>
          <w:rFonts w:ascii="Arial" w:hAnsi="Arial" w:cs="Arial"/>
        </w:rPr>
        <w:t xml:space="preserve"> </w:t>
      </w:r>
      <w:r w:rsidR="00555F52" w:rsidRPr="00555F52">
        <w:rPr>
          <w:rFonts w:ascii="Arial" w:hAnsi="Arial" w:cs="Arial"/>
          <w:lang w:val="en-GB"/>
        </w:rPr>
        <w:t xml:space="preserve">Similarly, Baur and McDermott (2010) show that gold has a strong </w:t>
      </w:r>
      <w:r w:rsidR="00D02F42">
        <w:rPr>
          <w:rFonts w:ascii="Arial" w:hAnsi="Arial" w:cs="Arial"/>
          <w:lang w:val="en-GB"/>
        </w:rPr>
        <w:t xml:space="preserve">Safe haven </w:t>
      </w:r>
      <w:r w:rsidR="00555F52" w:rsidRPr="00555F52">
        <w:rPr>
          <w:rFonts w:ascii="Arial" w:hAnsi="Arial" w:cs="Arial"/>
          <w:lang w:val="en-GB"/>
        </w:rPr>
        <w:t xml:space="preserve">during market crisis. </w:t>
      </w:r>
      <w:r w:rsidR="00412A96" w:rsidRPr="00412A96">
        <w:rPr>
          <w:rFonts w:ascii="Arial" w:hAnsi="Arial" w:cs="Arial"/>
        </w:rPr>
        <w:t>According to Hood and Malik (2013) Gold act as a temporary Safe haven; its value decreases when the market is stable.</w:t>
      </w:r>
      <w:r w:rsidR="00412A96">
        <w:rPr>
          <w:rFonts w:ascii="Arial" w:hAnsi="Arial" w:cs="Arial"/>
        </w:rPr>
        <w:t xml:space="preserve"> </w:t>
      </w:r>
      <w:r w:rsidR="00412A96" w:rsidRPr="00412A96">
        <w:rPr>
          <w:rFonts w:ascii="Arial" w:hAnsi="Arial" w:cs="Arial"/>
        </w:rPr>
        <w:t>It shows that gold's strength as a financial protector changes depending on the phase the economy and markets are in</w:t>
      </w:r>
      <w:r w:rsidR="00412A96">
        <w:rPr>
          <w:rFonts w:ascii="Arial" w:hAnsi="Arial" w:cs="Arial"/>
        </w:rPr>
        <w:t>.</w:t>
      </w:r>
    </w:p>
    <w:p w14:paraId="7EED27CF" w14:textId="77777777" w:rsidR="00412A96" w:rsidRPr="00BD0C69" w:rsidRDefault="00412A96" w:rsidP="00A731CA">
      <w:pPr>
        <w:spacing w:line="360" w:lineRule="auto"/>
        <w:jc w:val="both"/>
        <w:rPr>
          <w:rFonts w:ascii="Arial" w:hAnsi="Arial" w:cs="Arial"/>
          <w:b/>
          <w:bCs/>
          <w:color w:val="000000" w:themeColor="text1"/>
        </w:rPr>
      </w:pPr>
    </w:p>
    <w:p w14:paraId="06102276" w14:textId="1F0718E5" w:rsidR="00412A96" w:rsidRPr="00BD0C69" w:rsidRDefault="00412A96" w:rsidP="004A661A">
      <w:pPr>
        <w:pStyle w:val="Heading2"/>
        <w:rPr>
          <w:rFonts w:ascii="Arial" w:hAnsi="Arial" w:cs="Arial"/>
          <w:b/>
          <w:bCs/>
          <w:color w:val="000000" w:themeColor="text1"/>
          <w:sz w:val="24"/>
          <w:szCs w:val="24"/>
        </w:rPr>
      </w:pPr>
      <w:bookmarkStart w:id="7" w:name="_Toc213355216"/>
      <w:r w:rsidRPr="00BD0C69">
        <w:rPr>
          <w:rFonts w:ascii="Arial" w:hAnsi="Arial" w:cs="Arial"/>
          <w:b/>
          <w:bCs/>
          <w:color w:val="000000" w:themeColor="text1"/>
          <w:sz w:val="24"/>
          <w:szCs w:val="24"/>
        </w:rPr>
        <w:t>2.2) Relationship Between Gold and Equity Returns</w:t>
      </w:r>
      <w:bookmarkEnd w:id="7"/>
    </w:p>
    <w:p w14:paraId="7B894AD6" w14:textId="06527DD1" w:rsidR="00412A96" w:rsidRDefault="00BF7470" w:rsidP="00A731CA">
      <w:pPr>
        <w:spacing w:line="360" w:lineRule="auto"/>
        <w:jc w:val="both"/>
        <w:rPr>
          <w:rFonts w:ascii="Arial" w:hAnsi="Arial" w:cs="Arial"/>
          <w:lang w:val="en-GB"/>
        </w:rPr>
      </w:pPr>
      <w:r w:rsidRPr="00BF7470">
        <w:rPr>
          <w:rFonts w:ascii="Arial" w:hAnsi="Arial" w:cs="Arial"/>
        </w:rPr>
        <w:t>Baur and Lucey (2010) found that gold offers stability during normal periods and acts as protection during market declines</w:t>
      </w:r>
      <w:r w:rsidR="002F6D92">
        <w:rPr>
          <w:rFonts w:ascii="Arial" w:hAnsi="Arial" w:cs="Arial"/>
        </w:rPr>
        <w:t xml:space="preserve">, while </w:t>
      </w:r>
      <w:r w:rsidR="002F6D92" w:rsidRPr="002F6D92">
        <w:rPr>
          <w:rFonts w:ascii="Arial" w:hAnsi="Arial" w:cs="Arial"/>
        </w:rPr>
        <w:t>Baur and McDermott (2010) identified this trend when they studied global crises such as 2008.</w:t>
      </w:r>
      <w:r w:rsidR="00A77F1F">
        <w:rPr>
          <w:rFonts w:ascii="Arial" w:hAnsi="Arial" w:cs="Arial"/>
        </w:rPr>
        <w:t xml:space="preserve"> However, </w:t>
      </w:r>
      <w:r w:rsidR="00A77F1F" w:rsidRPr="00A77F1F">
        <w:rPr>
          <w:rFonts w:ascii="Arial" w:hAnsi="Arial" w:cs="Arial"/>
        </w:rPr>
        <w:t>Gold is not as attractive as a safe investment during periods of economic stability</w:t>
      </w:r>
      <w:r w:rsidR="006F25E7">
        <w:rPr>
          <w:rFonts w:ascii="Arial" w:hAnsi="Arial" w:cs="Arial"/>
        </w:rPr>
        <w:t xml:space="preserve"> (</w:t>
      </w:r>
      <w:r w:rsidR="006F25E7" w:rsidRPr="006F25E7">
        <w:rPr>
          <w:rFonts w:ascii="Arial" w:hAnsi="Arial" w:cs="Arial"/>
          <w:lang w:val="en-GB"/>
        </w:rPr>
        <w:t>Hood and Malik</w:t>
      </w:r>
      <w:r w:rsidR="006F25E7">
        <w:rPr>
          <w:rFonts w:ascii="Arial" w:hAnsi="Arial" w:cs="Arial"/>
          <w:lang w:val="en-GB"/>
        </w:rPr>
        <w:t xml:space="preserve">, </w:t>
      </w:r>
      <w:r w:rsidR="006F25E7" w:rsidRPr="006F25E7">
        <w:rPr>
          <w:rFonts w:ascii="Arial" w:hAnsi="Arial" w:cs="Arial"/>
          <w:lang w:val="en-GB"/>
        </w:rPr>
        <w:t>2013)</w:t>
      </w:r>
      <w:r w:rsidR="006F25E7">
        <w:rPr>
          <w:rFonts w:ascii="Arial" w:hAnsi="Arial" w:cs="Arial"/>
          <w:lang w:val="en-GB"/>
        </w:rPr>
        <w:t>.</w:t>
      </w:r>
      <w:r w:rsidR="00924991">
        <w:rPr>
          <w:rFonts w:ascii="Arial" w:hAnsi="Arial" w:cs="Arial"/>
          <w:lang w:val="en-GB"/>
        </w:rPr>
        <w:t xml:space="preserve"> </w:t>
      </w:r>
      <w:r w:rsidR="00924991" w:rsidRPr="00924991">
        <w:rPr>
          <w:rFonts w:ascii="Arial" w:hAnsi="Arial" w:cs="Arial"/>
        </w:rPr>
        <w:t xml:space="preserve">Overall, these findings suggest that gold's ability to act as a hedge or Safe haven asset is conditional on investor sentiment and the global financial environment. </w:t>
      </w:r>
      <w:r w:rsidR="006F25E7">
        <w:rPr>
          <w:rFonts w:ascii="Arial" w:hAnsi="Arial" w:cs="Arial"/>
          <w:lang w:val="en-GB"/>
        </w:rPr>
        <w:t xml:space="preserve"> </w:t>
      </w:r>
    </w:p>
    <w:p w14:paraId="319A3290" w14:textId="77777777" w:rsidR="00924991" w:rsidRPr="00BD0C69" w:rsidRDefault="00924991" w:rsidP="004A661A">
      <w:pPr>
        <w:pStyle w:val="Heading2"/>
        <w:rPr>
          <w:rFonts w:ascii="Arial" w:hAnsi="Arial" w:cs="Arial"/>
          <w:b/>
          <w:bCs/>
          <w:color w:val="000000" w:themeColor="text1"/>
          <w:sz w:val="24"/>
          <w:szCs w:val="24"/>
          <w:lang w:val="en-GB"/>
        </w:rPr>
      </w:pPr>
      <w:bookmarkStart w:id="8" w:name="_Toc213355217"/>
      <w:r w:rsidRPr="00BD0C69">
        <w:rPr>
          <w:rFonts w:ascii="Arial" w:hAnsi="Arial" w:cs="Arial"/>
          <w:b/>
          <w:bCs/>
          <w:color w:val="000000" w:themeColor="text1"/>
          <w:sz w:val="24"/>
          <w:szCs w:val="24"/>
          <w:lang w:val="en-GB"/>
        </w:rPr>
        <w:lastRenderedPageBreak/>
        <w:t>2.3) Role of US Interest Rates and Monetary Policy</w:t>
      </w:r>
      <w:bookmarkEnd w:id="8"/>
      <w:r w:rsidRPr="00BD0C69">
        <w:rPr>
          <w:rFonts w:ascii="Arial" w:hAnsi="Arial" w:cs="Arial"/>
          <w:b/>
          <w:bCs/>
          <w:color w:val="000000" w:themeColor="text1"/>
          <w:sz w:val="24"/>
          <w:szCs w:val="24"/>
          <w:lang w:val="en-GB"/>
        </w:rPr>
        <w:t xml:space="preserve"> </w:t>
      </w:r>
    </w:p>
    <w:p w14:paraId="21573C0D" w14:textId="72CFAD66" w:rsidR="00924991" w:rsidRDefault="00866E0B" w:rsidP="00924991">
      <w:pPr>
        <w:spacing w:line="360" w:lineRule="auto"/>
        <w:jc w:val="both"/>
        <w:rPr>
          <w:rFonts w:ascii="Arial" w:hAnsi="Arial" w:cs="Arial"/>
        </w:rPr>
      </w:pPr>
      <w:r w:rsidRPr="00866E0B">
        <w:rPr>
          <w:rFonts w:ascii="Arial" w:hAnsi="Arial" w:cs="Arial"/>
        </w:rPr>
        <w:t>The financial connection between gold and stocks is defined by decisions regarding US interest rates and the overall monetary policy.</w:t>
      </w:r>
      <w:r w:rsidR="00284B7C">
        <w:rPr>
          <w:rFonts w:ascii="Arial" w:hAnsi="Arial" w:cs="Arial"/>
        </w:rPr>
        <w:t xml:space="preserve"> </w:t>
      </w:r>
      <w:r w:rsidR="00434C5A" w:rsidRPr="00434C5A">
        <w:rPr>
          <w:rFonts w:ascii="Arial" w:hAnsi="Arial" w:cs="Arial"/>
        </w:rPr>
        <w:t>According to World Gold Council data</w:t>
      </w:r>
      <w:r w:rsidR="00434C5A">
        <w:rPr>
          <w:rFonts w:ascii="Arial" w:hAnsi="Arial" w:cs="Arial"/>
        </w:rPr>
        <w:t xml:space="preserve"> (2019)</w:t>
      </w:r>
      <w:r w:rsidR="00434C5A" w:rsidRPr="00434C5A">
        <w:rPr>
          <w:rFonts w:ascii="Arial" w:hAnsi="Arial" w:cs="Arial"/>
        </w:rPr>
        <w:t>, When the period of high interest rates end, gold becomes a much better performer while US stock indices struggle during that period.</w:t>
      </w:r>
      <w:r w:rsidR="00FA0143" w:rsidRPr="00FA0143">
        <w:rPr>
          <w:rFonts w:ascii="Arial" w:hAnsi="Arial" w:cs="Arial"/>
          <w:color w:val="1B1C1D"/>
          <w:shd w:val="clear" w:color="auto" w:fill="FFFFFF"/>
        </w:rPr>
        <w:t xml:space="preserve"> </w:t>
      </w:r>
      <w:r w:rsidR="00FA0143" w:rsidRPr="00FA0143">
        <w:rPr>
          <w:rFonts w:ascii="Arial" w:hAnsi="Arial" w:cs="Arial"/>
        </w:rPr>
        <w:t xml:space="preserve">The World Gold Council </w:t>
      </w:r>
      <w:r w:rsidR="00FA0143">
        <w:rPr>
          <w:rFonts w:ascii="Arial" w:hAnsi="Arial" w:cs="Arial"/>
        </w:rPr>
        <w:t xml:space="preserve">(2019) </w:t>
      </w:r>
      <w:r w:rsidR="00FA0143" w:rsidRPr="00FA0143">
        <w:rPr>
          <w:rFonts w:ascii="Arial" w:hAnsi="Arial" w:cs="Arial"/>
        </w:rPr>
        <w:t>found that when central banks change their monetary policy, the impact of those rate changes on gold prices becomes much stronger.</w:t>
      </w:r>
      <w:r w:rsidR="001C6029">
        <w:rPr>
          <w:rFonts w:ascii="Arial" w:hAnsi="Arial" w:cs="Arial"/>
        </w:rPr>
        <w:t xml:space="preserve"> </w:t>
      </w:r>
      <w:r w:rsidR="001C6029" w:rsidRPr="001C6029">
        <w:rPr>
          <w:rFonts w:ascii="Arial" w:hAnsi="Arial" w:cs="Arial"/>
        </w:rPr>
        <w:t>The effectiveness of gold as a portfolio hedge when stocks fall depends on the Fed's interest rate behaviour. This indicates the relationship isn't fixed.</w:t>
      </w:r>
    </w:p>
    <w:p w14:paraId="2189A9AF" w14:textId="43BB7F91" w:rsidR="000014F4" w:rsidRDefault="008A23C2" w:rsidP="00924991">
      <w:pPr>
        <w:spacing w:line="360" w:lineRule="auto"/>
        <w:jc w:val="both"/>
        <w:rPr>
          <w:rFonts w:ascii="Arial" w:hAnsi="Arial" w:cs="Arial"/>
          <w:b/>
          <w:bCs/>
        </w:rPr>
      </w:pPr>
      <w:r w:rsidRPr="008A23C2">
        <w:rPr>
          <w:rFonts w:ascii="Arial" w:hAnsi="Arial" w:cs="Arial"/>
          <w:b/>
          <w:bCs/>
        </w:rPr>
        <w:t xml:space="preserve">Figure 1: </w:t>
      </w:r>
      <w:r w:rsidR="00E6549D">
        <w:rPr>
          <w:rFonts w:ascii="Arial" w:hAnsi="Arial" w:cs="Arial"/>
          <w:b/>
          <w:bCs/>
        </w:rPr>
        <w:t>R</w:t>
      </w:r>
      <w:r w:rsidRPr="008A23C2">
        <w:rPr>
          <w:rFonts w:ascii="Arial" w:hAnsi="Arial" w:cs="Arial"/>
          <w:b/>
          <w:bCs/>
        </w:rPr>
        <w:t xml:space="preserve">elationship between US interest rates, </w:t>
      </w:r>
      <w:proofErr w:type="gramStart"/>
      <w:r w:rsidR="00710DF6">
        <w:rPr>
          <w:rFonts w:ascii="Arial" w:hAnsi="Arial" w:cs="Arial"/>
          <w:b/>
          <w:bCs/>
        </w:rPr>
        <w:t>G</w:t>
      </w:r>
      <w:r w:rsidRPr="008A23C2">
        <w:rPr>
          <w:rFonts w:ascii="Arial" w:hAnsi="Arial" w:cs="Arial"/>
          <w:b/>
          <w:bCs/>
        </w:rPr>
        <w:t>old</w:t>
      </w:r>
      <w:proofErr w:type="gramEnd"/>
      <w:r w:rsidRPr="008A23C2">
        <w:rPr>
          <w:rFonts w:ascii="Arial" w:hAnsi="Arial" w:cs="Arial"/>
          <w:b/>
          <w:bCs/>
        </w:rPr>
        <w:t xml:space="preserve"> returns and US equity returns</w:t>
      </w:r>
    </w:p>
    <w:p w14:paraId="69C7CB74" w14:textId="504F8064" w:rsidR="008A23C2" w:rsidRDefault="008A23C2" w:rsidP="00924991">
      <w:pPr>
        <w:spacing w:line="360" w:lineRule="auto"/>
        <w:jc w:val="both"/>
        <w:rPr>
          <w:rFonts w:ascii="Arial" w:hAnsi="Arial" w:cs="Arial"/>
          <w:b/>
          <w:bCs/>
        </w:rPr>
      </w:pPr>
      <w:r>
        <w:rPr>
          <w:rFonts w:ascii="Arial" w:hAnsi="Arial" w:cs="Arial"/>
          <w:b/>
          <w:bCs/>
          <w:noProof/>
        </w:rPr>
        <w:drawing>
          <wp:inline distT="0" distB="0" distL="0" distR="0" wp14:anchorId="14FD5AD1" wp14:editId="1E40F3F2">
            <wp:extent cx="5207000" cy="3657600"/>
            <wp:effectExtent l="0" t="0" r="0" b="0"/>
            <wp:docPr id="205484947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C9BC804" w14:textId="691463F6" w:rsidR="008E7119" w:rsidRDefault="008E7119" w:rsidP="00924991">
      <w:pPr>
        <w:spacing w:line="360" w:lineRule="auto"/>
        <w:jc w:val="both"/>
        <w:rPr>
          <w:rFonts w:ascii="Arial" w:hAnsi="Arial" w:cs="Arial"/>
          <w:b/>
          <w:bCs/>
        </w:rPr>
      </w:pPr>
      <w:r>
        <w:rPr>
          <w:rFonts w:ascii="Arial" w:hAnsi="Arial" w:cs="Arial"/>
          <w:b/>
          <w:bCs/>
        </w:rPr>
        <w:t xml:space="preserve">(Source: </w:t>
      </w:r>
      <w:r w:rsidRPr="008E7119">
        <w:rPr>
          <w:rFonts w:ascii="Arial" w:hAnsi="Arial" w:cs="Arial"/>
        </w:rPr>
        <w:t>Author</w:t>
      </w:r>
      <w:r>
        <w:rPr>
          <w:rFonts w:ascii="Arial" w:hAnsi="Arial" w:cs="Arial"/>
          <w:b/>
          <w:bCs/>
        </w:rPr>
        <w:t>)</w:t>
      </w:r>
    </w:p>
    <w:p w14:paraId="490FE5EF" w14:textId="02565AA2" w:rsidR="006649F3" w:rsidRDefault="00F65B34" w:rsidP="00924991">
      <w:pPr>
        <w:spacing w:line="360" w:lineRule="auto"/>
        <w:jc w:val="both"/>
        <w:rPr>
          <w:rFonts w:ascii="Arial" w:hAnsi="Arial" w:cs="Arial"/>
        </w:rPr>
      </w:pPr>
      <w:r w:rsidRPr="00F65B34">
        <w:rPr>
          <w:rFonts w:ascii="Arial" w:hAnsi="Arial" w:cs="Arial"/>
        </w:rPr>
        <w:t xml:space="preserve">This figure represents the dynamic relationship between US interest rates, gold returns and US equity returns (S&amp;P 500 and Nasdaq), and illustrates how changes in the Federal Reserve's monetary policy affect gold's effectiveness as a portfolio hedge or </w:t>
      </w:r>
      <w:r>
        <w:rPr>
          <w:rFonts w:ascii="Arial" w:hAnsi="Arial" w:cs="Arial"/>
        </w:rPr>
        <w:t>S</w:t>
      </w:r>
      <w:r w:rsidRPr="00F65B34">
        <w:rPr>
          <w:rFonts w:ascii="Arial" w:hAnsi="Arial" w:cs="Arial"/>
        </w:rPr>
        <w:t>afe haven.</w:t>
      </w:r>
    </w:p>
    <w:p w14:paraId="2F9B32EF" w14:textId="77777777" w:rsidR="00F65B34" w:rsidRDefault="00F65B34" w:rsidP="00924991">
      <w:pPr>
        <w:spacing w:line="360" w:lineRule="auto"/>
        <w:jc w:val="both"/>
        <w:rPr>
          <w:rFonts w:ascii="Arial" w:hAnsi="Arial" w:cs="Arial"/>
        </w:rPr>
      </w:pPr>
    </w:p>
    <w:p w14:paraId="07CF93EB" w14:textId="3ECDDB10" w:rsidR="005144B5" w:rsidRPr="00BD0C69" w:rsidRDefault="005144B5" w:rsidP="004A661A">
      <w:pPr>
        <w:pStyle w:val="Heading2"/>
        <w:rPr>
          <w:rFonts w:ascii="Arial" w:hAnsi="Arial" w:cs="Arial"/>
          <w:b/>
          <w:bCs/>
          <w:color w:val="000000" w:themeColor="text1"/>
          <w:sz w:val="24"/>
          <w:szCs w:val="24"/>
        </w:rPr>
      </w:pPr>
      <w:bookmarkStart w:id="9" w:name="_Toc213355218"/>
      <w:r w:rsidRPr="00BD0C69">
        <w:rPr>
          <w:rFonts w:ascii="Arial" w:hAnsi="Arial" w:cs="Arial"/>
          <w:b/>
          <w:bCs/>
          <w:color w:val="000000" w:themeColor="text1"/>
          <w:sz w:val="24"/>
          <w:szCs w:val="24"/>
        </w:rPr>
        <w:lastRenderedPageBreak/>
        <w:t>2.4) Gaps in the Literature</w:t>
      </w:r>
      <w:bookmarkEnd w:id="9"/>
      <w:r w:rsidRPr="00BD0C69">
        <w:rPr>
          <w:rFonts w:ascii="Arial" w:hAnsi="Arial" w:cs="Arial"/>
          <w:b/>
          <w:bCs/>
          <w:color w:val="000000" w:themeColor="text1"/>
          <w:sz w:val="24"/>
          <w:szCs w:val="24"/>
        </w:rPr>
        <w:t xml:space="preserve"> </w:t>
      </w:r>
    </w:p>
    <w:p w14:paraId="47147AE9" w14:textId="77777777" w:rsidR="001E1710" w:rsidRDefault="001E1710" w:rsidP="001E1710">
      <w:pPr>
        <w:spacing w:line="360" w:lineRule="auto"/>
        <w:jc w:val="both"/>
        <w:rPr>
          <w:rFonts w:ascii="Arial" w:hAnsi="Arial" w:cs="Arial"/>
          <w:lang w:val="en-GB"/>
        </w:rPr>
      </w:pPr>
      <w:r w:rsidRPr="001E1710">
        <w:rPr>
          <w:rFonts w:ascii="Arial" w:hAnsi="Arial" w:cs="Arial"/>
          <w:lang w:val="en-GB"/>
        </w:rPr>
        <w:t>While several studies have examined gold as a hedge and Safe</w:t>
      </w:r>
      <w:r>
        <w:rPr>
          <w:rFonts w:ascii="Arial" w:hAnsi="Arial" w:cs="Arial"/>
          <w:lang w:val="en-GB"/>
        </w:rPr>
        <w:t xml:space="preserve"> </w:t>
      </w:r>
      <w:r w:rsidRPr="001E1710">
        <w:rPr>
          <w:rFonts w:ascii="Arial" w:hAnsi="Arial" w:cs="Arial"/>
          <w:lang w:val="en-GB"/>
        </w:rPr>
        <w:t>haven in relation to different phases of US interest rates over long periods of time, most</w:t>
      </w:r>
      <w:r>
        <w:rPr>
          <w:rFonts w:ascii="Arial" w:hAnsi="Arial" w:cs="Arial"/>
          <w:lang w:val="en-GB"/>
        </w:rPr>
        <w:t xml:space="preserve"> </w:t>
      </w:r>
      <w:r w:rsidRPr="001E1710">
        <w:rPr>
          <w:rFonts w:ascii="Arial" w:hAnsi="Arial" w:cs="Arial"/>
          <w:lang w:val="en-GB"/>
        </w:rPr>
        <w:t>of these, for example, Baur &amp; McDermott (2010) and Hood &amp;</w:t>
      </w:r>
      <w:r>
        <w:rPr>
          <w:rFonts w:ascii="Arial" w:hAnsi="Arial" w:cs="Arial"/>
          <w:lang w:val="en-GB"/>
        </w:rPr>
        <w:t xml:space="preserve"> </w:t>
      </w:r>
      <w:r w:rsidRPr="001E1710">
        <w:rPr>
          <w:rFonts w:ascii="Arial" w:hAnsi="Arial" w:cs="Arial"/>
          <w:lang w:val="en-GB"/>
        </w:rPr>
        <w:t xml:space="preserve">Malik (2013) focus on gold as a hedge or Safe haven during short-term crises. These studies do not differentiate the relationship between gold and stock markets during periods of increasing or decreasing US interest rates. </w:t>
      </w:r>
      <w:r>
        <w:rPr>
          <w:rFonts w:ascii="Arial" w:hAnsi="Arial" w:cs="Arial"/>
          <w:lang w:val="en-GB"/>
        </w:rPr>
        <w:t xml:space="preserve"> </w:t>
      </w:r>
    </w:p>
    <w:p w14:paraId="65DBE3A2" w14:textId="526D72A2" w:rsidR="001E1710" w:rsidRDefault="001E1710" w:rsidP="001E1710">
      <w:pPr>
        <w:spacing w:line="360" w:lineRule="auto"/>
        <w:jc w:val="both"/>
        <w:rPr>
          <w:rFonts w:ascii="Arial" w:hAnsi="Arial" w:cs="Arial"/>
          <w:lang w:val="en-GB"/>
        </w:rPr>
      </w:pPr>
      <w:r w:rsidRPr="001E1710">
        <w:rPr>
          <w:rFonts w:ascii="Arial" w:hAnsi="Arial" w:cs="Arial"/>
          <w:lang w:val="en-GB"/>
        </w:rPr>
        <w:t>Furthermore, this research fills this gap by using simple correlation and</w:t>
      </w:r>
      <w:r>
        <w:rPr>
          <w:rFonts w:ascii="Arial" w:hAnsi="Arial" w:cs="Arial"/>
          <w:lang w:val="en-GB"/>
        </w:rPr>
        <w:t xml:space="preserve"> </w:t>
      </w:r>
      <w:r w:rsidRPr="001E1710">
        <w:rPr>
          <w:rFonts w:ascii="Arial" w:hAnsi="Arial" w:cs="Arial"/>
          <w:lang w:val="en-GB"/>
        </w:rPr>
        <w:t>regression methods to determine how periods of increasing and decreasing US</w:t>
      </w:r>
      <w:r>
        <w:rPr>
          <w:rFonts w:ascii="Arial" w:hAnsi="Arial" w:cs="Arial"/>
          <w:lang w:val="en-GB"/>
        </w:rPr>
        <w:t xml:space="preserve"> </w:t>
      </w:r>
      <w:r w:rsidRPr="001E1710">
        <w:rPr>
          <w:rFonts w:ascii="Arial" w:hAnsi="Arial" w:cs="Arial"/>
          <w:lang w:val="en-GB"/>
        </w:rPr>
        <w:t>interest rates influence the relationship between gold returns and US equity</w:t>
      </w:r>
      <w:r>
        <w:rPr>
          <w:rFonts w:ascii="Arial" w:hAnsi="Arial" w:cs="Arial"/>
          <w:lang w:val="en-GB"/>
        </w:rPr>
        <w:t xml:space="preserve"> </w:t>
      </w:r>
      <w:r w:rsidRPr="001E1710">
        <w:rPr>
          <w:rFonts w:ascii="Arial" w:hAnsi="Arial" w:cs="Arial"/>
          <w:lang w:val="en-GB"/>
        </w:rPr>
        <w:t>indices (S&amp;P 500 and Nasdaq) from 2005 to 2025.</w:t>
      </w:r>
    </w:p>
    <w:p w14:paraId="6D216623" w14:textId="041F83E1" w:rsidR="006A77F6" w:rsidRPr="00CD07A8" w:rsidRDefault="00CD07A8" w:rsidP="00CD07A8">
      <w:pPr>
        <w:pStyle w:val="Heading1"/>
        <w:numPr>
          <w:ilvl w:val="0"/>
          <w:numId w:val="8"/>
        </w:numPr>
        <w:rPr>
          <w:rFonts w:ascii="Arial" w:hAnsi="Arial" w:cs="Arial"/>
          <w:b/>
          <w:bCs/>
          <w:color w:val="000000" w:themeColor="text1"/>
          <w:sz w:val="24"/>
          <w:szCs w:val="24"/>
          <w:lang w:val="en-GB"/>
        </w:rPr>
      </w:pPr>
      <w:bookmarkStart w:id="10" w:name="_Toc213355219"/>
      <w:r w:rsidRPr="00CD07A8">
        <w:rPr>
          <w:rFonts w:ascii="Arial" w:hAnsi="Arial" w:cs="Arial"/>
          <w:b/>
          <w:bCs/>
          <w:color w:val="000000" w:themeColor="text1"/>
          <w:sz w:val="24"/>
          <w:szCs w:val="24"/>
          <w:lang w:val="en-GB"/>
        </w:rPr>
        <w:t xml:space="preserve"> </w:t>
      </w:r>
      <w:r w:rsidR="006A77F6" w:rsidRPr="00CD07A8">
        <w:rPr>
          <w:rFonts w:ascii="Arial" w:hAnsi="Arial" w:cs="Arial"/>
          <w:b/>
          <w:bCs/>
          <w:color w:val="000000" w:themeColor="text1"/>
          <w:sz w:val="24"/>
          <w:szCs w:val="24"/>
          <w:lang w:val="en-GB"/>
        </w:rPr>
        <w:t>Methodology</w:t>
      </w:r>
      <w:bookmarkEnd w:id="10"/>
      <w:r w:rsidR="006A77F6" w:rsidRPr="00CD07A8">
        <w:rPr>
          <w:rFonts w:ascii="Arial" w:hAnsi="Arial" w:cs="Arial"/>
          <w:b/>
          <w:bCs/>
          <w:color w:val="000000" w:themeColor="text1"/>
          <w:sz w:val="24"/>
          <w:szCs w:val="24"/>
          <w:lang w:val="en-GB"/>
        </w:rPr>
        <w:t xml:space="preserve"> </w:t>
      </w:r>
    </w:p>
    <w:p w14:paraId="2E695FDB" w14:textId="1E0D264A" w:rsidR="00587B71" w:rsidRPr="00587B71" w:rsidRDefault="00587B71" w:rsidP="00EF4E94">
      <w:pPr>
        <w:pStyle w:val="ListParagraph"/>
        <w:spacing w:line="360" w:lineRule="auto"/>
        <w:ind w:left="0"/>
        <w:jc w:val="both"/>
        <w:rPr>
          <w:rFonts w:ascii="Arial" w:hAnsi="Arial" w:cs="Arial"/>
          <w:lang w:val="en-GB"/>
        </w:rPr>
      </w:pPr>
      <w:r w:rsidRPr="00587B71">
        <w:rPr>
          <w:rFonts w:ascii="Arial" w:hAnsi="Arial" w:cs="Arial"/>
        </w:rPr>
        <w:t>This study adopts a quantitative research approach and uses secondary data to examine how changes in US interest rates affect the relationship between gold returns and US equity returns (S&amp;P 500 and Nasdaq). </w:t>
      </w:r>
      <w:r w:rsidR="00EF4E94" w:rsidRPr="00EF4E94">
        <w:rPr>
          <w:rFonts w:ascii="Arial" w:hAnsi="Arial" w:cs="Arial"/>
        </w:rPr>
        <w:t>The scientific approach that emphasises structure, quantification allows for generalisation and produces testable hypotheses. This approach is supported by the positivist research philosophy</w:t>
      </w:r>
      <w:r w:rsidR="00EF4E94">
        <w:rPr>
          <w:rFonts w:ascii="Arial" w:hAnsi="Arial" w:cs="Arial"/>
        </w:rPr>
        <w:t xml:space="preserve"> </w:t>
      </w:r>
      <w:r w:rsidR="00EF4E94" w:rsidRPr="00EF4E94">
        <w:rPr>
          <w:rFonts w:ascii="Arial" w:hAnsi="Arial" w:cs="Arial"/>
          <w:lang w:val="en-GB"/>
        </w:rPr>
        <w:t>(Saunders, Lewis &amp; Thornhill, 2019</w:t>
      </w:r>
      <w:r w:rsidR="00EF4E94">
        <w:rPr>
          <w:rFonts w:ascii="Arial" w:hAnsi="Arial" w:cs="Arial"/>
          <w:lang w:val="en-GB"/>
        </w:rPr>
        <w:t>).</w:t>
      </w:r>
    </w:p>
    <w:p w14:paraId="423A0FD5" w14:textId="16532ACC" w:rsidR="0045028B" w:rsidRPr="00CD07A8" w:rsidRDefault="00F1469C" w:rsidP="004A661A">
      <w:pPr>
        <w:pStyle w:val="Heading2"/>
        <w:rPr>
          <w:rFonts w:ascii="Arial" w:hAnsi="Arial" w:cs="Arial"/>
          <w:b/>
          <w:bCs/>
          <w:color w:val="000000" w:themeColor="text1"/>
          <w:sz w:val="24"/>
          <w:szCs w:val="24"/>
          <w:lang w:val="en-GB"/>
        </w:rPr>
      </w:pPr>
      <w:bookmarkStart w:id="11" w:name="_Toc213355220"/>
      <w:r w:rsidRPr="00CD07A8">
        <w:rPr>
          <w:rFonts w:ascii="Arial" w:hAnsi="Arial" w:cs="Arial"/>
          <w:b/>
          <w:bCs/>
          <w:color w:val="000000" w:themeColor="text1"/>
          <w:sz w:val="24"/>
          <w:szCs w:val="24"/>
          <w:lang w:val="en-GB"/>
        </w:rPr>
        <w:t xml:space="preserve">3.1) </w:t>
      </w:r>
      <w:r w:rsidR="0045028B" w:rsidRPr="00CD07A8">
        <w:rPr>
          <w:rFonts w:ascii="Arial" w:hAnsi="Arial" w:cs="Arial"/>
          <w:b/>
          <w:bCs/>
          <w:color w:val="000000" w:themeColor="text1"/>
          <w:sz w:val="24"/>
          <w:szCs w:val="24"/>
          <w:lang w:val="en-GB"/>
        </w:rPr>
        <w:t>Data Collection</w:t>
      </w:r>
      <w:bookmarkEnd w:id="11"/>
    </w:p>
    <w:p w14:paraId="73B4CD96" w14:textId="075F69D8" w:rsidR="0045028B" w:rsidRDefault="00C04AAC" w:rsidP="004C1529">
      <w:pPr>
        <w:spacing w:line="360" w:lineRule="auto"/>
        <w:jc w:val="both"/>
        <w:rPr>
          <w:rFonts w:ascii="Arial" w:hAnsi="Arial" w:cs="Arial"/>
        </w:rPr>
      </w:pPr>
      <w:r w:rsidRPr="00C04AAC">
        <w:rPr>
          <w:rFonts w:ascii="Arial" w:hAnsi="Arial" w:cs="Arial"/>
        </w:rPr>
        <w:t>The study will use secondary data from reliable and publicly accessible databases such as Yahoo Finance and the Federal Reserve Economic Data (FRED). The 2005-2025 period for the dataset is chosen to capture multiple market and interest rate cycles.</w:t>
      </w:r>
      <w:r w:rsidR="00225F6D" w:rsidRPr="00225F6D">
        <w:rPr>
          <w:rFonts w:ascii="Arial" w:hAnsi="Arial" w:cs="Arial"/>
          <w:color w:val="1B1C1D"/>
          <w:shd w:val="clear" w:color="auto" w:fill="FFFFFF"/>
        </w:rPr>
        <w:t xml:space="preserve"> </w:t>
      </w:r>
      <w:r w:rsidR="00225F6D" w:rsidRPr="00225F6D">
        <w:rPr>
          <w:rFonts w:ascii="Arial" w:hAnsi="Arial" w:cs="Arial"/>
        </w:rPr>
        <w:t>The study requires the collection of monthly or quarterly closing prices for gold, the S&amp;P 500 and the Nasdaq, along with the US interest rate.</w:t>
      </w:r>
      <w:r w:rsidR="00A33FE1" w:rsidRPr="00A33FE1">
        <w:rPr>
          <w:rFonts w:ascii="Arial" w:hAnsi="Arial" w:cs="Arial"/>
          <w:color w:val="1B1C1D"/>
          <w:shd w:val="clear" w:color="auto" w:fill="FFFFFF"/>
        </w:rPr>
        <w:t xml:space="preserve"> </w:t>
      </w:r>
      <w:r w:rsidR="00A33FE1" w:rsidRPr="00A33FE1">
        <w:rPr>
          <w:rFonts w:ascii="Arial" w:hAnsi="Arial" w:cs="Arial"/>
        </w:rPr>
        <w:t>Stocks and gold profits are calculated as percentages, but interest rates use the simple difference between one period and the next.</w:t>
      </w:r>
    </w:p>
    <w:p w14:paraId="636B1E0B" w14:textId="4264F38C" w:rsidR="004939E2" w:rsidRPr="00CD07A8" w:rsidRDefault="00F1469C" w:rsidP="004A661A">
      <w:pPr>
        <w:pStyle w:val="Heading2"/>
        <w:rPr>
          <w:rFonts w:ascii="Arial" w:hAnsi="Arial" w:cs="Arial"/>
          <w:b/>
          <w:bCs/>
          <w:color w:val="000000" w:themeColor="text1"/>
          <w:sz w:val="24"/>
          <w:szCs w:val="24"/>
        </w:rPr>
      </w:pPr>
      <w:bookmarkStart w:id="12" w:name="_Toc213355221"/>
      <w:r w:rsidRPr="00CD07A8">
        <w:rPr>
          <w:rFonts w:ascii="Arial" w:hAnsi="Arial" w:cs="Arial"/>
          <w:b/>
          <w:bCs/>
          <w:color w:val="000000" w:themeColor="text1"/>
          <w:sz w:val="24"/>
          <w:szCs w:val="24"/>
        </w:rPr>
        <w:t xml:space="preserve">3.2) </w:t>
      </w:r>
      <w:r w:rsidR="004939E2" w:rsidRPr="00CD07A8">
        <w:rPr>
          <w:rFonts w:ascii="Arial" w:hAnsi="Arial" w:cs="Arial"/>
          <w:b/>
          <w:bCs/>
          <w:color w:val="000000" w:themeColor="text1"/>
          <w:sz w:val="24"/>
          <w:szCs w:val="24"/>
        </w:rPr>
        <w:t>Sampling Strategy</w:t>
      </w:r>
      <w:bookmarkEnd w:id="12"/>
    </w:p>
    <w:p w14:paraId="6DAF7AB4" w14:textId="219AE1A7" w:rsidR="004939E2" w:rsidRDefault="007B48ED" w:rsidP="004C1529">
      <w:pPr>
        <w:spacing w:line="360" w:lineRule="auto"/>
        <w:jc w:val="both"/>
        <w:rPr>
          <w:rFonts w:ascii="Arial" w:hAnsi="Arial" w:cs="Arial"/>
        </w:rPr>
      </w:pPr>
      <w:r w:rsidRPr="007B48ED">
        <w:rPr>
          <w:rFonts w:ascii="Arial" w:hAnsi="Arial" w:cs="Arial"/>
        </w:rPr>
        <w:t xml:space="preserve">The study is dependent on historical financial </w:t>
      </w:r>
      <w:r w:rsidR="00046DB8" w:rsidRPr="007B48ED">
        <w:rPr>
          <w:rFonts w:ascii="Arial" w:hAnsi="Arial" w:cs="Arial"/>
        </w:rPr>
        <w:t>data;</w:t>
      </w:r>
      <w:r w:rsidRPr="007B48ED">
        <w:rPr>
          <w:rFonts w:ascii="Arial" w:hAnsi="Arial" w:cs="Arial"/>
        </w:rPr>
        <w:t xml:space="preserve"> sampling is based on period selection rather than participants. </w:t>
      </w:r>
      <w:r w:rsidR="00046DB8" w:rsidRPr="007B48ED">
        <w:rPr>
          <w:rFonts w:ascii="Arial" w:hAnsi="Arial" w:cs="Arial"/>
        </w:rPr>
        <w:t>A period</w:t>
      </w:r>
      <w:r w:rsidRPr="007B48ED">
        <w:rPr>
          <w:rFonts w:ascii="Arial" w:hAnsi="Arial" w:cs="Arial"/>
        </w:rPr>
        <w:t xml:space="preserve"> of 20 years provides a comprehensive sample that reflects both a rising and falling interest-rate environment, including major financial events such as the 2008 global crisis and the 2020 C</w:t>
      </w:r>
      <w:r w:rsidR="00046DB8">
        <w:rPr>
          <w:rFonts w:ascii="Arial" w:hAnsi="Arial" w:cs="Arial"/>
        </w:rPr>
        <w:t>OVID</w:t>
      </w:r>
      <w:r w:rsidRPr="007B48ED">
        <w:rPr>
          <w:rFonts w:ascii="Arial" w:hAnsi="Arial" w:cs="Arial"/>
        </w:rPr>
        <w:t xml:space="preserve">-19 market shock. </w:t>
      </w:r>
      <w:r w:rsidRPr="007B48ED">
        <w:rPr>
          <w:rFonts w:ascii="Arial" w:hAnsi="Arial" w:cs="Arial"/>
        </w:rPr>
        <w:lastRenderedPageBreak/>
        <w:t xml:space="preserve">This </w:t>
      </w:r>
      <w:proofErr w:type="gramStart"/>
      <w:r w:rsidRPr="007B48ED">
        <w:rPr>
          <w:rFonts w:ascii="Arial" w:hAnsi="Arial" w:cs="Arial"/>
        </w:rPr>
        <w:t>time period</w:t>
      </w:r>
      <w:proofErr w:type="gramEnd"/>
      <w:r w:rsidRPr="007B48ED">
        <w:rPr>
          <w:rFonts w:ascii="Arial" w:hAnsi="Arial" w:cs="Arial"/>
        </w:rPr>
        <w:t xml:space="preserve"> provides sufficient variability to assess how interest-rate changes influence gold's</w:t>
      </w:r>
      <w:r w:rsidRPr="007B48ED">
        <w:rPr>
          <w:rFonts w:ascii="Nunito Sans" w:hAnsi="Nunito Sans"/>
          <w:color w:val="212529"/>
          <w:shd w:val="clear" w:color="auto" w:fill="FFFFFF"/>
        </w:rPr>
        <w:t xml:space="preserve"> </w:t>
      </w:r>
      <w:r w:rsidRPr="007B48ED">
        <w:rPr>
          <w:rFonts w:ascii="Arial" w:hAnsi="Arial" w:cs="Arial"/>
        </w:rPr>
        <w:t>hedge and Safe- haven behaviour.</w:t>
      </w:r>
    </w:p>
    <w:p w14:paraId="710A9DBD" w14:textId="27F2DBAC" w:rsidR="00CB0F24" w:rsidRPr="00CD07A8" w:rsidRDefault="00F1469C" w:rsidP="004A661A">
      <w:pPr>
        <w:pStyle w:val="Heading2"/>
        <w:rPr>
          <w:rFonts w:ascii="Arial" w:hAnsi="Arial" w:cs="Arial"/>
          <w:b/>
          <w:bCs/>
          <w:color w:val="000000" w:themeColor="text1"/>
          <w:sz w:val="24"/>
          <w:szCs w:val="24"/>
        </w:rPr>
      </w:pPr>
      <w:bookmarkStart w:id="13" w:name="_Toc213355222"/>
      <w:r w:rsidRPr="00CD07A8">
        <w:rPr>
          <w:rFonts w:ascii="Arial" w:hAnsi="Arial" w:cs="Arial"/>
          <w:b/>
          <w:bCs/>
          <w:color w:val="000000" w:themeColor="text1"/>
          <w:sz w:val="24"/>
          <w:szCs w:val="24"/>
        </w:rPr>
        <w:t xml:space="preserve">3.3) </w:t>
      </w:r>
      <w:r w:rsidR="008531A4" w:rsidRPr="00CD07A8">
        <w:rPr>
          <w:rFonts w:ascii="Arial" w:hAnsi="Arial" w:cs="Arial"/>
          <w:b/>
          <w:bCs/>
          <w:color w:val="000000" w:themeColor="text1"/>
          <w:sz w:val="24"/>
          <w:szCs w:val="24"/>
        </w:rPr>
        <w:t>Data Analysis</w:t>
      </w:r>
      <w:bookmarkEnd w:id="13"/>
      <w:r w:rsidR="008531A4" w:rsidRPr="00CD07A8">
        <w:rPr>
          <w:rFonts w:ascii="Arial" w:hAnsi="Arial" w:cs="Arial"/>
          <w:b/>
          <w:bCs/>
          <w:color w:val="000000" w:themeColor="text1"/>
          <w:sz w:val="24"/>
          <w:szCs w:val="24"/>
        </w:rPr>
        <w:t xml:space="preserve"> </w:t>
      </w:r>
    </w:p>
    <w:p w14:paraId="01E1D98A" w14:textId="2EC29A0C" w:rsidR="008531A4" w:rsidRDefault="007762F1" w:rsidP="004C1529">
      <w:pPr>
        <w:spacing w:line="360" w:lineRule="auto"/>
        <w:jc w:val="both"/>
        <w:rPr>
          <w:rFonts w:ascii="Arial" w:hAnsi="Arial" w:cs="Arial"/>
        </w:rPr>
      </w:pPr>
      <w:r w:rsidRPr="007762F1">
        <w:rPr>
          <w:rFonts w:ascii="Arial" w:hAnsi="Arial" w:cs="Arial"/>
        </w:rPr>
        <w:t>The data will be analysed using Microsoft Excel, which is suitable for simple quantitative and statistical analysis. Two different approaches will be used:</w:t>
      </w:r>
    </w:p>
    <w:p w14:paraId="0F5C5316" w14:textId="449C571B" w:rsidR="007762F1" w:rsidRDefault="007762F1" w:rsidP="007762F1">
      <w:pPr>
        <w:pStyle w:val="ListParagraph"/>
        <w:numPr>
          <w:ilvl w:val="0"/>
          <w:numId w:val="7"/>
        </w:numPr>
        <w:spacing w:line="360" w:lineRule="auto"/>
        <w:jc w:val="both"/>
        <w:rPr>
          <w:rFonts w:ascii="Arial" w:hAnsi="Arial" w:cs="Arial"/>
        </w:rPr>
      </w:pPr>
      <w:r w:rsidRPr="00BA0185">
        <w:rPr>
          <w:rFonts w:ascii="Arial" w:hAnsi="Arial" w:cs="Arial"/>
          <w:b/>
          <w:bCs/>
        </w:rPr>
        <w:t>Correlation analysis</w:t>
      </w:r>
      <w:r w:rsidR="00BA0185" w:rsidRPr="00BA0185">
        <w:rPr>
          <w:rFonts w:ascii="Arial" w:hAnsi="Arial" w:cs="Arial"/>
          <w:b/>
          <w:bCs/>
        </w:rPr>
        <w:t>:</w:t>
      </w:r>
      <w:r w:rsidR="00BA0185">
        <w:rPr>
          <w:rFonts w:ascii="Arial" w:hAnsi="Arial" w:cs="Arial"/>
        </w:rPr>
        <w:t xml:space="preserve"> According to ACCA (2024), </w:t>
      </w:r>
      <w:r w:rsidR="00BA0185" w:rsidRPr="00BA0185">
        <w:rPr>
          <w:rFonts w:ascii="Arial" w:hAnsi="Arial" w:cs="Arial"/>
        </w:rPr>
        <w:t xml:space="preserve">The CORREL () function measures the linear relationship between gold and equity returns. By comparing the results across periods of increasing and decreasing interest rates, this will indicate whether gold is acting as a hedge (negative correlation) or as a </w:t>
      </w:r>
      <w:r w:rsidR="00253555">
        <w:rPr>
          <w:rFonts w:ascii="Arial" w:hAnsi="Arial" w:cs="Arial"/>
        </w:rPr>
        <w:t>S</w:t>
      </w:r>
      <w:r w:rsidR="00BA0185" w:rsidRPr="00BA0185">
        <w:rPr>
          <w:rFonts w:ascii="Arial" w:hAnsi="Arial" w:cs="Arial"/>
        </w:rPr>
        <w:t>afe haven during market crises.</w:t>
      </w:r>
    </w:p>
    <w:p w14:paraId="6DCAAE48" w14:textId="59CCA1D2" w:rsidR="00BA0185" w:rsidRPr="00C21E41" w:rsidRDefault="00553B12" w:rsidP="00BC7B38">
      <w:pPr>
        <w:pStyle w:val="ListParagraph"/>
        <w:numPr>
          <w:ilvl w:val="0"/>
          <w:numId w:val="7"/>
        </w:numPr>
        <w:spacing w:before="100" w:beforeAutospacing="1" w:after="100" w:afterAutospacing="1" w:line="360" w:lineRule="auto"/>
        <w:ind w:left="357"/>
        <w:jc w:val="both"/>
        <w:rPr>
          <w:rFonts w:ascii="Arial" w:eastAsia="Times New Roman" w:hAnsi="Arial" w:cs="Arial"/>
          <w:kern w:val="0"/>
          <w:lang w:val="en-GB" w:eastAsia="en-GB" w:bidi="ar-SA"/>
          <w14:ligatures w14:val="none"/>
        </w:rPr>
      </w:pPr>
      <w:r w:rsidRPr="00553B12">
        <w:rPr>
          <w:rFonts w:ascii="Arial" w:eastAsia="Times New Roman" w:hAnsi="Arial" w:cs="Arial"/>
          <w:b/>
          <w:bCs/>
          <w:kern w:val="0"/>
          <w:lang w:val="en-GB" w:eastAsia="en-GB" w:bidi="ar-SA"/>
          <w14:ligatures w14:val="none"/>
        </w:rPr>
        <w:t>Regression Analysis:</w:t>
      </w:r>
      <w:r>
        <w:rPr>
          <w:rFonts w:ascii="Arial" w:eastAsia="Times New Roman" w:hAnsi="Arial" w:cs="Arial"/>
          <w:b/>
          <w:bCs/>
          <w:kern w:val="0"/>
          <w:lang w:val="en-GB" w:eastAsia="en-GB" w:bidi="ar-SA"/>
          <w14:ligatures w14:val="none"/>
        </w:rPr>
        <w:t xml:space="preserve"> </w:t>
      </w:r>
      <w:r w:rsidR="00BC28FF" w:rsidRPr="00BC28FF">
        <w:rPr>
          <w:rFonts w:ascii="Arial" w:eastAsia="Times New Roman" w:hAnsi="Arial" w:cs="Arial"/>
          <w:kern w:val="0"/>
          <w:lang w:eastAsia="en-GB" w:bidi="ar-SA"/>
          <w14:ligatures w14:val="none"/>
        </w:rPr>
        <w:t xml:space="preserve">The regression analysis is used to estimate how changes in interest rates affect the gold returns and equities. The model </w:t>
      </w:r>
      <w:r w:rsidR="003F020E">
        <w:rPr>
          <w:rFonts w:ascii="Arial" w:eastAsia="Times New Roman" w:hAnsi="Arial" w:cs="Arial"/>
          <w:kern w:val="0"/>
          <w:lang w:eastAsia="en-GB" w:bidi="ar-SA"/>
          <w14:ligatures w14:val="none"/>
        </w:rPr>
        <w:t xml:space="preserve">follows </w:t>
      </w:r>
      <w:r w:rsidR="003F020E" w:rsidRPr="003F020E">
        <w:rPr>
          <w:rFonts w:ascii="Arial" w:eastAsia="Times New Roman" w:hAnsi="Arial" w:cs="Arial"/>
          <w:kern w:val="0"/>
          <w:lang w:eastAsia="en-GB" w:bidi="ar-SA"/>
          <w14:ligatures w14:val="none"/>
        </w:rPr>
        <w:t xml:space="preserve">the regression framework used to analyse gold and equity returns </w:t>
      </w:r>
      <w:r w:rsidR="00EE3650" w:rsidRPr="00033165">
        <w:rPr>
          <w:rFonts w:ascii="Arial" w:eastAsia="Times New Roman" w:hAnsi="Arial" w:cs="Arial"/>
          <w:kern w:val="0"/>
          <w:lang w:eastAsia="en-GB" w:bidi="ar-SA"/>
          <w14:ligatures w14:val="none"/>
        </w:rPr>
        <w:t>(Baur &amp; Lucey, 2010</w:t>
      </w:r>
      <w:r w:rsidR="00EE3650">
        <w:rPr>
          <w:rFonts w:ascii="Arial" w:eastAsia="Times New Roman" w:hAnsi="Arial" w:cs="Arial"/>
          <w:kern w:val="0"/>
          <w:lang w:eastAsia="en-GB" w:bidi="ar-SA"/>
          <w14:ligatures w14:val="none"/>
        </w:rPr>
        <w:t>)</w:t>
      </w:r>
      <w:r w:rsidR="00BC28FF" w:rsidRPr="00BC28FF">
        <w:rPr>
          <w:rFonts w:ascii="Arial" w:eastAsia="Times New Roman" w:hAnsi="Arial" w:cs="Arial"/>
          <w:kern w:val="0"/>
          <w:lang w:eastAsia="en-GB" w:bidi="ar-SA"/>
          <w14:ligatures w14:val="none"/>
        </w:rPr>
        <w:t xml:space="preserve"> </w:t>
      </w:r>
      <w:r w:rsidR="003F020E">
        <w:rPr>
          <w:rFonts w:ascii="Arial" w:eastAsia="Times New Roman" w:hAnsi="Arial" w:cs="Arial"/>
          <w:kern w:val="0"/>
          <w:lang w:eastAsia="en-GB" w:bidi="ar-SA"/>
          <w14:ligatures w14:val="none"/>
        </w:rPr>
        <w:t xml:space="preserve">and is shown </w:t>
      </w:r>
      <w:r w:rsidR="00BC28FF" w:rsidRPr="00BC28FF">
        <w:rPr>
          <w:rFonts w:ascii="Arial" w:eastAsia="Times New Roman" w:hAnsi="Arial" w:cs="Arial"/>
          <w:kern w:val="0"/>
          <w:lang w:eastAsia="en-GB" w:bidi="ar-SA"/>
          <w14:ligatures w14:val="none"/>
        </w:rPr>
        <w:t>as follows:</w:t>
      </w:r>
    </w:p>
    <w:p w14:paraId="7E46455E" w14:textId="77777777" w:rsidR="00C21E41" w:rsidRPr="00BC28FF" w:rsidRDefault="00C21E41" w:rsidP="00C21E41">
      <w:pPr>
        <w:pStyle w:val="ListParagraph"/>
        <w:spacing w:before="100" w:beforeAutospacing="1" w:after="100" w:afterAutospacing="1" w:line="360" w:lineRule="auto"/>
        <w:ind w:left="357"/>
        <w:jc w:val="both"/>
        <w:rPr>
          <w:rFonts w:ascii="Arial" w:eastAsia="Times New Roman" w:hAnsi="Arial" w:cs="Arial"/>
          <w:kern w:val="0"/>
          <w:lang w:val="en-GB" w:eastAsia="en-GB" w:bidi="ar-SA"/>
          <w14:ligatures w14:val="none"/>
        </w:rPr>
      </w:pPr>
    </w:p>
    <w:p w14:paraId="07CECDDC" w14:textId="75A73732" w:rsidR="00BC7B38" w:rsidRDefault="00FF19A6" w:rsidP="00FF19A6">
      <w:pPr>
        <w:pStyle w:val="ListParagraph"/>
        <w:spacing w:before="100" w:beforeAutospacing="1" w:after="100" w:afterAutospacing="1" w:line="360" w:lineRule="auto"/>
        <w:ind w:left="357"/>
        <w:jc w:val="center"/>
        <w:rPr>
          <w:rFonts w:ascii="Arial" w:eastAsia="Times New Roman" w:hAnsi="Arial" w:cs="Arial"/>
          <w:i/>
          <w:iCs/>
          <w:kern w:val="0"/>
          <w:lang w:eastAsia="en-GB" w:bidi="ar-SA"/>
          <w14:ligatures w14:val="none"/>
        </w:rPr>
      </w:pPr>
      <w:proofErr w:type="spellStart"/>
      <w:r w:rsidRPr="00FF19A6">
        <w:rPr>
          <w:rFonts w:ascii="Arial" w:eastAsia="Times New Roman" w:hAnsi="Arial" w:cs="Arial"/>
          <w:i/>
          <w:iCs/>
          <w:kern w:val="0"/>
          <w:lang w:eastAsia="en-GB" w:bidi="ar-SA"/>
          <w14:ligatures w14:val="none"/>
        </w:rPr>
        <w:t>R</w:t>
      </w:r>
      <w:r w:rsidRPr="00FF19A6">
        <w:rPr>
          <w:rFonts w:ascii="Arial" w:eastAsia="Times New Roman" w:hAnsi="Arial" w:cs="Arial"/>
          <w:kern w:val="0"/>
          <w:lang w:eastAsia="en-GB" w:bidi="ar-SA"/>
          <w14:ligatures w14:val="none"/>
        </w:rPr>
        <w:t>gold</w:t>
      </w:r>
      <w:proofErr w:type="spellEnd"/>
      <w:r w:rsidRPr="00FF19A6">
        <w:rPr>
          <w:rFonts w:ascii="Arial" w:eastAsia="Times New Roman" w:hAnsi="Arial" w:cs="Arial"/>
          <w:kern w:val="0"/>
          <w:lang w:eastAsia="en-GB" w:bidi="ar-SA"/>
          <w14:ligatures w14:val="none"/>
        </w:rPr>
        <w:t>,</w:t>
      </w:r>
      <w:r>
        <w:rPr>
          <w:rFonts w:ascii="Arial" w:eastAsia="Times New Roman" w:hAnsi="Arial" w:cs="Arial"/>
          <w:kern w:val="0"/>
          <w:lang w:eastAsia="en-GB" w:bidi="ar-SA"/>
          <w14:ligatures w14:val="none"/>
        </w:rPr>
        <w:t xml:space="preserve"> </w:t>
      </w:r>
      <w:r w:rsidRPr="00FF19A6">
        <w:rPr>
          <w:rFonts w:ascii="Arial" w:eastAsia="Times New Roman" w:hAnsi="Arial" w:cs="Arial"/>
          <w:kern w:val="0"/>
          <w:lang w:eastAsia="en-GB" w:bidi="ar-SA"/>
          <w14:ligatures w14:val="none"/>
        </w:rPr>
        <w:t>t</w:t>
      </w:r>
      <w:r>
        <w:rPr>
          <w:rFonts w:ascii="Arial" w:eastAsia="Times New Roman" w:hAnsi="Arial" w:cs="Arial"/>
          <w:kern w:val="0"/>
          <w:lang w:eastAsia="en-GB" w:bidi="ar-SA"/>
          <w14:ligatures w14:val="none"/>
        </w:rPr>
        <w:t xml:space="preserve"> </w:t>
      </w:r>
      <w:r w:rsidRPr="00FF19A6">
        <w:rPr>
          <w:rFonts w:ascii="Arial" w:eastAsia="Times New Roman" w:hAnsi="Arial" w:cs="Arial"/>
          <w:kern w:val="0"/>
          <w:lang w:eastAsia="en-GB" w:bidi="ar-SA"/>
          <w14:ligatures w14:val="none"/>
        </w:rPr>
        <w:t>​=</w:t>
      </w:r>
      <w:r>
        <w:rPr>
          <w:rFonts w:ascii="Arial" w:eastAsia="Times New Roman" w:hAnsi="Arial" w:cs="Arial"/>
          <w:kern w:val="0"/>
          <w:lang w:eastAsia="en-GB" w:bidi="ar-SA"/>
          <w14:ligatures w14:val="none"/>
        </w:rPr>
        <w:t xml:space="preserve"> </w:t>
      </w:r>
      <w:r w:rsidRPr="00FF19A6">
        <w:rPr>
          <w:rFonts w:ascii="Arial" w:eastAsia="Times New Roman" w:hAnsi="Arial" w:cs="Arial"/>
          <w:i/>
          <w:iCs/>
          <w:kern w:val="0"/>
          <w:lang w:eastAsia="en-GB" w:bidi="ar-SA"/>
          <w14:ligatures w14:val="none"/>
        </w:rPr>
        <w:t>α</w:t>
      </w:r>
      <w:r>
        <w:rPr>
          <w:rFonts w:ascii="Arial" w:eastAsia="Times New Roman" w:hAnsi="Arial" w:cs="Arial"/>
          <w:kern w:val="0"/>
          <w:lang w:eastAsia="en-GB" w:bidi="ar-SA"/>
          <w14:ligatures w14:val="none"/>
        </w:rPr>
        <w:t xml:space="preserve"> </w:t>
      </w:r>
      <w:r w:rsidRPr="00FF19A6">
        <w:rPr>
          <w:rFonts w:ascii="Arial" w:eastAsia="Times New Roman" w:hAnsi="Arial" w:cs="Arial"/>
          <w:kern w:val="0"/>
          <w:lang w:eastAsia="en-GB" w:bidi="ar-SA"/>
          <w14:ligatures w14:val="none"/>
        </w:rPr>
        <w:t>+</w:t>
      </w:r>
      <w:r>
        <w:rPr>
          <w:rFonts w:ascii="Arial" w:eastAsia="Times New Roman" w:hAnsi="Arial" w:cs="Arial"/>
          <w:kern w:val="0"/>
          <w:lang w:eastAsia="en-GB" w:bidi="ar-SA"/>
          <w14:ligatures w14:val="none"/>
        </w:rPr>
        <w:t xml:space="preserve"> </w:t>
      </w:r>
      <w:r w:rsidRPr="00FF19A6">
        <w:rPr>
          <w:rFonts w:ascii="Arial" w:eastAsia="Times New Roman" w:hAnsi="Arial" w:cs="Arial"/>
          <w:i/>
          <w:iCs/>
          <w:kern w:val="0"/>
          <w:lang w:eastAsia="en-GB" w:bidi="ar-SA"/>
          <w14:ligatures w14:val="none"/>
        </w:rPr>
        <w:t xml:space="preserve">β </w:t>
      </w:r>
      <w:proofErr w:type="spellStart"/>
      <w:r w:rsidRPr="00FF19A6">
        <w:rPr>
          <w:rFonts w:ascii="Arial" w:eastAsia="Times New Roman" w:hAnsi="Arial" w:cs="Arial"/>
          <w:kern w:val="0"/>
          <w:lang w:eastAsia="en-GB" w:bidi="ar-SA"/>
          <w14:ligatures w14:val="none"/>
        </w:rPr>
        <w:t>ΔRate</w:t>
      </w:r>
      <w:proofErr w:type="spellEnd"/>
      <w:r>
        <w:rPr>
          <w:rFonts w:ascii="Arial" w:eastAsia="Times New Roman" w:hAnsi="Arial" w:cs="Arial"/>
          <w:kern w:val="0"/>
          <w:lang w:eastAsia="en-GB" w:bidi="ar-SA"/>
          <w14:ligatures w14:val="none"/>
        </w:rPr>
        <w:t xml:space="preserve"> </w:t>
      </w:r>
      <w:r w:rsidRPr="00FF19A6">
        <w:rPr>
          <w:rFonts w:ascii="Arial" w:eastAsia="Times New Roman" w:hAnsi="Arial" w:cs="Arial"/>
          <w:kern w:val="0"/>
          <w:lang w:eastAsia="en-GB" w:bidi="ar-SA"/>
          <w14:ligatures w14:val="none"/>
        </w:rPr>
        <w:t>t​</w:t>
      </w:r>
      <w:r>
        <w:rPr>
          <w:rFonts w:ascii="Arial" w:eastAsia="Times New Roman" w:hAnsi="Arial" w:cs="Arial"/>
          <w:kern w:val="0"/>
          <w:lang w:eastAsia="en-GB" w:bidi="ar-SA"/>
          <w14:ligatures w14:val="none"/>
        </w:rPr>
        <w:t xml:space="preserve"> </w:t>
      </w:r>
      <w:r w:rsidRPr="00FF19A6">
        <w:rPr>
          <w:rFonts w:ascii="Arial" w:eastAsia="Times New Roman" w:hAnsi="Arial" w:cs="Arial"/>
          <w:kern w:val="0"/>
          <w:lang w:eastAsia="en-GB" w:bidi="ar-SA"/>
          <w14:ligatures w14:val="none"/>
        </w:rPr>
        <w:t>+</w:t>
      </w:r>
      <w:r>
        <w:rPr>
          <w:rFonts w:ascii="Arial" w:eastAsia="Times New Roman" w:hAnsi="Arial" w:cs="Arial"/>
          <w:kern w:val="0"/>
          <w:lang w:eastAsia="en-GB" w:bidi="ar-SA"/>
          <w14:ligatures w14:val="none"/>
        </w:rPr>
        <w:t xml:space="preserve"> </w:t>
      </w:r>
      <w:r w:rsidRPr="00FF19A6">
        <w:rPr>
          <w:rFonts w:ascii="Arial" w:eastAsia="Times New Roman" w:hAnsi="Arial" w:cs="Arial"/>
          <w:i/>
          <w:iCs/>
          <w:kern w:val="0"/>
          <w:lang w:eastAsia="en-GB" w:bidi="ar-SA"/>
          <w14:ligatures w14:val="none"/>
        </w:rPr>
        <w:t>γ</w:t>
      </w:r>
      <w:r>
        <w:rPr>
          <w:rFonts w:ascii="Arial" w:eastAsia="Times New Roman" w:hAnsi="Arial" w:cs="Arial"/>
          <w:kern w:val="0"/>
          <w:lang w:eastAsia="en-GB" w:bidi="ar-SA"/>
          <w14:ligatures w14:val="none"/>
        </w:rPr>
        <w:t xml:space="preserve"> </w:t>
      </w:r>
      <w:proofErr w:type="spellStart"/>
      <w:r w:rsidRPr="00FF19A6">
        <w:rPr>
          <w:rFonts w:ascii="Arial" w:eastAsia="Times New Roman" w:hAnsi="Arial" w:cs="Arial"/>
          <w:kern w:val="0"/>
          <w:lang w:eastAsia="en-GB" w:bidi="ar-SA"/>
          <w14:ligatures w14:val="none"/>
        </w:rPr>
        <w:t>Requity</w:t>
      </w:r>
      <w:proofErr w:type="spellEnd"/>
      <w:r w:rsidRPr="00FF19A6">
        <w:rPr>
          <w:rFonts w:ascii="Arial" w:eastAsia="Times New Roman" w:hAnsi="Arial" w:cs="Arial"/>
          <w:kern w:val="0"/>
          <w:lang w:eastAsia="en-GB" w:bidi="ar-SA"/>
          <w14:ligatures w14:val="none"/>
        </w:rPr>
        <w:t>,</w:t>
      </w:r>
      <w:r>
        <w:rPr>
          <w:rFonts w:ascii="Arial" w:eastAsia="Times New Roman" w:hAnsi="Arial" w:cs="Arial"/>
          <w:kern w:val="0"/>
          <w:lang w:eastAsia="en-GB" w:bidi="ar-SA"/>
          <w14:ligatures w14:val="none"/>
        </w:rPr>
        <w:t xml:space="preserve"> </w:t>
      </w:r>
      <w:r w:rsidRPr="00FF19A6">
        <w:rPr>
          <w:rFonts w:ascii="Arial" w:eastAsia="Times New Roman" w:hAnsi="Arial" w:cs="Arial"/>
          <w:kern w:val="0"/>
          <w:lang w:eastAsia="en-GB" w:bidi="ar-SA"/>
          <w14:ligatures w14:val="none"/>
        </w:rPr>
        <w:t>t​</w:t>
      </w:r>
      <w:r>
        <w:rPr>
          <w:rFonts w:ascii="Arial" w:eastAsia="Times New Roman" w:hAnsi="Arial" w:cs="Arial"/>
          <w:kern w:val="0"/>
          <w:lang w:eastAsia="en-GB" w:bidi="ar-SA"/>
          <w14:ligatures w14:val="none"/>
        </w:rPr>
        <w:t xml:space="preserve"> </w:t>
      </w:r>
      <w:r w:rsidRPr="00FF19A6">
        <w:rPr>
          <w:rFonts w:ascii="Arial" w:eastAsia="Times New Roman" w:hAnsi="Arial" w:cs="Arial"/>
          <w:kern w:val="0"/>
          <w:lang w:eastAsia="en-GB" w:bidi="ar-SA"/>
          <w14:ligatures w14:val="none"/>
        </w:rPr>
        <w:t>+</w:t>
      </w:r>
      <w:r>
        <w:rPr>
          <w:rFonts w:ascii="Arial" w:eastAsia="Times New Roman" w:hAnsi="Arial" w:cs="Arial"/>
          <w:kern w:val="0"/>
          <w:lang w:eastAsia="en-GB" w:bidi="ar-SA"/>
          <w14:ligatures w14:val="none"/>
        </w:rPr>
        <w:t xml:space="preserve"> </w:t>
      </w:r>
      <w:proofErr w:type="spellStart"/>
      <w:r w:rsidRPr="00FF19A6">
        <w:rPr>
          <w:rFonts w:ascii="Arial" w:eastAsia="Times New Roman" w:hAnsi="Arial" w:cs="Arial"/>
          <w:i/>
          <w:iCs/>
          <w:kern w:val="0"/>
          <w:lang w:eastAsia="en-GB" w:bidi="ar-SA"/>
          <w14:ligatures w14:val="none"/>
        </w:rPr>
        <w:t>εt</w:t>
      </w:r>
      <w:proofErr w:type="spellEnd"/>
      <w:r w:rsidRPr="00FF19A6">
        <w:rPr>
          <w:rFonts w:ascii="Arial" w:eastAsia="Times New Roman" w:hAnsi="Arial" w:cs="Arial"/>
          <w:i/>
          <w:iCs/>
          <w:kern w:val="0"/>
          <w:lang w:eastAsia="en-GB" w:bidi="ar-SA"/>
          <w14:ligatures w14:val="none"/>
        </w:rPr>
        <w:t>​</w:t>
      </w:r>
      <w:r>
        <w:rPr>
          <w:rFonts w:ascii="Arial" w:eastAsia="Times New Roman" w:hAnsi="Arial" w:cs="Arial"/>
          <w:i/>
          <w:iCs/>
          <w:kern w:val="0"/>
          <w:lang w:eastAsia="en-GB" w:bidi="ar-SA"/>
          <w14:ligatures w14:val="none"/>
        </w:rPr>
        <w:t xml:space="preserve"> </w:t>
      </w:r>
    </w:p>
    <w:p w14:paraId="77DFD5A2" w14:textId="77777777" w:rsidR="00C21E41" w:rsidRDefault="00C21E41" w:rsidP="00FF19A6">
      <w:pPr>
        <w:pStyle w:val="ListParagraph"/>
        <w:spacing w:before="100" w:beforeAutospacing="1" w:after="100" w:afterAutospacing="1" w:line="360" w:lineRule="auto"/>
        <w:ind w:left="357"/>
        <w:jc w:val="center"/>
        <w:rPr>
          <w:rFonts w:ascii="Arial" w:eastAsia="Times New Roman" w:hAnsi="Arial" w:cs="Arial"/>
          <w:kern w:val="0"/>
          <w:lang w:eastAsia="en-GB" w:bidi="ar-SA"/>
          <w14:ligatures w14:val="none"/>
        </w:rPr>
      </w:pPr>
    </w:p>
    <w:p w14:paraId="06A1928A" w14:textId="77777777" w:rsidR="00FF19A6" w:rsidRDefault="00FF19A6" w:rsidP="00FF19A6">
      <w:pPr>
        <w:pStyle w:val="ListParagraph"/>
        <w:spacing w:line="360" w:lineRule="auto"/>
        <w:ind w:left="357"/>
        <w:jc w:val="both"/>
        <w:rPr>
          <w:rFonts w:ascii="Arial" w:eastAsia="Times New Roman" w:hAnsi="Arial" w:cs="Arial"/>
          <w:kern w:val="0"/>
          <w:lang w:val="en-GB" w:eastAsia="en-GB" w:bidi="ar-SA"/>
          <w14:ligatures w14:val="none"/>
        </w:rPr>
      </w:pPr>
      <w:r w:rsidRPr="00FF19A6">
        <w:rPr>
          <w:rFonts w:ascii="Arial" w:eastAsia="Times New Roman" w:hAnsi="Arial" w:cs="Arial"/>
          <w:kern w:val="0"/>
          <w:lang w:val="en-GB" w:eastAsia="en-GB" w:bidi="ar-SA"/>
          <w14:ligatures w14:val="none"/>
        </w:rPr>
        <w:t xml:space="preserve">The coefficient </w:t>
      </w:r>
      <w:r w:rsidRPr="00FF19A6">
        <w:rPr>
          <w:rFonts w:ascii="Arial" w:eastAsia="Times New Roman" w:hAnsi="Arial" w:cs="Arial"/>
          <w:i/>
          <w:iCs/>
          <w:kern w:val="0"/>
          <w:lang w:val="en-GB" w:eastAsia="en-GB" w:bidi="ar-SA"/>
          <w14:ligatures w14:val="none"/>
        </w:rPr>
        <w:t xml:space="preserve">β </w:t>
      </w:r>
      <w:r w:rsidRPr="00FF19A6">
        <w:rPr>
          <w:rFonts w:ascii="Arial" w:eastAsia="Times New Roman" w:hAnsi="Arial" w:cs="Arial"/>
          <w:kern w:val="0"/>
          <w:lang w:val="en-GB" w:eastAsia="en-GB" w:bidi="ar-SA"/>
          <w14:ligatures w14:val="none"/>
        </w:rPr>
        <w:t xml:space="preserve">will show interest rate changes significantly impact gold's performance and its relationship with stock returns. </w:t>
      </w:r>
    </w:p>
    <w:p w14:paraId="60044B58" w14:textId="77777777" w:rsidR="00000AB4" w:rsidRDefault="00000AB4" w:rsidP="00000AB4">
      <w:pPr>
        <w:pStyle w:val="ListParagraph"/>
        <w:spacing w:line="360" w:lineRule="auto"/>
        <w:ind w:left="0"/>
        <w:jc w:val="both"/>
        <w:rPr>
          <w:rFonts w:ascii="Arial" w:eastAsia="Times New Roman" w:hAnsi="Arial" w:cs="Arial"/>
          <w:kern w:val="0"/>
          <w:lang w:val="en-GB" w:eastAsia="en-GB" w:bidi="ar-SA"/>
          <w14:ligatures w14:val="none"/>
        </w:rPr>
      </w:pPr>
    </w:p>
    <w:p w14:paraId="4663E808" w14:textId="18A78655" w:rsidR="000838D9" w:rsidRPr="00CD07A8" w:rsidRDefault="00F1469C" w:rsidP="004A661A">
      <w:pPr>
        <w:pStyle w:val="Heading2"/>
        <w:rPr>
          <w:rFonts w:ascii="Arial" w:eastAsia="Times New Roman" w:hAnsi="Arial" w:cs="Arial"/>
          <w:b/>
          <w:bCs/>
          <w:color w:val="000000" w:themeColor="text1"/>
          <w:sz w:val="24"/>
          <w:szCs w:val="24"/>
          <w:lang w:val="en-GB" w:eastAsia="en-GB" w:bidi="ar-SA"/>
        </w:rPr>
      </w:pPr>
      <w:bookmarkStart w:id="14" w:name="_Toc213355223"/>
      <w:r w:rsidRPr="00CD07A8">
        <w:rPr>
          <w:rFonts w:ascii="Arial" w:eastAsia="Times New Roman" w:hAnsi="Arial" w:cs="Arial"/>
          <w:b/>
          <w:bCs/>
          <w:color w:val="000000" w:themeColor="text1"/>
          <w:sz w:val="24"/>
          <w:szCs w:val="24"/>
          <w:lang w:val="en-GB" w:eastAsia="en-GB" w:bidi="ar-SA"/>
        </w:rPr>
        <w:t xml:space="preserve">3.4) </w:t>
      </w:r>
      <w:r w:rsidR="000838D9" w:rsidRPr="00CD07A8">
        <w:rPr>
          <w:rFonts w:ascii="Arial" w:eastAsia="Times New Roman" w:hAnsi="Arial" w:cs="Arial"/>
          <w:b/>
          <w:bCs/>
          <w:color w:val="000000" w:themeColor="text1"/>
          <w:sz w:val="24"/>
          <w:szCs w:val="24"/>
          <w:lang w:val="en-GB" w:eastAsia="en-GB" w:bidi="ar-SA"/>
        </w:rPr>
        <w:t>Ethical Considerations</w:t>
      </w:r>
      <w:bookmarkEnd w:id="14"/>
    </w:p>
    <w:p w14:paraId="056FAC9C" w14:textId="5C79F061" w:rsidR="009E637A" w:rsidRDefault="00833696" w:rsidP="00000AB4">
      <w:pPr>
        <w:pStyle w:val="ListParagraph"/>
        <w:spacing w:line="360" w:lineRule="auto"/>
        <w:ind w:left="0"/>
        <w:jc w:val="both"/>
        <w:rPr>
          <w:rFonts w:ascii="Arial" w:eastAsia="Times New Roman" w:hAnsi="Arial" w:cs="Arial"/>
          <w:kern w:val="0"/>
          <w:lang w:eastAsia="en-GB" w:bidi="ar-SA"/>
          <w14:ligatures w14:val="none"/>
        </w:rPr>
      </w:pPr>
      <w:r w:rsidRPr="00833696">
        <w:rPr>
          <w:rFonts w:ascii="Arial" w:eastAsia="Times New Roman" w:hAnsi="Arial" w:cs="Arial"/>
          <w:kern w:val="0"/>
          <w:lang w:eastAsia="en-GB" w:bidi="ar-SA"/>
          <w14:ligatures w14:val="none"/>
        </w:rPr>
        <w:t>This research uses publicly available secondary data and presents minimal ethical risks. It involves no personal data and no confidential data, and all information sources will be properly cited to ensure full disclosure and academic honesty.</w:t>
      </w:r>
    </w:p>
    <w:p w14:paraId="742546B8" w14:textId="6AFE05B3" w:rsidR="009E637A" w:rsidRPr="00CD07A8" w:rsidRDefault="00F1469C" w:rsidP="004A661A">
      <w:pPr>
        <w:pStyle w:val="Heading2"/>
        <w:rPr>
          <w:rFonts w:ascii="Arial" w:eastAsia="Times New Roman" w:hAnsi="Arial" w:cs="Arial"/>
          <w:b/>
          <w:bCs/>
          <w:color w:val="000000" w:themeColor="text1"/>
          <w:sz w:val="24"/>
          <w:szCs w:val="24"/>
          <w:lang w:val="en-GB" w:eastAsia="en-GB" w:bidi="ar-SA"/>
        </w:rPr>
      </w:pPr>
      <w:bookmarkStart w:id="15" w:name="_Toc213355224"/>
      <w:r w:rsidRPr="00CD07A8">
        <w:rPr>
          <w:rFonts w:ascii="Arial" w:eastAsia="Times New Roman" w:hAnsi="Arial" w:cs="Arial"/>
          <w:b/>
          <w:bCs/>
          <w:color w:val="000000" w:themeColor="text1"/>
          <w:sz w:val="24"/>
          <w:szCs w:val="24"/>
          <w:lang w:val="en-GB" w:eastAsia="en-GB" w:bidi="ar-SA"/>
        </w:rPr>
        <w:t xml:space="preserve">3.5) </w:t>
      </w:r>
      <w:r w:rsidR="009E637A" w:rsidRPr="00CD07A8">
        <w:rPr>
          <w:rFonts w:ascii="Arial" w:eastAsia="Times New Roman" w:hAnsi="Arial" w:cs="Arial"/>
          <w:b/>
          <w:bCs/>
          <w:color w:val="000000" w:themeColor="text1"/>
          <w:sz w:val="24"/>
          <w:szCs w:val="24"/>
          <w:lang w:val="en-GB" w:eastAsia="en-GB" w:bidi="ar-SA"/>
        </w:rPr>
        <w:t>Feasibility</w:t>
      </w:r>
      <w:bookmarkEnd w:id="15"/>
    </w:p>
    <w:p w14:paraId="2E6B6A06" w14:textId="62C97594" w:rsidR="009E637A" w:rsidRDefault="004B7280" w:rsidP="009E637A">
      <w:pPr>
        <w:pStyle w:val="ListParagraph"/>
        <w:spacing w:line="360" w:lineRule="auto"/>
        <w:ind w:left="0"/>
        <w:jc w:val="both"/>
        <w:rPr>
          <w:rFonts w:ascii="Arial" w:eastAsia="Times New Roman" w:hAnsi="Arial" w:cs="Arial"/>
          <w:kern w:val="0"/>
          <w:lang w:eastAsia="en-GB" w:bidi="ar-SA"/>
          <w14:ligatures w14:val="none"/>
        </w:rPr>
      </w:pPr>
      <w:r w:rsidRPr="004B7280">
        <w:rPr>
          <w:rFonts w:ascii="Arial" w:eastAsia="Times New Roman" w:hAnsi="Arial" w:cs="Arial"/>
          <w:kern w:val="0"/>
          <w:lang w:eastAsia="en-GB" w:bidi="ar-SA"/>
          <w14:ligatures w14:val="none"/>
        </w:rPr>
        <w:t>Using Excel for regression and correlation analysis ensures feasibility, cost-effectiveness and replicability. This approach aligns directly with the research objectives and provides reliable statistical evidence to assess how changes in monetary policy affect gold's role as a hedge and Safe haven.</w:t>
      </w:r>
    </w:p>
    <w:p w14:paraId="750277C2" w14:textId="5DADED57" w:rsidR="004B7280" w:rsidRPr="00CD07A8" w:rsidRDefault="00A2265E" w:rsidP="00542AAE">
      <w:pPr>
        <w:pStyle w:val="Heading1"/>
        <w:numPr>
          <w:ilvl w:val="0"/>
          <w:numId w:val="8"/>
        </w:numPr>
        <w:rPr>
          <w:rFonts w:ascii="Arial" w:eastAsia="Times New Roman" w:hAnsi="Arial" w:cs="Arial"/>
          <w:b/>
          <w:bCs/>
          <w:color w:val="000000" w:themeColor="text1"/>
          <w:sz w:val="24"/>
          <w:szCs w:val="24"/>
          <w:lang w:val="en-GB" w:eastAsia="en-GB" w:bidi="ar-SA"/>
        </w:rPr>
      </w:pPr>
      <w:bookmarkStart w:id="16" w:name="_Toc213355225"/>
      <w:r w:rsidRPr="00CD07A8">
        <w:rPr>
          <w:rFonts w:ascii="Arial" w:eastAsia="Times New Roman" w:hAnsi="Arial" w:cs="Arial"/>
          <w:b/>
          <w:bCs/>
          <w:color w:val="000000" w:themeColor="text1"/>
          <w:sz w:val="24"/>
          <w:szCs w:val="24"/>
          <w:lang w:val="en-GB" w:eastAsia="en-GB" w:bidi="ar-SA"/>
        </w:rPr>
        <w:lastRenderedPageBreak/>
        <w:t>Expected Findings</w:t>
      </w:r>
      <w:bookmarkEnd w:id="16"/>
    </w:p>
    <w:p w14:paraId="5F3B1A5A" w14:textId="77777777" w:rsidR="00542AAE" w:rsidRDefault="00B22463" w:rsidP="00542AAE">
      <w:pPr>
        <w:pStyle w:val="ListParagraph"/>
        <w:spacing w:line="360" w:lineRule="auto"/>
        <w:ind w:left="0"/>
        <w:jc w:val="both"/>
        <w:rPr>
          <w:rFonts w:ascii="Arial" w:eastAsia="Times New Roman" w:hAnsi="Arial" w:cs="Arial"/>
          <w:kern w:val="0"/>
          <w:lang w:eastAsia="en-GB" w:bidi="ar-SA"/>
          <w14:ligatures w14:val="none"/>
        </w:rPr>
      </w:pPr>
      <w:r w:rsidRPr="00B22463">
        <w:rPr>
          <w:rFonts w:ascii="Arial" w:eastAsia="Times New Roman" w:hAnsi="Arial" w:cs="Arial"/>
          <w:kern w:val="0"/>
          <w:lang w:eastAsia="en-GB" w:bidi="ar-SA"/>
          <w14:ligatures w14:val="none"/>
        </w:rPr>
        <w:t xml:space="preserve">The objective of this study is to explore how US interest rate changes impact the relationship between gold and US equity returns (S&amp;P 500 and Nasdaq) from 2005 to 2025. It is expected that increasing US interest rates will weaken gold's </w:t>
      </w:r>
      <w:r>
        <w:rPr>
          <w:rFonts w:ascii="Arial" w:eastAsia="Times New Roman" w:hAnsi="Arial" w:cs="Arial"/>
          <w:kern w:val="0"/>
          <w:lang w:eastAsia="en-GB" w:bidi="ar-SA"/>
          <w14:ligatures w14:val="none"/>
        </w:rPr>
        <w:t>S</w:t>
      </w:r>
      <w:r w:rsidRPr="00B22463">
        <w:rPr>
          <w:rFonts w:ascii="Arial" w:eastAsia="Times New Roman" w:hAnsi="Arial" w:cs="Arial"/>
          <w:kern w:val="0"/>
          <w:lang w:eastAsia="en-GB" w:bidi="ar-SA"/>
          <w14:ligatures w14:val="none"/>
        </w:rPr>
        <w:t>afe haven role. This is expected to result in a stronger positive correlation with equities, as higher interest rates increase the opportunity cost of holding gold. In contrast, falling interest rates and uncertain markets are expected to strengthen gold's role as a hedge to US equities, leading to a negative correlation with equity returns.</w:t>
      </w:r>
      <w:r w:rsidR="00932517">
        <w:rPr>
          <w:rFonts w:ascii="Arial" w:eastAsia="Times New Roman" w:hAnsi="Arial" w:cs="Arial"/>
          <w:kern w:val="0"/>
          <w:lang w:eastAsia="en-GB" w:bidi="ar-SA"/>
          <w14:ligatures w14:val="none"/>
        </w:rPr>
        <w:t xml:space="preserve"> </w:t>
      </w:r>
      <w:bookmarkStart w:id="17" w:name="_Toc213355226"/>
    </w:p>
    <w:p w14:paraId="2C8864FE" w14:textId="77777777" w:rsidR="00542AAE" w:rsidRDefault="00542AAE" w:rsidP="00542AAE">
      <w:pPr>
        <w:pStyle w:val="ListParagraph"/>
        <w:spacing w:line="360" w:lineRule="auto"/>
        <w:ind w:left="0"/>
        <w:jc w:val="both"/>
        <w:rPr>
          <w:rFonts w:ascii="Arial" w:eastAsia="Times New Roman" w:hAnsi="Arial" w:cs="Arial"/>
          <w:kern w:val="0"/>
          <w:lang w:eastAsia="en-GB" w:bidi="ar-SA"/>
          <w14:ligatures w14:val="none"/>
        </w:rPr>
      </w:pPr>
    </w:p>
    <w:p w14:paraId="0E08DBA2" w14:textId="78C857A8" w:rsidR="00F43E31" w:rsidRPr="00542AAE" w:rsidRDefault="00F43E31" w:rsidP="00542AAE">
      <w:pPr>
        <w:pStyle w:val="ListParagraph"/>
        <w:numPr>
          <w:ilvl w:val="0"/>
          <w:numId w:val="8"/>
        </w:numPr>
        <w:spacing w:line="360" w:lineRule="auto"/>
        <w:jc w:val="both"/>
        <w:rPr>
          <w:rFonts w:ascii="Arial" w:eastAsia="Times New Roman" w:hAnsi="Arial" w:cs="Arial"/>
          <w:color w:val="000000" w:themeColor="text1"/>
          <w:kern w:val="0"/>
          <w:lang w:eastAsia="en-GB" w:bidi="ar-SA"/>
          <w14:ligatures w14:val="none"/>
        </w:rPr>
      </w:pPr>
      <w:r w:rsidRPr="00542AAE">
        <w:rPr>
          <w:rFonts w:ascii="Arial" w:hAnsi="Arial" w:cs="Arial"/>
          <w:b/>
          <w:bCs/>
          <w:color w:val="000000" w:themeColor="text1"/>
          <w:lang w:val="en-GB" w:eastAsia="en-GB" w:bidi="ar-SA"/>
        </w:rPr>
        <w:t>Limitation</w:t>
      </w:r>
      <w:bookmarkEnd w:id="17"/>
      <w:r w:rsidRPr="00542AAE">
        <w:rPr>
          <w:rFonts w:ascii="Arial" w:hAnsi="Arial" w:cs="Arial"/>
          <w:b/>
          <w:bCs/>
          <w:color w:val="000000" w:themeColor="text1"/>
          <w:lang w:val="en-GB" w:eastAsia="en-GB" w:bidi="ar-SA"/>
        </w:rPr>
        <w:t xml:space="preserve"> </w:t>
      </w:r>
    </w:p>
    <w:p w14:paraId="3C1FA485" w14:textId="2C10350F" w:rsidR="00385C27" w:rsidRPr="00542AAE" w:rsidRDefault="00BA1F72" w:rsidP="00542AAE">
      <w:pPr>
        <w:pStyle w:val="ListParagraph"/>
        <w:spacing w:line="360" w:lineRule="auto"/>
        <w:ind w:left="0"/>
        <w:jc w:val="both"/>
        <w:rPr>
          <w:rFonts w:ascii="Arial" w:eastAsia="Times New Roman" w:hAnsi="Arial" w:cs="Arial"/>
          <w:kern w:val="0"/>
          <w:lang w:eastAsia="en-GB" w:bidi="ar-SA"/>
          <w14:ligatures w14:val="none"/>
        </w:rPr>
      </w:pPr>
      <w:r w:rsidRPr="00BA1F72">
        <w:rPr>
          <w:rFonts w:ascii="Arial" w:eastAsia="Times New Roman" w:hAnsi="Arial" w:cs="Arial"/>
          <w:kern w:val="0"/>
          <w:lang w:eastAsia="en-GB" w:bidi="ar-SA"/>
          <w14:ligatures w14:val="none"/>
        </w:rPr>
        <w:t xml:space="preserve">This research has some limitations. It is using secondary data (2005-2025) which may include structural breaks and cannot capture short term market reactions. </w:t>
      </w:r>
      <w:r>
        <w:rPr>
          <w:rFonts w:ascii="Arial" w:eastAsia="Times New Roman" w:hAnsi="Arial" w:cs="Arial"/>
          <w:kern w:val="0"/>
          <w:lang w:eastAsia="en-GB" w:bidi="ar-SA"/>
          <w14:ligatures w14:val="none"/>
        </w:rPr>
        <w:t>Furthermore, t</w:t>
      </w:r>
      <w:r w:rsidRPr="00BA1F72">
        <w:rPr>
          <w:rFonts w:ascii="Arial" w:eastAsia="Times New Roman" w:hAnsi="Arial" w:cs="Arial"/>
          <w:kern w:val="0"/>
          <w:lang w:eastAsia="en-GB" w:bidi="ar-SA"/>
          <w14:ligatures w14:val="none"/>
        </w:rPr>
        <w:t>he use of monthly or quarterly data may miss intraday movements.</w:t>
      </w:r>
      <w:r w:rsidR="005B2B69" w:rsidRPr="005B2B69">
        <w:rPr>
          <w:rFonts w:ascii="Nunito Sans" w:hAnsi="Nunito Sans"/>
          <w:color w:val="212529"/>
          <w:shd w:val="clear" w:color="auto" w:fill="FFFFFF"/>
        </w:rPr>
        <w:t xml:space="preserve"> </w:t>
      </w:r>
      <w:r w:rsidR="005B2B69" w:rsidRPr="005B2B69">
        <w:rPr>
          <w:rFonts w:ascii="Arial" w:eastAsia="Times New Roman" w:hAnsi="Arial" w:cs="Arial"/>
          <w:kern w:val="0"/>
          <w:lang w:eastAsia="en-GB" w:bidi="ar-SA"/>
          <w14:ligatures w14:val="none"/>
        </w:rPr>
        <w:t>The analysis uses basic correlation and a simple linear regression, which limits the depth of analytical exploration when compared to those using more advanced econometric methods such as GARCH or VAR models, with respect to a time-series or multivariate application</w:t>
      </w:r>
      <w:r w:rsidR="005B2B69">
        <w:rPr>
          <w:rFonts w:ascii="Arial" w:eastAsia="Times New Roman" w:hAnsi="Arial" w:cs="Arial"/>
          <w:kern w:val="0"/>
          <w:lang w:eastAsia="en-GB" w:bidi="ar-SA"/>
          <w14:ligatures w14:val="none"/>
        </w:rPr>
        <w:t xml:space="preserve"> (</w:t>
      </w:r>
      <w:r w:rsidR="005B2B69" w:rsidRPr="005B2B69">
        <w:rPr>
          <w:rFonts w:ascii="Arial" w:eastAsia="Times New Roman" w:hAnsi="Arial" w:cs="Arial"/>
          <w:kern w:val="0"/>
          <w:lang w:eastAsia="en-GB" w:bidi="ar-SA"/>
          <w14:ligatures w14:val="none"/>
        </w:rPr>
        <w:t>Bewick, Cheek, and Ball</w:t>
      </w:r>
      <w:r w:rsidR="005B2B69">
        <w:rPr>
          <w:rFonts w:ascii="Arial" w:eastAsia="Times New Roman" w:hAnsi="Arial" w:cs="Arial"/>
          <w:kern w:val="0"/>
          <w:lang w:eastAsia="en-GB" w:bidi="ar-SA"/>
          <w14:ligatures w14:val="none"/>
        </w:rPr>
        <w:t xml:space="preserve">, </w:t>
      </w:r>
      <w:r w:rsidR="005B2B69" w:rsidRPr="005B2B69">
        <w:rPr>
          <w:rFonts w:ascii="Arial" w:eastAsia="Times New Roman" w:hAnsi="Arial" w:cs="Arial"/>
          <w:kern w:val="0"/>
          <w:lang w:eastAsia="en-GB" w:bidi="ar-SA"/>
          <w14:ligatures w14:val="none"/>
        </w:rPr>
        <w:t>2003)</w:t>
      </w:r>
      <w:r w:rsidR="005B2B69">
        <w:rPr>
          <w:rFonts w:ascii="Arial" w:eastAsia="Times New Roman" w:hAnsi="Arial" w:cs="Arial"/>
          <w:kern w:val="0"/>
          <w:lang w:eastAsia="en-GB" w:bidi="ar-SA"/>
          <w14:ligatures w14:val="none"/>
        </w:rPr>
        <w:t xml:space="preserve">. </w:t>
      </w:r>
      <w:r w:rsidR="001F1353" w:rsidRPr="001F1353">
        <w:rPr>
          <w:rFonts w:ascii="Arial" w:eastAsia="Times New Roman" w:hAnsi="Arial" w:cs="Arial"/>
          <w:kern w:val="0"/>
          <w:lang w:eastAsia="en-GB" w:bidi="ar-SA"/>
          <w14:ligatures w14:val="none"/>
        </w:rPr>
        <w:t>As a result, the findings indicate association and not causation. Other external factors such as inflation, exchange rates or geopolitical risk are not included and may bias the results. Furthermore, the findings are particular to US markets and cannot be generalized to global markets.</w:t>
      </w:r>
      <w:r w:rsidR="0075439E">
        <w:rPr>
          <w:rFonts w:ascii="Arial" w:eastAsia="Times New Roman" w:hAnsi="Arial" w:cs="Arial"/>
          <w:kern w:val="0"/>
          <w:lang w:eastAsia="en-GB" w:bidi="ar-SA"/>
          <w14:ligatures w14:val="none"/>
        </w:rPr>
        <w:t xml:space="preserve"> </w:t>
      </w:r>
    </w:p>
    <w:p w14:paraId="3859768A" w14:textId="005C503E" w:rsidR="00975E7A" w:rsidRPr="00542AAE" w:rsidRDefault="006F1D31" w:rsidP="00542AAE">
      <w:pPr>
        <w:pStyle w:val="Heading1"/>
        <w:numPr>
          <w:ilvl w:val="0"/>
          <w:numId w:val="8"/>
        </w:numPr>
        <w:rPr>
          <w:rFonts w:ascii="Arial" w:eastAsia="Times New Roman" w:hAnsi="Arial" w:cs="Arial"/>
          <w:b/>
          <w:bCs/>
          <w:color w:val="000000" w:themeColor="text1"/>
          <w:sz w:val="24"/>
          <w:szCs w:val="24"/>
          <w:lang w:val="en-GB" w:eastAsia="en-GB" w:bidi="ar-SA"/>
        </w:rPr>
      </w:pPr>
      <w:bookmarkStart w:id="18" w:name="_Toc213355227"/>
      <w:r w:rsidRPr="00542AAE">
        <w:rPr>
          <w:rFonts w:ascii="Arial" w:eastAsia="Times New Roman" w:hAnsi="Arial" w:cs="Arial"/>
          <w:b/>
          <w:bCs/>
          <w:color w:val="000000" w:themeColor="text1"/>
          <w:sz w:val="24"/>
          <w:szCs w:val="24"/>
          <w:lang w:eastAsia="en-GB" w:bidi="ar-SA"/>
        </w:rPr>
        <w:t>Timeframe</w:t>
      </w:r>
      <w:bookmarkEnd w:id="18"/>
    </w:p>
    <w:p w14:paraId="05BAB720" w14:textId="38E4CDCF" w:rsidR="00F50AE7" w:rsidRPr="006F1D31" w:rsidRDefault="00F50AE7" w:rsidP="00F50AE7">
      <w:pPr>
        <w:pStyle w:val="ListParagraph"/>
        <w:spacing w:line="360" w:lineRule="auto"/>
        <w:ind w:left="0"/>
        <w:jc w:val="both"/>
        <w:rPr>
          <w:rFonts w:ascii="Arial" w:eastAsia="Times New Roman" w:hAnsi="Arial" w:cs="Arial"/>
          <w:b/>
          <w:bCs/>
          <w:kern w:val="0"/>
          <w:lang w:val="en-GB" w:eastAsia="en-GB" w:bidi="ar-SA"/>
          <w14:ligatures w14:val="none"/>
        </w:rPr>
      </w:pPr>
      <w:r>
        <w:rPr>
          <w:rFonts w:ascii="Arial" w:eastAsia="Times New Roman" w:hAnsi="Arial" w:cs="Arial"/>
          <w:b/>
          <w:bCs/>
          <w:kern w:val="0"/>
          <w:lang w:val="en-GB" w:eastAsia="en-GB" w:bidi="ar-SA"/>
          <w14:ligatures w14:val="none"/>
        </w:rPr>
        <w:t>Figure 2: Gantt chart</w:t>
      </w:r>
    </w:p>
    <w:p w14:paraId="7A8FD71C" w14:textId="4620B3F1" w:rsidR="006F1D31" w:rsidRDefault="00975E7A" w:rsidP="006F1D31">
      <w:pPr>
        <w:pStyle w:val="ListParagraph"/>
        <w:spacing w:line="360" w:lineRule="auto"/>
        <w:ind w:left="360"/>
        <w:jc w:val="both"/>
        <w:rPr>
          <w:rFonts w:ascii="Arial" w:eastAsia="Times New Roman" w:hAnsi="Arial" w:cs="Arial"/>
          <w:b/>
          <w:bCs/>
          <w:kern w:val="0"/>
          <w:lang w:val="en-GB" w:eastAsia="en-GB" w:bidi="ar-SA"/>
          <w14:ligatures w14:val="none"/>
        </w:rPr>
      </w:pPr>
      <w:r>
        <w:rPr>
          <w:noProof/>
        </w:rPr>
        <w:drawing>
          <wp:inline distT="0" distB="0" distL="0" distR="0" wp14:anchorId="6FA3FE9D" wp14:editId="1018DE5D">
            <wp:extent cx="5568950" cy="2446655"/>
            <wp:effectExtent l="0" t="0" r="12700" b="10795"/>
            <wp:docPr id="1295901766" name="Chart 1">
              <a:extLst xmlns:a="http://schemas.openxmlformats.org/drawingml/2006/main">
                <a:ext uri="{FF2B5EF4-FFF2-40B4-BE49-F238E27FC236}">
                  <a16:creationId xmlns:a16="http://schemas.microsoft.com/office/drawing/2014/main" id="{6F207E70-04ED-901C-8844-D4DC8A0824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E3B8719" w14:textId="3D3CBA7C" w:rsidR="00975E7A" w:rsidRDefault="00975E7A" w:rsidP="00F50AE7">
      <w:pPr>
        <w:pStyle w:val="ListParagraph"/>
        <w:spacing w:line="360" w:lineRule="auto"/>
        <w:ind w:left="0"/>
        <w:jc w:val="both"/>
        <w:rPr>
          <w:rFonts w:ascii="Arial" w:eastAsia="Times New Roman" w:hAnsi="Arial" w:cs="Arial"/>
          <w:b/>
          <w:bCs/>
          <w:kern w:val="0"/>
          <w:lang w:val="en-GB" w:eastAsia="en-GB" w:bidi="ar-SA"/>
          <w14:ligatures w14:val="none"/>
        </w:rPr>
      </w:pPr>
      <w:r>
        <w:rPr>
          <w:rFonts w:ascii="Arial" w:eastAsia="Times New Roman" w:hAnsi="Arial" w:cs="Arial"/>
          <w:b/>
          <w:bCs/>
          <w:kern w:val="0"/>
          <w:lang w:val="en-GB" w:eastAsia="en-GB" w:bidi="ar-SA"/>
          <w14:ligatures w14:val="none"/>
        </w:rPr>
        <w:t xml:space="preserve">(Source: </w:t>
      </w:r>
      <w:r w:rsidRPr="00975E7A">
        <w:rPr>
          <w:rFonts w:ascii="Arial" w:eastAsia="Times New Roman" w:hAnsi="Arial" w:cs="Arial"/>
          <w:kern w:val="0"/>
          <w:lang w:val="en-GB" w:eastAsia="en-GB" w:bidi="ar-SA"/>
          <w14:ligatures w14:val="none"/>
        </w:rPr>
        <w:t>Author</w:t>
      </w:r>
      <w:r>
        <w:rPr>
          <w:rFonts w:ascii="Arial" w:eastAsia="Times New Roman" w:hAnsi="Arial" w:cs="Arial"/>
          <w:b/>
          <w:bCs/>
          <w:kern w:val="0"/>
          <w:lang w:val="en-GB" w:eastAsia="en-GB" w:bidi="ar-SA"/>
          <w14:ligatures w14:val="none"/>
        </w:rPr>
        <w:t>)</w:t>
      </w:r>
    </w:p>
    <w:p w14:paraId="7B13B048" w14:textId="75BFFD75" w:rsidR="004B3598" w:rsidRPr="00542AAE" w:rsidRDefault="00542AAE" w:rsidP="00542AAE">
      <w:pPr>
        <w:pStyle w:val="Heading1"/>
        <w:numPr>
          <w:ilvl w:val="0"/>
          <w:numId w:val="8"/>
        </w:numPr>
        <w:rPr>
          <w:rFonts w:ascii="Arial" w:eastAsia="Times New Roman" w:hAnsi="Arial" w:cs="Arial"/>
          <w:b/>
          <w:bCs/>
          <w:color w:val="000000" w:themeColor="text1"/>
          <w:sz w:val="24"/>
          <w:szCs w:val="24"/>
          <w:lang w:val="en-GB" w:eastAsia="en-GB" w:bidi="ar-SA"/>
        </w:rPr>
      </w:pPr>
      <w:bookmarkStart w:id="19" w:name="_Toc213355228"/>
      <w:r w:rsidRPr="00542AAE">
        <w:rPr>
          <w:rFonts w:ascii="Arial" w:eastAsia="Times New Roman" w:hAnsi="Arial" w:cs="Arial"/>
          <w:b/>
          <w:bCs/>
          <w:color w:val="000000" w:themeColor="text1"/>
          <w:sz w:val="24"/>
          <w:szCs w:val="24"/>
          <w:lang w:val="en-GB" w:eastAsia="en-GB" w:bidi="ar-SA"/>
        </w:rPr>
        <w:lastRenderedPageBreak/>
        <w:t xml:space="preserve"> </w:t>
      </w:r>
      <w:r w:rsidR="00F50AE7" w:rsidRPr="00542AAE">
        <w:rPr>
          <w:rFonts w:ascii="Arial" w:eastAsia="Times New Roman" w:hAnsi="Arial" w:cs="Arial"/>
          <w:b/>
          <w:bCs/>
          <w:color w:val="000000" w:themeColor="text1"/>
          <w:sz w:val="24"/>
          <w:szCs w:val="24"/>
          <w:lang w:val="en-GB" w:eastAsia="en-GB" w:bidi="ar-SA"/>
        </w:rPr>
        <w:t>Conclusion</w:t>
      </w:r>
      <w:bookmarkEnd w:id="19"/>
      <w:r w:rsidR="00F50AE7" w:rsidRPr="00542AAE">
        <w:rPr>
          <w:rFonts w:ascii="Arial" w:eastAsia="Times New Roman" w:hAnsi="Arial" w:cs="Arial"/>
          <w:b/>
          <w:bCs/>
          <w:color w:val="000000" w:themeColor="text1"/>
          <w:sz w:val="24"/>
          <w:szCs w:val="24"/>
          <w:lang w:val="en-GB" w:eastAsia="en-GB" w:bidi="ar-SA"/>
        </w:rPr>
        <w:t xml:space="preserve"> </w:t>
      </w:r>
    </w:p>
    <w:p w14:paraId="1AC31FBC" w14:textId="3F15021C" w:rsidR="004B3598" w:rsidRDefault="004B3598" w:rsidP="004B3598">
      <w:pPr>
        <w:pStyle w:val="ListParagraph"/>
        <w:spacing w:line="360" w:lineRule="auto"/>
        <w:ind w:left="0"/>
        <w:jc w:val="both"/>
        <w:rPr>
          <w:rFonts w:ascii="Arial" w:eastAsia="Times New Roman" w:hAnsi="Arial" w:cs="Arial"/>
          <w:kern w:val="0"/>
          <w:lang w:val="en-GB" w:eastAsia="en-GB" w:bidi="ar-SA"/>
          <w14:ligatures w14:val="none"/>
        </w:rPr>
      </w:pPr>
      <w:r w:rsidRPr="004B3598">
        <w:rPr>
          <w:rFonts w:ascii="Arial" w:eastAsia="Times New Roman" w:hAnsi="Arial" w:cs="Arial"/>
          <w:kern w:val="0"/>
          <w:lang w:val="en-GB" w:eastAsia="en-GB" w:bidi="ar-SA"/>
          <w14:ligatures w14:val="none"/>
        </w:rPr>
        <w:t>The aim of this research is to examine the effects of US interest rate from 2005 to 2025 on gold's role as a hedging asset and Safe haven for the S&amp;P 500 and Nasdaq returns. This study investigates the instability of the negative correlation between gold and US equities by analysing the impact of Federal Reserve monetary policy.</w:t>
      </w:r>
    </w:p>
    <w:p w14:paraId="21E386BA" w14:textId="77777777" w:rsidR="008E562A" w:rsidRDefault="008E562A" w:rsidP="004B3598">
      <w:pPr>
        <w:pStyle w:val="ListParagraph"/>
        <w:spacing w:line="360" w:lineRule="auto"/>
        <w:ind w:left="0"/>
        <w:jc w:val="both"/>
        <w:rPr>
          <w:rFonts w:ascii="Arial" w:eastAsia="Times New Roman" w:hAnsi="Arial" w:cs="Arial"/>
          <w:kern w:val="0"/>
          <w:lang w:val="en-GB" w:eastAsia="en-GB" w:bidi="ar-SA"/>
          <w14:ligatures w14:val="none"/>
        </w:rPr>
      </w:pPr>
    </w:p>
    <w:p w14:paraId="12914899" w14:textId="0CE7D9E1" w:rsidR="008E562A" w:rsidRDefault="00BE3A6E" w:rsidP="004B3598">
      <w:pPr>
        <w:pStyle w:val="ListParagraph"/>
        <w:spacing w:line="360" w:lineRule="auto"/>
        <w:ind w:left="0"/>
        <w:jc w:val="both"/>
        <w:rPr>
          <w:rFonts w:ascii="Arial" w:eastAsia="Times New Roman" w:hAnsi="Arial" w:cs="Arial"/>
          <w:kern w:val="0"/>
          <w:lang w:eastAsia="en-GB" w:bidi="ar-SA"/>
          <w14:ligatures w14:val="none"/>
        </w:rPr>
      </w:pPr>
      <w:r w:rsidRPr="00BE3A6E">
        <w:rPr>
          <w:rFonts w:ascii="Arial" w:eastAsia="Times New Roman" w:hAnsi="Arial" w:cs="Arial"/>
          <w:kern w:val="0"/>
          <w:lang w:eastAsia="en-GB" w:bidi="ar-SA"/>
          <w14:ligatures w14:val="none"/>
        </w:rPr>
        <w:t>Using quantitative approach, the research will use secondary data and apply correlation and regression analysis in Excel. The period from 2005 to 2025 is chosen to capture multiple market and interest rate cycles, including financial crises, thereby providing a comprehensive sample.</w:t>
      </w:r>
    </w:p>
    <w:p w14:paraId="0CD9F37C" w14:textId="77777777" w:rsidR="00BE3A6E" w:rsidRDefault="00BE3A6E" w:rsidP="004B3598">
      <w:pPr>
        <w:pStyle w:val="ListParagraph"/>
        <w:spacing w:line="360" w:lineRule="auto"/>
        <w:ind w:left="0"/>
        <w:jc w:val="both"/>
        <w:rPr>
          <w:rFonts w:ascii="Arial" w:eastAsia="Times New Roman" w:hAnsi="Arial" w:cs="Arial"/>
          <w:kern w:val="0"/>
          <w:lang w:eastAsia="en-GB" w:bidi="ar-SA"/>
          <w14:ligatures w14:val="none"/>
        </w:rPr>
      </w:pPr>
    </w:p>
    <w:p w14:paraId="65368A8D" w14:textId="64975D5D" w:rsidR="00BE3A6E" w:rsidRDefault="000E7BE6" w:rsidP="004B3598">
      <w:pPr>
        <w:pStyle w:val="ListParagraph"/>
        <w:spacing w:line="360" w:lineRule="auto"/>
        <w:ind w:left="0"/>
        <w:jc w:val="both"/>
        <w:rPr>
          <w:rFonts w:ascii="Arial" w:eastAsia="Times New Roman" w:hAnsi="Arial" w:cs="Arial"/>
          <w:kern w:val="0"/>
          <w:lang w:eastAsia="en-GB" w:bidi="ar-SA"/>
          <w14:ligatures w14:val="none"/>
        </w:rPr>
      </w:pPr>
      <w:r w:rsidRPr="000E7BE6">
        <w:rPr>
          <w:rFonts w:ascii="Arial" w:eastAsia="Times New Roman" w:hAnsi="Arial" w:cs="Arial"/>
          <w:kern w:val="0"/>
          <w:lang w:eastAsia="en-GB" w:bidi="ar-SA"/>
          <w14:ligatures w14:val="none"/>
        </w:rPr>
        <w:t xml:space="preserve">The findings show that higher interest rates will gold's </w:t>
      </w:r>
      <w:r>
        <w:rPr>
          <w:rFonts w:ascii="Arial" w:eastAsia="Times New Roman" w:hAnsi="Arial" w:cs="Arial"/>
          <w:kern w:val="0"/>
          <w:lang w:eastAsia="en-GB" w:bidi="ar-SA"/>
          <w14:ligatures w14:val="none"/>
        </w:rPr>
        <w:t>S</w:t>
      </w:r>
      <w:r w:rsidRPr="000E7BE6">
        <w:rPr>
          <w:rFonts w:ascii="Arial" w:eastAsia="Times New Roman" w:hAnsi="Arial" w:cs="Arial"/>
          <w:kern w:val="0"/>
          <w:lang w:eastAsia="en-GB" w:bidi="ar-SA"/>
          <w14:ligatures w14:val="none"/>
        </w:rPr>
        <w:t>afe haven role by increasing the opportunity cost for holding the asset. On the other hand, lower interest rates and uncertainty in the market will strengthen gold's hedge for a portfolio. This study will provide insights into portfolio diversification and risk management strategies through the clarification of gold's conditional behaviour under different US interest rate conditions.</w:t>
      </w:r>
    </w:p>
    <w:p w14:paraId="4A8B37D1" w14:textId="77777777" w:rsidR="00542AAE" w:rsidRDefault="00542AAE" w:rsidP="004B3598">
      <w:pPr>
        <w:pStyle w:val="ListParagraph"/>
        <w:spacing w:line="360" w:lineRule="auto"/>
        <w:ind w:left="0"/>
        <w:jc w:val="both"/>
        <w:rPr>
          <w:rFonts w:ascii="Arial" w:eastAsia="Times New Roman" w:hAnsi="Arial" w:cs="Arial"/>
          <w:kern w:val="0"/>
          <w:lang w:eastAsia="en-GB" w:bidi="ar-SA"/>
          <w14:ligatures w14:val="none"/>
        </w:rPr>
      </w:pPr>
    </w:p>
    <w:p w14:paraId="5F504C95" w14:textId="77777777" w:rsidR="00542AAE" w:rsidRDefault="00542AAE" w:rsidP="004B3598">
      <w:pPr>
        <w:pStyle w:val="ListParagraph"/>
        <w:spacing w:line="360" w:lineRule="auto"/>
        <w:ind w:left="0"/>
        <w:jc w:val="both"/>
        <w:rPr>
          <w:rFonts w:ascii="Arial" w:eastAsia="Times New Roman" w:hAnsi="Arial" w:cs="Arial"/>
          <w:kern w:val="0"/>
          <w:lang w:eastAsia="en-GB" w:bidi="ar-SA"/>
          <w14:ligatures w14:val="none"/>
        </w:rPr>
      </w:pPr>
    </w:p>
    <w:p w14:paraId="03F6E7F0" w14:textId="77777777" w:rsidR="00542AAE" w:rsidRDefault="00542AAE" w:rsidP="004B3598">
      <w:pPr>
        <w:pStyle w:val="ListParagraph"/>
        <w:spacing w:line="360" w:lineRule="auto"/>
        <w:ind w:left="0"/>
        <w:jc w:val="both"/>
        <w:rPr>
          <w:rFonts w:ascii="Arial" w:eastAsia="Times New Roman" w:hAnsi="Arial" w:cs="Arial"/>
          <w:kern w:val="0"/>
          <w:lang w:eastAsia="en-GB" w:bidi="ar-SA"/>
          <w14:ligatures w14:val="none"/>
        </w:rPr>
      </w:pPr>
    </w:p>
    <w:p w14:paraId="758D145F" w14:textId="77777777" w:rsidR="00542AAE" w:rsidRDefault="00542AAE" w:rsidP="004B3598">
      <w:pPr>
        <w:pStyle w:val="ListParagraph"/>
        <w:spacing w:line="360" w:lineRule="auto"/>
        <w:ind w:left="0"/>
        <w:jc w:val="both"/>
        <w:rPr>
          <w:rFonts w:ascii="Arial" w:eastAsia="Times New Roman" w:hAnsi="Arial" w:cs="Arial"/>
          <w:kern w:val="0"/>
          <w:lang w:eastAsia="en-GB" w:bidi="ar-SA"/>
          <w14:ligatures w14:val="none"/>
        </w:rPr>
      </w:pPr>
    </w:p>
    <w:p w14:paraId="5E893DB5" w14:textId="77777777" w:rsidR="00542AAE" w:rsidRDefault="00542AAE" w:rsidP="004B3598">
      <w:pPr>
        <w:pStyle w:val="ListParagraph"/>
        <w:spacing w:line="360" w:lineRule="auto"/>
        <w:ind w:left="0"/>
        <w:jc w:val="both"/>
        <w:rPr>
          <w:rFonts w:ascii="Arial" w:eastAsia="Times New Roman" w:hAnsi="Arial" w:cs="Arial"/>
          <w:kern w:val="0"/>
          <w:lang w:eastAsia="en-GB" w:bidi="ar-SA"/>
          <w14:ligatures w14:val="none"/>
        </w:rPr>
      </w:pPr>
    </w:p>
    <w:p w14:paraId="7AAA61DF" w14:textId="77777777" w:rsidR="00542AAE" w:rsidRDefault="00542AAE" w:rsidP="004B3598">
      <w:pPr>
        <w:pStyle w:val="ListParagraph"/>
        <w:spacing w:line="360" w:lineRule="auto"/>
        <w:ind w:left="0"/>
        <w:jc w:val="both"/>
        <w:rPr>
          <w:rFonts w:ascii="Arial" w:eastAsia="Times New Roman" w:hAnsi="Arial" w:cs="Arial"/>
          <w:kern w:val="0"/>
          <w:lang w:eastAsia="en-GB" w:bidi="ar-SA"/>
          <w14:ligatures w14:val="none"/>
        </w:rPr>
      </w:pPr>
    </w:p>
    <w:p w14:paraId="58CC656B" w14:textId="77777777" w:rsidR="00542AAE" w:rsidRDefault="00542AAE" w:rsidP="004B3598">
      <w:pPr>
        <w:pStyle w:val="ListParagraph"/>
        <w:spacing w:line="360" w:lineRule="auto"/>
        <w:ind w:left="0"/>
        <w:jc w:val="both"/>
        <w:rPr>
          <w:rFonts w:ascii="Arial" w:eastAsia="Times New Roman" w:hAnsi="Arial" w:cs="Arial"/>
          <w:kern w:val="0"/>
          <w:lang w:eastAsia="en-GB" w:bidi="ar-SA"/>
          <w14:ligatures w14:val="none"/>
        </w:rPr>
      </w:pPr>
    </w:p>
    <w:p w14:paraId="37588923" w14:textId="77777777" w:rsidR="00542AAE" w:rsidRDefault="00542AAE" w:rsidP="004B3598">
      <w:pPr>
        <w:pStyle w:val="ListParagraph"/>
        <w:spacing w:line="360" w:lineRule="auto"/>
        <w:ind w:left="0"/>
        <w:jc w:val="both"/>
        <w:rPr>
          <w:rFonts w:ascii="Arial" w:eastAsia="Times New Roman" w:hAnsi="Arial" w:cs="Arial"/>
          <w:kern w:val="0"/>
          <w:lang w:eastAsia="en-GB" w:bidi="ar-SA"/>
          <w14:ligatures w14:val="none"/>
        </w:rPr>
      </w:pPr>
    </w:p>
    <w:p w14:paraId="26863DEF" w14:textId="77777777" w:rsidR="00542AAE" w:rsidRDefault="00542AAE" w:rsidP="004B3598">
      <w:pPr>
        <w:pStyle w:val="ListParagraph"/>
        <w:spacing w:line="360" w:lineRule="auto"/>
        <w:ind w:left="0"/>
        <w:jc w:val="both"/>
        <w:rPr>
          <w:rFonts w:ascii="Arial" w:eastAsia="Times New Roman" w:hAnsi="Arial" w:cs="Arial"/>
          <w:kern w:val="0"/>
          <w:lang w:eastAsia="en-GB" w:bidi="ar-SA"/>
          <w14:ligatures w14:val="none"/>
        </w:rPr>
      </w:pPr>
    </w:p>
    <w:p w14:paraId="125C73FC" w14:textId="77777777" w:rsidR="00542AAE" w:rsidRDefault="00542AAE" w:rsidP="004B3598">
      <w:pPr>
        <w:pStyle w:val="ListParagraph"/>
        <w:spacing w:line="360" w:lineRule="auto"/>
        <w:ind w:left="0"/>
        <w:jc w:val="both"/>
        <w:rPr>
          <w:rFonts w:ascii="Arial" w:eastAsia="Times New Roman" w:hAnsi="Arial" w:cs="Arial"/>
          <w:kern w:val="0"/>
          <w:lang w:eastAsia="en-GB" w:bidi="ar-SA"/>
          <w14:ligatures w14:val="none"/>
        </w:rPr>
      </w:pPr>
    </w:p>
    <w:p w14:paraId="17BFBC91" w14:textId="77777777" w:rsidR="00542AAE" w:rsidRDefault="00542AAE" w:rsidP="004B3598">
      <w:pPr>
        <w:pStyle w:val="ListParagraph"/>
        <w:spacing w:line="360" w:lineRule="auto"/>
        <w:ind w:left="0"/>
        <w:jc w:val="both"/>
        <w:rPr>
          <w:rFonts w:ascii="Arial" w:eastAsia="Times New Roman" w:hAnsi="Arial" w:cs="Arial"/>
          <w:kern w:val="0"/>
          <w:lang w:eastAsia="en-GB" w:bidi="ar-SA"/>
          <w14:ligatures w14:val="none"/>
        </w:rPr>
      </w:pPr>
    </w:p>
    <w:p w14:paraId="6B3DF338" w14:textId="77777777" w:rsidR="00542AAE" w:rsidRDefault="00542AAE" w:rsidP="004B3598">
      <w:pPr>
        <w:pStyle w:val="ListParagraph"/>
        <w:spacing w:line="360" w:lineRule="auto"/>
        <w:ind w:left="0"/>
        <w:jc w:val="both"/>
        <w:rPr>
          <w:rFonts w:ascii="Arial" w:eastAsia="Times New Roman" w:hAnsi="Arial" w:cs="Arial"/>
          <w:kern w:val="0"/>
          <w:lang w:eastAsia="en-GB" w:bidi="ar-SA"/>
          <w14:ligatures w14:val="none"/>
        </w:rPr>
      </w:pPr>
    </w:p>
    <w:p w14:paraId="25123978" w14:textId="77777777" w:rsidR="00CD07A8" w:rsidRDefault="00CD07A8" w:rsidP="004B3598">
      <w:pPr>
        <w:pStyle w:val="ListParagraph"/>
        <w:spacing w:line="360" w:lineRule="auto"/>
        <w:ind w:left="0"/>
        <w:jc w:val="both"/>
        <w:rPr>
          <w:rFonts w:ascii="Arial" w:eastAsia="Times New Roman" w:hAnsi="Arial" w:cs="Arial"/>
          <w:kern w:val="0"/>
          <w:lang w:eastAsia="en-GB" w:bidi="ar-SA"/>
          <w14:ligatures w14:val="none"/>
        </w:rPr>
      </w:pPr>
    </w:p>
    <w:p w14:paraId="76140B71" w14:textId="77777777" w:rsidR="00542AAE" w:rsidRDefault="00542AAE" w:rsidP="004B3598">
      <w:pPr>
        <w:pStyle w:val="ListParagraph"/>
        <w:spacing w:line="360" w:lineRule="auto"/>
        <w:ind w:left="0"/>
        <w:jc w:val="both"/>
        <w:rPr>
          <w:rFonts w:ascii="Arial" w:eastAsia="Times New Roman" w:hAnsi="Arial" w:cs="Arial"/>
          <w:kern w:val="0"/>
          <w:lang w:eastAsia="en-GB" w:bidi="ar-SA"/>
          <w14:ligatures w14:val="none"/>
        </w:rPr>
      </w:pPr>
    </w:p>
    <w:p w14:paraId="7CB73628" w14:textId="7CB45B50" w:rsidR="00BE3889" w:rsidRPr="00542AAE" w:rsidRDefault="00542AAE" w:rsidP="00542AAE">
      <w:pPr>
        <w:pStyle w:val="Heading1"/>
        <w:numPr>
          <w:ilvl w:val="0"/>
          <w:numId w:val="8"/>
        </w:numPr>
        <w:rPr>
          <w:rFonts w:ascii="Arial" w:eastAsia="Times New Roman" w:hAnsi="Arial" w:cs="Arial"/>
          <w:b/>
          <w:bCs/>
          <w:sz w:val="24"/>
          <w:szCs w:val="24"/>
          <w:lang w:val="en-GB" w:eastAsia="en-GB" w:bidi="ar-SA"/>
        </w:rPr>
      </w:pPr>
      <w:bookmarkStart w:id="20" w:name="_Toc213355229"/>
      <w:r>
        <w:rPr>
          <w:rFonts w:eastAsia="Times New Roman"/>
          <w:b/>
          <w:bCs/>
          <w:lang w:eastAsia="en-GB" w:bidi="ar-SA"/>
        </w:rPr>
        <w:lastRenderedPageBreak/>
        <w:t xml:space="preserve"> </w:t>
      </w:r>
      <w:r w:rsidR="00BE3889" w:rsidRPr="00542AAE">
        <w:rPr>
          <w:rFonts w:ascii="Arial" w:eastAsia="Times New Roman" w:hAnsi="Arial" w:cs="Arial"/>
          <w:b/>
          <w:bCs/>
          <w:color w:val="000000" w:themeColor="text1"/>
          <w:sz w:val="24"/>
          <w:szCs w:val="24"/>
          <w:lang w:eastAsia="en-GB" w:bidi="ar-SA"/>
        </w:rPr>
        <w:t>Reference List</w:t>
      </w:r>
      <w:bookmarkEnd w:id="20"/>
    </w:p>
    <w:p w14:paraId="099C6FA2" w14:textId="77777777" w:rsidR="00612638" w:rsidRDefault="00612638" w:rsidP="00612638">
      <w:pPr>
        <w:jc w:val="both"/>
        <w:rPr>
          <w:rFonts w:ascii="Arial" w:hAnsi="Arial" w:cs="Arial"/>
        </w:rPr>
      </w:pPr>
      <w:r w:rsidRPr="008F714F">
        <w:rPr>
          <w:rFonts w:ascii="Arial" w:hAnsi="Arial" w:cs="Arial"/>
        </w:rPr>
        <w:t xml:space="preserve">Dee, J., Li, L. and Zheng, Z. (2013). 'Is gold a hedge or a </w:t>
      </w:r>
      <w:r>
        <w:rPr>
          <w:rFonts w:ascii="Arial" w:hAnsi="Arial" w:cs="Arial"/>
        </w:rPr>
        <w:t>S</w:t>
      </w:r>
      <w:r w:rsidRPr="008F714F">
        <w:rPr>
          <w:rFonts w:ascii="Arial" w:hAnsi="Arial" w:cs="Arial"/>
        </w:rPr>
        <w:t>afe haven? Evidence f</w:t>
      </w:r>
      <w:r>
        <w:rPr>
          <w:rFonts w:ascii="Arial" w:hAnsi="Arial" w:cs="Arial"/>
        </w:rPr>
        <w:t>ro</w:t>
      </w:r>
      <w:r w:rsidRPr="008F714F">
        <w:rPr>
          <w:rFonts w:ascii="Arial" w:hAnsi="Arial" w:cs="Arial"/>
        </w:rPr>
        <w:t>m inflation and stock market', International Journal of Development and Sustainability, Vol. 2 No.1, pp. 12-27.</w:t>
      </w:r>
      <w:r>
        <w:rPr>
          <w:rFonts w:ascii="Arial" w:hAnsi="Arial" w:cs="Arial"/>
        </w:rPr>
        <w:t xml:space="preserve"> Available at: </w:t>
      </w:r>
      <w:hyperlink r:id="rId15" w:history="1">
        <w:r w:rsidRPr="00237DE4">
          <w:rPr>
            <w:rStyle w:val="Hyperlink"/>
            <w:rFonts w:ascii="Arial" w:hAnsi="Arial" w:cs="Arial"/>
          </w:rPr>
          <w:t>https://www.researchgate.net/publication/302931124_Is_gold_a_hedge_or_safe_Haven_Evidence_from_inflation_and_stock_market</w:t>
        </w:r>
      </w:hyperlink>
      <w:r>
        <w:rPr>
          <w:rFonts w:ascii="Arial" w:hAnsi="Arial" w:cs="Arial"/>
        </w:rPr>
        <w:t xml:space="preserve">  [</w:t>
      </w:r>
      <w:r w:rsidRPr="00F629DE">
        <w:rPr>
          <w:rFonts w:ascii="Arial" w:hAnsi="Arial" w:cs="Arial"/>
        </w:rPr>
        <w:t>Accessed</w:t>
      </w:r>
      <w:r>
        <w:rPr>
          <w:rFonts w:ascii="Arial" w:hAnsi="Arial" w:cs="Arial"/>
        </w:rPr>
        <w:t>:</w:t>
      </w:r>
      <w:r w:rsidRPr="00F629DE">
        <w:rPr>
          <w:rFonts w:ascii="Arial" w:hAnsi="Arial" w:cs="Arial"/>
        </w:rPr>
        <w:t xml:space="preserve"> 30th October 2025</w:t>
      </w:r>
      <w:r>
        <w:rPr>
          <w:rFonts w:ascii="Arial" w:hAnsi="Arial" w:cs="Arial"/>
        </w:rPr>
        <w:t>].</w:t>
      </w:r>
    </w:p>
    <w:p w14:paraId="5173435C" w14:textId="77777777" w:rsidR="00612638" w:rsidRDefault="00612638" w:rsidP="00612638">
      <w:pPr>
        <w:jc w:val="both"/>
        <w:rPr>
          <w:rFonts w:ascii="Arial" w:hAnsi="Arial" w:cs="Arial"/>
        </w:rPr>
      </w:pPr>
      <w:r w:rsidRPr="002D5FB3">
        <w:rPr>
          <w:rFonts w:ascii="Arial" w:hAnsi="Arial" w:cs="Arial"/>
        </w:rPr>
        <w:t xml:space="preserve">Baur, D.G., &amp; McDermott, T. (2010). Is gold a </w:t>
      </w:r>
      <w:r>
        <w:rPr>
          <w:rFonts w:ascii="Arial" w:hAnsi="Arial" w:cs="Arial"/>
        </w:rPr>
        <w:t>S</w:t>
      </w:r>
      <w:r w:rsidRPr="002D5FB3">
        <w:rPr>
          <w:rFonts w:ascii="Arial" w:hAnsi="Arial" w:cs="Arial"/>
        </w:rPr>
        <w:t>afe haven? International evidence. Journal of Banking &amp; Finance, 34 (8), 1886-1898.</w:t>
      </w:r>
      <w:r>
        <w:rPr>
          <w:rFonts w:ascii="Arial" w:hAnsi="Arial" w:cs="Arial"/>
        </w:rPr>
        <w:t xml:space="preserve"> Available at: </w:t>
      </w:r>
      <w:hyperlink r:id="rId16" w:history="1">
        <w:r w:rsidRPr="00CF6897">
          <w:rPr>
            <w:rStyle w:val="Hyperlink"/>
            <w:rFonts w:ascii="Arial" w:hAnsi="Arial" w:cs="Arial"/>
          </w:rPr>
          <w:t>https://www.sciencedirect.com/science/article/pii/S0378426609003343</w:t>
        </w:r>
      </w:hyperlink>
      <w:r>
        <w:rPr>
          <w:rFonts w:ascii="Arial" w:hAnsi="Arial" w:cs="Arial"/>
        </w:rPr>
        <w:t xml:space="preserve"> [ Accessed: </w:t>
      </w:r>
      <w:proofErr w:type="gramStart"/>
      <w:r>
        <w:rPr>
          <w:rFonts w:ascii="Arial" w:hAnsi="Arial" w:cs="Arial"/>
        </w:rPr>
        <w:t>31th</w:t>
      </w:r>
      <w:proofErr w:type="gramEnd"/>
      <w:r>
        <w:rPr>
          <w:rFonts w:ascii="Arial" w:hAnsi="Arial" w:cs="Arial"/>
        </w:rPr>
        <w:t xml:space="preserve"> October 2025].</w:t>
      </w:r>
    </w:p>
    <w:p w14:paraId="4DEC1263" w14:textId="77777777" w:rsidR="00612638" w:rsidRDefault="00612638" w:rsidP="00612638">
      <w:pPr>
        <w:jc w:val="both"/>
        <w:rPr>
          <w:rFonts w:ascii="Arial" w:hAnsi="Arial" w:cs="Arial"/>
        </w:rPr>
      </w:pPr>
      <w:r w:rsidRPr="008D0631">
        <w:rPr>
          <w:rFonts w:ascii="Arial" w:hAnsi="Arial" w:cs="Arial"/>
        </w:rPr>
        <w:t xml:space="preserve">Baur, D. G., &amp; Lucey, B. M. (2010). Is Gold a Hedge or a Safe Haven? An Analysis of Stocks, Bonds and Gold. </w:t>
      </w:r>
      <w:r w:rsidRPr="008D0631">
        <w:rPr>
          <w:rFonts w:ascii="Arial" w:hAnsi="Arial" w:cs="Arial"/>
          <w:i/>
          <w:iCs/>
        </w:rPr>
        <w:t>Financial Review</w:t>
      </w:r>
      <w:r w:rsidRPr="008D0631">
        <w:rPr>
          <w:rFonts w:ascii="Arial" w:hAnsi="Arial" w:cs="Arial"/>
        </w:rPr>
        <w:t xml:space="preserve">, </w:t>
      </w:r>
      <w:r w:rsidRPr="008D0631">
        <w:rPr>
          <w:rFonts w:ascii="Arial" w:hAnsi="Arial" w:cs="Arial"/>
          <w:i/>
          <w:iCs/>
        </w:rPr>
        <w:t>45</w:t>
      </w:r>
      <w:r w:rsidRPr="008D0631">
        <w:rPr>
          <w:rFonts w:ascii="Arial" w:hAnsi="Arial" w:cs="Arial"/>
        </w:rPr>
        <w:t>(2), 217–229.</w:t>
      </w:r>
      <w:r>
        <w:rPr>
          <w:rFonts w:ascii="Arial" w:hAnsi="Arial" w:cs="Arial"/>
        </w:rPr>
        <w:t xml:space="preserve"> Available at: </w:t>
      </w:r>
      <w:hyperlink r:id="rId17" w:history="1">
        <w:r w:rsidRPr="008D0631">
          <w:rPr>
            <w:rStyle w:val="Hyperlink"/>
            <w:rFonts w:ascii="Arial" w:hAnsi="Arial" w:cs="Arial"/>
          </w:rPr>
          <w:t>https://doi-org.ezproxy.uwtsd.ac.uk/10.1111/j.1540-6288.2010.00244.x</w:t>
        </w:r>
      </w:hyperlink>
      <w:r>
        <w:rPr>
          <w:rFonts w:ascii="Arial" w:hAnsi="Arial" w:cs="Arial"/>
        </w:rPr>
        <w:t xml:space="preserve"> [Accessed: 2</w:t>
      </w:r>
      <w:r w:rsidRPr="008D0631">
        <w:rPr>
          <w:rFonts w:ascii="Arial" w:hAnsi="Arial" w:cs="Arial"/>
          <w:vertAlign w:val="superscript"/>
        </w:rPr>
        <w:t>nd</w:t>
      </w:r>
      <w:r>
        <w:rPr>
          <w:rFonts w:ascii="Arial" w:hAnsi="Arial" w:cs="Arial"/>
        </w:rPr>
        <w:t xml:space="preserve"> November 2025].</w:t>
      </w:r>
    </w:p>
    <w:p w14:paraId="748A445E" w14:textId="77777777" w:rsidR="00612638" w:rsidRDefault="00612638" w:rsidP="00612638">
      <w:pPr>
        <w:jc w:val="both"/>
        <w:rPr>
          <w:rFonts w:ascii="Arial" w:hAnsi="Arial" w:cs="Arial"/>
        </w:rPr>
      </w:pPr>
      <w:r w:rsidRPr="00811199">
        <w:rPr>
          <w:rFonts w:ascii="Arial" w:hAnsi="Arial" w:cs="Arial"/>
        </w:rPr>
        <w:t>Hood, M. and Malik, F.</w:t>
      </w:r>
      <w:r>
        <w:rPr>
          <w:rFonts w:ascii="Arial" w:hAnsi="Arial" w:cs="Arial"/>
        </w:rPr>
        <w:t xml:space="preserve"> </w:t>
      </w:r>
      <w:r w:rsidRPr="00811199">
        <w:rPr>
          <w:rFonts w:ascii="Arial" w:hAnsi="Arial" w:cs="Arial"/>
        </w:rPr>
        <w:t>(2013). 'Is gold the best hedge and a Safe haven under changing stock market volatility?', Review of Financial Economics, 22(1), pp. 47-52. Available at:</w:t>
      </w:r>
      <w:r w:rsidRPr="00811199">
        <w:t xml:space="preserve"> </w:t>
      </w:r>
      <w:hyperlink r:id="rId18" w:history="1">
        <w:r w:rsidRPr="00DD628F">
          <w:rPr>
            <w:rStyle w:val="Hyperlink"/>
            <w:rFonts w:ascii="Arial" w:hAnsi="Arial" w:cs="Arial"/>
          </w:rPr>
          <w:t>https://www.sciencedirect.com/science/article/pii/S1058330013000219</w:t>
        </w:r>
      </w:hyperlink>
      <w:r>
        <w:rPr>
          <w:rFonts w:ascii="Arial" w:hAnsi="Arial" w:cs="Arial"/>
        </w:rPr>
        <w:t xml:space="preserve"> [Accessed: 2</w:t>
      </w:r>
      <w:r w:rsidRPr="008D0631">
        <w:rPr>
          <w:rFonts w:ascii="Arial" w:hAnsi="Arial" w:cs="Arial"/>
          <w:vertAlign w:val="superscript"/>
        </w:rPr>
        <w:t>nd</w:t>
      </w:r>
      <w:r>
        <w:rPr>
          <w:rFonts w:ascii="Arial" w:hAnsi="Arial" w:cs="Arial"/>
        </w:rPr>
        <w:t xml:space="preserve"> November 2025].</w:t>
      </w:r>
    </w:p>
    <w:p w14:paraId="776DB345" w14:textId="77777777" w:rsidR="00612638" w:rsidRDefault="00612638" w:rsidP="00612638">
      <w:pPr>
        <w:jc w:val="both"/>
        <w:rPr>
          <w:rFonts w:ascii="Arial" w:hAnsi="Arial" w:cs="Arial"/>
        </w:rPr>
      </w:pPr>
      <w:r w:rsidRPr="00B80694">
        <w:rPr>
          <w:rFonts w:ascii="Arial" w:hAnsi="Arial" w:cs="Arial"/>
        </w:rPr>
        <w:t>World Gold Council (2019). The Impact of Monetary Policy on Gold. Available at:</w:t>
      </w:r>
      <w:r>
        <w:rPr>
          <w:rFonts w:ascii="Arial" w:hAnsi="Arial" w:cs="Arial"/>
        </w:rPr>
        <w:t xml:space="preserve"> </w:t>
      </w:r>
      <w:hyperlink r:id="rId19" w:anchor="registration-type=google&amp;just-verified=1" w:history="1">
        <w:r w:rsidRPr="00A74C0B">
          <w:rPr>
            <w:rStyle w:val="Hyperlink"/>
            <w:rFonts w:ascii="Arial" w:hAnsi="Arial" w:cs="Arial"/>
          </w:rPr>
          <w:t>https://www.gold.org/goldhub/research/the-impact-of-monetary-policy-on-gold#registration-type=google&amp;just-verified=1</w:t>
        </w:r>
      </w:hyperlink>
      <w:r>
        <w:rPr>
          <w:rFonts w:ascii="Arial" w:hAnsi="Arial" w:cs="Arial"/>
        </w:rPr>
        <w:t xml:space="preserve"> [Accessed: 4</w:t>
      </w:r>
      <w:r w:rsidRPr="00B80694">
        <w:rPr>
          <w:rFonts w:ascii="Arial" w:hAnsi="Arial" w:cs="Arial"/>
          <w:vertAlign w:val="superscript"/>
        </w:rPr>
        <w:t>th</w:t>
      </w:r>
      <w:r>
        <w:rPr>
          <w:rFonts w:ascii="Arial" w:hAnsi="Arial" w:cs="Arial"/>
        </w:rPr>
        <w:t xml:space="preserve"> November 2025].</w:t>
      </w:r>
    </w:p>
    <w:p w14:paraId="46835846" w14:textId="77777777" w:rsidR="00612638" w:rsidRDefault="00612638" w:rsidP="00612638">
      <w:pPr>
        <w:jc w:val="both"/>
        <w:rPr>
          <w:rFonts w:ascii="Arial" w:hAnsi="Arial" w:cs="Arial"/>
        </w:rPr>
      </w:pPr>
      <w:r w:rsidRPr="00B25DB2">
        <w:rPr>
          <w:rFonts w:ascii="Arial" w:hAnsi="Arial" w:cs="Arial"/>
        </w:rPr>
        <w:t xml:space="preserve">Saunders, M., Lewis, P. and Thornhill, A. (2019). Research Methods for Business Students. 8th </w:t>
      </w:r>
      <w:proofErr w:type="spellStart"/>
      <w:r w:rsidRPr="00B25DB2">
        <w:rPr>
          <w:rFonts w:ascii="Arial" w:hAnsi="Arial" w:cs="Arial"/>
        </w:rPr>
        <w:t>edn</w:t>
      </w:r>
      <w:proofErr w:type="spellEnd"/>
      <w:r w:rsidRPr="00B25DB2">
        <w:rPr>
          <w:rFonts w:ascii="Arial" w:hAnsi="Arial" w:cs="Arial"/>
        </w:rPr>
        <w:t xml:space="preserve">. Harlow: Pearson Education. Available at: </w:t>
      </w:r>
      <w:hyperlink r:id="rId20" w:history="1">
        <w:r w:rsidRPr="00E67B3C">
          <w:rPr>
            <w:rStyle w:val="Hyperlink"/>
            <w:rFonts w:ascii="Arial" w:hAnsi="Arial" w:cs="Arial"/>
          </w:rPr>
          <w:t>https://www.researchgate.net/publication/330760964_Research_Methods_for_Business_Students_Chapter_4_Understanding_research_philosophy_and_approaches_to_theory_development</w:t>
        </w:r>
      </w:hyperlink>
      <w:r>
        <w:rPr>
          <w:rFonts w:ascii="Arial" w:hAnsi="Arial" w:cs="Arial"/>
        </w:rPr>
        <w:t xml:space="preserve"> [Accessed: 4</w:t>
      </w:r>
      <w:r w:rsidRPr="00B80694">
        <w:rPr>
          <w:rFonts w:ascii="Arial" w:hAnsi="Arial" w:cs="Arial"/>
          <w:vertAlign w:val="superscript"/>
        </w:rPr>
        <w:t>th</w:t>
      </w:r>
      <w:r>
        <w:rPr>
          <w:rFonts w:ascii="Arial" w:hAnsi="Arial" w:cs="Arial"/>
        </w:rPr>
        <w:t xml:space="preserve"> November 2025].</w:t>
      </w:r>
    </w:p>
    <w:p w14:paraId="37DE5929" w14:textId="77777777" w:rsidR="00612638" w:rsidRDefault="00612638" w:rsidP="00612638">
      <w:pPr>
        <w:jc w:val="both"/>
        <w:rPr>
          <w:rFonts w:ascii="Arial" w:hAnsi="Arial" w:cs="Arial"/>
        </w:rPr>
      </w:pPr>
      <w:r w:rsidRPr="008F2595">
        <w:rPr>
          <w:rFonts w:ascii="Arial" w:hAnsi="Arial" w:cs="Arial"/>
        </w:rPr>
        <w:t xml:space="preserve">ACCA (2024). Regression and Correlation Techniques. Available at: </w:t>
      </w:r>
      <w:hyperlink r:id="rId21" w:history="1">
        <w:r w:rsidRPr="00E67B3C">
          <w:rPr>
            <w:rStyle w:val="Hyperlink"/>
            <w:rFonts w:ascii="Arial" w:hAnsi="Arial" w:cs="Arial"/>
          </w:rPr>
          <w:t>https://www.accaglobal.com/uk/en/student/exam-support-resources/fundamentals-exams-study-resources/f5/technical-articles/regression.html?utm_source.com</w:t>
        </w:r>
      </w:hyperlink>
      <w:r>
        <w:rPr>
          <w:rFonts w:ascii="Arial" w:hAnsi="Arial" w:cs="Arial"/>
        </w:rPr>
        <w:t xml:space="preserve"> [Accessed: 4</w:t>
      </w:r>
      <w:r w:rsidRPr="00B80694">
        <w:rPr>
          <w:rFonts w:ascii="Arial" w:hAnsi="Arial" w:cs="Arial"/>
          <w:vertAlign w:val="superscript"/>
        </w:rPr>
        <w:t>th</w:t>
      </w:r>
      <w:r>
        <w:rPr>
          <w:rFonts w:ascii="Arial" w:hAnsi="Arial" w:cs="Arial"/>
        </w:rPr>
        <w:t xml:space="preserve"> November 2025].</w:t>
      </w:r>
    </w:p>
    <w:p w14:paraId="52B21A90" w14:textId="750C4255" w:rsidR="004B3598" w:rsidRPr="00612638" w:rsidRDefault="00612638" w:rsidP="00612638">
      <w:pPr>
        <w:jc w:val="both"/>
        <w:rPr>
          <w:rFonts w:ascii="Arial" w:hAnsi="Arial" w:cs="Arial"/>
        </w:rPr>
      </w:pPr>
      <w:r w:rsidRPr="008C38DE">
        <w:rPr>
          <w:rFonts w:ascii="Arial" w:hAnsi="Arial" w:cs="Arial"/>
        </w:rPr>
        <w:t>Bewick, V., Cheek, L., &amp; Ball, J. (2003). Statistics review 7: Correlation and regression. </w:t>
      </w:r>
      <w:r w:rsidRPr="008C38DE">
        <w:rPr>
          <w:rFonts w:ascii="Arial" w:hAnsi="Arial" w:cs="Arial"/>
          <w:i/>
          <w:iCs/>
        </w:rPr>
        <w:t>Critical care (London, England)</w:t>
      </w:r>
      <w:r w:rsidRPr="008C38DE">
        <w:rPr>
          <w:rFonts w:ascii="Arial" w:hAnsi="Arial" w:cs="Arial"/>
        </w:rPr>
        <w:t>, </w:t>
      </w:r>
      <w:r w:rsidRPr="008C38DE">
        <w:rPr>
          <w:rFonts w:ascii="Arial" w:hAnsi="Arial" w:cs="Arial"/>
          <w:i/>
          <w:iCs/>
        </w:rPr>
        <w:t>7</w:t>
      </w:r>
      <w:r w:rsidRPr="008C38DE">
        <w:rPr>
          <w:rFonts w:ascii="Arial" w:hAnsi="Arial" w:cs="Arial"/>
        </w:rPr>
        <w:t xml:space="preserve">(6), 451–459. </w:t>
      </w:r>
      <w:hyperlink r:id="rId22" w:history="1">
        <w:r w:rsidRPr="009D5633">
          <w:rPr>
            <w:rStyle w:val="Hyperlink"/>
            <w:rFonts w:ascii="Arial" w:hAnsi="Arial" w:cs="Arial"/>
          </w:rPr>
          <w:t>https://doi.org/10.1186/cc2401</w:t>
        </w:r>
      </w:hyperlink>
      <w:r>
        <w:rPr>
          <w:rFonts w:ascii="Arial" w:hAnsi="Arial" w:cs="Arial"/>
        </w:rPr>
        <w:t xml:space="preserve">. Available at: </w:t>
      </w:r>
      <w:hyperlink r:id="rId23" w:history="1">
        <w:r w:rsidRPr="009D5633">
          <w:rPr>
            <w:rStyle w:val="Hyperlink"/>
            <w:rFonts w:ascii="Arial" w:hAnsi="Arial" w:cs="Arial"/>
          </w:rPr>
          <w:t>https://pmc.ncbi.nlm.nih.gov/articles/PMC374386/</w:t>
        </w:r>
      </w:hyperlink>
      <w:r>
        <w:rPr>
          <w:rFonts w:ascii="Arial" w:hAnsi="Arial" w:cs="Arial"/>
        </w:rPr>
        <w:t xml:space="preserve"> [Accessed: 5</w:t>
      </w:r>
      <w:r w:rsidRPr="00B80694">
        <w:rPr>
          <w:rFonts w:ascii="Arial" w:hAnsi="Arial" w:cs="Arial"/>
          <w:vertAlign w:val="superscript"/>
        </w:rPr>
        <w:t>th</w:t>
      </w:r>
      <w:r>
        <w:rPr>
          <w:rFonts w:ascii="Arial" w:hAnsi="Arial" w:cs="Arial"/>
        </w:rPr>
        <w:t xml:space="preserve"> November 2025].</w:t>
      </w:r>
    </w:p>
    <w:p w14:paraId="28A6561C" w14:textId="77777777" w:rsidR="00154A2E" w:rsidRPr="0075177E" w:rsidRDefault="00154A2E" w:rsidP="00AC2AC0">
      <w:pPr>
        <w:spacing w:line="360" w:lineRule="auto"/>
        <w:jc w:val="both"/>
        <w:rPr>
          <w:rFonts w:ascii="Arial" w:hAnsi="Arial" w:cs="Arial"/>
        </w:rPr>
      </w:pPr>
    </w:p>
    <w:sectPr w:rsidR="00154A2E" w:rsidRPr="0075177E" w:rsidSect="00C3469E">
      <w:footerReference w:type="default" r:id="rId24"/>
      <w:footerReference w:type="first" r:id="rId2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0E766" w14:textId="77777777" w:rsidR="00915FBC" w:rsidRDefault="00915FBC" w:rsidP="00AA6F0E">
      <w:pPr>
        <w:spacing w:after="0" w:line="240" w:lineRule="auto"/>
      </w:pPr>
      <w:r>
        <w:separator/>
      </w:r>
    </w:p>
  </w:endnote>
  <w:endnote w:type="continuationSeparator" w:id="0">
    <w:p w14:paraId="3361BED7" w14:textId="77777777" w:rsidR="00915FBC" w:rsidRDefault="00915FBC" w:rsidP="00AA6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 w:name="Aptos Display">
    <w:charset w:val="00"/>
    <w:family w:val="swiss"/>
    <w:pitch w:val="variable"/>
    <w:sig w:usb0="20000287" w:usb1="00000003" w:usb2="00000000" w:usb3="00000000" w:csb0="0000019F" w:csb1="00000000"/>
  </w:font>
  <w:font w:name="Nunito Sans">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9105725"/>
      <w:docPartObj>
        <w:docPartGallery w:val="Page Numbers (Bottom of Page)"/>
        <w:docPartUnique/>
      </w:docPartObj>
    </w:sdtPr>
    <w:sdtEndPr>
      <w:rPr>
        <w:noProof/>
      </w:rPr>
    </w:sdtEndPr>
    <w:sdtContent>
      <w:p w14:paraId="6F6D1FF5" w14:textId="5BD71659" w:rsidR="00AA6F0E" w:rsidRDefault="00AA6F0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0E2645" w14:textId="77777777" w:rsidR="00AA6F0E" w:rsidRDefault="00AA6F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5237929"/>
      <w:docPartObj>
        <w:docPartGallery w:val="Page Numbers (Bottom of Page)"/>
        <w:docPartUnique/>
      </w:docPartObj>
    </w:sdtPr>
    <w:sdtEndPr>
      <w:rPr>
        <w:noProof/>
      </w:rPr>
    </w:sdtEndPr>
    <w:sdtContent>
      <w:p w14:paraId="232CBE72" w14:textId="3FD738E6" w:rsidR="00AA6F0E" w:rsidRDefault="00C3469E">
        <w:pPr>
          <w:pStyle w:val="Footer"/>
          <w:jc w:val="right"/>
        </w:pPr>
        <w:r>
          <w:t>0</w:t>
        </w:r>
      </w:p>
    </w:sdtContent>
  </w:sdt>
  <w:p w14:paraId="2B4D227C" w14:textId="28215E56" w:rsidR="00AA6F0E" w:rsidRDefault="00AA6F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AF904" w14:textId="77777777" w:rsidR="00915FBC" w:rsidRDefault="00915FBC" w:rsidP="00AA6F0E">
      <w:pPr>
        <w:spacing w:after="0" w:line="240" w:lineRule="auto"/>
      </w:pPr>
      <w:r>
        <w:separator/>
      </w:r>
    </w:p>
  </w:footnote>
  <w:footnote w:type="continuationSeparator" w:id="0">
    <w:p w14:paraId="5C4B424D" w14:textId="77777777" w:rsidR="00915FBC" w:rsidRDefault="00915FBC" w:rsidP="00AA6F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83478"/>
    <w:multiLevelType w:val="hybridMultilevel"/>
    <w:tmpl w:val="BCA480B8"/>
    <w:lvl w:ilvl="0" w:tplc="739CCA6A">
      <w:start w:val="1"/>
      <w:numFmt w:val="decimal"/>
      <w:lvlText w:val="%1)"/>
      <w:lvlJc w:val="left"/>
      <w:pPr>
        <w:ind w:left="360" w:hanging="360"/>
      </w:pPr>
      <w:rPr>
        <w:rFonts w:hint="default"/>
        <w:b/>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3930846"/>
    <w:multiLevelType w:val="hybridMultilevel"/>
    <w:tmpl w:val="FC3E5FA8"/>
    <w:lvl w:ilvl="0" w:tplc="19BCC9CA">
      <w:start w:val="1"/>
      <w:numFmt w:val="decimal"/>
      <w:lvlText w:val="%1)"/>
      <w:lvlJc w:val="left"/>
      <w:pPr>
        <w:ind w:left="360" w:hanging="360"/>
      </w:pPr>
      <w:rPr>
        <w:rFonts w:hint="default"/>
        <w:b/>
        <w:bCs/>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48E7852"/>
    <w:multiLevelType w:val="multilevel"/>
    <w:tmpl w:val="8BC6AF0A"/>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7F853A1"/>
    <w:multiLevelType w:val="hybridMultilevel"/>
    <w:tmpl w:val="DC66CC8E"/>
    <w:lvl w:ilvl="0" w:tplc="0244660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87A65F1"/>
    <w:multiLevelType w:val="hybridMultilevel"/>
    <w:tmpl w:val="FFE23C5C"/>
    <w:lvl w:ilvl="0" w:tplc="0E44C954">
      <w:start w:val="1"/>
      <w:numFmt w:val="decimal"/>
      <w:pStyle w:val="TOC1"/>
      <w:lvlText w:val="%1)"/>
      <w:lvlJc w:val="left"/>
      <w:pPr>
        <w:ind w:left="360" w:hanging="360"/>
      </w:pPr>
      <w:rPr>
        <w:rFonts w:ascii="Arial" w:eastAsiaTheme="minorHAnsi" w:hAnsi="Arial" w:cs="Arial"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4582F1C"/>
    <w:multiLevelType w:val="hybridMultilevel"/>
    <w:tmpl w:val="169E338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B971EDA"/>
    <w:multiLevelType w:val="multilevel"/>
    <w:tmpl w:val="9890372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625052E9"/>
    <w:multiLevelType w:val="multilevel"/>
    <w:tmpl w:val="E266DE1A"/>
    <w:lvl w:ilvl="0">
      <w:start w:val="1"/>
      <w:numFmt w:val="decimal"/>
      <w:lvlText w:val="%1."/>
      <w:lvlJc w:val="left"/>
      <w:pPr>
        <w:ind w:left="410" w:hanging="4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4AE7734"/>
    <w:multiLevelType w:val="hybridMultilevel"/>
    <w:tmpl w:val="15B8955E"/>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C22039E"/>
    <w:multiLevelType w:val="multilevel"/>
    <w:tmpl w:val="DE421494"/>
    <w:lvl w:ilvl="0">
      <w:start w:val="1"/>
      <w:numFmt w:val="decimal"/>
      <w:lvlText w:val="%1."/>
      <w:lvlJc w:val="left"/>
      <w:pPr>
        <w:ind w:left="410" w:hanging="4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631479010">
    <w:abstractNumId w:val="8"/>
  </w:num>
  <w:num w:numId="2" w16cid:durableId="1572735949">
    <w:abstractNumId w:val="2"/>
  </w:num>
  <w:num w:numId="3" w16cid:durableId="1612007922">
    <w:abstractNumId w:val="9"/>
  </w:num>
  <w:num w:numId="4" w16cid:durableId="167914074">
    <w:abstractNumId w:val="7"/>
  </w:num>
  <w:num w:numId="5" w16cid:durableId="2122262803">
    <w:abstractNumId w:val="5"/>
  </w:num>
  <w:num w:numId="6" w16cid:durableId="2108646480">
    <w:abstractNumId w:val="0"/>
  </w:num>
  <w:num w:numId="7" w16cid:durableId="1805536517">
    <w:abstractNumId w:val="3"/>
  </w:num>
  <w:num w:numId="8" w16cid:durableId="1305502134">
    <w:abstractNumId w:val="1"/>
  </w:num>
  <w:num w:numId="9" w16cid:durableId="1550650095">
    <w:abstractNumId w:val="6"/>
  </w:num>
  <w:num w:numId="10" w16cid:durableId="14754894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77E"/>
    <w:rsid w:val="00000AB4"/>
    <w:rsid w:val="000014F4"/>
    <w:rsid w:val="00033165"/>
    <w:rsid w:val="00040806"/>
    <w:rsid w:val="00046DB8"/>
    <w:rsid w:val="000838D9"/>
    <w:rsid w:val="000E7BE6"/>
    <w:rsid w:val="0011385E"/>
    <w:rsid w:val="00131563"/>
    <w:rsid w:val="00146417"/>
    <w:rsid w:val="00154A2E"/>
    <w:rsid w:val="001C6029"/>
    <w:rsid w:val="001D7DAC"/>
    <w:rsid w:val="001E1710"/>
    <w:rsid w:val="001E3D88"/>
    <w:rsid w:val="001F1353"/>
    <w:rsid w:val="00201484"/>
    <w:rsid w:val="002175C8"/>
    <w:rsid w:val="00225F6D"/>
    <w:rsid w:val="002439AA"/>
    <w:rsid w:val="00253555"/>
    <w:rsid w:val="00264083"/>
    <w:rsid w:val="00284B7C"/>
    <w:rsid w:val="00286590"/>
    <w:rsid w:val="002D5B67"/>
    <w:rsid w:val="002F6D92"/>
    <w:rsid w:val="0032615A"/>
    <w:rsid w:val="00347BCC"/>
    <w:rsid w:val="00347E10"/>
    <w:rsid w:val="0037050B"/>
    <w:rsid w:val="00380F4F"/>
    <w:rsid w:val="00385C27"/>
    <w:rsid w:val="003A1D04"/>
    <w:rsid w:val="003B3DB8"/>
    <w:rsid w:val="003F020E"/>
    <w:rsid w:val="004122C1"/>
    <w:rsid w:val="00412A96"/>
    <w:rsid w:val="00434C5A"/>
    <w:rsid w:val="0045028B"/>
    <w:rsid w:val="0045267A"/>
    <w:rsid w:val="00453651"/>
    <w:rsid w:val="004939E2"/>
    <w:rsid w:val="004A661A"/>
    <w:rsid w:val="004B3598"/>
    <w:rsid w:val="004B6A62"/>
    <w:rsid w:val="004B7280"/>
    <w:rsid w:val="004C1047"/>
    <w:rsid w:val="004C1529"/>
    <w:rsid w:val="004C17CD"/>
    <w:rsid w:val="004D69CA"/>
    <w:rsid w:val="004E4F75"/>
    <w:rsid w:val="004E6DD1"/>
    <w:rsid w:val="005114EB"/>
    <w:rsid w:val="005135C3"/>
    <w:rsid w:val="005144B5"/>
    <w:rsid w:val="00525CB3"/>
    <w:rsid w:val="00541A07"/>
    <w:rsid w:val="00542AAE"/>
    <w:rsid w:val="00553B12"/>
    <w:rsid w:val="00555F52"/>
    <w:rsid w:val="00575E02"/>
    <w:rsid w:val="00587B71"/>
    <w:rsid w:val="00591145"/>
    <w:rsid w:val="005A3FE2"/>
    <w:rsid w:val="005B1401"/>
    <w:rsid w:val="005B2B69"/>
    <w:rsid w:val="005D5539"/>
    <w:rsid w:val="005F40F4"/>
    <w:rsid w:val="00612638"/>
    <w:rsid w:val="0061559F"/>
    <w:rsid w:val="00652BE0"/>
    <w:rsid w:val="00653C5D"/>
    <w:rsid w:val="006649F3"/>
    <w:rsid w:val="00671D32"/>
    <w:rsid w:val="00672F65"/>
    <w:rsid w:val="0068119E"/>
    <w:rsid w:val="006A77F6"/>
    <w:rsid w:val="006A7F7A"/>
    <w:rsid w:val="006B4CF5"/>
    <w:rsid w:val="006F033D"/>
    <w:rsid w:val="006F1D31"/>
    <w:rsid w:val="006F2534"/>
    <w:rsid w:val="006F25E7"/>
    <w:rsid w:val="00701009"/>
    <w:rsid w:val="00710DF6"/>
    <w:rsid w:val="007431CF"/>
    <w:rsid w:val="0075177E"/>
    <w:rsid w:val="0075439E"/>
    <w:rsid w:val="007548EA"/>
    <w:rsid w:val="00760EBB"/>
    <w:rsid w:val="007762F1"/>
    <w:rsid w:val="00793F20"/>
    <w:rsid w:val="00794749"/>
    <w:rsid w:val="007B48ED"/>
    <w:rsid w:val="007C2DDC"/>
    <w:rsid w:val="00833696"/>
    <w:rsid w:val="008531A4"/>
    <w:rsid w:val="00866E0B"/>
    <w:rsid w:val="00880587"/>
    <w:rsid w:val="0088315C"/>
    <w:rsid w:val="008A23C2"/>
    <w:rsid w:val="008E5562"/>
    <w:rsid w:val="008E562A"/>
    <w:rsid w:val="008E7119"/>
    <w:rsid w:val="00904247"/>
    <w:rsid w:val="009055BD"/>
    <w:rsid w:val="009142B4"/>
    <w:rsid w:val="00915FBC"/>
    <w:rsid w:val="00923E73"/>
    <w:rsid w:val="00924991"/>
    <w:rsid w:val="00924D57"/>
    <w:rsid w:val="00932517"/>
    <w:rsid w:val="00975E7A"/>
    <w:rsid w:val="009C08C7"/>
    <w:rsid w:val="009D1AF4"/>
    <w:rsid w:val="009E637A"/>
    <w:rsid w:val="009F5DD5"/>
    <w:rsid w:val="00A00311"/>
    <w:rsid w:val="00A05D64"/>
    <w:rsid w:val="00A2265E"/>
    <w:rsid w:val="00A33FE1"/>
    <w:rsid w:val="00A42EFE"/>
    <w:rsid w:val="00A731CA"/>
    <w:rsid w:val="00A77F1F"/>
    <w:rsid w:val="00A83231"/>
    <w:rsid w:val="00AA6F0E"/>
    <w:rsid w:val="00AC2AC0"/>
    <w:rsid w:val="00AC6582"/>
    <w:rsid w:val="00B01CC7"/>
    <w:rsid w:val="00B16B81"/>
    <w:rsid w:val="00B22463"/>
    <w:rsid w:val="00B26808"/>
    <w:rsid w:val="00B4210B"/>
    <w:rsid w:val="00B46F9F"/>
    <w:rsid w:val="00B73F7B"/>
    <w:rsid w:val="00B87DED"/>
    <w:rsid w:val="00BA0185"/>
    <w:rsid w:val="00BA1F72"/>
    <w:rsid w:val="00BB5608"/>
    <w:rsid w:val="00BC28FF"/>
    <w:rsid w:val="00BC7B38"/>
    <w:rsid w:val="00BD0C69"/>
    <w:rsid w:val="00BE3889"/>
    <w:rsid w:val="00BE3A6E"/>
    <w:rsid w:val="00BF4AB4"/>
    <w:rsid w:val="00BF7470"/>
    <w:rsid w:val="00C04AAC"/>
    <w:rsid w:val="00C174E8"/>
    <w:rsid w:val="00C21E41"/>
    <w:rsid w:val="00C3469E"/>
    <w:rsid w:val="00C82A8F"/>
    <w:rsid w:val="00C8747C"/>
    <w:rsid w:val="00CA5AB4"/>
    <w:rsid w:val="00CB0F24"/>
    <w:rsid w:val="00CD07A8"/>
    <w:rsid w:val="00CD2D41"/>
    <w:rsid w:val="00CD2DDB"/>
    <w:rsid w:val="00CD7E52"/>
    <w:rsid w:val="00D02F42"/>
    <w:rsid w:val="00D16C51"/>
    <w:rsid w:val="00D81260"/>
    <w:rsid w:val="00D8634A"/>
    <w:rsid w:val="00D920D8"/>
    <w:rsid w:val="00DA3218"/>
    <w:rsid w:val="00DB47EE"/>
    <w:rsid w:val="00DE6200"/>
    <w:rsid w:val="00E30189"/>
    <w:rsid w:val="00E512B4"/>
    <w:rsid w:val="00E6549D"/>
    <w:rsid w:val="00E81A25"/>
    <w:rsid w:val="00EA5E65"/>
    <w:rsid w:val="00EC61AA"/>
    <w:rsid w:val="00ED6129"/>
    <w:rsid w:val="00EE08E0"/>
    <w:rsid w:val="00EE3650"/>
    <w:rsid w:val="00EF4E94"/>
    <w:rsid w:val="00EF7FAE"/>
    <w:rsid w:val="00F05454"/>
    <w:rsid w:val="00F1469C"/>
    <w:rsid w:val="00F43E31"/>
    <w:rsid w:val="00F50AE7"/>
    <w:rsid w:val="00F60F48"/>
    <w:rsid w:val="00F65B34"/>
    <w:rsid w:val="00F80DAA"/>
    <w:rsid w:val="00FA0143"/>
    <w:rsid w:val="00FB377C"/>
    <w:rsid w:val="00FB5625"/>
    <w:rsid w:val="00FE20AC"/>
    <w:rsid w:val="00FF19A6"/>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A4749"/>
  <w15:chartTrackingRefBased/>
  <w15:docId w15:val="{54C0442D-ADBD-4EB3-ADA5-26D47D6F3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17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517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17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17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17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17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17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17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17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17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517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17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17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17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17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17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17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177E"/>
    <w:rPr>
      <w:rFonts w:eastAsiaTheme="majorEastAsia" w:cstheme="majorBidi"/>
      <w:color w:val="272727" w:themeColor="text1" w:themeTint="D8"/>
    </w:rPr>
  </w:style>
  <w:style w:type="paragraph" w:styleId="Title">
    <w:name w:val="Title"/>
    <w:basedOn w:val="Normal"/>
    <w:next w:val="Normal"/>
    <w:link w:val="TitleChar"/>
    <w:uiPriority w:val="10"/>
    <w:qFormat/>
    <w:rsid w:val="007517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17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17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17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177E"/>
    <w:pPr>
      <w:spacing w:before="160"/>
      <w:jc w:val="center"/>
    </w:pPr>
    <w:rPr>
      <w:i/>
      <w:iCs/>
      <w:color w:val="404040" w:themeColor="text1" w:themeTint="BF"/>
    </w:rPr>
  </w:style>
  <w:style w:type="character" w:customStyle="1" w:styleId="QuoteChar">
    <w:name w:val="Quote Char"/>
    <w:basedOn w:val="DefaultParagraphFont"/>
    <w:link w:val="Quote"/>
    <w:uiPriority w:val="29"/>
    <w:rsid w:val="0075177E"/>
    <w:rPr>
      <w:i/>
      <w:iCs/>
      <w:color w:val="404040" w:themeColor="text1" w:themeTint="BF"/>
    </w:rPr>
  </w:style>
  <w:style w:type="paragraph" w:styleId="ListParagraph">
    <w:name w:val="List Paragraph"/>
    <w:basedOn w:val="Normal"/>
    <w:uiPriority w:val="34"/>
    <w:qFormat/>
    <w:rsid w:val="0075177E"/>
    <w:pPr>
      <w:ind w:left="720"/>
      <w:contextualSpacing/>
    </w:pPr>
  </w:style>
  <w:style w:type="character" w:styleId="IntenseEmphasis">
    <w:name w:val="Intense Emphasis"/>
    <w:basedOn w:val="DefaultParagraphFont"/>
    <w:uiPriority w:val="21"/>
    <w:qFormat/>
    <w:rsid w:val="0075177E"/>
    <w:rPr>
      <w:i/>
      <w:iCs/>
      <w:color w:val="0F4761" w:themeColor="accent1" w:themeShade="BF"/>
    </w:rPr>
  </w:style>
  <w:style w:type="paragraph" w:styleId="IntenseQuote">
    <w:name w:val="Intense Quote"/>
    <w:basedOn w:val="Normal"/>
    <w:next w:val="Normal"/>
    <w:link w:val="IntenseQuoteChar"/>
    <w:uiPriority w:val="30"/>
    <w:qFormat/>
    <w:rsid w:val="007517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177E"/>
    <w:rPr>
      <w:i/>
      <w:iCs/>
      <w:color w:val="0F4761" w:themeColor="accent1" w:themeShade="BF"/>
    </w:rPr>
  </w:style>
  <w:style w:type="character" w:styleId="IntenseReference">
    <w:name w:val="Intense Reference"/>
    <w:basedOn w:val="DefaultParagraphFont"/>
    <w:uiPriority w:val="32"/>
    <w:qFormat/>
    <w:rsid w:val="0075177E"/>
    <w:rPr>
      <w:b/>
      <w:bCs/>
      <w:smallCaps/>
      <w:color w:val="0F4761" w:themeColor="accent1" w:themeShade="BF"/>
      <w:spacing w:val="5"/>
    </w:rPr>
  </w:style>
  <w:style w:type="paragraph" w:styleId="NormalWeb">
    <w:name w:val="Normal (Web)"/>
    <w:basedOn w:val="Normal"/>
    <w:uiPriority w:val="99"/>
    <w:semiHidden/>
    <w:unhideWhenUsed/>
    <w:rsid w:val="004122C1"/>
    <w:rPr>
      <w:rFonts w:ascii="Times New Roman" w:hAnsi="Times New Roman" w:cs="Times New Roman"/>
    </w:rPr>
  </w:style>
  <w:style w:type="character" w:styleId="Hyperlink">
    <w:name w:val="Hyperlink"/>
    <w:basedOn w:val="DefaultParagraphFont"/>
    <w:uiPriority w:val="99"/>
    <w:unhideWhenUsed/>
    <w:rsid w:val="00612638"/>
    <w:rPr>
      <w:color w:val="467886" w:themeColor="hyperlink"/>
      <w:u w:val="single"/>
    </w:rPr>
  </w:style>
  <w:style w:type="paragraph" w:styleId="Header">
    <w:name w:val="header"/>
    <w:basedOn w:val="Normal"/>
    <w:link w:val="HeaderChar"/>
    <w:uiPriority w:val="99"/>
    <w:unhideWhenUsed/>
    <w:rsid w:val="00AA6F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F0E"/>
  </w:style>
  <w:style w:type="paragraph" w:styleId="Footer">
    <w:name w:val="footer"/>
    <w:basedOn w:val="Normal"/>
    <w:link w:val="FooterChar"/>
    <w:uiPriority w:val="99"/>
    <w:unhideWhenUsed/>
    <w:rsid w:val="00AA6F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F0E"/>
  </w:style>
  <w:style w:type="paragraph" w:styleId="TOCHeading">
    <w:name w:val="TOC Heading"/>
    <w:basedOn w:val="Heading1"/>
    <w:next w:val="Normal"/>
    <w:uiPriority w:val="39"/>
    <w:unhideWhenUsed/>
    <w:qFormat/>
    <w:rsid w:val="00E81A25"/>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4C17CD"/>
    <w:pPr>
      <w:numPr>
        <w:numId w:val="10"/>
      </w:numPr>
      <w:tabs>
        <w:tab w:val="right" w:leader="dot" w:pos="9016"/>
      </w:tabs>
      <w:spacing w:after="100"/>
    </w:pPr>
  </w:style>
  <w:style w:type="paragraph" w:styleId="TOC2">
    <w:name w:val="toc 2"/>
    <w:basedOn w:val="Normal"/>
    <w:next w:val="Normal"/>
    <w:autoRedefine/>
    <w:uiPriority w:val="39"/>
    <w:unhideWhenUsed/>
    <w:rsid w:val="009C08C7"/>
    <w:pPr>
      <w:tabs>
        <w:tab w:val="right" w:leader="dot" w:pos="9016"/>
      </w:tabs>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hyperlink" Target="https://www.sciencedirect.com/science/article/pii/S105833001300021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accaglobal.com/uk/en/student/exam-support-resources/fundamentals-exams-study-resources/f5/technical-articles/regression.html?utm_source.com"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doi-org.ezproxy.uwtsd.ac.uk/10.1111/j.1540-6288.2010.00244.x"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sciencedirect.com/science/article/pii/S0378426609003343" TargetMode="External"/><Relationship Id="rId20" Type="http://schemas.openxmlformats.org/officeDocument/2006/relationships/hyperlink" Target="https://www.researchgate.net/publication/330760964_Research_Methods_for_Business_Students_Chapter_4_Understanding_research_philosophy_and_approaches_to_theory_develop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researchgate.net/publication/302931124_Is_gold_a_hedge_or_safe_Haven_Evidence_from_inflation_and_stock_market" TargetMode="External"/><Relationship Id="rId23" Type="http://schemas.openxmlformats.org/officeDocument/2006/relationships/hyperlink" Target="https://pmc.ncbi.nlm.nih.gov/articles/PMC374386/" TargetMode="External"/><Relationship Id="rId10" Type="http://schemas.openxmlformats.org/officeDocument/2006/relationships/diagramLayout" Target="diagrams/layout1.xml"/><Relationship Id="rId19" Type="http://schemas.openxmlformats.org/officeDocument/2006/relationships/hyperlink" Target="https://www.gold.org/goldhub/research/the-impact-of-monetary-policy-on-gold"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chart" Target="charts/chart1.xml"/><Relationship Id="rId22" Type="http://schemas.openxmlformats.org/officeDocument/2006/relationships/hyperlink" Target="https://doi.org/10.1186/cc2401"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avi\OneDrive%20-%20University%20of%20Wales%20Trinity%20Saint%20David\Desktop\Neel%20Patel\Dissertation\GC.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Sheet2!$B$1</c:f>
              <c:strCache>
                <c:ptCount val="1"/>
                <c:pt idx="0">
                  <c:v>Start Date</c:v>
                </c:pt>
              </c:strCache>
            </c:strRef>
          </c:tx>
          <c:spPr>
            <a:noFill/>
            <a:ln>
              <a:noFill/>
            </a:ln>
            <a:effectLst/>
          </c:spPr>
          <c:invertIfNegative val="0"/>
          <c:cat>
            <c:strRef>
              <c:f>Sheet2!$A$2:$A$12</c:f>
              <c:strCache>
                <c:ptCount val="11"/>
                <c:pt idx="0">
                  <c:v>Topic selection and proposal writing</c:v>
                </c:pt>
                <c:pt idx="1">
                  <c:v>Background reading and literature review</c:v>
                </c:pt>
                <c:pt idx="2">
                  <c:v>Proposal editing and submission</c:v>
                </c:pt>
                <c:pt idx="3">
                  <c:v>Data collection</c:v>
                </c:pt>
                <c:pt idx="4">
                  <c:v>Data cleaning and prepartion (Excel organization)</c:v>
                </c:pt>
                <c:pt idx="5">
                  <c:v>Correlation analysis (Excel functions)</c:v>
                </c:pt>
                <c:pt idx="6">
                  <c:v>Regression analysis (simple &amp; multiple in excel)</c:v>
                </c:pt>
                <c:pt idx="7">
                  <c:v>Interpretation of results and discussion</c:v>
                </c:pt>
                <c:pt idx="8">
                  <c:v>Conclusion and recommendations</c:v>
                </c:pt>
                <c:pt idx="9">
                  <c:v>Formatting, proofreading, supervisor feedback</c:v>
                </c:pt>
                <c:pt idx="10">
                  <c:v>Final submission</c:v>
                </c:pt>
              </c:strCache>
            </c:strRef>
          </c:cat>
          <c:val>
            <c:numRef>
              <c:f>Sheet2!$B$2:$B$12</c:f>
              <c:numCache>
                <c:formatCode>m/d/yyyy</c:formatCode>
                <c:ptCount val="11"/>
                <c:pt idx="0">
                  <c:v>45936</c:v>
                </c:pt>
                <c:pt idx="1">
                  <c:v>45943</c:v>
                </c:pt>
                <c:pt idx="2">
                  <c:v>45957</c:v>
                </c:pt>
                <c:pt idx="3">
                  <c:v>45968</c:v>
                </c:pt>
                <c:pt idx="4">
                  <c:v>45982</c:v>
                </c:pt>
                <c:pt idx="5">
                  <c:v>45989</c:v>
                </c:pt>
                <c:pt idx="6">
                  <c:v>46003</c:v>
                </c:pt>
                <c:pt idx="7">
                  <c:v>46017</c:v>
                </c:pt>
                <c:pt idx="8">
                  <c:v>46031</c:v>
                </c:pt>
                <c:pt idx="9">
                  <c:v>46038</c:v>
                </c:pt>
                <c:pt idx="10">
                  <c:v>46055</c:v>
                </c:pt>
              </c:numCache>
            </c:numRef>
          </c:val>
          <c:extLst>
            <c:ext xmlns:c16="http://schemas.microsoft.com/office/drawing/2014/chart" uri="{C3380CC4-5D6E-409C-BE32-E72D297353CC}">
              <c16:uniqueId val="{00000000-5676-4C0C-A866-198A2CA67266}"/>
            </c:ext>
          </c:extLst>
        </c:ser>
        <c:ser>
          <c:idx val="1"/>
          <c:order val="1"/>
          <c:tx>
            <c:strRef>
              <c:f>Sheet2!$D$1</c:f>
              <c:strCache>
                <c:ptCount val="1"/>
                <c:pt idx="0">
                  <c:v>Days </c:v>
                </c:pt>
              </c:strCache>
            </c:strRef>
          </c:tx>
          <c:spPr>
            <a:solidFill>
              <a:schemeClr val="accent2"/>
            </a:solidFill>
            <a:ln>
              <a:noFill/>
            </a:ln>
            <a:effectLst/>
          </c:spPr>
          <c:invertIfNegative val="0"/>
          <c:cat>
            <c:strRef>
              <c:f>Sheet2!$A$2:$A$12</c:f>
              <c:strCache>
                <c:ptCount val="11"/>
                <c:pt idx="0">
                  <c:v>Topic selection and proposal writing</c:v>
                </c:pt>
                <c:pt idx="1">
                  <c:v>Background reading and literature review</c:v>
                </c:pt>
                <c:pt idx="2">
                  <c:v>Proposal editing and submission</c:v>
                </c:pt>
                <c:pt idx="3">
                  <c:v>Data collection</c:v>
                </c:pt>
                <c:pt idx="4">
                  <c:v>Data cleaning and prepartion (Excel organization)</c:v>
                </c:pt>
                <c:pt idx="5">
                  <c:v>Correlation analysis (Excel functions)</c:v>
                </c:pt>
                <c:pt idx="6">
                  <c:v>Regression analysis (simple &amp; multiple in excel)</c:v>
                </c:pt>
                <c:pt idx="7">
                  <c:v>Interpretation of results and discussion</c:v>
                </c:pt>
                <c:pt idx="8">
                  <c:v>Conclusion and recommendations</c:v>
                </c:pt>
                <c:pt idx="9">
                  <c:v>Formatting, proofreading, supervisor feedback</c:v>
                </c:pt>
                <c:pt idx="10">
                  <c:v>Final submission</c:v>
                </c:pt>
              </c:strCache>
            </c:strRef>
          </c:cat>
          <c:val>
            <c:numRef>
              <c:f>Sheet2!$D$2:$D$12</c:f>
              <c:numCache>
                <c:formatCode>General</c:formatCode>
                <c:ptCount val="11"/>
                <c:pt idx="0">
                  <c:v>6</c:v>
                </c:pt>
                <c:pt idx="1">
                  <c:v>13</c:v>
                </c:pt>
                <c:pt idx="2">
                  <c:v>10</c:v>
                </c:pt>
                <c:pt idx="3">
                  <c:v>13</c:v>
                </c:pt>
                <c:pt idx="4">
                  <c:v>6</c:v>
                </c:pt>
                <c:pt idx="5">
                  <c:v>13</c:v>
                </c:pt>
                <c:pt idx="6">
                  <c:v>13</c:v>
                </c:pt>
                <c:pt idx="7">
                  <c:v>13</c:v>
                </c:pt>
                <c:pt idx="8">
                  <c:v>6</c:v>
                </c:pt>
                <c:pt idx="9">
                  <c:v>14</c:v>
                </c:pt>
                <c:pt idx="10">
                  <c:v>1</c:v>
                </c:pt>
              </c:numCache>
            </c:numRef>
          </c:val>
          <c:extLst>
            <c:ext xmlns:c16="http://schemas.microsoft.com/office/drawing/2014/chart" uri="{C3380CC4-5D6E-409C-BE32-E72D297353CC}">
              <c16:uniqueId val="{00000001-5676-4C0C-A866-198A2CA67266}"/>
            </c:ext>
          </c:extLst>
        </c:ser>
        <c:dLbls>
          <c:showLegendKey val="0"/>
          <c:showVal val="0"/>
          <c:showCatName val="0"/>
          <c:showSerName val="0"/>
          <c:showPercent val="0"/>
          <c:showBubbleSize val="0"/>
        </c:dLbls>
        <c:gapWidth val="150"/>
        <c:overlap val="100"/>
        <c:axId val="673602367"/>
        <c:axId val="673595647"/>
      </c:barChart>
      <c:catAx>
        <c:axId val="673602367"/>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3595647"/>
        <c:crosses val="autoZero"/>
        <c:auto val="1"/>
        <c:lblAlgn val="ctr"/>
        <c:lblOffset val="100"/>
        <c:noMultiLvlLbl val="0"/>
      </c:catAx>
      <c:valAx>
        <c:axId val="673595647"/>
        <c:scaling>
          <c:orientation val="minMax"/>
          <c:min val="45936"/>
        </c:scaling>
        <c:delete val="0"/>
        <c:axPos val="t"/>
        <c:majorGridlines>
          <c:spPr>
            <a:ln w="9525" cap="flat" cmpd="sng" algn="ctr">
              <a:solidFill>
                <a:schemeClr val="tx1">
                  <a:lumMod val="15000"/>
                  <a:lumOff val="85000"/>
                </a:schemeClr>
              </a:solidFill>
              <a:round/>
            </a:ln>
            <a:effectLst/>
          </c:spPr>
        </c:majorGridlines>
        <c:numFmt formatCode="d\.m\.yy;@"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360236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028276-96CB-48D1-8F4F-5E1A3346AD26}" type="doc">
      <dgm:prSet loTypeId="urn:microsoft.com/office/officeart/2005/8/layout/process5" loCatId="process" qsTypeId="urn:microsoft.com/office/officeart/2005/8/quickstyle/simple1" qsCatId="simple" csTypeId="urn:microsoft.com/office/officeart/2005/8/colors/accent0_1" csCatId="mainScheme" phldr="1"/>
      <dgm:spPr/>
      <dgm:t>
        <a:bodyPr/>
        <a:lstStyle/>
        <a:p>
          <a:endParaRPr lang="en-GB"/>
        </a:p>
      </dgm:t>
    </dgm:pt>
    <dgm:pt modelId="{25714680-90AC-49A6-81AD-5C84B45C7D04}">
      <dgm:prSet phldrT="[Text]" custT="1"/>
      <dgm:spPr/>
      <dgm:t>
        <a:bodyPr/>
        <a:lstStyle/>
        <a:p>
          <a:pPr algn="ctr"/>
          <a:r>
            <a:rPr lang="en-GB" sz="1200">
              <a:latin typeface="Arial" panose="020B0604020202020204" pitchFamily="34" charset="0"/>
              <a:cs typeface="Arial" panose="020B0604020202020204" pitchFamily="34" charset="0"/>
            </a:rPr>
            <a:t>US Interest Rates</a:t>
          </a:r>
        </a:p>
      </dgm:t>
    </dgm:pt>
    <dgm:pt modelId="{837A955A-518D-4653-B637-326A88B478F2}" type="parTrans" cxnId="{1FE28F21-FF68-4374-B4F6-8D9249BF2076}">
      <dgm:prSet/>
      <dgm:spPr/>
      <dgm:t>
        <a:bodyPr/>
        <a:lstStyle/>
        <a:p>
          <a:pPr algn="just"/>
          <a:endParaRPr lang="en-GB"/>
        </a:p>
      </dgm:t>
    </dgm:pt>
    <dgm:pt modelId="{C4AD6581-1304-4DA3-B264-8BF2E748C6DB}" type="sibTrans" cxnId="{1FE28F21-FF68-4374-B4F6-8D9249BF2076}">
      <dgm:prSet/>
      <dgm:spPr/>
      <dgm:t>
        <a:bodyPr/>
        <a:lstStyle/>
        <a:p>
          <a:pPr algn="just"/>
          <a:endParaRPr lang="en-GB"/>
        </a:p>
      </dgm:t>
    </dgm:pt>
    <dgm:pt modelId="{DA10CE9B-4C31-48CD-A376-A74E52D5718E}">
      <dgm:prSet phldrT="[Text]" custT="1"/>
      <dgm:spPr/>
      <dgm:t>
        <a:bodyPr/>
        <a:lstStyle/>
        <a:p>
          <a:pPr algn="ctr"/>
          <a:r>
            <a:rPr lang="en-GB" sz="1200">
              <a:latin typeface="Arial" panose="020B0604020202020204" pitchFamily="34" charset="0"/>
              <a:cs typeface="Arial" panose="020B0604020202020204" pitchFamily="34" charset="0"/>
            </a:rPr>
            <a:t>Gold Returns </a:t>
          </a:r>
        </a:p>
      </dgm:t>
    </dgm:pt>
    <dgm:pt modelId="{87E6B1C0-9BB8-4E82-981B-40AF11F32078}" type="parTrans" cxnId="{4631F222-DE38-40CB-B273-F3B4B507BBC5}">
      <dgm:prSet/>
      <dgm:spPr/>
      <dgm:t>
        <a:bodyPr/>
        <a:lstStyle/>
        <a:p>
          <a:pPr algn="just"/>
          <a:endParaRPr lang="en-GB"/>
        </a:p>
      </dgm:t>
    </dgm:pt>
    <dgm:pt modelId="{CC94426B-CC40-489A-9E48-53154398693E}" type="sibTrans" cxnId="{4631F222-DE38-40CB-B273-F3B4B507BBC5}">
      <dgm:prSet/>
      <dgm:spPr/>
      <dgm:t>
        <a:bodyPr/>
        <a:lstStyle/>
        <a:p>
          <a:pPr algn="just"/>
          <a:endParaRPr lang="en-GB"/>
        </a:p>
      </dgm:t>
    </dgm:pt>
    <dgm:pt modelId="{907D63D8-CA60-4FB0-BC32-C310538E1B30}">
      <dgm:prSet phldrT="[Text]" custT="1"/>
      <dgm:spPr/>
      <dgm:t>
        <a:bodyPr/>
        <a:lstStyle/>
        <a:p>
          <a:pPr algn="ctr"/>
          <a:r>
            <a:rPr lang="en-GB" sz="1200">
              <a:latin typeface="Arial" panose="020B0604020202020204" pitchFamily="34" charset="0"/>
              <a:cs typeface="Arial" panose="020B0604020202020204" pitchFamily="34" charset="0"/>
            </a:rPr>
            <a:t>US Equity Returns (S&amp;P 500, Nasdaq)</a:t>
          </a:r>
        </a:p>
      </dgm:t>
    </dgm:pt>
    <dgm:pt modelId="{E56351A0-C62C-45CF-9B58-46C6B2B01C09}" type="parTrans" cxnId="{FB91E2AD-F468-4E6F-BBF4-EB75F0B6F251}">
      <dgm:prSet/>
      <dgm:spPr/>
      <dgm:t>
        <a:bodyPr/>
        <a:lstStyle/>
        <a:p>
          <a:pPr algn="just"/>
          <a:endParaRPr lang="en-GB"/>
        </a:p>
      </dgm:t>
    </dgm:pt>
    <dgm:pt modelId="{80EB569E-7782-45C4-A508-D6E3C60BE1A4}" type="sibTrans" cxnId="{FB91E2AD-F468-4E6F-BBF4-EB75F0B6F251}">
      <dgm:prSet/>
      <dgm:spPr/>
      <dgm:t>
        <a:bodyPr/>
        <a:lstStyle/>
        <a:p>
          <a:pPr algn="just"/>
          <a:endParaRPr lang="en-GB"/>
        </a:p>
      </dgm:t>
    </dgm:pt>
    <dgm:pt modelId="{5F6452DC-28E3-4D2D-AC8B-408124FCAC3A}">
      <dgm:prSet phldrT="[Text]" custT="1"/>
      <dgm:spPr/>
      <dgm:t>
        <a:bodyPr/>
        <a:lstStyle/>
        <a:p>
          <a:pPr algn="ctr"/>
          <a:r>
            <a:rPr lang="en-GB" sz="1200">
              <a:latin typeface="Arial" panose="020B0604020202020204" pitchFamily="34" charset="0"/>
              <a:cs typeface="Arial" panose="020B0604020202020204" pitchFamily="34" charset="0"/>
            </a:rPr>
            <a:t>Hedging Effectiveness and Portfolio Diversification</a:t>
          </a:r>
        </a:p>
      </dgm:t>
    </dgm:pt>
    <dgm:pt modelId="{0EFA74C5-83C7-4C04-AA91-6F9ADC7B31BE}" type="parTrans" cxnId="{902FD96C-638B-431F-B8D6-37E1712E43E4}">
      <dgm:prSet/>
      <dgm:spPr/>
      <dgm:t>
        <a:bodyPr/>
        <a:lstStyle/>
        <a:p>
          <a:pPr algn="just"/>
          <a:endParaRPr lang="en-GB"/>
        </a:p>
      </dgm:t>
    </dgm:pt>
    <dgm:pt modelId="{6E94B2E6-68F1-4165-AE2C-363CD155F820}" type="sibTrans" cxnId="{902FD96C-638B-431F-B8D6-37E1712E43E4}">
      <dgm:prSet/>
      <dgm:spPr/>
      <dgm:t>
        <a:bodyPr/>
        <a:lstStyle/>
        <a:p>
          <a:pPr algn="just"/>
          <a:endParaRPr lang="en-GB"/>
        </a:p>
      </dgm:t>
    </dgm:pt>
    <dgm:pt modelId="{F913157C-410E-49A9-B71C-C83B49ECBB13}" type="pres">
      <dgm:prSet presAssocID="{5E028276-96CB-48D1-8F4F-5E1A3346AD26}" presName="diagram" presStyleCnt="0">
        <dgm:presLayoutVars>
          <dgm:dir/>
          <dgm:resizeHandles val="exact"/>
        </dgm:presLayoutVars>
      </dgm:prSet>
      <dgm:spPr/>
    </dgm:pt>
    <dgm:pt modelId="{6D061839-EBD2-4335-9429-847F631CB97F}" type="pres">
      <dgm:prSet presAssocID="{25714680-90AC-49A6-81AD-5C84B45C7D04}" presName="node" presStyleLbl="node1" presStyleIdx="0" presStyleCnt="4" custScaleX="40552" custScaleY="29381" custLinFactNeighborX="1024" custLinFactNeighborY="-33965">
        <dgm:presLayoutVars>
          <dgm:bulletEnabled val="1"/>
        </dgm:presLayoutVars>
      </dgm:prSet>
      <dgm:spPr/>
    </dgm:pt>
    <dgm:pt modelId="{8E406EFE-9D93-4B0B-A685-87E2DD08382C}" type="pres">
      <dgm:prSet presAssocID="{C4AD6581-1304-4DA3-B264-8BF2E748C6DB}" presName="sibTrans" presStyleLbl="sibTrans2D1" presStyleIdx="0" presStyleCnt="3" custAng="60076" custScaleX="158393" custScaleY="52925"/>
      <dgm:spPr/>
    </dgm:pt>
    <dgm:pt modelId="{2DFAD1E7-1440-4A64-9AD4-A9AECD7F30D9}" type="pres">
      <dgm:prSet presAssocID="{C4AD6581-1304-4DA3-B264-8BF2E748C6DB}" presName="connectorText" presStyleLbl="sibTrans2D1" presStyleIdx="0" presStyleCnt="3"/>
      <dgm:spPr/>
    </dgm:pt>
    <dgm:pt modelId="{8D23B626-E435-4EFD-8B00-969CD17803CE}" type="pres">
      <dgm:prSet presAssocID="{DA10CE9B-4C31-48CD-A376-A74E52D5718E}" presName="node" presStyleLbl="node1" presStyleIdx="1" presStyleCnt="4" custAng="0" custScaleX="41442" custScaleY="28821" custLinFactNeighborX="-79527" custLinFactNeighborY="47350">
        <dgm:presLayoutVars>
          <dgm:bulletEnabled val="1"/>
        </dgm:presLayoutVars>
      </dgm:prSet>
      <dgm:spPr/>
    </dgm:pt>
    <dgm:pt modelId="{33B33661-1409-4DAF-9039-81526C578BE1}" type="pres">
      <dgm:prSet presAssocID="{CC94426B-CC40-489A-9E48-53154398693E}" presName="sibTrans" presStyleLbl="sibTrans2D1" presStyleIdx="1" presStyleCnt="3" custAng="28543" custScaleX="129587" custScaleY="46975" custLinFactNeighborX="1257" custLinFactNeighborY="2734"/>
      <dgm:spPr/>
    </dgm:pt>
    <dgm:pt modelId="{A7B70960-25F7-4460-A811-369173A5A90F}" type="pres">
      <dgm:prSet presAssocID="{CC94426B-CC40-489A-9E48-53154398693E}" presName="connectorText" presStyleLbl="sibTrans2D1" presStyleIdx="1" presStyleCnt="3"/>
      <dgm:spPr/>
    </dgm:pt>
    <dgm:pt modelId="{AD80CE68-F7F6-4262-96A8-3C9DCC80522F}" type="pres">
      <dgm:prSet presAssocID="{907D63D8-CA60-4FB0-BC32-C310538E1B30}" presName="node" presStyleLbl="node1" presStyleIdx="2" presStyleCnt="4" custScaleX="39749" custScaleY="26796" custLinFactNeighborX="-4263" custLinFactNeighborY="-62306">
        <dgm:presLayoutVars>
          <dgm:bulletEnabled val="1"/>
        </dgm:presLayoutVars>
      </dgm:prSet>
      <dgm:spPr/>
    </dgm:pt>
    <dgm:pt modelId="{557EA96F-E86A-435F-B6A4-1C43D8EE5C79}" type="pres">
      <dgm:prSet presAssocID="{80EB569E-7782-45C4-A508-D6E3C60BE1A4}" presName="sibTrans" presStyleLbl="sibTrans2D1" presStyleIdx="2" presStyleCnt="3" custAng="17740505" custScaleX="60768" custScaleY="51619" custLinFactX="-91733" custLinFactNeighborX="-100000" custLinFactNeighborY="5356"/>
      <dgm:spPr/>
    </dgm:pt>
    <dgm:pt modelId="{17322209-66AD-4CC1-B5AE-E3676EE87352}" type="pres">
      <dgm:prSet presAssocID="{80EB569E-7782-45C4-A508-D6E3C60BE1A4}" presName="connectorText" presStyleLbl="sibTrans2D1" presStyleIdx="2" presStyleCnt="3"/>
      <dgm:spPr/>
    </dgm:pt>
    <dgm:pt modelId="{8CCC0FB8-A0FA-4008-9B6F-FE5735595E34}" type="pres">
      <dgm:prSet presAssocID="{5F6452DC-28E3-4D2D-AC8B-408124FCAC3A}" presName="node" presStyleLbl="node1" presStyleIdx="3" presStyleCnt="4" custScaleX="45687" custScaleY="34543" custLinFactNeighborX="3533" custLinFactNeighborY="-2277">
        <dgm:presLayoutVars>
          <dgm:bulletEnabled val="1"/>
        </dgm:presLayoutVars>
      </dgm:prSet>
      <dgm:spPr/>
    </dgm:pt>
  </dgm:ptLst>
  <dgm:cxnLst>
    <dgm:cxn modelId="{13842008-65A9-483A-BEEA-976B3DE8EFA9}" type="presOf" srcId="{C4AD6581-1304-4DA3-B264-8BF2E748C6DB}" destId="{2DFAD1E7-1440-4A64-9AD4-A9AECD7F30D9}" srcOrd="1" destOrd="0" presId="urn:microsoft.com/office/officeart/2005/8/layout/process5"/>
    <dgm:cxn modelId="{5CD3F718-380E-4245-8791-8D58EE2EEE4D}" type="presOf" srcId="{907D63D8-CA60-4FB0-BC32-C310538E1B30}" destId="{AD80CE68-F7F6-4262-96A8-3C9DCC80522F}" srcOrd="0" destOrd="0" presId="urn:microsoft.com/office/officeart/2005/8/layout/process5"/>
    <dgm:cxn modelId="{83F9311A-0CEE-4C98-97BE-FADB9713A099}" type="presOf" srcId="{25714680-90AC-49A6-81AD-5C84B45C7D04}" destId="{6D061839-EBD2-4335-9429-847F631CB97F}" srcOrd="0" destOrd="0" presId="urn:microsoft.com/office/officeart/2005/8/layout/process5"/>
    <dgm:cxn modelId="{1FE28F21-FF68-4374-B4F6-8D9249BF2076}" srcId="{5E028276-96CB-48D1-8F4F-5E1A3346AD26}" destId="{25714680-90AC-49A6-81AD-5C84B45C7D04}" srcOrd="0" destOrd="0" parTransId="{837A955A-518D-4653-B637-326A88B478F2}" sibTransId="{C4AD6581-1304-4DA3-B264-8BF2E748C6DB}"/>
    <dgm:cxn modelId="{4631F222-DE38-40CB-B273-F3B4B507BBC5}" srcId="{5E028276-96CB-48D1-8F4F-5E1A3346AD26}" destId="{DA10CE9B-4C31-48CD-A376-A74E52D5718E}" srcOrd="1" destOrd="0" parTransId="{87E6B1C0-9BB8-4E82-981B-40AF11F32078}" sibTransId="{CC94426B-CC40-489A-9E48-53154398693E}"/>
    <dgm:cxn modelId="{D6290964-9D81-4453-AB66-6B99AF56CC90}" type="presOf" srcId="{DA10CE9B-4C31-48CD-A376-A74E52D5718E}" destId="{8D23B626-E435-4EFD-8B00-969CD17803CE}" srcOrd="0" destOrd="0" presId="urn:microsoft.com/office/officeart/2005/8/layout/process5"/>
    <dgm:cxn modelId="{902FD96C-638B-431F-B8D6-37E1712E43E4}" srcId="{5E028276-96CB-48D1-8F4F-5E1A3346AD26}" destId="{5F6452DC-28E3-4D2D-AC8B-408124FCAC3A}" srcOrd="3" destOrd="0" parTransId="{0EFA74C5-83C7-4C04-AA91-6F9ADC7B31BE}" sibTransId="{6E94B2E6-68F1-4165-AE2C-363CD155F820}"/>
    <dgm:cxn modelId="{1858FB6E-44E9-4B8E-AB02-22287BD47B52}" type="presOf" srcId="{5F6452DC-28E3-4D2D-AC8B-408124FCAC3A}" destId="{8CCC0FB8-A0FA-4008-9B6F-FE5735595E34}" srcOrd="0" destOrd="0" presId="urn:microsoft.com/office/officeart/2005/8/layout/process5"/>
    <dgm:cxn modelId="{6B9B3F79-96FB-4B55-A506-1133E3484FF6}" type="presOf" srcId="{C4AD6581-1304-4DA3-B264-8BF2E748C6DB}" destId="{8E406EFE-9D93-4B0B-A685-87E2DD08382C}" srcOrd="0" destOrd="0" presId="urn:microsoft.com/office/officeart/2005/8/layout/process5"/>
    <dgm:cxn modelId="{98AB8F87-3A78-4A0F-B375-2A3B0C7F52B9}" type="presOf" srcId="{80EB569E-7782-45C4-A508-D6E3C60BE1A4}" destId="{557EA96F-E86A-435F-B6A4-1C43D8EE5C79}" srcOrd="0" destOrd="0" presId="urn:microsoft.com/office/officeart/2005/8/layout/process5"/>
    <dgm:cxn modelId="{7B576892-01A9-48B9-833F-11DAD368FF2A}" type="presOf" srcId="{CC94426B-CC40-489A-9E48-53154398693E}" destId="{A7B70960-25F7-4460-A811-369173A5A90F}" srcOrd="1" destOrd="0" presId="urn:microsoft.com/office/officeart/2005/8/layout/process5"/>
    <dgm:cxn modelId="{FB91E2AD-F468-4E6F-BBF4-EB75F0B6F251}" srcId="{5E028276-96CB-48D1-8F4F-5E1A3346AD26}" destId="{907D63D8-CA60-4FB0-BC32-C310538E1B30}" srcOrd="2" destOrd="0" parTransId="{E56351A0-C62C-45CF-9B58-46C6B2B01C09}" sibTransId="{80EB569E-7782-45C4-A508-D6E3C60BE1A4}"/>
    <dgm:cxn modelId="{70DBBAD3-5C89-4D5E-B9AA-D5D688DD7F21}" type="presOf" srcId="{CC94426B-CC40-489A-9E48-53154398693E}" destId="{33B33661-1409-4DAF-9039-81526C578BE1}" srcOrd="0" destOrd="0" presId="urn:microsoft.com/office/officeart/2005/8/layout/process5"/>
    <dgm:cxn modelId="{952454D4-7CD0-4753-B7E9-D57C1306E6C8}" type="presOf" srcId="{5E028276-96CB-48D1-8F4F-5E1A3346AD26}" destId="{F913157C-410E-49A9-B71C-C83B49ECBB13}" srcOrd="0" destOrd="0" presId="urn:microsoft.com/office/officeart/2005/8/layout/process5"/>
    <dgm:cxn modelId="{F719B0EB-1D90-4675-8A94-72DCF6A4CB49}" type="presOf" srcId="{80EB569E-7782-45C4-A508-D6E3C60BE1A4}" destId="{17322209-66AD-4CC1-B5AE-E3676EE87352}" srcOrd="1" destOrd="0" presId="urn:microsoft.com/office/officeart/2005/8/layout/process5"/>
    <dgm:cxn modelId="{AF75FBEF-DA5D-42F2-BF59-E732BC3C2FC4}" type="presParOf" srcId="{F913157C-410E-49A9-B71C-C83B49ECBB13}" destId="{6D061839-EBD2-4335-9429-847F631CB97F}" srcOrd="0" destOrd="0" presId="urn:microsoft.com/office/officeart/2005/8/layout/process5"/>
    <dgm:cxn modelId="{FDDC6013-0A3C-464E-BD2B-8F6DD486CE94}" type="presParOf" srcId="{F913157C-410E-49A9-B71C-C83B49ECBB13}" destId="{8E406EFE-9D93-4B0B-A685-87E2DD08382C}" srcOrd="1" destOrd="0" presId="urn:microsoft.com/office/officeart/2005/8/layout/process5"/>
    <dgm:cxn modelId="{BE06DD12-61DB-4033-9435-998D2B3FE868}" type="presParOf" srcId="{8E406EFE-9D93-4B0B-A685-87E2DD08382C}" destId="{2DFAD1E7-1440-4A64-9AD4-A9AECD7F30D9}" srcOrd="0" destOrd="0" presId="urn:microsoft.com/office/officeart/2005/8/layout/process5"/>
    <dgm:cxn modelId="{7128091B-BB70-4663-B32C-645E0A2C2B10}" type="presParOf" srcId="{F913157C-410E-49A9-B71C-C83B49ECBB13}" destId="{8D23B626-E435-4EFD-8B00-969CD17803CE}" srcOrd="2" destOrd="0" presId="urn:microsoft.com/office/officeart/2005/8/layout/process5"/>
    <dgm:cxn modelId="{C99066E6-AD51-44A6-8BD5-ACAAF297C00C}" type="presParOf" srcId="{F913157C-410E-49A9-B71C-C83B49ECBB13}" destId="{33B33661-1409-4DAF-9039-81526C578BE1}" srcOrd="3" destOrd="0" presId="urn:microsoft.com/office/officeart/2005/8/layout/process5"/>
    <dgm:cxn modelId="{5B7166D3-2081-4D7B-9B60-A92A399D248A}" type="presParOf" srcId="{33B33661-1409-4DAF-9039-81526C578BE1}" destId="{A7B70960-25F7-4460-A811-369173A5A90F}" srcOrd="0" destOrd="0" presId="urn:microsoft.com/office/officeart/2005/8/layout/process5"/>
    <dgm:cxn modelId="{F9EAC141-B9F6-4058-98AF-11550A091647}" type="presParOf" srcId="{F913157C-410E-49A9-B71C-C83B49ECBB13}" destId="{AD80CE68-F7F6-4262-96A8-3C9DCC80522F}" srcOrd="4" destOrd="0" presId="urn:microsoft.com/office/officeart/2005/8/layout/process5"/>
    <dgm:cxn modelId="{C5809655-325D-42BC-870C-4A898F7C19C0}" type="presParOf" srcId="{F913157C-410E-49A9-B71C-C83B49ECBB13}" destId="{557EA96F-E86A-435F-B6A4-1C43D8EE5C79}" srcOrd="5" destOrd="0" presId="urn:microsoft.com/office/officeart/2005/8/layout/process5"/>
    <dgm:cxn modelId="{55708B88-35B9-4D85-A25E-A368385B7B77}" type="presParOf" srcId="{557EA96F-E86A-435F-B6A4-1C43D8EE5C79}" destId="{17322209-66AD-4CC1-B5AE-E3676EE87352}" srcOrd="0" destOrd="0" presId="urn:microsoft.com/office/officeart/2005/8/layout/process5"/>
    <dgm:cxn modelId="{EF81219B-1EE5-41F0-8A04-94218855066B}" type="presParOf" srcId="{F913157C-410E-49A9-B71C-C83B49ECBB13}" destId="{8CCC0FB8-A0FA-4008-9B6F-FE5735595E34}" srcOrd="6" destOrd="0" presId="urn:microsoft.com/office/officeart/2005/8/layout/process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061839-EBD2-4335-9429-847F631CB97F}">
      <dsp:nvSpPr>
        <dsp:cNvPr id="0" name=""/>
        <dsp:cNvSpPr/>
      </dsp:nvSpPr>
      <dsp:spPr>
        <a:xfrm>
          <a:off x="227902" y="0"/>
          <a:ext cx="1653766" cy="718918"/>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US Interest Rates</a:t>
          </a:r>
        </a:p>
      </dsp:txBody>
      <dsp:txXfrm>
        <a:off x="248958" y="21056"/>
        <a:ext cx="1611654" cy="676806"/>
      </dsp:txXfrm>
    </dsp:sp>
    <dsp:sp modelId="{8E406EFE-9D93-4B0B-A685-87E2DD08382C}">
      <dsp:nvSpPr>
        <dsp:cNvPr id="0" name=""/>
        <dsp:cNvSpPr/>
      </dsp:nvSpPr>
      <dsp:spPr>
        <a:xfrm rot="5411040">
          <a:off x="827479" y="724327"/>
          <a:ext cx="472658" cy="53527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 defTabSz="1022350">
            <a:lnSpc>
              <a:spcPct val="90000"/>
            </a:lnSpc>
            <a:spcBef>
              <a:spcPct val="0"/>
            </a:spcBef>
            <a:spcAft>
              <a:spcPct val="35000"/>
            </a:spcAft>
            <a:buNone/>
          </a:pPr>
          <a:endParaRPr lang="en-GB" sz="2300" kern="1200"/>
        </a:p>
      </dsp:txBody>
      <dsp:txXfrm rot="-5400000">
        <a:off x="903453" y="755635"/>
        <a:ext cx="321164" cy="330861"/>
      </dsp:txXfrm>
    </dsp:sp>
    <dsp:sp modelId="{8D23B626-E435-4EFD-8B00-969CD17803CE}">
      <dsp:nvSpPr>
        <dsp:cNvPr id="0" name=""/>
        <dsp:cNvSpPr/>
      </dsp:nvSpPr>
      <dsp:spPr>
        <a:xfrm>
          <a:off x="227943" y="1281897"/>
          <a:ext cx="1690062" cy="705216"/>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Gold Returns </a:t>
          </a:r>
        </a:p>
      </dsp:txBody>
      <dsp:txXfrm>
        <a:off x="248598" y="1302552"/>
        <a:ext cx="1648752" cy="663906"/>
      </dsp:txXfrm>
    </dsp:sp>
    <dsp:sp modelId="{33B33661-1409-4DAF-9039-81526C578BE1}">
      <dsp:nvSpPr>
        <dsp:cNvPr id="0" name=""/>
        <dsp:cNvSpPr/>
      </dsp:nvSpPr>
      <dsp:spPr>
        <a:xfrm rot="21583667">
          <a:off x="2132691" y="1404406"/>
          <a:ext cx="994828" cy="475094"/>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 defTabSz="889000">
            <a:lnSpc>
              <a:spcPct val="90000"/>
            </a:lnSpc>
            <a:spcBef>
              <a:spcPct val="0"/>
            </a:spcBef>
            <a:spcAft>
              <a:spcPct val="35000"/>
            </a:spcAft>
            <a:buNone/>
          </a:pPr>
          <a:endParaRPr lang="en-GB" sz="2000" kern="1200"/>
        </a:p>
      </dsp:txBody>
      <dsp:txXfrm>
        <a:off x="2132692" y="1499764"/>
        <a:ext cx="852300" cy="285056"/>
      </dsp:txXfrm>
    </dsp:sp>
    <dsp:sp modelId="{AD80CE68-F7F6-4262-96A8-3C9DCC80522F}">
      <dsp:nvSpPr>
        <dsp:cNvPr id="0" name=""/>
        <dsp:cNvSpPr/>
      </dsp:nvSpPr>
      <dsp:spPr>
        <a:xfrm>
          <a:off x="3366356" y="1266151"/>
          <a:ext cx="1621019" cy="655666"/>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US Equity Returns (S&amp;P 500, Nasdaq)</a:t>
          </a:r>
        </a:p>
      </dsp:txBody>
      <dsp:txXfrm>
        <a:off x="3385560" y="1285355"/>
        <a:ext cx="1582611" cy="617258"/>
      </dsp:txXfrm>
    </dsp:sp>
    <dsp:sp modelId="{557EA96F-E86A-435F-B6A4-1C43D8EE5C79}">
      <dsp:nvSpPr>
        <dsp:cNvPr id="0" name=""/>
        <dsp:cNvSpPr/>
      </dsp:nvSpPr>
      <dsp:spPr>
        <a:xfrm rot="5400000">
          <a:off x="818221" y="2063376"/>
          <a:ext cx="534019" cy="522063"/>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 defTabSz="977900">
            <a:lnSpc>
              <a:spcPct val="90000"/>
            </a:lnSpc>
            <a:spcBef>
              <a:spcPct val="0"/>
            </a:spcBef>
            <a:spcAft>
              <a:spcPct val="35000"/>
            </a:spcAft>
            <a:buNone/>
          </a:pPr>
          <a:endParaRPr lang="en-GB" sz="2200" kern="1200"/>
        </a:p>
      </dsp:txBody>
      <dsp:txXfrm rot="10800000">
        <a:off x="896531" y="2089480"/>
        <a:ext cx="377400" cy="313237"/>
      </dsp:txXfrm>
    </dsp:sp>
    <dsp:sp modelId="{8CCC0FB8-A0FA-4008-9B6F-FE5735595E34}">
      <dsp:nvSpPr>
        <dsp:cNvPr id="0" name=""/>
        <dsp:cNvSpPr/>
      </dsp:nvSpPr>
      <dsp:spPr>
        <a:xfrm>
          <a:off x="189853" y="2640210"/>
          <a:ext cx="1863179" cy="845226"/>
        </a:xfrm>
        <a:prstGeom prst="roundRect">
          <a:avLst>
            <a:gd name="adj" fmla="val 10000"/>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Hedging Effectiveness and Portfolio Diversification</a:t>
          </a:r>
        </a:p>
      </dsp:txBody>
      <dsp:txXfrm>
        <a:off x="214609" y="2664966"/>
        <a:ext cx="1813667" cy="79571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46C148-5674-4142-8708-E8F6EFB7E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1536</TotalTime>
  <Pages>11</Pages>
  <Words>2768</Words>
  <Characters>15811</Characters>
  <Application>Microsoft Office Word</Application>
  <DocSecurity>0</DocSecurity>
  <Lines>385</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Neel Patel</dc:creator>
  <cp:keywords/>
  <dc:description/>
  <cp:lastModifiedBy>Ravikumar Pankajkumar Valand (2421255)</cp:lastModifiedBy>
  <cp:revision>185</cp:revision>
  <dcterms:created xsi:type="dcterms:W3CDTF">2025-10-26T17:39:00Z</dcterms:created>
  <dcterms:modified xsi:type="dcterms:W3CDTF">2025-11-06T21:22:00Z</dcterms:modified>
</cp:coreProperties>
</file>