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49CA9E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E4357">
              <w:rPr>
                <w:rFonts w:ascii="Times New Roman" w:hAnsi="Times New Roman" w:cs="Times New Roman"/>
                <w:b/>
                <w:color w:val="auto"/>
                <w:sz w:val="48"/>
              </w:rPr>
              <w:t>Kirsty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A885CB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E4357">
              <w:rPr>
                <w:rFonts w:ascii="Times New Roman" w:hAnsi="Times New Roman" w:cs="Times New Roman"/>
                <w:b/>
                <w:color w:val="auto"/>
                <w:sz w:val="48"/>
              </w:rPr>
              <w:t xml:space="preserve"> Kievans@carmarthenshire.gov.uk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02DD008" w14:textId="77777777" w:rsidR="00D20979" w:rsidRPr="005D3F07" w:rsidRDefault="00D20979" w:rsidP="00D20979">
            <w:pPr>
              <w:ind w:right="-957"/>
              <w:rPr>
                <w:rFonts w:ascii="Times New Roman" w:hAnsi="Times New Roman" w:cs="Times New Roman"/>
                <w:b/>
                <w:sz w:val="48"/>
              </w:rPr>
            </w:pPr>
            <w:r w:rsidRPr="00624DF7">
              <w:rPr>
                <w:rFonts w:ascii="Times New Roman" w:hAnsi="Times New Roman" w:cs="Times New Roman"/>
                <w:b/>
                <w:sz w:val="48"/>
              </w:rPr>
              <w:t>2432437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41730B5" w14:textId="77777777" w:rsidR="0030610A" w:rsidRDefault="0030610A" w:rsidP="0030610A">
            <w:pPr>
              <w:jc w:val="both"/>
              <w:rPr>
                <w:sz w:val="24"/>
                <w:szCs w:val="24"/>
              </w:rPr>
            </w:pPr>
            <w:r w:rsidRPr="0030610A">
              <w:rPr>
                <w:sz w:val="24"/>
                <w:szCs w:val="24"/>
              </w:rPr>
              <w:t>Although I work primarily with older adults, it is important that I understand the legislation, policies and procedures that underpin safeguarding children in Wales. Safeguarding is everyone's responsibility and social workers may encounter children and families regardless of their main area of practice. Children's safeguarding in Wales is guided by legislation, national procedures and local policies that aim to protect children from abuse, neglect and harm whilst ensuring their rights and wellbeing are promoted.</w:t>
            </w:r>
          </w:p>
          <w:p w14:paraId="11206E96" w14:textId="77777777" w:rsidR="0030610A" w:rsidRPr="0030610A" w:rsidRDefault="0030610A" w:rsidP="0030610A">
            <w:pPr>
              <w:jc w:val="both"/>
              <w:rPr>
                <w:sz w:val="24"/>
                <w:szCs w:val="24"/>
              </w:rPr>
            </w:pPr>
          </w:p>
          <w:p w14:paraId="08B43419" w14:textId="77777777" w:rsidR="0030610A" w:rsidRDefault="0030610A" w:rsidP="0030610A">
            <w:pPr>
              <w:jc w:val="both"/>
              <w:rPr>
                <w:sz w:val="24"/>
                <w:szCs w:val="24"/>
              </w:rPr>
            </w:pPr>
            <w:r w:rsidRPr="0030610A">
              <w:rPr>
                <w:sz w:val="24"/>
                <w:szCs w:val="24"/>
              </w:rPr>
              <w:t xml:space="preserve">The main piece of legislation is the Social Services and Well-being (Wales) Act 2014 (SSWB(W)A 2014). The SSWB(W)A 2014 provides the framework for safeguarding children in Wales and defines what is meant by a child at risk. Part 7, Section 130 places duties on relevant partners to report a child at risk and requires Local Authorities to make enquiries where there is reasonable cause to suspect a child is at risk of abuse, neglect or harm. The SSWB(W)A 2014 also establishes Regional Safeguarding Boards and promotes a person-centred approach which recognises the importance of children's wellbeing, voice and involvement (Welsh Government, 2014). </w:t>
            </w:r>
          </w:p>
          <w:p w14:paraId="2542738B" w14:textId="77777777" w:rsidR="0030610A" w:rsidRPr="0030610A" w:rsidRDefault="0030610A" w:rsidP="0030610A">
            <w:pPr>
              <w:jc w:val="both"/>
              <w:rPr>
                <w:sz w:val="24"/>
                <w:szCs w:val="24"/>
              </w:rPr>
            </w:pPr>
          </w:p>
          <w:p w14:paraId="043F5A3C" w14:textId="77777777" w:rsidR="0030610A" w:rsidRDefault="0030610A" w:rsidP="0030610A">
            <w:pPr>
              <w:jc w:val="both"/>
              <w:rPr>
                <w:sz w:val="24"/>
                <w:szCs w:val="24"/>
              </w:rPr>
            </w:pPr>
            <w:r w:rsidRPr="0030610A">
              <w:rPr>
                <w:sz w:val="24"/>
                <w:szCs w:val="24"/>
              </w:rPr>
              <w:t xml:space="preserve">The Children Act 1989 also remains central to safeguarding practice. Section 47 requires enquiries where there is reasonable cause to suspect that a child is suffering, or is likely to suffer, significant harm. The Children Act is underpinned by the principle that the welfare of the child is paramount, which continues to guide decision-making in safeguarding work (Children Act, 1989). </w:t>
            </w:r>
          </w:p>
          <w:p w14:paraId="1120CE3B" w14:textId="77777777" w:rsidR="0030610A" w:rsidRPr="0030610A" w:rsidRDefault="0030610A" w:rsidP="0030610A">
            <w:pPr>
              <w:jc w:val="both"/>
              <w:rPr>
                <w:sz w:val="24"/>
                <w:szCs w:val="24"/>
              </w:rPr>
            </w:pPr>
          </w:p>
          <w:p w14:paraId="0D75574A" w14:textId="77777777" w:rsidR="0030610A" w:rsidRDefault="0030610A" w:rsidP="0030610A">
            <w:pPr>
              <w:jc w:val="both"/>
              <w:rPr>
                <w:sz w:val="24"/>
                <w:szCs w:val="24"/>
              </w:rPr>
            </w:pPr>
            <w:r w:rsidRPr="0030610A">
              <w:rPr>
                <w:sz w:val="24"/>
                <w:szCs w:val="24"/>
              </w:rPr>
              <w:t xml:space="preserve">The Children Act 2004 further supports safeguarding by placing an expectation that agencies work together to protect children. Effective safeguarding relies on partnership working between social services, education, health, the police and other agencies to make sure concerns are identified and responded to appropriately and in a holistic manner (Children Act, 2004). The United Nations Convention on the Rights of the Child (UNCRC) also affects practice by reinforcing children's rights, including their right to protection from harm and their right to have their views listened to and considered when decisions are made about their lives. </w:t>
            </w:r>
            <w:r w:rsidRPr="0030610A">
              <w:rPr>
                <w:sz w:val="24"/>
                <w:szCs w:val="24"/>
              </w:rPr>
              <w:lastRenderedPageBreak/>
              <w:t>Article 3 states that the best interests of the child must be the first consideration in all actions concerning children (United Nations, 1989).</w:t>
            </w:r>
          </w:p>
          <w:p w14:paraId="0264DBAA" w14:textId="77777777" w:rsidR="0030610A" w:rsidRPr="0030610A" w:rsidRDefault="0030610A" w:rsidP="0030610A">
            <w:pPr>
              <w:jc w:val="both"/>
              <w:rPr>
                <w:sz w:val="24"/>
                <w:szCs w:val="24"/>
              </w:rPr>
            </w:pPr>
          </w:p>
          <w:p w14:paraId="69A25ACB" w14:textId="77777777" w:rsidR="0030610A" w:rsidRPr="0030610A" w:rsidRDefault="0030610A" w:rsidP="0030610A">
            <w:pPr>
              <w:jc w:val="both"/>
              <w:rPr>
                <w:sz w:val="24"/>
                <w:szCs w:val="24"/>
              </w:rPr>
            </w:pPr>
            <w:r w:rsidRPr="0030610A">
              <w:rPr>
                <w:sz w:val="24"/>
                <w:szCs w:val="24"/>
              </w:rPr>
              <w:t>The Human Rights Act 1998 also contributes to safeguarding practice by protecting fundamental rights and freedoms. In safeguarding situations, social workers must balance a child's right to protection from harm with their right to family and private life. Articles 2, 3 and 8 are particularly relevant, as they relate to the right to life, protection from inhuman or degrading treatment, and respect for private and family life (Human Rights Act, 1998).</w:t>
            </w:r>
          </w:p>
          <w:p w14:paraId="1481FE55" w14:textId="77777777" w:rsidR="0030610A" w:rsidRPr="0030610A" w:rsidRDefault="0030610A" w:rsidP="0030610A">
            <w:pPr>
              <w:jc w:val="both"/>
              <w:rPr>
                <w:sz w:val="24"/>
                <w:szCs w:val="24"/>
              </w:rPr>
            </w:pPr>
            <w:r w:rsidRPr="0030610A">
              <w:rPr>
                <w:sz w:val="24"/>
                <w:szCs w:val="24"/>
              </w:rPr>
              <w:t>At a national level, safeguarding practice is supported by the Wales Safeguarding Procedures, which set out how professionals should respond when they have concerns about a child. These procedures promote a consistent and coherent multi-agency approach across Wales (Wales Safeguarding Procedures, 2019). At a local level, practitioners follow Local Authority safeguarding procedures and guidance. Within my organisation, safeguarding responsibilities are further supported through corporate safeguarding policies, information-sharing procedures, case note requirements, training and systems such as CYSUR to support safeguarding practice. Although I work predominantly with older adults, I recognise that concerns about children may arise when working with families, carers or within wider community networks, making an understanding of child safeguarding essential to my role.</w:t>
            </w:r>
          </w:p>
          <w:p w14:paraId="4C43E05E" w14:textId="77777777" w:rsidR="0030610A" w:rsidRPr="0030610A" w:rsidRDefault="0030610A" w:rsidP="0030610A">
            <w:pPr>
              <w:jc w:val="both"/>
              <w:rPr>
                <w:sz w:val="24"/>
                <w:szCs w:val="24"/>
              </w:rPr>
            </w:pPr>
          </w:p>
          <w:p w14:paraId="5A06BB86" w14:textId="77777777" w:rsidR="0030610A" w:rsidRPr="0030610A" w:rsidRDefault="0030610A" w:rsidP="0030610A">
            <w:pPr>
              <w:jc w:val="both"/>
              <w:rPr>
                <w:b/>
                <w:bCs/>
                <w:sz w:val="24"/>
                <w:szCs w:val="24"/>
              </w:rPr>
            </w:pPr>
            <w:r w:rsidRPr="0030610A">
              <w:rPr>
                <w:b/>
                <w:bCs/>
                <w:sz w:val="24"/>
                <w:szCs w:val="24"/>
              </w:rPr>
              <w:t>Word Count: 542</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Pr="00912D17" w:rsidRDefault="00FC0334" w:rsidP="00912D17">
            <w:pPr>
              <w:jc w:val="both"/>
              <w:rPr>
                <w:sz w:val="24"/>
                <w:szCs w:val="24"/>
              </w:rPr>
            </w:pPr>
          </w:p>
          <w:p w14:paraId="74F74B2A" w14:textId="77777777" w:rsidR="00912D17" w:rsidRDefault="00912D17" w:rsidP="00912D17">
            <w:pPr>
              <w:jc w:val="both"/>
              <w:rPr>
                <w:sz w:val="24"/>
                <w:szCs w:val="24"/>
              </w:rPr>
            </w:pPr>
            <w:r w:rsidRPr="00912D17">
              <w:rPr>
                <w:sz w:val="24"/>
                <w:szCs w:val="24"/>
              </w:rPr>
              <w:t>Reflecting on the differences between safeguarding adults and children has highlighted the different balance between autonomy and protection within each area of practice. Although both promote wellbeing and prevent harm, adult safeguarding places emphasis on an individual's right to make choices, whereas child safeguarding places greater emphasis on protection. This reflects the principle that adults with capacity have the right to make unwise decisions and to consent to decisions affecting their lives, while children cannot be expected to protect themselves or make fully informed decisions about their safety in the same way (Human Rights Act, 1998; Mental Capacity Act, 2005).</w:t>
            </w:r>
          </w:p>
          <w:p w14:paraId="704B08CA" w14:textId="77777777" w:rsidR="00912D17" w:rsidRPr="00912D17" w:rsidRDefault="00912D17" w:rsidP="00912D17">
            <w:pPr>
              <w:jc w:val="both"/>
              <w:rPr>
                <w:sz w:val="24"/>
                <w:szCs w:val="24"/>
              </w:rPr>
            </w:pPr>
          </w:p>
          <w:p w14:paraId="4E0B88A9" w14:textId="77777777" w:rsidR="00912D17" w:rsidRDefault="00912D17" w:rsidP="00912D17">
            <w:pPr>
              <w:jc w:val="both"/>
              <w:rPr>
                <w:sz w:val="24"/>
                <w:szCs w:val="24"/>
              </w:rPr>
            </w:pPr>
            <w:r w:rsidRPr="00912D17">
              <w:rPr>
                <w:sz w:val="24"/>
                <w:szCs w:val="24"/>
              </w:rPr>
              <w:t xml:space="preserve">One of the main differences relates to capacity and consent. In adult safeguarding, an adult with capacity can choose to remain in a situation that professionals perceive as unsafe, and this decision must generally be respected. In practice, I have supported adults with capacity making decisions professionals disagreed with. This reinforced my understanding that adult safeguarding is often about supporting people to make informed choices rather than removing </w:t>
            </w:r>
            <w:r w:rsidRPr="00912D17">
              <w:rPr>
                <w:sz w:val="24"/>
                <w:szCs w:val="24"/>
              </w:rPr>
              <w:lastRenderedPageBreak/>
              <w:t>all risk. However, where an adult lacks capacity, decisions may need to be made in their best interests under the Mental Capacity Act 2005.</w:t>
            </w:r>
          </w:p>
          <w:p w14:paraId="6CA01409" w14:textId="77777777" w:rsidR="00912D17" w:rsidRPr="00912D17" w:rsidRDefault="00912D17" w:rsidP="00912D17">
            <w:pPr>
              <w:jc w:val="both"/>
              <w:rPr>
                <w:sz w:val="24"/>
                <w:szCs w:val="24"/>
              </w:rPr>
            </w:pPr>
          </w:p>
          <w:p w14:paraId="2B86A5B8" w14:textId="77777777" w:rsidR="00912D17" w:rsidRDefault="00912D17" w:rsidP="00912D17">
            <w:pPr>
              <w:jc w:val="both"/>
              <w:rPr>
                <w:sz w:val="24"/>
                <w:szCs w:val="24"/>
              </w:rPr>
            </w:pPr>
            <w:r w:rsidRPr="00912D17">
              <w:rPr>
                <w:sz w:val="24"/>
                <w:szCs w:val="24"/>
              </w:rPr>
              <w:t>In contrast, child safeguarding requires a greater level of intervention. A child does not choose their environment and may not recognise when they are experiencing neglect, abuse or harm. While a child's wishes and feelings should be considered, their welfare remains paramount under the Children Act 1989 (Children Act, 1989). Consent is also approached differently. Gillick Competence may be used to assess whether a child under 16 has sufficient maturity and understanding to make certain decisions. However, safeguarding concerns override Gillick Competence where a child is at risk of significant harm. Although 16- and 17-year-olds are considered within the Mental Capacity Act 2005 for many decisions, they remain children for safeguarding purposes under the Children Act 1989 and require protection.</w:t>
            </w:r>
          </w:p>
          <w:p w14:paraId="7136485C" w14:textId="77777777" w:rsidR="00912D17" w:rsidRPr="00912D17" w:rsidRDefault="00912D17" w:rsidP="00912D17">
            <w:pPr>
              <w:jc w:val="both"/>
              <w:rPr>
                <w:sz w:val="24"/>
                <w:szCs w:val="24"/>
              </w:rPr>
            </w:pPr>
          </w:p>
          <w:p w14:paraId="67905404" w14:textId="77777777" w:rsidR="00912D17" w:rsidRDefault="00912D17" w:rsidP="00912D17">
            <w:pPr>
              <w:jc w:val="both"/>
              <w:rPr>
                <w:sz w:val="24"/>
                <w:szCs w:val="24"/>
              </w:rPr>
            </w:pPr>
            <w:r w:rsidRPr="00912D17">
              <w:rPr>
                <w:sz w:val="24"/>
                <w:szCs w:val="24"/>
              </w:rPr>
              <w:t>Another difference is the focus of interventions. Adult safeguarding often centres on the individual and their desired outcomes, whereas child safeguarding often requires assessment of the wider family system. However, both approaches rely on effective multi-agency working and the importance of listening to the individual's voice. The United Nations Convention on the Rights of the Child (1989) highlights children's right to express their views, while safeguarding practice seeks to balance these views with keeping children safe.</w:t>
            </w:r>
          </w:p>
          <w:p w14:paraId="19EA1691" w14:textId="77777777" w:rsidR="00912D17" w:rsidRPr="00912D17" w:rsidRDefault="00912D17" w:rsidP="00912D17">
            <w:pPr>
              <w:jc w:val="both"/>
              <w:rPr>
                <w:sz w:val="24"/>
                <w:szCs w:val="24"/>
              </w:rPr>
            </w:pPr>
          </w:p>
          <w:p w14:paraId="26F404EE" w14:textId="77777777" w:rsidR="00912D17" w:rsidRPr="00912D17" w:rsidRDefault="00912D17" w:rsidP="00912D17">
            <w:pPr>
              <w:jc w:val="both"/>
              <w:rPr>
                <w:sz w:val="24"/>
                <w:szCs w:val="24"/>
              </w:rPr>
            </w:pPr>
            <w:r w:rsidRPr="00912D17">
              <w:rPr>
                <w:sz w:val="24"/>
                <w:szCs w:val="24"/>
              </w:rPr>
              <w:t>Researching this area, I developed a greater appreciation of professionals' responsibility to protect children who cannot protect themselves. Although both adult and child safeguarding seek to prevent harm and promote wellbeing, I recognise that child safeguarding is more interventionist because children depend on adults and may not recognise or escape harmful situations.</w:t>
            </w:r>
          </w:p>
          <w:p w14:paraId="7A6DF261" w14:textId="77777777" w:rsidR="00912D17" w:rsidRPr="00912D17" w:rsidRDefault="00912D17" w:rsidP="00912D17">
            <w:pPr>
              <w:jc w:val="both"/>
              <w:rPr>
                <w:sz w:val="24"/>
                <w:szCs w:val="24"/>
              </w:rPr>
            </w:pPr>
          </w:p>
          <w:p w14:paraId="66F85DDC" w14:textId="77777777" w:rsidR="00912D17" w:rsidRPr="00912D17" w:rsidRDefault="00912D17" w:rsidP="00912D17">
            <w:pPr>
              <w:rPr>
                <w:b/>
                <w:bCs/>
                <w:sz w:val="24"/>
                <w:szCs w:val="24"/>
              </w:rPr>
            </w:pPr>
            <w:r w:rsidRPr="00912D17">
              <w:rPr>
                <w:b/>
                <w:bCs/>
                <w:sz w:val="24"/>
                <w:szCs w:val="24"/>
              </w:rPr>
              <w:t>Word Count: 440</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10A"/>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2D17"/>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357"/>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0979"/>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C46"/>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1187</Words>
  <Characters>6871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Kirsty Evans</cp:lastModifiedBy>
  <cp:revision>8</cp:revision>
  <cp:lastPrinted>2020-02-11T19:20:00Z</cp:lastPrinted>
  <dcterms:created xsi:type="dcterms:W3CDTF">2022-09-29T11:35:00Z</dcterms:created>
  <dcterms:modified xsi:type="dcterms:W3CDTF">2026-10-05T12:44:00Z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