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39B8A" w14:textId="26EE22A0" w:rsidR="00C334E8" w:rsidRPr="00612CF6" w:rsidRDefault="000B5947" w:rsidP="00C334E8">
      <w:pPr>
        <w:jc w:val="center"/>
        <w:rPr>
          <w:b/>
          <w:bCs/>
          <w:sz w:val="32"/>
          <w:szCs w:val="32"/>
        </w:rPr>
      </w:pPr>
      <w:r w:rsidRPr="00612CF6">
        <w:rPr>
          <w:b/>
          <w:bCs/>
          <w:sz w:val="32"/>
          <w:szCs w:val="32"/>
        </w:rPr>
        <w:t>W</w:t>
      </w:r>
      <w:r w:rsidR="00C334E8" w:rsidRPr="00612CF6">
        <w:rPr>
          <w:b/>
          <w:bCs/>
          <w:sz w:val="32"/>
          <w:szCs w:val="32"/>
        </w:rPr>
        <w:t xml:space="preserve">ritten </w:t>
      </w:r>
      <w:r w:rsidRPr="00612CF6">
        <w:rPr>
          <w:b/>
          <w:bCs/>
          <w:sz w:val="32"/>
          <w:szCs w:val="32"/>
        </w:rPr>
        <w:t>A</w:t>
      </w:r>
      <w:r w:rsidR="00C334E8" w:rsidRPr="00612CF6">
        <w:rPr>
          <w:b/>
          <w:bCs/>
          <w:sz w:val="32"/>
          <w:szCs w:val="32"/>
        </w:rPr>
        <w:t xml:space="preserve">cademic </w:t>
      </w:r>
      <w:r w:rsidRPr="00612CF6">
        <w:rPr>
          <w:b/>
          <w:bCs/>
          <w:sz w:val="32"/>
          <w:szCs w:val="32"/>
        </w:rPr>
        <w:t>A</w:t>
      </w:r>
      <w:r w:rsidR="00C334E8" w:rsidRPr="00612CF6">
        <w:rPr>
          <w:b/>
          <w:bCs/>
          <w:sz w:val="32"/>
          <w:szCs w:val="32"/>
        </w:rPr>
        <w:t>ssignment.</w:t>
      </w:r>
    </w:p>
    <w:p w14:paraId="3C271851" w14:textId="77777777" w:rsidR="00C334E8" w:rsidRDefault="00C334E8" w:rsidP="00C334E8">
      <w:pPr>
        <w:rPr>
          <w:b/>
          <w:bCs/>
          <w:sz w:val="28"/>
          <w:szCs w:val="28"/>
        </w:rPr>
      </w:pPr>
    </w:p>
    <w:p w14:paraId="79628352" w14:textId="5FC7230B" w:rsidR="00C334E8" w:rsidRPr="00C334E8" w:rsidRDefault="00C334E8" w:rsidP="00C334E8">
      <w:pPr>
        <w:jc w:val="center"/>
        <w:rPr>
          <w:b/>
          <w:bCs/>
          <w:sz w:val="28"/>
          <w:szCs w:val="28"/>
        </w:rPr>
      </w:pPr>
      <w:r w:rsidRPr="00C334E8">
        <w:rPr>
          <w:b/>
          <w:bCs/>
          <w:sz w:val="28"/>
          <w:szCs w:val="28"/>
        </w:rPr>
        <w:t xml:space="preserve">Student Name - </w:t>
      </w:r>
      <w:r w:rsidRPr="00C334E8">
        <w:rPr>
          <w:sz w:val="28"/>
          <w:szCs w:val="28"/>
        </w:rPr>
        <w:t>Joe Baker</w:t>
      </w:r>
      <w:r w:rsidRPr="00C334E8">
        <w:rPr>
          <w:b/>
          <w:bCs/>
          <w:sz w:val="28"/>
          <w:szCs w:val="28"/>
        </w:rPr>
        <w:t xml:space="preserve">                     Student ID Number –</w:t>
      </w:r>
      <w:r w:rsidR="00F60BA8">
        <w:rPr>
          <w:b/>
          <w:bCs/>
          <w:sz w:val="28"/>
          <w:szCs w:val="28"/>
        </w:rPr>
        <w:t xml:space="preserve"> </w:t>
      </w:r>
      <w:r w:rsidR="00F60BA8" w:rsidRPr="00F60BA8">
        <w:rPr>
          <w:sz w:val="28"/>
          <w:szCs w:val="28"/>
        </w:rPr>
        <w:t>2134499</w:t>
      </w:r>
    </w:p>
    <w:p w14:paraId="77BD1D04" w14:textId="5015D994" w:rsidR="00C334E8" w:rsidRDefault="00C334E8"/>
    <w:p w14:paraId="08A94999" w14:textId="7D79D8DA" w:rsidR="00C334E8" w:rsidRDefault="00C334E8">
      <w:r w:rsidRPr="00C334E8">
        <w:rPr>
          <w:b/>
          <w:bCs/>
        </w:rPr>
        <w:t>Essay two:</w:t>
      </w:r>
      <w:r>
        <w:t xml:space="preserve"> </w:t>
      </w:r>
    </w:p>
    <w:p w14:paraId="4C01B3D0" w14:textId="27DD3CE5" w:rsidR="00C334E8" w:rsidRDefault="00C334E8" w:rsidP="00FB7DD4">
      <w:pPr>
        <w:pStyle w:val="ListParagraph"/>
        <w:numPr>
          <w:ilvl w:val="0"/>
          <w:numId w:val="6"/>
        </w:numPr>
      </w:pPr>
      <w:r>
        <w:t>Response policing – In a recent survey by HMICFRS, 65% of respondents agreed “that police in their local area treat people fairly and with respect” (Justice Inspectorates, 2019). Evaluate the impact of public perception on response policing.</w:t>
      </w:r>
    </w:p>
    <w:p w14:paraId="655159B1" w14:textId="77777777" w:rsidR="00C334E8" w:rsidRDefault="00C334E8"/>
    <w:p w14:paraId="62CFB195" w14:textId="298BAC16" w:rsidR="000B5947" w:rsidRDefault="000B5947" w:rsidP="000B5947">
      <w:r>
        <w:t xml:space="preserve">There is no denying that public perception plays a crucial role in shaping the response of the Police. The way the public views and perceives policing can significantly impact how police officers carry out their duties and interact with the communities that they serve. During this short essay I intend to discuss the impact in which public perception has on response policing. </w:t>
      </w:r>
    </w:p>
    <w:p w14:paraId="6110E3F3" w14:textId="0C96CF80" w:rsidR="000B5947" w:rsidRDefault="00895748" w:rsidP="00465D01">
      <w:pPr>
        <w:pStyle w:val="PlainText"/>
      </w:pPr>
      <w:r>
        <w:t xml:space="preserve">Firstly, public trust is essential for effective response policing. When the public have confidence and trust in the police and feel comfortable reporting crimes or asking them for help, it creates an environment conducive to crime prevention which leads to safer communities. </w:t>
      </w:r>
      <w:r w:rsidR="00DA7C39">
        <w:t>Trust and confidence can secure public cooperation and compliant with the law (Jackson and Bradford, 2010).</w:t>
      </w:r>
      <w:r w:rsidR="00A762A9">
        <w:t xml:space="preserve"> Essentially if the public trust the police</w:t>
      </w:r>
      <w:r w:rsidR="00565C21">
        <w:t>,</w:t>
      </w:r>
      <w:r w:rsidR="00A762A9">
        <w:t xml:space="preserve"> they are far more likely to co-operate</w:t>
      </w:r>
      <w:r w:rsidR="000214C4">
        <w:t xml:space="preserve"> and engage</w:t>
      </w:r>
      <w:r w:rsidR="00A762A9">
        <w:t xml:space="preserve"> with them when it comes to reporting crime</w:t>
      </w:r>
      <w:r w:rsidR="00996C81">
        <w:t xml:space="preserve">, providing </w:t>
      </w:r>
      <w:r w:rsidR="00F573CD">
        <w:t>intelligence,</w:t>
      </w:r>
      <w:r w:rsidR="00996C81">
        <w:t xml:space="preserve"> </w:t>
      </w:r>
      <w:r w:rsidR="00A762A9">
        <w:t>and assisting during investigations</w:t>
      </w:r>
      <w:r w:rsidR="00465D01">
        <w:t>, this would have a positive impact on response police officers as it would</w:t>
      </w:r>
      <w:r w:rsidR="00340797">
        <w:t xml:space="preserve"> </w:t>
      </w:r>
      <w:r w:rsidR="00FD321C">
        <w:t xml:space="preserve">reduce their demand </w:t>
      </w:r>
      <w:r w:rsidR="00774B9B">
        <w:t xml:space="preserve">and </w:t>
      </w:r>
      <w:r w:rsidR="00FD321C">
        <w:t xml:space="preserve">make their job </w:t>
      </w:r>
      <w:r w:rsidR="00774B9B">
        <w:t>more effective.</w:t>
      </w:r>
      <w:r w:rsidR="00DA7C39">
        <w:t xml:space="preserve"> </w:t>
      </w:r>
      <w:r w:rsidR="007D230B">
        <w:t>Recent dat</w:t>
      </w:r>
      <w:r w:rsidR="00630A89">
        <w:t>a</w:t>
      </w:r>
      <w:r w:rsidR="007D230B">
        <w:t xml:space="preserve"> suggests however that levels of trust in the police in the UK have fallen (Brown and Hobbs, 2023). </w:t>
      </w:r>
      <w:r w:rsidR="00DA7C39">
        <w:t xml:space="preserve">Conversely, </w:t>
      </w:r>
      <w:r w:rsidR="00B96B1F">
        <w:t xml:space="preserve">Brown (2023) makes a reference that </w:t>
      </w:r>
      <w:r w:rsidR="00DA7C39">
        <w:t xml:space="preserve">if there is a lack of trust between the public and the police it can lead to </w:t>
      </w:r>
      <w:r w:rsidR="009638CC">
        <w:t xml:space="preserve">a </w:t>
      </w:r>
      <w:r w:rsidR="00DA7C39">
        <w:t xml:space="preserve">reluctance to report criminal activity </w:t>
      </w:r>
      <w:r w:rsidR="00A762A9">
        <w:t>or assist in criminal investigations</w:t>
      </w:r>
      <w:r w:rsidR="009476DA">
        <w:t xml:space="preserve">. </w:t>
      </w:r>
      <w:r w:rsidR="00471390">
        <w:t xml:space="preserve">This could essentially lead to more crimes </w:t>
      </w:r>
      <w:r w:rsidR="00570648">
        <w:t>being committed due to them not being reported</w:t>
      </w:r>
      <w:r w:rsidR="00332A9F">
        <w:t xml:space="preserve"> thus contributing to the communities </w:t>
      </w:r>
      <w:r w:rsidR="00A4066C">
        <w:t>and member</w:t>
      </w:r>
      <w:r w:rsidR="001A3B03">
        <w:t>s</w:t>
      </w:r>
      <w:r w:rsidR="00A4066C">
        <w:t xml:space="preserve"> of the public feeling </w:t>
      </w:r>
      <w:r w:rsidR="001A3B03">
        <w:t xml:space="preserve">unhappy </w:t>
      </w:r>
      <w:r w:rsidR="00C36C27">
        <w:t xml:space="preserve">and unsafe. </w:t>
      </w:r>
    </w:p>
    <w:p w14:paraId="13A22116" w14:textId="77777777" w:rsidR="00465D01" w:rsidRDefault="00465D01" w:rsidP="00465D01">
      <w:pPr>
        <w:pStyle w:val="PlainText"/>
      </w:pPr>
    </w:p>
    <w:p w14:paraId="363FAF87" w14:textId="182EB800" w:rsidR="00270E45" w:rsidRDefault="00465D01" w:rsidP="000B5947">
      <w:r>
        <w:t xml:space="preserve">Secondly, </w:t>
      </w:r>
      <w:r w:rsidR="001F56D4">
        <w:t xml:space="preserve">the media has a significant impact on public perception regarding response policing. News and media coverage can either reinforce positive attitudes toward the police </w:t>
      </w:r>
      <w:r w:rsidR="007700B4">
        <w:t xml:space="preserve">however it can also </w:t>
      </w:r>
      <w:r w:rsidR="001F56D4">
        <w:t xml:space="preserve">contribute to a deterioration in relations between the public and the police. </w:t>
      </w:r>
      <w:r w:rsidR="000566AF">
        <w:t>It is argued that m</w:t>
      </w:r>
      <w:r w:rsidR="00A52A42">
        <w:t>ass media and social media may influence the public</w:t>
      </w:r>
      <w:r w:rsidR="00F66263">
        <w:t>’</w:t>
      </w:r>
      <w:r w:rsidR="00A52A42">
        <w:t xml:space="preserve">s perception of the police and that its further suggested that Police engagement with the media </w:t>
      </w:r>
      <w:r w:rsidR="00544B5C">
        <w:t>plays a crucial role in boosting public confidence (Javid and Morrell, 2019)</w:t>
      </w:r>
      <w:r w:rsidR="0095091D">
        <w:t>. This</w:t>
      </w:r>
      <w:r w:rsidR="00105D10">
        <w:t xml:space="preserve"> is reinforced by the College of Policing (20</w:t>
      </w:r>
      <w:r w:rsidR="002C6F30">
        <w:t>22</w:t>
      </w:r>
      <w:r w:rsidR="00A26A51">
        <w:t xml:space="preserve">) who state that </w:t>
      </w:r>
      <w:r w:rsidR="00310AB1">
        <w:t xml:space="preserve">having a successful relationship with the media and by working with them to communicate to the public can </w:t>
      </w:r>
      <w:r w:rsidR="00086F82">
        <w:t xml:space="preserve">help in solving crimes, bringing offenders to </w:t>
      </w:r>
      <w:r w:rsidR="005619B4">
        <w:t>justice,</w:t>
      </w:r>
      <w:r w:rsidR="00086F82">
        <w:t xml:space="preserve"> and keeping communities safe. </w:t>
      </w:r>
      <w:r w:rsidR="00E61BAF">
        <w:t xml:space="preserve"> Graziano (201</w:t>
      </w:r>
      <w:r w:rsidR="008C46C1">
        <w:t>9</w:t>
      </w:r>
      <w:r w:rsidR="00E61BAF">
        <w:t xml:space="preserve">) found however that </w:t>
      </w:r>
      <w:r w:rsidR="005C1152">
        <w:t>exposure to negative reporting of the police and police officers</w:t>
      </w:r>
      <w:r w:rsidR="009C343D">
        <w:t>,</w:t>
      </w:r>
      <w:r w:rsidR="005C1152">
        <w:t xml:space="preserve"> </w:t>
      </w:r>
      <w:r w:rsidR="005619B4">
        <w:t>is highly related to the public perception</w:t>
      </w:r>
      <w:r w:rsidR="009C343D">
        <w:t xml:space="preserve"> and opinions</w:t>
      </w:r>
      <w:r w:rsidR="005619B4">
        <w:t xml:space="preserve"> of the police.</w:t>
      </w:r>
      <w:r w:rsidR="00892171">
        <w:t xml:space="preserve"> </w:t>
      </w:r>
      <w:r w:rsidR="005619B4">
        <w:t xml:space="preserve"> </w:t>
      </w:r>
      <w:r w:rsidR="00F502A8">
        <w:t xml:space="preserve"> </w:t>
      </w:r>
      <w:r w:rsidR="00805D9D">
        <w:t xml:space="preserve">What I have found </w:t>
      </w:r>
      <w:r w:rsidR="00D03BDE">
        <w:t xml:space="preserve">from the research </w:t>
      </w:r>
      <w:r w:rsidR="00805D9D">
        <w:t xml:space="preserve">is that </w:t>
      </w:r>
      <w:r w:rsidR="00947101">
        <w:t xml:space="preserve">it appears, </w:t>
      </w:r>
      <w:r w:rsidR="00805D9D">
        <w:t xml:space="preserve">when the Police engage with the media and publish articles which </w:t>
      </w:r>
      <w:r w:rsidR="009E0012">
        <w:t>show them in a positive light</w:t>
      </w:r>
      <w:r w:rsidR="00947101">
        <w:t xml:space="preserve"> for example media appeals</w:t>
      </w:r>
      <w:r w:rsidR="009E0012">
        <w:t xml:space="preserve"> in relation to an investigation</w:t>
      </w:r>
      <w:r w:rsidR="00947101">
        <w:t xml:space="preserve"> or a </w:t>
      </w:r>
      <w:r w:rsidR="00165156">
        <w:t xml:space="preserve">conviction, </w:t>
      </w:r>
      <w:r w:rsidR="001D270F">
        <w:t xml:space="preserve">this </w:t>
      </w:r>
      <w:r w:rsidR="006251B6">
        <w:t>shows the police to be transparent and open</w:t>
      </w:r>
      <w:r w:rsidR="00612CF6">
        <w:t xml:space="preserve"> and as such</w:t>
      </w:r>
      <w:r w:rsidR="00165156">
        <w:t xml:space="preserve"> </w:t>
      </w:r>
      <w:r w:rsidR="00612CF6">
        <w:t>has</w:t>
      </w:r>
      <w:r w:rsidR="001D270F">
        <w:t xml:space="preserve"> a positive impact on</w:t>
      </w:r>
      <w:r w:rsidR="009E0012">
        <w:t xml:space="preserve"> the public’s perception</w:t>
      </w:r>
      <w:r w:rsidR="00BD5219">
        <w:t xml:space="preserve"> and confidence</w:t>
      </w:r>
      <w:r w:rsidR="009E0012">
        <w:t xml:space="preserve"> </w:t>
      </w:r>
      <w:r w:rsidR="00BD5219">
        <w:t xml:space="preserve">in </w:t>
      </w:r>
      <w:r w:rsidR="009E0012">
        <w:t>them</w:t>
      </w:r>
      <w:r w:rsidR="001D270F">
        <w:t>. This is compared to when the media publish</w:t>
      </w:r>
      <w:r w:rsidR="00D03BDE">
        <w:t xml:space="preserve"> negative</w:t>
      </w:r>
      <w:r w:rsidR="001D270F">
        <w:t xml:space="preserve"> articles about the Police</w:t>
      </w:r>
      <w:r w:rsidR="00165156">
        <w:t xml:space="preserve">, for example </w:t>
      </w:r>
      <w:r w:rsidR="001D270F">
        <w:t>Police officers</w:t>
      </w:r>
      <w:r w:rsidR="00165156">
        <w:t xml:space="preserve"> misconduct</w:t>
      </w:r>
      <w:r w:rsidR="009E0012">
        <w:t xml:space="preserve"> or failings of the police</w:t>
      </w:r>
      <w:r w:rsidR="00D03BDE">
        <w:t xml:space="preserve">, </w:t>
      </w:r>
      <w:r w:rsidR="00D5386B">
        <w:t>it</w:t>
      </w:r>
      <w:r w:rsidR="00FC1536">
        <w:t xml:space="preserve"> creates an unfavourable image of the police</w:t>
      </w:r>
      <w:r w:rsidR="004F4BB1">
        <w:t xml:space="preserve"> and thus contribut</w:t>
      </w:r>
      <w:r w:rsidR="00B8133D">
        <w:t xml:space="preserve">es to </w:t>
      </w:r>
      <w:r w:rsidR="00D03BDE">
        <w:t xml:space="preserve">the public </w:t>
      </w:r>
      <w:r w:rsidR="0094349D">
        <w:t>mistrusting the</w:t>
      </w:r>
      <w:r w:rsidR="009B3CC7">
        <w:t xml:space="preserve">m and an overall anti-police sentiment. </w:t>
      </w:r>
    </w:p>
    <w:p w14:paraId="73F80706" w14:textId="12D566DE" w:rsidR="00164E57" w:rsidRDefault="00164E57" w:rsidP="000B5947">
      <w:r>
        <w:lastRenderedPageBreak/>
        <w:t xml:space="preserve">Thirdly, </w:t>
      </w:r>
      <w:r w:rsidR="00B04891">
        <w:t>a lack of diversity and past instances of systemic racism</w:t>
      </w:r>
      <w:r w:rsidR="002D35D2">
        <w:t xml:space="preserve"> </w:t>
      </w:r>
      <w:r w:rsidR="00C1420E">
        <w:t>continues t</w:t>
      </w:r>
      <w:r w:rsidR="002943D1">
        <w:t xml:space="preserve">o affect public perception making it challenging for the police </w:t>
      </w:r>
      <w:r w:rsidR="00EE1EBC">
        <w:t xml:space="preserve">to regain the trust of </w:t>
      </w:r>
      <w:r w:rsidR="007E01D8">
        <w:t xml:space="preserve">the members of the communities who feel </w:t>
      </w:r>
      <w:r w:rsidR="00ED3CCC">
        <w:t xml:space="preserve">that </w:t>
      </w:r>
      <w:r w:rsidR="007E01D8">
        <w:t xml:space="preserve">they are </w:t>
      </w:r>
      <w:r w:rsidR="00ED3CCC">
        <w:t xml:space="preserve">underrepresented. </w:t>
      </w:r>
      <w:r w:rsidR="007E01D8">
        <w:t xml:space="preserve"> </w:t>
      </w:r>
      <w:r w:rsidR="0057221C">
        <w:t xml:space="preserve">Javid and Morrell (2019) argued that ethnic </w:t>
      </w:r>
      <w:r w:rsidR="00140941">
        <w:t xml:space="preserve">minority groups viewed the police negatively and were found to </w:t>
      </w:r>
      <w:r w:rsidR="00426935">
        <w:t>have been less</w:t>
      </w:r>
      <w:r w:rsidR="003D329B">
        <w:t xml:space="preserve"> likely to have confidence in them. </w:t>
      </w:r>
      <w:r w:rsidR="00F8300D">
        <w:t xml:space="preserve">This appears to have not changed from </w:t>
      </w:r>
      <w:r w:rsidR="0090192E">
        <w:t xml:space="preserve">earlier research which </w:t>
      </w:r>
      <w:r w:rsidR="00593B91">
        <w:t xml:space="preserve">found overwhelmingly that </w:t>
      </w:r>
      <w:r w:rsidR="004D30A7">
        <w:t xml:space="preserve">black and </w:t>
      </w:r>
      <w:r w:rsidR="00593B91">
        <w:t xml:space="preserve">ethnic minorities </w:t>
      </w:r>
      <w:r w:rsidR="003B34D9">
        <w:t xml:space="preserve">held lower levels of trust and confidence in the police compared to white </w:t>
      </w:r>
      <w:r w:rsidR="00842817">
        <w:t>and other minorities (Cochran and Warren, 201</w:t>
      </w:r>
      <w:r w:rsidR="006043AB">
        <w:t>2</w:t>
      </w:r>
      <w:r w:rsidR="00842817">
        <w:t xml:space="preserve">). </w:t>
      </w:r>
      <w:r w:rsidR="00347B83">
        <w:t xml:space="preserve">Representation appears to be an important factor when it comes to the public’s perception of the police. </w:t>
      </w:r>
      <w:r w:rsidR="00C06F18">
        <w:t xml:space="preserve">Cochran and Warren (2012) </w:t>
      </w:r>
      <w:r w:rsidR="00347B83">
        <w:t xml:space="preserve">support this as they </w:t>
      </w:r>
      <w:r w:rsidR="002E3C8F">
        <w:t>sugges</w:t>
      </w:r>
      <w:r w:rsidR="008C44A2">
        <w:t>t</w:t>
      </w:r>
      <w:r w:rsidR="002E3C8F">
        <w:t xml:space="preserve"> </w:t>
      </w:r>
      <w:r w:rsidR="00C06F18">
        <w:t xml:space="preserve">that </w:t>
      </w:r>
      <w:r w:rsidR="00AB3ABA">
        <w:t>Police officers race, religion and representation is an important factor in shaping the public perceptions of the police</w:t>
      </w:r>
      <w:r w:rsidR="00F81084">
        <w:t xml:space="preserve">. This is </w:t>
      </w:r>
      <w:r w:rsidR="00347B83">
        <w:t xml:space="preserve">reinforced </w:t>
      </w:r>
      <w:r w:rsidR="00F81084">
        <w:t xml:space="preserve">by a </w:t>
      </w:r>
      <w:r w:rsidR="00347B83">
        <w:t xml:space="preserve">far </w:t>
      </w:r>
      <w:r w:rsidR="00F81084">
        <w:t xml:space="preserve">more recent study </w:t>
      </w:r>
      <w:r w:rsidR="00347B83">
        <w:t xml:space="preserve">conducted </w:t>
      </w:r>
      <w:r w:rsidR="00F81084">
        <w:t xml:space="preserve">by The University of Law (2023) </w:t>
      </w:r>
      <w:r w:rsidR="00132D0D">
        <w:t xml:space="preserve">who found that 50% of people from ethnic groups </w:t>
      </w:r>
      <w:r w:rsidR="000F02AA">
        <w:t xml:space="preserve">who do not see themselves represented in their local police force feel that it negatively affects their perception and </w:t>
      </w:r>
      <w:r w:rsidR="008C44A2">
        <w:t xml:space="preserve">their </w:t>
      </w:r>
      <w:r w:rsidR="000F02AA">
        <w:t xml:space="preserve">relationship with that force. </w:t>
      </w:r>
    </w:p>
    <w:p w14:paraId="49E9D4F1" w14:textId="795C51AC" w:rsidR="00784E38" w:rsidRDefault="00784E38" w:rsidP="000B5947">
      <w:r>
        <w:t>There are several ways in which mistrust and a lack of confidence in the police affect response policing. First and foremost, it could possibly lead to more crimes being committed and less crimes being solved</w:t>
      </w:r>
      <w:r w:rsidR="003B61F8">
        <w:t>, this would be due to under reporting of crimes</w:t>
      </w:r>
      <w:r w:rsidR="00102FEB">
        <w:t xml:space="preserve"> </w:t>
      </w:r>
      <w:r w:rsidR="00574808">
        <w:t xml:space="preserve">due to the public </w:t>
      </w:r>
      <w:r w:rsidR="00710B95">
        <w:t>questioning the capability of the police to appropriately investigate them. I</w:t>
      </w:r>
      <w:r>
        <w:t>t could also lead to Police officers struggling to build relationships with victims of crime, members of the public and the wider communities, which could ultimately undermine their efforts to enforce laws, maintain order and keep those communities safe, thus essentially making the role of a response police officer more complex than it already is.</w:t>
      </w:r>
    </w:p>
    <w:p w14:paraId="11EB44B7" w14:textId="6B5301E1" w:rsidR="00952D8E" w:rsidRDefault="00952D8E" w:rsidP="00952D8E">
      <w:pPr>
        <w:pStyle w:val="PlainText"/>
      </w:pPr>
      <w:r>
        <w:t xml:space="preserve">In conclusion, public perception plays a vital role in determining </w:t>
      </w:r>
      <w:r w:rsidR="00054E19">
        <w:t xml:space="preserve">not only the </w:t>
      </w:r>
      <w:r>
        <w:t>effectiveness of response policing</w:t>
      </w:r>
      <w:r w:rsidR="00054E19">
        <w:t xml:space="preserve"> but the </w:t>
      </w:r>
      <w:r w:rsidR="00D32D84">
        <w:t>relationship between the police and the communities they serve.</w:t>
      </w:r>
      <w:r>
        <w:t xml:space="preserve"> </w:t>
      </w:r>
      <w:r w:rsidR="001B13E9">
        <w:t>It i</w:t>
      </w:r>
      <w:r>
        <w:t xml:space="preserve">s crucial for the police to understand </w:t>
      </w:r>
      <w:r w:rsidR="00241D7C">
        <w:t xml:space="preserve">how the public perceive them </w:t>
      </w:r>
      <w:r>
        <w:t xml:space="preserve">and </w:t>
      </w:r>
      <w:r w:rsidR="00241D7C">
        <w:t xml:space="preserve">to </w:t>
      </w:r>
      <w:r>
        <w:t>address the various factors influencing public perception, ranging from trust levels</w:t>
      </w:r>
      <w:r w:rsidR="00FE4112">
        <w:t xml:space="preserve"> and diversity to </w:t>
      </w:r>
      <w:r>
        <w:t>media representation. Through proactive communication and collaboration</w:t>
      </w:r>
      <w:r w:rsidR="005D445C">
        <w:t xml:space="preserve">, </w:t>
      </w:r>
      <w:r>
        <w:t xml:space="preserve">policymakers </w:t>
      </w:r>
      <w:r w:rsidR="00FC2694">
        <w:t xml:space="preserve">and senior Police officers </w:t>
      </w:r>
      <w:r w:rsidR="00122B58">
        <w:t xml:space="preserve">within the United Kingdom </w:t>
      </w:r>
      <w:r>
        <w:t xml:space="preserve">can cultivate a more </w:t>
      </w:r>
      <w:r w:rsidR="005D445C">
        <w:t>favourable</w:t>
      </w:r>
      <w:r>
        <w:t xml:space="preserve"> landscape for policing</w:t>
      </w:r>
      <w:r w:rsidR="00122B58">
        <w:t xml:space="preserve"> thus</w:t>
      </w:r>
      <w:r>
        <w:t xml:space="preserve"> ensuring</w:t>
      </w:r>
      <w:r w:rsidR="005D445C">
        <w:t xml:space="preserve"> </w:t>
      </w:r>
      <w:r>
        <w:t xml:space="preserve">improved </w:t>
      </w:r>
      <w:r w:rsidR="001557DF">
        <w:t xml:space="preserve">relationships </w:t>
      </w:r>
      <w:r w:rsidR="00EB34B1">
        <w:t xml:space="preserve">and </w:t>
      </w:r>
      <w:r>
        <w:t xml:space="preserve">enhanced overall safety </w:t>
      </w:r>
      <w:r w:rsidR="00EB34B1">
        <w:t xml:space="preserve">for the communities that they serve. </w:t>
      </w:r>
    </w:p>
    <w:p w14:paraId="3C63067C" w14:textId="77777777" w:rsidR="00952D8E" w:rsidRDefault="00952D8E" w:rsidP="000B5947"/>
    <w:p w14:paraId="05C2713F" w14:textId="21619C8D" w:rsidR="00DF012E" w:rsidRDefault="00DF012E" w:rsidP="000B5947">
      <w:r>
        <w:t xml:space="preserve">Words:917 </w:t>
      </w:r>
    </w:p>
    <w:p w14:paraId="1EE4C4B8" w14:textId="77777777" w:rsidR="00FA2314" w:rsidRDefault="00FA2314" w:rsidP="000B5947"/>
    <w:p w14:paraId="118C3242" w14:textId="77777777" w:rsidR="000B5947" w:rsidRDefault="000B5947" w:rsidP="000B5947"/>
    <w:p w14:paraId="605F9D77" w14:textId="0CB3242A" w:rsidR="00DA7C39" w:rsidRDefault="00DA7C39"/>
    <w:p w14:paraId="4F7F0E3D" w14:textId="77777777" w:rsidR="00DA7C39" w:rsidRDefault="00DA7C39">
      <w:r>
        <w:br w:type="page"/>
      </w:r>
    </w:p>
    <w:p w14:paraId="75670837" w14:textId="6DBB3555" w:rsidR="00AC5130" w:rsidRDefault="00AC5130"/>
    <w:p w14:paraId="41F9F132" w14:textId="27E7E26D" w:rsidR="00AC5130" w:rsidRPr="00AC635F" w:rsidRDefault="00AC5130">
      <w:pPr>
        <w:rPr>
          <w:b/>
          <w:bCs/>
        </w:rPr>
      </w:pPr>
      <w:r w:rsidRPr="00AC635F">
        <w:rPr>
          <w:b/>
          <w:bCs/>
        </w:rPr>
        <w:t xml:space="preserve">Essay Three: </w:t>
      </w:r>
    </w:p>
    <w:p w14:paraId="6ADEEA6C" w14:textId="4A542D78" w:rsidR="00AC5130" w:rsidRDefault="00AC5130" w:rsidP="00FB7DD4">
      <w:pPr>
        <w:pStyle w:val="ListParagraph"/>
        <w:numPr>
          <w:ilvl w:val="0"/>
          <w:numId w:val="4"/>
        </w:numPr>
      </w:pPr>
      <w:r>
        <w:t xml:space="preserve">Evaluate the </w:t>
      </w:r>
      <w:r w:rsidR="00312822">
        <w:t>effectiveness of cognitive interviews as a strategy for obtaining initial accounts from victims and witnesses</w:t>
      </w:r>
      <w:r w:rsidR="002A5D6B">
        <w:t xml:space="preserve">. </w:t>
      </w:r>
    </w:p>
    <w:p w14:paraId="71365862" w14:textId="77777777" w:rsidR="000475ED" w:rsidRDefault="000475ED"/>
    <w:p w14:paraId="7436DB50" w14:textId="4ABB567E" w:rsidR="00420F32" w:rsidRDefault="00420F32">
      <w:r>
        <w:t>During this short essay I will</w:t>
      </w:r>
      <w:r w:rsidR="002340F3">
        <w:t xml:space="preserve"> </w:t>
      </w:r>
      <w:r w:rsidR="00BD0D45">
        <w:t xml:space="preserve">define what a cognitive interview is and </w:t>
      </w:r>
      <w:r w:rsidR="0085131D">
        <w:t xml:space="preserve">look at </w:t>
      </w:r>
      <w:r w:rsidR="00BD0D45">
        <w:t>what they are used for</w:t>
      </w:r>
      <w:r w:rsidR="000475ED">
        <w:t xml:space="preserve">, before evaluating their effectiveness when used by the police for obtaining initial accounts from not only victims of crime but witnesses of crime too. </w:t>
      </w:r>
    </w:p>
    <w:p w14:paraId="1084226B" w14:textId="3E0E93E7" w:rsidR="00793EF9" w:rsidRDefault="00EA0459">
      <w:r>
        <w:t>Firstly, f</w:t>
      </w:r>
      <w:r w:rsidR="007A6F7F">
        <w:t>or the purpose of this essay,</w:t>
      </w:r>
      <w:r w:rsidR="000475ED">
        <w:t xml:space="preserve"> </w:t>
      </w:r>
      <w:r w:rsidR="007A6F7F">
        <w:t>a</w:t>
      </w:r>
      <w:r w:rsidR="002F3B7D">
        <w:t xml:space="preserve"> cognitive interview is a questioning technique used by the police </w:t>
      </w:r>
      <w:r w:rsidR="003944BC">
        <w:t>instead of standard interview</w:t>
      </w:r>
      <w:r w:rsidR="006866F7">
        <w:t xml:space="preserve">ing </w:t>
      </w:r>
      <w:r w:rsidR="00C96511">
        <w:t>to assist</w:t>
      </w:r>
      <w:r w:rsidR="00D3728B">
        <w:t xml:space="preserve"> in the retrieval of information about an incident from </w:t>
      </w:r>
      <w:r w:rsidR="005B437D">
        <w:t>a victims or witness’s memory (</w:t>
      </w:r>
      <w:r w:rsidR="00BD6BC3">
        <w:t>McLeod</w:t>
      </w:r>
      <w:r w:rsidR="005B437D">
        <w:t xml:space="preserve">, 2023). </w:t>
      </w:r>
      <w:r w:rsidR="003B5905">
        <w:t xml:space="preserve">Cognitive interviews were </w:t>
      </w:r>
      <w:r w:rsidR="00E44DC2">
        <w:t>developed</w:t>
      </w:r>
      <w:r w:rsidR="003B5905">
        <w:t xml:space="preserve"> by </w:t>
      </w:r>
      <w:r w:rsidR="009871F8">
        <w:t xml:space="preserve">Geiselman et al </w:t>
      </w:r>
      <w:r w:rsidR="002205D3">
        <w:t>(1</w:t>
      </w:r>
      <w:r w:rsidR="009871F8">
        <w:t>985</w:t>
      </w:r>
      <w:r w:rsidR="002205D3">
        <w:t>)</w:t>
      </w:r>
      <w:r w:rsidR="00A36427">
        <w:t xml:space="preserve"> </w:t>
      </w:r>
      <w:r w:rsidR="0099082C">
        <w:t xml:space="preserve">due to </w:t>
      </w:r>
      <w:r w:rsidR="002E0EE0">
        <w:t xml:space="preserve">inaccuracies and </w:t>
      </w:r>
      <w:r w:rsidR="002205D3">
        <w:t xml:space="preserve">criticisms of </w:t>
      </w:r>
      <w:r w:rsidR="000E22DD">
        <w:t xml:space="preserve">the standard </w:t>
      </w:r>
      <w:r w:rsidR="002205D3">
        <w:t>interview</w:t>
      </w:r>
      <w:r w:rsidR="000E22DD">
        <w:t>ing</w:t>
      </w:r>
      <w:r w:rsidR="002205D3">
        <w:t xml:space="preserve"> technique</w:t>
      </w:r>
      <w:r w:rsidR="00A03AC7">
        <w:t>s</w:t>
      </w:r>
      <w:r w:rsidR="002205D3">
        <w:t xml:space="preserve"> used by the Police. </w:t>
      </w:r>
      <w:r w:rsidR="00A64268">
        <w:t xml:space="preserve">Furthermore, </w:t>
      </w:r>
      <w:r w:rsidR="00A03AC7">
        <w:t xml:space="preserve">cognitive interviewing </w:t>
      </w:r>
      <w:r w:rsidR="00A64268">
        <w:t xml:space="preserve">was developed </w:t>
      </w:r>
      <w:r w:rsidR="00846905">
        <w:t xml:space="preserve">using </w:t>
      </w:r>
      <w:r w:rsidR="0083606F">
        <w:t xml:space="preserve">four </w:t>
      </w:r>
      <w:r w:rsidR="0061126C">
        <w:t xml:space="preserve">strategies which would be used when </w:t>
      </w:r>
      <w:r w:rsidR="00A03AC7">
        <w:t>carrying out such</w:t>
      </w:r>
      <w:r w:rsidR="0061126C">
        <w:t xml:space="preserve"> interviews</w:t>
      </w:r>
      <w:r w:rsidR="007B7860">
        <w:t xml:space="preserve"> to help improve </w:t>
      </w:r>
      <w:r w:rsidR="005E29C2">
        <w:t>a person’s recall</w:t>
      </w:r>
      <w:r w:rsidR="0061126C">
        <w:t>. These strategies</w:t>
      </w:r>
      <w:r w:rsidR="00846905">
        <w:t xml:space="preserve"> includ</w:t>
      </w:r>
      <w:r w:rsidR="0061126C">
        <w:t>ed</w:t>
      </w:r>
      <w:r w:rsidR="00846905">
        <w:t xml:space="preserve"> </w:t>
      </w:r>
      <w:r w:rsidR="006E54CF">
        <w:t xml:space="preserve">a </w:t>
      </w:r>
      <w:r w:rsidR="0092722E">
        <w:t>mental reinstatement</w:t>
      </w:r>
      <w:r w:rsidR="006E54CF">
        <w:t xml:space="preserve"> of the general details of the incident</w:t>
      </w:r>
      <w:r w:rsidR="0092722E">
        <w:t xml:space="preserve">, </w:t>
      </w:r>
      <w:r w:rsidR="00572B13">
        <w:t xml:space="preserve">a recollection of </w:t>
      </w:r>
      <w:r w:rsidR="005F2E0E">
        <w:t xml:space="preserve">the </w:t>
      </w:r>
      <w:r w:rsidR="00572B13">
        <w:t xml:space="preserve">incident in a different order, </w:t>
      </w:r>
      <w:r w:rsidR="0083606F">
        <w:t>a report on everything</w:t>
      </w:r>
      <w:r w:rsidR="006E54CF">
        <w:t xml:space="preserve"> that the person can remember of the incident</w:t>
      </w:r>
      <w:r w:rsidR="0083606F">
        <w:t xml:space="preserve"> and </w:t>
      </w:r>
      <w:r w:rsidR="006E54CF">
        <w:t xml:space="preserve">finally, a </w:t>
      </w:r>
      <w:r w:rsidR="0083606F">
        <w:t xml:space="preserve">recollection of </w:t>
      </w:r>
      <w:r w:rsidR="006E54CF">
        <w:t xml:space="preserve">the </w:t>
      </w:r>
      <w:r w:rsidR="005F2E0E">
        <w:t>incident</w:t>
      </w:r>
      <w:r w:rsidR="0083606F">
        <w:t xml:space="preserve"> from a differing perspective (Geiselman</w:t>
      </w:r>
      <w:r w:rsidR="0061126C">
        <w:t xml:space="preserve"> et al,</w:t>
      </w:r>
      <w:r w:rsidR="0083606F">
        <w:t xml:space="preserve"> 1985</w:t>
      </w:r>
      <w:r w:rsidR="0061126C">
        <w:t xml:space="preserve">). </w:t>
      </w:r>
    </w:p>
    <w:p w14:paraId="2AB16112" w14:textId="3880F0A4" w:rsidR="00B76C75" w:rsidRDefault="00D61CF6">
      <w:r>
        <w:t>Research has shown that cognitive interviews are far more effective when it comes to ascertain</w:t>
      </w:r>
      <w:r w:rsidR="000C75B3">
        <w:t>ing</w:t>
      </w:r>
      <w:r>
        <w:t xml:space="preserve"> accounts from victims of and witnesses to </w:t>
      </w:r>
      <w:r w:rsidR="00B64474">
        <w:t xml:space="preserve">crime or </w:t>
      </w:r>
      <w:r w:rsidR="00135267">
        <w:t xml:space="preserve">police incidents. </w:t>
      </w:r>
      <w:r w:rsidR="0049245E">
        <w:t>To start, it has been proven that</w:t>
      </w:r>
      <w:r w:rsidR="00CF6B12">
        <w:t xml:space="preserve"> </w:t>
      </w:r>
      <w:r w:rsidR="007843F8">
        <w:t xml:space="preserve">cognitive interviews </w:t>
      </w:r>
      <w:r w:rsidR="008E1547">
        <w:t>have a significantly positive impact on a person</w:t>
      </w:r>
      <w:r w:rsidR="006E2834">
        <w:t>’</w:t>
      </w:r>
      <w:r w:rsidR="008E1547">
        <w:t>s recall</w:t>
      </w:r>
      <w:r w:rsidR="00856BE8">
        <w:t xml:space="preserve">. It has an </w:t>
      </w:r>
      <w:r w:rsidR="00210E8C">
        <w:t xml:space="preserve">increasing amount of detail recalled by a witness, it also </w:t>
      </w:r>
      <w:r w:rsidR="00935806">
        <w:t>has less impact on</w:t>
      </w:r>
      <w:r w:rsidR="00D52C9A">
        <w:t xml:space="preserve"> the number of </w:t>
      </w:r>
      <w:r w:rsidR="00935806">
        <w:t>incorrect details recorded (Kebbell and Wagstaff, 1999). This suggest that not only do cognitive interviews improve victims and witnesses recall</w:t>
      </w:r>
      <w:r w:rsidR="00496196">
        <w:t xml:space="preserve"> due to the</w:t>
      </w:r>
      <w:r w:rsidR="00AF15B6">
        <w:t>ir</w:t>
      </w:r>
      <w:r w:rsidR="00496196">
        <w:t xml:space="preserve"> open</w:t>
      </w:r>
      <w:r w:rsidR="00AF15B6">
        <w:t xml:space="preserve"> natured and non-confrontational style, </w:t>
      </w:r>
      <w:r w:rsidR="00D52C9A">
        <w:t>but it</w:t>
      </w:r>
      <w:r w:rsidR="00C94FDC">
        <w:t xml:space="preserve"> also argues that the information that they do provide </w:t>
      </w:r>
      <w:r w:rsidR="00C60620">
        <w:t xml:space="preserve">is far more accurate. </w:t>
      </w:r>
      <w:r w:rsidR="00D52C9A">
        <w:t xml:space="preserve"> </w:t>
      </w:r>
      <w:r w:rsidR="008E1547">
        <w:t>Fisher et al (1990)</w:t>
      </w:r>
      <w:r w:rsidR="00C60620">
        <w:t xml:space="preserve"> support this </w:t>
      </w:r>
      <w:r w:rsidR="00332860">
        <w:t xml:space="preserve">argument </w:t>
      </w:r>
      <w:r w:rsidR="00C60620">
        <w:t>as they</w:t>
      </w:r>
      <w:r w:rsidR="008E1547">
        <w:t xml:space="preserve"> found that </w:t>
      </w:r>
      <w:r w:rsidR="006A6DC2">
        <w:t xml:space="preserve">cognitive interviews </w:t>
      </w:r>
      <w:r w:rsidR="007A7D9A">
        <w:t xml:space="preserve">produced a 46% </w:t>
      </w:r>
      <w:r w:rsidR="006A6DC2">
        <w:t xml:space="preserve">increase in </w:t>
      </w:r>
      <w:r w:rsidR="00FF609E">
        <w:t xml:space="preserve">a </w:t>
      </w:r>
      <w:r w:rsidR="00E738F6">
        <w:t>person’s</w:t>
      </w:r>
      <w:r w:rsidR="00FF609E">
        <w:t xml:space="preserve"> recall</w:t>
      </w:r>
      <w:r w:rsidR="006A6DC2">
        <w:t xml:space="preserve"> with </w:t>
      </w:r>
      <w:r w:rsidR="00ED2433">
        <w:t>90% accuracy compared to standard interviewing techniques.</w:t>
      </w:r>
      <w:r w:rsidR="00E738F6">
        <w:t xml:space="preserve"> </w:t>
      </w:r>
      <w:r w:rsidR="003C1FB4">
        <w:t xml:space="preserve">By </w:t>
      </w:r>
      <w:r w:rsidR="00695FC3">
        <w:t xml:space="preserve">the Police </w:t>
      </w:r>
      <w:r w:rsidR="003C1FB4">
        <w:t xml:space="preserve">conducting cognitive interviews with victims and witnesses </w:t>
      </w:r>
      <w:r w:rsidR="008F7596">
        <w:t xml:space="preserve">and ascertaining </w:t>
      </w:r>
      <w:r w:rsidR="00033FC9">
        <w:t>as much accurate detail as possible</w:t>
      </w:r>
      <w:r w:rsidR="00513027">
        <w:t>, it</w:t>
      </w:r>
      <w:r w:rsidR="00033FC9">
        <w:t xml:space="preserve"> </w:t>
      </w:r>
      <w:r w:rsidR="008F7596">
        <w:t xml:space="preserve">could </w:t>
      </w:r>
      <w:r w:rsidR="00513027">
        <w:t xml:space="preserve">be </w:t>
      </w:r>
      <w:r w:rsidR="008F7596">
        <w:t xml:space="preserve">key </w:t>
      </w:r>
      <w:r w:rsidR="00513027">
        <w:t xml:space="preserve">to </w:t>
      </w:r>
      <w:r w:rsidR="008F7596">
        <w:t>and will certainly go a long way in determining</w:t>
      </w:r>
      <w:r w:rsidR="00695FC3">
        <w:t xml:space="preserve"> the outcomes of criminal investigation</w:t>
      </w:r>
      <w:r w:rsidR="004E03AA">
        <w:t xml:space="preserve">s. </w:t>
      </w:r>
    </w:p>
    <w:p w14:paraId="7233E443" w14:textId="7324AFCD" w:rsidR="00002012" w:rsidRDefault="00E47547">
      <w:r>
        <w:t>Cognitive interviews have</w:t>
      </w:r>
      <w:r w:rsidR="001A1309">
        <w:t xml:space="preserve"> also</w:t>
      </w:r>
      <w:r>
        <w:t xml:space="preserve"> been identified as effective when </w:t>
      </w:r>
      <w:r w:rsidR="001A1309">
        <w:t>an interviewee</w:t>
      </w:r>
      <w:r>
        <w:t xml:space="preserve"> </w:t>
      </w:r>
      <w:r w:rsidR="001A1309">
        <w:t>is lying</w:t>
      </w:r>
      <w:r>
        <w:t xml:space="preserve"> </w:t>
      </w:r>
      <w:r w:rsidR="006D54CC">
        <w:t xml:space="preserve">(Griffiths and Milne, 2010). Essentially, due to the way in which Cognitive interviews are </w:t>
      </w:r>
      <w:r w:rsidR="002C57B9">
        <w:t>conducted, they</w:t>
      </w:r>
      <w:r w:rsidR="006D54CC">
        <w:t xml:space="preserve"> can help identify inconsistencies in a witness or victims account</w:t>
      </w:r>
      <w:r w:rsidR="002C57B9">
        <w:t xml:space="preserve"> and in turn </w:t>
      </w:r>
      <w:r w:rsidR="006D54CC">
        <w:t>provides a valuable insight into</w:t>
      </w:r>
      <w:r w:rsidR="002C57B9">
        <w:t xml:space="preserve"> their</w:t>
      </w:r>
      <w:r w:rsidR="006D54CC">
        <w:t xml:space="preserve"> reliability</w:t>
      </w:r>
      <w:r w:rsidR="002C57B9">
        <w:t xml:space="preserve">. </w:t>
      </w:r>
      <w:r w:rsidR="009A06DB">
        <w:t xml:space="preserve">This was also found </w:t>
      </w:r>
      <w:r w:rsidR="002B3C53">
        <w:t>by Hernandez-</w:t>
      </w:r>
      <w:proofErr w:type="spellStart"/>
      <w:r w:rsidR="002B3C53">
        <w:t>Fernaud</w:t>
      </w:r>
      <w:proofErr w:type="spellEnd"/>
      <w:r w:rsidR="002B3C53">
        <w:t xml:space="preserve"> and Alonso-</w:t>
      </w:r>
      <w:proofErr w:type="spellStart"/>
      <w:r w:rsidR="002B3C53">
        <w:t>Quecuty</w:t>
      </w:r>
      <w:proofErr w:type="spellEnd"/>
      <w:r w:rsidR="002B3C53">
        <w:t xml:space="preserve"> (1997) during their research</w:t>
      </w:r>
      <w:r w:rsidR="00BF32A7">
        <w:t xml:space="preserve"> as they concluded that cognitive interviews </w:t>
      </w:r>
      <w:r w:rsidR="00FE3022">
        <w:t xml:space="preserve">were far better when it came to distinguishing </w:t>
      </w:r>
      <w:r w:rsidR="004D703A">
        <w:t xml:space="preserve">between truthful accounts and lies. </w:t>
      </w:r>
      <w:r w:rsidR="007211C3">
        <w:t xml:space="preserve">Again, this was due to the </w:t>
      </w:r>
      <w:r w:rsidR="00205B9D">
        <w:t>format of</w:t>
      </w:r>
      <w:r w:rsidR="007211C3">
        <w:t xml:space="preserve"> cognitive interviews</w:t>
      </w:r>
      <w:r w:rsidR="00284D2A">
        <w:t xml:space="preserve">, making it more difficult for interviewees to lie as </w:t>
      </w:r>
      <w:r w:rsidR="007F4A32">
        <w:t>ultimately,</w:t>
      </w:r>
      <w:r w:rsidR="00284D2A">
        <w:t xml:space="preserve"> they would have had to come up with </w:t>
      </w:r>
      <w:r w:rsidR="007F4A32">
        <w:t>more than just the original narrative (Hernandez-</w:t>
      </w:r>
      <w:proofErr w:type="spellStart"/>
      <w:r w:rsidR="007F4A32">
        <w:t>Fernaud</w:t>
      </w:r>
      <w:proofErr w:type="spellEnd"/>
      <w:r w:rsidR="007F4A32">
        <w:t xml:space="preserve"> and Alonso-</w:t>
      </w:r>
      <w:proofErr w:type="spellStart"/>
      <w:r w:rsidR="007F4A32">
        <w:t>Quecuty</w:t>
      </w:r>
      <w:proofErr w:type="spellEnd"/>
      <w:r w:rsidR="007F4A32">
        <w:t xml:space="preserve">, 1997). </w:t>
      </w:r>
      <w:r w:rsidR="00C7670F">
        <w:t xml:space="preserve">Cognitive interviews are clearly useful in </w:t>
      </w:r>
      <w:r w:rsidR="00C11CA1">
        <w:t xml:space="preserve">determining an interviewees reliability, </w:t>
      </w:r>
      <w:r w:rsidR="00650028">
        <w:t xml:space="preserve">having reliable witnesses or victims </w:t>
      </w:r>
      <w:r w:rsidR="00083CB8">
        <w:t xml:space="preserve">will certainly have a massive </w:t>
      </w:r>
      <w:r w:rsidR="00403D43">
        <w:t xml:space="preserve">influence in </w:t>
      </w:r>
      <w:r w:rsidR="00325427">
        <w:t>proving</w:t>
      </w:r>
      <w:r w:rsidR="00872069">
        <w:t>, or dis-proving a</w:t>
      </w:r>
      <w:r w:rsidR="009C33B6">
        <w:t xml:space="preserve"> criminal allegation. </w:t>
      </w:r>
    </w:p>
    <w:p w14:paraId="4E87FC1D" w14:textId="5249558B" w:rsidR="00BE17FA" w:rsidRDefault="00802541" w:rsidP="009C33B6">
      <w:r>
        <w:t xml:space="preserve">Research has found </w:t>
      </w:r>
      <w:r w:rsidR="009C33B6">
        <w:t xml:space="preserve">Cognitive interviews </w:t>
      </w:r>
      <w:r w:rsidR="00360324">
        <w:t xml:space="preserve">can be used effectively </w:t>
      </w:r>
      <w:r w:rsidR="009C33B6">
        <w:t>with a varied person type</w:t>
      </w:r>
      <w:r w:rsidR="002F499C">
        <w:t>. Firstly</w:t>
      </w:r>
      <w:r w:rsidR="00DD78D0">
        <w:t>,</w:t>
      </w:r>
      <w:r w:rsidR="00C53C4C">
        <w:t xml:space="preserve"> </w:t>
      </w:r>
      <w:r w:rsidR="009C5FF2">
        <w:t>Wright and Holliday (2007) found that</w:t>
      </w:r>
      <w:r w:rsidR="000A593E">
        <w:t xml:space="preserve"> older </w:t>
      </w:r>
      <w:r w:rsidR="009C5FF2">
        <w:t xml:space="preserve">participants </w:t>
      </w:r>
      <w:r w:rsidR="00BA1B9D">
        <w:t xml:space="preserve">recalled significantly greater detail without </w:t>
      </w:r>
      <w:r w:rsidR="000A593E">
        <w:t xml:space="preserve">providing any incorrect information. </w:t>
      </w:r>
      <w:r w:rsidR="00C53C4C">
        <w:t>Secondly,</w:t>
      </w:r>
      <w:r w:rsidR="002141CC">
        <w:t xml:space="preserve"> Milne et al (1999)</w:t>
      </w:r>
      <w:r w:rsidR="00C53C4C">
        <w:t xml:space="preserve"> found that a cognitive interview enhanced the recall of adults with learning disabilities </w:t>
      </w:r>
      <w:r w:rsidR="002926D1">
        <w:t>without impacting on the accuracy of the information that was being provided</w:t>
      </w:r>
      <w:r w:rsidR="00472EE0">
        <w:t xml:space="preserve">. Finally, Barrett and Francis (2016) </w:t>
      </w:r>
      <w:r w:rsidR="005742A0">
        <w:t xml:space="preserve">claim that cognitive </w:t>
      </w:r>
      <w:r w:rsidR="005742A0">
        <w:lastRenderedPageBreak/>
        <w:t xml:space="preserve">interviewing is successful in many different scenarios </w:t>
      </w:r>
      <w:r w:rsidR="00C31EFC">
        <w:t xml:space="preserve">including when the interviewee’s are children. </w:t>
      </w:r>
      <w:r w:rsidR="00AB0B09" w:rsidRPr="00EC0BDC">
        <w:t xml:space="preserve">Victims and witnesses come in all shapes and sizes. </w:t>
      </w:r>
      <w:r w:rsidR="00D57A59" w:rsidRPr="00EC0BDC">
        <w:t>Pretty much, anyone can fall victim</w:t>
      </w:r>
      <w:r w:rsidR="00FE140F">
        <w:t xml:space="preserve"> to a crime</w:t>
      </w:r>
      <w:r w:rsidR="00D57A59" w:rsidRPr="00EC0BDC">
        <w:t xml:space="preserve"> </w:t>
      </w:r>
      <w:r w:rsidR="0005728F" w:rsidRPr="00EC0BDC">
        <w:t>or witness a</w:t>
      </w:r>
      <w:r w:rsidR="00FE140F">
        <w:t xml:space="preserve">n incident </w:t>
      </w:r>
      <w:r w:rsidR="0005728F" w:rsidRPr="00EC0BDC">
        <w:t xml:space="preserve">at any unexpected time. This </w:t>
      </w:r>
      <w:r w:rsidR="00D023C1" w:rsidRPr="00EC0BDC">
        <w:t xml:space="preserve">research </w:t>
      </w:r>
      <w:r w:rsidR="00FE140F">
        <w:t xml:space="preserve">shows </w:t>
      </w:r>
      <w:r w:rsidR="00D023C1" w:rsidRPr="00EC0BDC">
        <w:t>that cognitive interview</w:t>
      </w:r>
      <w:r w:rsidR="000C28E4" w:rsidRPr="00EC0BDC">
        <w:t xml:space="preserve">ing </w:t>
      </w:r>
      <w:r w:rsidR="00D023C1" w:rsidRPr="00EC0BDC">
        <w:t xml:space="preserve">is useful in </w:t>
      </w:r>
      <w:r w:rsidR="002011F5" w:rsidRPr="00EC0BDC">
        <w:t>gaining accounts from not only the general population but also the elderly</w:t>
      </w:r>
      <w:r w:rsidR="006D0837">
        <w:t xml:space="preserve"> and older persons</w:t>
      </w:r>
      <w:r w:rsidR="00AF4B28">
        <w:t xml:space="preserve">, </w:t>
      </w:r>
      <w:r w:rsidR="002011F5" w:rsidRPr="00EC0BDC">
        <w:t xml:space="preserve">people with learning difficulties </w:t>
      </w:r>
      <w:r w:rsidR="005705F2">
        <w:t>and</w:t>
      </w:r>
      <w:r w:rsidR="00AF4B28">
        <w:t xml:space="preserve"> children </w:t>
      </w:r>
      <w:r w:rsidR="002242E8" w:rsidRPr="00EC0BDC">
        <w:t xml:space="preserve">too thus making </w:t>
      </w:r>
      <w:r w:rsidR="00EB22AE">
        <w:t>the use of cognitive interviews</w:t>
      </w:r>
      <w:r w:rsidR="002242E8" w:rsidRPr="00EC0BDC">
        <w:t xml:space="preserve"> more effective</w:t>
      </w:r>
      <w:r w:rsidR="00EB22AE">
        <w:t xml:space="preserve"> when compared</w:t>
      </w:r>
      <w:r w:rsidR="006E7A70" w:rsidRPr="00EC0BDC">
        <w:t xml:space="preserve"> to the standard interview.</w:t>
      </w:r>
      <w:r w:rsidR="006E7A70">
        <w:t xml:space="preserve"> </w:t>
      </w:r>
    </w:p>
    <w:p w14:paraId="600F311B" w14:textId="3926956F" w:rsidR="00F1576B" w:rsidRDefault="00F3083D" w:rsidP="009C33B6">
      <w:r>
        <w:t xml:space="preserve">I have explored and evaluated </w:t>
      </w:r>
      <w:r w:rsidR="00CE480A">
        <w:t>several</w:t>
      </w:r>
      <w:r w:rsidR="007A75EC">
        <w:t xml:space="preserve"> ways in which the </w:t>
      </w:r>
      <w:r>
        <w:t>cognitive interview</w:t>
      </w:r>
      <w:r w:rsidR="00871841">
        <w:t xml:space="preserve"> </w:t>
      </w:r>
      <w:r w:rsidR="007A75EC">
        <w:t xml:space="preserve">is effective </w:t>
      </w:r>
      <w:r w:rsidR="00871841">
        <w:t xml:space="preserve">however </w:t>
      </w:r>
      <w:r>
        <w:t xml:space="preserve">we must </w:t>
      </w:r>
      <w:r w:rsidR="007A75EC">
        <w:t xml:space="preserve">not </w:t>
      </w:r>
      <w:r w:rsidR="00C27713">
        <w:t xml:space="preserve">bypass the fact </w:t>
      </w:r>
      <w:r>
        <w:t xml:space="preserve">that there couple possibly be </w:t>
      </w:r>
      <w:r w:rsidR="00841AD0">
        <w:t>limitations</w:t>
      </w:r>
      <w:r w:rsidR="00C27713">
        <w:t xml:space="preserve"> to </w:t>
      </w:r>
      <w:r w:rsidR="00871841">
        <w:t xml:space="preserve">such interviews also. </w:t>
      </w:r>
      <w:r w:rsidR="008D60DC">
        <w:t xml:space="preserve">The first limitation </w:t>
      </w:r>
      <w:r w:rsidR="008930ED">
        <w:t xml:space="preserve">I have found </w:t>
      </w:r>
      <w:r w:rsidR="00252D65">
        <w:t xml:space="preserve">is that cognitive interviews are not really time efficient. McLeod (2023) argues that </w:t>
      </w:r>
      <w:r w:rsidR="00CE480A">
        <w:t xml:space="preserve">cognitive interviews are time consuming to conduct and </w:t>
      </w:r>
      <w:r w:rsidR="007B3B0F">
        <w:t>take</w:t>
      </w:r>
      <w:r w:rsidR="00CE480A">
        <w:t xml:space="preserve"> far longer than standard police interviews. </w:t>
      </w:r>
      <w:r w:rsidR="007B3B0F">
        <w:t xml:space="preserve">Potts (2018) also states that cognitive interviews take time and as such are difficult for police officers to complete due to them dealing with their own fatigue </w:t>
      </w:r>
      <w:r w:rsidR="00A2284D">
        <w:t>from running from call to call. This suggests that no matter how effective cognitive interviews may be, due to how busy police officers are coupled with how long cognitive interviews</w:t>
      </w:r>
      <w:r w:rsidR="008930ED">
        <w:t xml:space="preserve"> </w:t>
      </w:r>
      <w:r w:rsidR="006B08F1">
        <w:t>take</w:t>
      </w:r>
      <w:r w:rsidR="00A2284D">
        <w:t>, they will be less likely to partake in such interviews and will revert back to a standard police interview</w:t>
      </w:r>
      <w:r w:rsidR="008930ED">
        <w:t xml:space="preserve"> to save time. </w:t>
      </w:r>
    </w:p>
    <w:p w14:paraId="2D8F46BB" w14:textId="613F1B6E" w:rsidR="00A36427" w:rsidRDefault="00A36427" w:rsidP="009C33B6">
      <w:r>
        <w:t xml:space="preserve">Another limitation to the cognitive interview technique is that it requires specialised training (McLeod, 2023). </w:t>
      </w:r>
      <w:r w:rsidR="002D6CC1">
        <w:t>Dando et al (200</w:t>
      </w:r>
      <w:r w:rsidR="00CC79DB">
        <w:t>9</w:t>
      </w:r>
      <w:r w:rsidR="002D6CC1">
        <w:t xml:space="preserve">) </w:t>
      </w:r>
      <w:r w:rsidR="00CC79DB">
        <w:t xml:space="preserve">also </w:t>
      </w:r>
      <w:r w:rsidR="002D6CC1">
        <w:rPr>
          <w:rFonts w:cstheme="minorHAnsi"/>
          <w:color w:val="000000"/>
          <w:shd w:val="clear" w:color="auto" w:fill="FFFFFF"/>
        </w:rPr>
        <w:t xml:space="preserve">report that </w:t>
      </w:r>
      <w:r w:rsidR="00CC79DB">
        <w:rPr>
          <w:rFonts w:cstheme="minorHAnsi"/>
          <w:color w:val="000000"/>
          <w:shd w:val="clear" w:color="auto" w:fill="FFFFFF"/>
        </w:rPr>
        <w:t xml:space="preserve">police </w:t>
      </w:r>
      <w:r w:rsidR="002D6CC1" w:rsidRPr="002D6CC1">
        <w:rPr>
          <w:rFonts w:cstheme="minorHAnsi"/>
          <w:color w:val="000000"/>
          <w:shd w:val="clear" w:color="auto" w:fill="FFFFFF"/>
        </w:rPr>
        <w:t xml:space="preserve">officers </w:t>
      </w:r>
      <w:r w:rsidR="00CC79DB">
        <w:rPr>
          <w:rFonts w:cstheme="minorHAnsi"/>
          <w:color w:val="000000"/>
          <w:shd w:val="clear" w:color="auto" w:fill="FFFFFF"/>
        </w:rPr>
        <w:t xml:space="preserve">felt </w:t>
      </w:r>
      <w:r w:rsidR="002D6CC1" w:rsidRPr="002D6CC1">
        <w:rPr>
          <w:rFonts w:cstheme="minorHAnsi"/>
          <w:color w:val="000000"/>
          <w:shd w:val="clear" w:color="auto" w:fill="FFFFFF"/>
        </w:rPr>
        <w:t>inadequately trained and ill equipped when it came to carrying out a cognitive interview</w:t>
      </w:r>
      <w:r w:rsidR="00CC79DB">
        <w:rPr>
          <w:rFonts w:cstheme="minorHAnsi"/>
          <w:color w:val="000000"/>
          <w:shd w:val="clear" w:color="auto" w:fill="FFFFFF"/>
        </w:rPr>
        <w:t xml:space="preserve">. </w:t>
      </w:r>
      <w:r w:rsidR="002D6CC1">
        <w:t>If cognitive interview</w:t>
      </w:r>
      <w:r w:rsidR="00CC79DB">
        <w:t>ing</w:t>
      </w:r>
      <w:r w:rsidR="002D6CC1">
        <w:t xml:space="preserve"> requires specialised training, it will not only be time consuming but also cost-intensive for police forces to </w:t>
      </w:r>
      <w:r w:rsidR="00CC79DB">
        <w:t>put police officers through such training</w:t>
      </w:r>
      <w:r w:rsidR="002D6CC1">
        <w:t xml:space="preserve">. </w:t>
      </w:r>
      <w:r w:rsidR="00CC79DB">
        <w:t xml:space="preserve">The research also suggests that without the specialist training in such interview techniques, police officers are either likely to not carry them out or if they do, it will not be conducted properly due to the lack of training. This may result in the cognitive interview not being as effective as it should be. </w:t>
      </w:r>
    </w:p>
    <w:p w14:paraId="614EBF51" w14:textId="64FE83DE" w:rsidR="00CC79DB" w:rsidRPr="00CC79DB" w:rsidRDefault="006B08F1" w:rsidP="009C33B6">
      <w:pPr>
        <w:rPr>
          <w:rFonts w:cstheme="minorHAnsi"/>
        </w:rPr>
      </w:pPr>
      <w:r>
        <w:t xml:space="preserve">To conclude, cognitive interviews have clearly been designed to improve a person’s recall, and the accuracy of information being provided when it comes to obtaining initial accounts from witnesses or victim’s of crime. Cognitive interviews have also been found to be effective when carried out with a variety of different people however we must not forget there are also limitations of cognitive interviews which Police forces may wish to consider before including cognitive interviewing in their investigative procedures.  </w:t>
      </w:r>
    </w:p>
    <w:p w14:paraId="7A9D644C" w14:textId="05EE4CF2" w:rsidR="008930ED" w:rsidRDefault="000652D3" w:rsidP="009C33B6">
      <w:r>
        <w:t xml:space="preserve">Words: 995. </w:t>
      </w:r>
    </w:p>
    <w:p w14:paraId="524D412A" w14:textId="7F173AB6" w:rsidR="002141CC" w:rsidRDefault="002141CC" w:rsidP="009C33B6"/>
    <w:p w14:paraId="58C82FD6" w14:textId="77777777" w:rsidR="00F81DFA" w:rsidRDefault="00F81DFA" w:rsidP="009C33B6"/>
    <w:p w14:paraId="5FB1E8CF" w14:textId="77777777" w:rsidR="00F1576B" w:rsidRDefault="00F1576B" w:rsidP="009C33B6"/>
    <w:p w14:paraId="0860A058" w14:textId="77777777" w:rsidR="00AB641A" w:rsidRDefault="00AB641A" w:rsidP="009C33B6"/>
    <w:p w14:paraId="1AAD2CEE" w14:textId="77777777" w:rsidR="009C33B6" w:rsidRDefault="009C33B6"/>
    <w:p w14:paraId="7F2F1E0A" w14:textId="77777777" w:rsidR="00002012" w:rsidRPr="00002012" w:rsidRDefault="00002012" w:rsidP="00002012">
      <w:pPr>
        <w:shd w:val="clear" w:color="auto" w:fill="FFFFFF"/>
        <w:spacing w:after="0" w:line="0" w:lineRule="auto"/>
        <w:rPr>
          <w:rFonts w:ascii="ff3" w:eastAsia="Times New Roman" w:hAnsi="ff3" w:cs="Times New Roman"/>
          <w:color w:val="000000"/>
          <w:kern w:val="0"/>
          <w:sz w:val="72"/>
          <w:szCs w:val="72"/>
          <w:lang w:eastAsia="en-GB"/>
          <w14:ligatures w14:val="none"/>
        </w:rPr>
      </w:pPr>
      <w:proofErr w:type="gramStart"/>
      <w:r w:rsidRPr="00002012">
        <w:rPr>
          <w:rFonts w:ascii="ff3" w:eastAsia="Times New Roman" w:hAnsi="ff3" w:cs="Times New Roman"/>
          <w:color w:val="000000"/>
          <w:kern w:val="0"/>
          <w:sz w:val="72"/>
          <w:szCs w:val="72"/>
          <w:lang w:eastAsia="en-GB"/>
          <w14:ligatures w14:val="none"/>
        </w:rPr>
        <w:t xml:space="preserve">However,   </w:t>
      </w:r>
      <w:proofErr w:type="gramEnd"/>
      <w:r w:rsidRPr="00002012">
        <w:rPr>
          <w:rFonts w:ascii="ff3" w:eastAsia="Times New Roman" w:hAnsi="ff3" w:cs="Times New Roman"/>
          <w:color w:val="000000"/>
          <w:kern w:val="0"/>
          <w:sz w:val="72"/>
          <w:szCs w:val="72"/>
          <w:lang w:eastAsia="en-GB"/>
          <w14:ligatures w14:val="none"/>
        </w:rPr>
        <w:t xml:space="preserve">cognitive   interview   techniques   have   already   been </w:t>
      </w:r>
    </w:p>
    <w:p w14:paraId="120B98A1" w14:textId="765EBCF7" w:rsidR="00F266BB" w:rsidRPr="00325427" w:rsidRDefault="00002012" w:rsidP="00325427">
      <w:pPr>
        <w:shd w:val="clear" w:color="auto" w:fill="FFFFFF"/>
        <w:spacing w:after="0" w:line="0" w:lineRule="auto"/>
        <w:rPr>
          <w:rFonts w:ascii="ff3" w:eastAsia="Times New Roman" w:hAnsi="ff3" w:cs="Times New Roman"/>
          <w:color w:val="000000"/>
          <w:kern w:val="0"/>
          <w:sz w:val="72"/>
          <w:szCs w:val="72"/>
          <w:lang w:eastAsia="en-GB"/>
          <w14:ligatures w14:val="none"/>
        </w:rPr>
      </w:pPr>
      <w:r w:rsidRPr="00002012">
        <w:rPr>
          <w:rFonts w:ascii="ff3" w:eastAsia="Times New Roman" w:hAnsi="ff3" w:cs="Times New Roman"/>
          <w:color w:val="000000"/>
          <w:kern w:val="0"/>
          <w:sz w:val="72"/>
          <w:szCs w:val="72"/>
          <w:lang w:eastAsia="en-GB"/>
          <w14:ligatures w14:val="none"/>
        </w:rPr>
        <w:t xml:space="preserve">identified as useful with interviewees who tell </w:t>
      </w:r>
      <w:r w:rsidR="00F266BB">
        <w:rPr>
          <w:rFonts w:ascii="Calibri" w:hAnsi="Calibri" w:cs="Calibri"/>
          <w:color w:val="000000"/>
          <w:sz w:val="27"/>
          <w:szCs w:val="27"/>
        </w:rPr>
        <w:t>‌</w:t>
      </w:r>
      <w:proofErr w:type="spellStart"/>
      <w:proofErr w:type="gramStart"/>
      <w:r w:rsidR="00325427">
        <w:rPr>
          <w:rFonts w:ascii="ff3" w:eastAsia="Times New Roman" w:hAnsi="ff3" w:cs="Times New Roman"/>
          <w:color w:val="000000"/>
          <w:kern w:val="0"/>
          <w:sz w:val="72"/>
          <w:szCs w:val="72"/>
          <w:lang w:eastAsia="en-GB"/>
          <w14:ligatures w14:val="none"/>
        </w:rPr>
        <w:t>efwf</w:t>
      </w:r>
      <w:proofErr w:type="spellEnd"/>
      <w:proofErr w:type="gramEnd"/>
    </w:p>
    <w:p w14:paraId="59D25F67" w14:textId="77777777" w:rsidR="00B00A89" w:rsidRDefault="00B00A89"/>
    <w:p w14:paraId="30E61657" w14:textId="77777777" w:rsidR="00353860" w:rsidRDefault="00353860"/>
    <w:p w14:paraId="451BABE0" w14:textId="77777777" w:rsidR="00EA0459" w:rsidRDefault="00EA0459"/>
    <w:p w14:paraId="47ED23B4" w14:textId="77777777" w:rsidR="00EA0459" w:rsidRDefault="00EA0459"/>
    <w:p w14:paraId="3B18BE74" w14:textId="77777777" w:rsidR="00B75DE8" w:rsidRDefault="00B75DE8"/>
    <w:p w14:paraId="3B90E986" w14:textId="77777777" w:rsidR="00B75DE8" w:rsidRDefault="00B75DE8"/>
    <w:p w14:paraId="07F97535" w14:textId="77777777" w:rsidR="000652D3" w:rsidRDefault="000652D3" w:rsidP="000652D3"/>
    <w:p w14:paraId="66BEE13D" w14:textId="1ECA95CC" w:rsidR="000652D3" w:rsidRPr="000652D3" w:rsidRDefault="00DA7C39" w:rsidP="000652D3">
      <w:pPr>
        <w:jc w:val="center"/>
        <w:rPr>
          <w:u w:val="single"/>
        </w:rPr>
      </w:pPr>
      <w:r w:rsidRPr="00DA7C39">
        <w:rPr>
          <w:u w:val="single"/>
        </w:rPr>
        <w:t>Bibliography</w:t>
      </w:r>
    </w:p>
    <w:p w14:paraId="43D3D885" w14:textId="77777777" w:rsidR="000652D3" w:rsidRDefault="000652D3" w:rsidP="00954C62">
      <w:pPr>
        <w:pStyle w:val="NormalWeb"/>
        <w:spacing w:before="0" w:beforeAutospacing="0" w:after="0" w:afterAutospacing="0"/>
        <w:rPr>
          <w:sz w:val="22"/>
          <w:szCs w:val="22"/>
        </w:rPr>
      </w:pPr>
    </w:p>
    <w:p w14:paraId="31264DB8" w14:textId="77777777" w:rsidR="000652D3" w:rsidRDefault="000652D3" w:rsidP="003D6AC2">
      <w:pPr>
        <w:pStyle w:val="NormalWeb"/>
        <w:numPr>
          <w:ilvl w:val="0"/>
          <w:numId w:val="1"/>
        </w:numPr>
        <w:spacing w:before="0" w:beforeAutospacing="0" w:after="240" w:afterAutospacing="0"/>
        <w:rPr>
          <w:sz w:val="22"/>
          <w:szCs w:val="22"/>
        </w:rPr>
      </w:pPr>
      <w:r w:rsidRPr="003D6AC2">
        <w:rPr>
          <w:sz w:val="22"/>
          <w:szCs w:val="22"/>
        </w:rPr>
        <w:t xml:space="preserve">Barrett, E. and Francis, M. (2016). </w:t>
      </w:r>
      <w:r w:rsidRPr="003D6AC2">
        <w:rPr>
          <w:i/>
          <w:iCs/>
          <w:sz w:val="22"/>
          <w:szCs w:val="22"/>
        </w:rPr>
        <w:t>The Cognitive Interview: How Research has improved Practice</w:t>
      </w:r>
      <w:r w:rsidRPr="003D6AC2">
        <w:rPr>
          <w:sz w:val="22"/>
          <w:szCs w:val="22"/>
        </w:rPr>
        <w:t xml:space="preserve">. [online] crestresearch.ac.uk. Available at: </w:t>
      </w:r>
      <w:hyperlink r:id="rId5" w:history="1">
        <w:r w:rsidRPr="00B41C4D">
          <w:rPr>
            <w:rStyle w:val="Hyperlink"/>
            <w:sz w:val="22"/>
            <w:szCs w:val="22"/>
          </w:rPr>
          <w:t>https://crestresearch.ac.uk/comment/the-cognitive-interview/</w:t>
        </w:r>
      </w:hyperlink>
      <w:r>
        <w:rPr>
          <w:sz w:val="22"/>
          <w:szCs w:val="22"/>
        </w:rPr>
        <w:t xml:space="preserve"> </w:t>
      </w:r>
      <w:r w:rsidRPr="003D6AC2">
        <w:rPr>
          <w:sz w:val="22"/>
          <w:szCs w:val="22"/>
        </w:rPr>
        <w:t xml:space="preserve"> </w:t>
      </w:r>
      <w:r>
        <w:rPr>
          <w:sz w:val="22"/>
          <w:szCs w:val="22"/>
        </w:rPr>
        <w:t>(</w:t>
      </w:r>
      <w:r w:rsidRPr="003D6AC2">
        <w:rPr>
          <w:sz w:val="22"/>
          <w:szCs w:val="22"/>
        </w:rPr>
        <w:t>Accessed 15 Feb. 2024</w:t>
      </w:r>
      <w:r>
        <w:rPr>
          <w:sz w:val="22"/>
          <w:szCs w:val="22"/>
        </w:rPr>
        <w:t>)</w:t>
      </w:r>
      <w:r w:rsidRPr="003D6AC2">
        <w:rPr>
          <w:sz w:val="22"/>
          <w:szCs w:val="22"/>
        </w:rPr>
        <w:t>.</w:t>
      </w:r>
    </w:p>
    <w:p w14:paraId="258058CC" w14:textId="77777777" w:rsidR="000652D3" w:rsidRDefault="000652D3" w:rsidP="00E44DC2">
      <w:pPr>
        <w:pStyle w:val="ListParagraph"/>
        <w:numPr>
          <w:ilvl w:val="0"/>
          <w:numId w:val="1"/>
        </w:numPr>
        <w:spacing w:line="240" w:lineRule="auto"/>
        <w:rPr>
          <w:rFonts w:ascii="Times New Roman" w:hAnsi="Times New Roman" w:cs="Times New Roman"/>
        </w:rPr>
      </w:pPr>
      <w:r w:rsidRPr="00DF012E">
        <w:rPr>
          <w:rFonts w:ascii="Times New Roman" w:hAnsi="Times New Roman" w:cs="Times New Roman"/>
        </w:rPr>
        <w:t xml:space="preserve">Brown, R and Hobbs, A. (2023). Trust In </w:t>
      </w:r>
      <w:proofErr w:type="gramStart"/>
      <w:r w:rsidRPr="00DF012E">
        <w:rPr>
          <w:rFonts w:ascii="Times New Roman" w:hAnsi="Times New Roman" w:cs="Times New Roman"/>
        </w:rPr>
        <w:t>The</w:t>
      </w:r>
      <w:proofErr w:type="gramEnd"/>
      <w:r w:rsidRPr="00DF012E">
        <w:rPr>
          <w:rFonts w:ascii="Times New Roman" w:hAnsi="Times New Roman" w:cs="Times New Roman"/>
        </w:rPr>
        <w:t xml:space="preserve"> Police. UK Parliament POST. Available at: </w:t>
      </w:r>
      <w:hyperlink r:id="rId6" w:history="1">
        <w:r w:rsidRPr="00DF012E">
          <w:rPr>
            <w:rStyle w:val="Hyperlink"/>
            <w:rFonts w:ascii="Times New Roman" w:hAnsi="Times New Roman" w:cs="Times New Roman"/>
            <w:color w:val="auto"/>
          </w:rPr>
          <w:t>Trust in the police (parliament.uk)</w:t>
        </w:r>
      </w:hyperlink>
      <w:r w:rsidRPr="00DF012E">
        <w:rPr>
          <w:rFonts w:ascii="Times New Roman" w:hAnsi="Times New Roman" w:cs="Times New Roman"/>
        </w:rPr>
        <w:t xml:space="preserve"> (Accessed 25 January 2024). </w:t>
      </w:r>
    </w:p>
    <w:p w14:paraId="47DB527D" w14:textId="77777777" w:rsidR="000652D3" w:rsidRDefault="000652D3" w:rsidP="00E44DC2">
      <w:pPr>
        <w:pStyle w:val="NormalWeb"/>
        <w:numPr>
          <w:ilvl w:val="0"/>
          <w:numId w:val="1"/>
        </w:numPr>
        <w:spacing w:before="0" w:beforeAutospacing="0" w:after="0" w:afterAutospacing="0"/>
        <w:rPr>
          <w:sz w:val="22"/>
          <w:szCs w:val="22"/>
        </w:rPr>
      </w:pPr>
      <w:r w:rsidRPr="006043AB">
        <w:rPr>
          <w:sz w:val="22"/>
          <w:szCs w:val="22"/>
          <w:shd w:val="clear" w:color="auto" w:fill="FFFFFF"/>
        </w:rPr>
        <w:t>Cochran, J. C., &amp; Warren, P. Y. (2012). Racial, Ethnic, and Gender Differences in Perceptions of the Police: The Salience of Officer Race Within the Context of Racial Profiling. </w:t>
      </w:r>
      <w:r w:rsidRPr="006043AB">
        <w:rPr>
          <w:i/>
          <w:iCs/>
          <w:sz w:val="22"/>
          <w:szCs w:val="22"/>
          <w:shd w:val="clear" w:color="auto" w:fill="FFFFFF"/>
        </w:rPr>
        <w:t>Journal of Contemporary Criminal Justice</w:t>
      </w:r>
      <w:r w:rsidRPr="006043AB">
        <w:rPr>
          <w:sz w:val="22"/>
          <w:szCs w:val="22"/>
          <w:shd w:val="clear" w:color="auto" w:fill="FFFFFF"/>
        </w:rPr>
        <w:t>, </w:t>
      </w:r>
      <w:r w:rsidRPr="006043AB">
        <w:rPr>
          <w:i/>
          <w:iCs/>
          <w:sz w:val="22"/>
          <w:szCs w:val="22"/>
          <w:shd w:val="clear" w:color="auto" w:fill="FFFFFF"/>
        </w:rPr>
        <w:t>28</w:t>
      </w:r>
      <w:r w:rsidRPr="006043AB">
        <w:rPr>
          <w:sz w:val="22"/>
          <w:szCs w:val="22"/>
          <w:shd w:val="clear" w:color="auto" w:fill="FFFFFF"/>
        </w:rPr>
        <w:t>(2), 206-227. </w:t>
      </w:r>
      <w:hyperlink r:id="rId7" w:history="1">
        <w:r w:rsidRPr="006043AB">
          <w:rPr>
            <w:rStyle w:val="Hyperlink"/>
            <w:color w:val="auto"/>
            <w:sz w:val="22"/>
            <w:szCs w:val="22"/>
            <w:shd w:val="clear" w:color="auto" w:fill="FFFFFF"/>
          </w:rPr>
          <w:t>https://doi.org/10.1177/1043986211425726</w:t>
        </w:r>
      </w:hyperlink>
      <w:r>
        <w:rPr>
          <w:sz w:val="22"/>
          <w:szCs w:val="22"/>
        </w:rPr>
        <w:t xml:space="preserve"> (Accessed 7 February 2024). </w:t>
      </w:r>
    </w:p>
    <w:p w14:paraId="70D5A0B6" w14:textId="77777777" w:rsidR="000652D3" w:rsidRDefault="000652D3" w:rsidP="000652D3">
      <w:pPr>
        <w:pStyle w:val="NormalWeb"/>
        <w:spacing w:before="0" w:beforeAutospacing="0" w:after="0" w:afterAutospacing="0"/>
        <w:ind w:left="720"/>
        <w:rPr>
          <w:sz w:val="22"/>
          <w:szCs w:val="22"/>
        </w:rPr>
      </w:pPr>
    </w:p>
    <w:p w14:paraId="43F87115" w14:textId="77777777" w:rsidR="000652D3" w:rsidRDefault="000652D3" w:rsidP="00E44DC2">
      <w:pPr>
        <w:pStyle w:val="NormalWeb"/>
        <w:numPr>
          <w:ilvl w:val="0"/>
          <w:numId w:val="1"/>
        </w:numPr>
        <w:spacing w:before="0" w:beforeAutospacing="0" w:after="0" w:afterAutospacing="0"/>
        <w:rPr>
          <w:color w:val="0B0C0C"/>
          <w:sz w:val="22"/>
          <w:szCs w:val="22"/>
          <w:shd w:val="clear" w:color="auto" w:fill="FFFFFF"/>
        </w:rPr>
      </w:pPr>
      <w:r w:rsidRPr="00FC2B62">
        <w:rPr>
          <w:color w:val="000000"/>
          <w:sz w:val="22"/>
          <w:szCs w:val="22"/>
        </w:rPr>
        <w:t>College of Policing (2022). </w:t>
      </w:r>
      <w:r w:rsidRPr="00FC2B62">
        <w:rPr>
          <w:i/>
          <w:iCs/>
          <w:color w:val="000000"/>
          <w:sz w:val="22"/>
          <w:szCs w:val="22"/>
        </w:rPr>
        <w:t>Media relations</w:t>
      </w:r>
      <w:r w:rsidRPr="00FC2B62">
        <w:rPr>
          <w:color w:val="000000"/>
          <w:sz w:val="22"/>
          <w:szCs w:val="22"/>
        </w:rPr>
        <w:t xml:space="preserve">. [online] College of </w:t>
      </w:r>
      <w:proofErr w:type="gramStart"/>
      <w:r w:rsidRPr="00FC2B62">
        <w:rPr>
          <w:color w:val="000000"/>
          <w:sz w:val="22"/>
          <w:szCs w:val="22"/>
        </w:rPr>
        <w:t>policing .</w:t>
      </w:r>
      <w:proofErr w:type="gramEnd"/>
      <w:r w:rsidRPr="00FC2B62">
        <w:rPr>
          <w:color w:val="000000"/>
          <w:sz w:val="22"/>
          <w:szCs w:val="22"/>
        </w:rPr>
        <w:t xml:space="preserve"> Available at: </w:t>
      </w:r>
      <w:hyperlink r:id="rId8" w:history="1">
        <w:r w:rsidRPr="00FC2B62">
          <w:rPr>
            <w:rStyle w:val="Hyperlink"/>
            <w:sz w:val="22"/>
            <w:szCs w:val="22"/>
          </w:rPr>
          <w:t>https://www.college.police.uk/app/engagement-and-communication/media-relations</w:t>
        </w:r>
      </w:hyperlink>
      <w:r w:rsidRPr="00FC2B62">
        <w:rPr>
          <w:color w:val="000000"/>
          <w:sz w:val="22"/>
          <w:szCs w:val="22"/>
        </w:rPr>
        <w:t xml:space="preserve">. </w:t>
      </w:r>
      <w:r w:rsidRPr="00FC2B62">
        <w:rPr>
          <w:color w:val="0B0C0C"/>
          <w:sz w:val="22"/>
          <w:szCs w:val="22"/>
          <w:shd w:val="clear" w:color="auto" w:fill="FFFFFF"/>
        </w:rPr>
        <w:t>(Accessed 7 February 2024)</w:t>
      </w:r>
    </w:p>
    <w:p w14:paraId="1E2215C5" w14:textId="77777777" w:rsidR="000652D3" w:rsidRDefault="000652D3" w:rsidP="000652D3">
      <w:pPr>
        <w:pStyle w:val="NormalWeb"/>
        <w:spacing w:before="0" w:beforeAutospacing="0" w:after="0" w:afterAutospacing="0"/>
        <w:rPr>
          <w:color w:val="0B0C0C"/>
          <w:sz w:val="22"/>
          <w:szCs w:val="22"/>
          <w:shd w:val="clear" w:color="auto" w:fill="FFFFFF"/>
        </w:rPr>
      </w:pPr>
    </w:p>
    <w:p w14:paraId="2D170D25" w14:textId="77777777" w:rsidR="000652D3" w:rsidRPr="003D6AC2" w:rsidRDefault="000652D3" w:rsidP="003D6AC2">
      <w:pPr>
        <w:pStyle w:val="NormalWeb"/>
        <w:numPr>
          <w:ilvl w:val="0"/>
          <w:numId w:val="1"/>
        </w:numPr>
        <w:spacing w:before="0" w:beforeAutospacing="0" w:after="240" w:afterAutospacing="0"/>
        <w:rPr>
          <w:sz w:val="22"/>
          <w:szCs w:val="22"/>
        </w:rPr>
      </w:pPr>
      <w:r w:rsidRPr="00CC79DB">
        <w:rPr>
          <w:sz w:val="22"/>
          <w:szCs w:val="22"/>
        </w:rPr>
        <w:t xml:space="preserve">Dando, </w:t>
      </w:r>
      <w:r>
        <w:rPr>
          <w:sz w:val="22"/>
          <w:szCs w:val="22"/>
        </w:rPr>
        <w:t>C.,</w:t>
      </w:r>
      <w:r w:rsidRPr="00CC79DB">
        <w:rPr>
          <w:sz w:val="22"/>
          <w:szCs w:val="22"/>
        </w:rPr>
        <w:t xml:space="preserve"> Wilcock, R</w:t>
      </w:r>
      <w:r>
        <w:rPr>
          <w:sz w:val="22"/>
          <w:szCs w:val="22"/>
        </w:rPr>
        <w:t>.,</w:t>
      </w:r>
      <w:r w:rsidRPr="00CC79DB">
        <w:rPr>
          <w:sz w:val="22"/>
          <w:szCs w:val="22"/>
        </w:rPr>
        <w:t xml:space="preserve"> &amp; Milne, R. (2009). The Cognitive Interview: novice police officers' witness/victim interviewing practices. Psychology Crime &amp; Law - PSYCHOL CRIME LAW. 15. 679-696. 10.1080/10683160802203963.</w:t>
      </w:r>
    </w:p>
    <w:p w14:paraId="68600819" w14:textId="77777777" w:rsidR="000652D3" w:rsidRPr="002D6CC1" w:rsidRDefault="000652D3" w:rsidP="00954C62">
      <w:pPr>
        <w:pStyle w:val="NormalWeb"/>
        <w:numPr>
          <w:ilvl w:val="0"/>
          <w:numId w:val="1"/>
        </w:numPr>
        <w:spacing w:before="240" w:beforeAutospacing="0" w:after="240" w:afterAutospacing="0"/>
        <w:rPr>
          <w:sz w:val="22"/>
          <w:szCs w:val="22"/>
        </w:rPr>
      </w:pPr>
      <w:r w:rsidRPr="002D6CC1">
        <w:rPr>
          <w:sz w:val="22"/>
          <w:szCs w:val="22"/>
          <w:shd w:val="clear" w:color="auto" w:fill="FFFFFF"/>
        </w:rPr>
        <w:t>Fisher, R. P., Chin, D. M., &amp; McCauley, M. R. (1990). Enhancing eyewitness recollection with the cognitive interview. </w:t>
      </w:r>
      <w:r w:rsidRPr="002D6CC1">
        <w:rPr>
          <w:rStyle w:val="Emphasis"/>
          <w:sz w:val="22"/>
          <w:szCs w:val="22"/>
          <w:shd w:val="clear" w:color="auto" w:fill="FFFFFF"/>
        </w:rPr>
        <w:t>National Police Research Unit Review, 6</w:t>
      </w:r>
      <w:r w:rsidRPr="002D6CC1">
        <w:rPr>
          <w:sz w:val="22"/>
          <w:szCs w:val="22"/>
          <w:shd w:val="clear" w:color="auto" w:fill="FFFFFF"/>
        </w:rPr>
        <w:t> (3), 11</w:t>
      </w:r>
    </w:p>
    <w:p w14:paraId="4723A81C" w14:textId="77777777" w:rsidR="000652D3" w:rsidRPr="002D6CC1" w:rsidRDefault="000652D3" w:rsidP="00954C62">
      <w:pPr>
        <w:pStyle w:val="NormalWeb"/>
        <w:numPr>
          <w:ilvl w:val="0"/>
          <w:numId w:val="1"/>
        </w:numPr>
        <w:spacing w:before="240" w:beforeAutospacing="0" w:after="240" w:afterAutospacing="0"/>
        <w:rPr>
          <w:sz w:val="22"/>
          <w:szCs w:val="22"/>
        </w:rPr>
      </w:pPr>
      <w:r w:rsidRPr="002D6CC1">
        <w:rPr>
          <w:sz w:val="22"/>
          <w:szCs w:val="22"/>
          <w:shd w:val="clear" w:color="auto" w:fill="FFFFFF"/>
        </w:rPr>
        <w:t>Geiselman, R. E., Fisher, R. P., MacKinnon, D. P., &amp; Holland, H. L. (1985). Eyewitness memory enhancement in the police interview: Cognitive retrieval mnemonics versus hypnosis. </w:t>
      </w:r>
      <w:r w:rsidRPr="002D6CC1">
        <w:rPr>
          <w:rStyle w:val="Emphasis"/>
          <w:sz w:val="22"/>
          <w:szCs w:val="22"/>
          <w:shd w:val="clear" w:color="auto" w:fill="FFFFFF"/>
        </w:rPr>
        <w:t>Journal of Applied Psychology, 70</w:t>
      </w:r>
      <w:r w:rsidRPr="002D6CC1">
        <w:rPr>
          <w:sz w:val="22"/>
          <w:szCs w:val="22"/>
          <w:shd w:val="clear" w:color="auto" w:fill="FFFFFF"/>
        </w:rPr>
        <w:t>(2), 401–412</w:t>
      </w:r>
    </w:p>
    <w:p w14:paraId="3DF50BC5" w14:textId="77777777" w:rsidR="000652D3" w:rsidRDefault="000652D3" w:rsidP="00E44DC2">
      <w:pPr>
        <w:pStyle w:val="NormalWeb"/>
        <w:numPr>
          <w:ilvl w:val="0"/>
          <w:numId w:val="1"/>
        </w:numPr>
        <w:spacing w:before="0" w:beforeAutospacing="0" w:after="0" w:afterAutospacing="0"/>
        <w:rPr>
          <w:sz w:val="22"/>
          <w:szCs w:val="22"/>
        </w:rPr>
      </w:pPr>
      <w:r w:rsidRPr="003A4023">
        <w:rPr>
          <w:color w:val="000000"/>
          <w:sz w:val="22"/>
          <w:szCs w:val="22"/>
          <w:shd w:val="clear" w:color="auto" w:fill="FFFFFF"/>
        </w:rPr>
        <w:t>Graziano, L.M. (2019). News media and perceptions of police: a state-of-the-art-review. </w:t>
      </w:r>
      <w:r w:rsidRPr="003A4023">
        <w:rPr>
          <w:rStyle w:val="Emphasis"/>
          <w:color w:val="000000"/>
          <w:sz w:val="22"/>
          <w:szCs w:val="22"/>
          <w:shd w:val="clear" w:color="auto" w:fill="FFFFFF"/>
        </w:rPr>
        <w:t>Policing: An International Journal, 42 </w:t>
      </w:r>
      <w:r w:rsidRPr="003A4023">
        <w:rPr>
          <w:color w:val="000000"/>
          <w:sz w:val="22"/>
          <w:szCs w:val="22"/>
          <w:shd w:val="clear" w:color="auto" w:fill="FFFFFF"/>
        </w:rPr>
        <w:t xml:space="preserve">(2). Available at: </w:t>
      </w:r>
      <w:hyperlink r:id="rId9" w:history="1">
        <w:r w:rsidRPr="003A4023">
          <w:rPr>
            <w:rStyle w:val="Hyperlink"/>
            <w:sz w:val="22"/>
            <w:szCs w:val="22"/>
          </w:rPr>
          <w:t>News media and perceptions of police: a state-of-the-art-review | Emerald Insight</w:t>
        </w:r>
      </w:hyperlink>
      <w:r w:rsidRPr="003A4023">
        <w:rPr>
          <w:sz w:val="22"/>
          <w:szCs w:val="22"/>
        </w:rPr>
        <w:t xml:space="preserve"> (Accessed 7 February 2024). </w:t>
      </w:r>
    </w:p>
    <w:p w14:paraId="7CD156FC" w14:textId="77777777" w:rsidR="000652D3" w:rsidRPr="0060191C" w:rsidRDefault="000652D3" w:rsidP="00954C62">
      <w:pPr>
        <w:pStyle w:val="NormalWeb"/>
        <w:numPr>
          <w:ilvl w:val="0"/>
          <w:numId w:val="1"/>
        </w:numPr>
        <w:spacing w:before="240" w:beforeAutospacing="0" w:after="240" w:afterAutospacing="0"/>
        <w:rPr>
          <w:sz w:val="22"/>
          <w:szCs w:val="22"/>
        </w:rPr>
      </w:pPr>
      <w:r w:rsidRPr="00F266BB">
        <w:rPr>
          <w:color w:val="000000"/>
          <w:sz w:val="22"/>
          <w:szCs w:val="22"/>
        </w:rPr>
        <w:t>Griffiths, A. and Milne, R. (2010). </w:t>
      </w:r>
      <w:r w:rsidRPr="00F266BB">
        <w:rPr>
          <w:i/>
          <w:iCs/>
          <w:color w:val="000000"/>
          <w:sz w:val="22"/>
          <w:szCs w:val="22"/>
        </w:rPr>
        <w:t>The Application of Cognitive Interview Techniques as Part of an Investigation</w:t>
      </w:r>
      <w:r w:rsidRPr="00F266BB">
        <w:rPr>
          <w:color w:val="000000"/>
          <w:sz w:val="22"/>
          <w:szCs w:val="22"/>
        </w:rPr>
        <w:t xml:space="preserve">. [online] ResearchGate. Available at: </w:t>
      </w:r>
      <w:hyperlink r:id="rId10" w:history="1">
        <w:r w:rsidRPr="00037011">
          <w:rPr>
            <w:rStyle w:val="Hyperlink"/>
            <w:sz w:val="22"/>
            <w:szCs w:val="22"/>
          </w:rPr>
          <w:t>https://www.researchgate.net/publication/229951700_The_Application_of_Cognitive_Interview_Techniques_as_Part_of_an_Investigation</w:t>
        </w:r>
      </w:hyperlink>
      <w:r>
        <w:rPr>
          <w:color w:val="000000"/>
          <w:sz w:val="22"/>
          <w:szCs w:val="22"/>
        </w:rPr>
        <w:t xml:space="preserve"> </w:t>
      </w:r>
    </w:p>
    <w:p w14:paraId="0602FA43" w14:textId="77777777" w:rsidR="000652D3" w:rsidRPr="003B2E1C" w:rsidRDefault="000652D3" w:rsidP="00ED532A">
      <w:pPr>
        <w:pStyle w:val="NormalWeb"/>
        <w:numPr>
          <w:ilvl w:val="0"/>
          <w:numId w:val="1"/>
        </w:numPr>
        <w:spacing w:before="240" w:beforeAutospacing="0" w:after="240" w:afterAutospacing="0"/>
        <w:rPr>
          <w:sz w:val="22"/>
          <w:szCs w:val="22"/>
        </w:rPr>
      </w:pPr>
      <w:r w:rsidRPr="003B2E1C">
        <w:rPr>
          <w:sz w:val="22"/>
          <w:szCs w:val="22"/>
        </w:rPr>
        <w:t xml:space="preserve">Hernandez- </w:t>
      </w:r>
      <w:proofErr w:type="spellStart"/>
      <w:r w:rsidRPr="003B2E1C">
        <w:rPr>
          <w:sz w:val="22"/>
          <w:szCs w:val="22"/>
        </w:rPr>
        <w:t>Fernaud</w:t>
      </w:r>
      <w:proofErr w:type="spellEnd"/>
      <w:r w:rsidRPr="003B2E1C">
        <w:rPr>
          <w:sz w:val="22"/>
          <w:szCs w:val="22"/>
        </w:rPr>
        <w:t>, E., &amp; Alonso-</w:t>
      </w:r>
      <w:proofErr w:type="spellStart"/>
      <w:r w:rsidRPr="003B2E1C">
        <w:rPr>
          <w:sz w:val="22"/>
          <w:szCs w:val="22"/>
        </w:rPr>
        <w:t>Quecuty</w:t>
      </w:r>
      <w:proofErr w:type="spellEnd"/>
      <w:r w:rsidRPr="003B2E1C">
        <w:rPr>
          <w:sz w:val="22"/>
          <w:szCs w:val="22"/>
        </w:rPr>
        <w:t xml:space="preserve">, M. (1997). The Cognitive Interview and Lie   Detection:  </w:t>
      </w:r>
      <w:proofErr w:type="gramStart"/>
      <w:r w:rsidRPr="003B2E1C">
        <w:rPr>
          <w:sz w:val="22"/>
          <w:szCs w:val="22"/>
        </w:rPr>
        <w:t>a  new</w:t>
      </w:r>
      <w:proofErr w:type="gramEnd"/>
      <w:r w:rsidRPr="003B2E1C">
        <w:rPr>
          <w:sz w:val="22"/>
          <w:szCs w:val="22"/>
        </w:rPr>
        <w:t xml:space="preserve">   magnifying   glass  for  Sherlock   Holmes?  Applied   Cognitive Psychology, 11, 55-68</w:t>
      </w:r>
      <w:r w:rsidRPr="003B2E1C">
        <w:rPr>
          <w:rFonts w:ascii="Georgia" w:hAnsi="Georgia"/>
          <w:color w:val="282828"/>
          <w:sz w:val="27"/>
          <w:szCs w:val="27"/>
          <w:shd w:val="clear" w:color="auto" w:fill="FFFFFF"/>
        </w:rPr>
        <w:t xml:space="preserve"> </w:t>
      </w:r>
    </w:p>
    <w:p w14:paraId="3B47816E" w14:textId="77777777" w:rsidR="000652D3" w:rsidRDefault="000652D3" w:rsidP="00E44DC2">
      <w:pPr>
        <w:pStyle w:val="ListParagraph"/>
        <w:numPr>
          <w:ilvl w:val="0"/>
          <w:numId w:val="1"/>
        </w:numPr>
        <w:spacing w:line="240" w:lineRule="auto"/>
        <w:rPr>
          <w:rFonts w:ascii="Times New Roman" w:hAnsi="Times New Roman" w:cs="Times New Roman"/>
        </w:rPr>
      </w:pPr>
      <w:r w:rsidRPr="00DF012E">
        <w:rPr>
          <w:rFonts w:ascii="Times New Roman" w:hAnsi="Times New Roman" w:cs="Times New Roman"/>
          <w:shd w:val="clear" w:color="auto" w:fill="FFFFFF"/>
        </w:rPr>
        <w:t>Jackson,</w:t>
      </w:r>
      <w:r>
        <w:rPr>
          <w:rFonts w:ascii="Times New Roman" w:hAnsi="Times New Roman" w:cs="Times New Roman"/>
          <w:shd w:val="clear" w:color="auto" w:fill="FFFFFF"/>
        </w:rPr>
        <w:t xml:space="preserve"> J and </w:t>
      </w:r>
      <w:r w:rsidRPr="00DF012E">
        <w:rPr>
          <w:rFonts w:ascii="Times New Roman" w:hAnsi="Times New Roman" w:cs="Times New Roman"/>
          <w:shd w:val="clear" w:color="auto" w:fill="FFFFFF"/>
        </w:rPr>
        <w:t xml:space="preserve">Bradford, </w:t>
      </w:r>
      <w:r>
        <w:rPr>
          <w:rFonts w:ascii="Times New Roman" w:hAnsi="Times New Roman" w:cs="Times New Roman"/>
          <w:shd w:val="clear" w:color="auto" w:fill="FFFFFF"/>
        </w:rPr>
        <w:t xml:space="preserve">B. </w:t>
      </w:r>
      <w:r w:rsidRPr="00DF012E">
        <w:rPr>
          <w:rFonts w:ascii="Times New Roman" w:hAnsi="Times New Roman" w:cs="Times New Roman"/>
          <w:shd w:val="clear" w:color="auto" w:fill="FFFFFF"/>
        </w:rPr>
        <w:t xml:space="preserve">What is Trust and Confidence in the </w:t>
      </w:r>
      <w:proofErr w:type="gramStart"/>
      <w:r w:rsidRPr="00DF012E">
        <w:rPr>
          <w:rFonts w:ascii="Times New Roman" w:hAnsi="Times New Roman" w:cs="Times New Roman"/>
          <w:shd w:val="clear" w:color="auto" w:fill="FFFFFF"/>
        </w:rPr>
        <w:t>Police?,</w:t>
      </w:r>
      <w:proofErr w:type="gramEnd"/>
      <w:r w:rsidRPr="00DF012E">
        <w:rPr>
          <w:rFonts w:ascii="Times New Roman" w:hAnsi="Times New Roman" w:cs="Times New Roman"/>
          <w:shd w:val="clear" w:color="auto" w:fill="FFFFFF"/>
        </w:rPr>
        <w:t> </w:t>
      </w:r>
      <w:r w:rsidRPr="00DF012E">
        <w:rPr>
          <w:rStyle w:val="Emphasis"/>
          <w:rFonts w:ascii="Times New Roman" w:hAnsi="Times New Roman" w:cs="Times New Roman"/>
          <w:bdr w:val="none" w:sz="0" w:space="0" w:color="auto" w:frame="1"/>
          <w:shd w:val="clear" w:color="auto" w:fill="FFFFFF"/>
        </w:rPr>
        <w:t>Policing: A Journal of Policy and Practice</w:t>
      </w:r>
      <w:r w:rsidRPr="00DF012E">
        <w:rPr>
          <w:rFonts w:ascii="Times New Roman" w:hAnsi="Times New Roman" w:cs="Times New Roman"/>
          <w:shd w:val="clear" w:color="auto" w:fill="FFFFFF"/>
        </w:rPr>
        <w:t>, Volume 4, Issue 3, August 2010, Pages 241–248, </w:t>
      </w:r>
      <w:hyperlink r:id="rId11" w:history="1">
        <w:r w:rsidRPr="00DF012E">
          <w:rPr>
            <w:rStyle w:val="Hyperlink"/>
            <w:rFonts w:ascii="Times New Roman" w:hAnsi="Times New Roman" w:cs="Times New Roman"/>
            <w:color w:val="auto"/>
            <w:bdr w:val="none" w:sz="0" w:space="0" w:color="auto" w:frame="1"/>
            <w:shd w:val="clear" w:color="auto" w:fill="FFFFFF"/>
          </w:rPr>
          <w:t>https://doi.org/10.1093/police/paq020</w:t>
        </w:r>
      </w:hyperlink>
      <w:r w:rsidRPr="00DF012E">
        <w:rPr>
          <w:rFonts w:ascii="Times New Roman" w:hAnsi="Times New Roman" w:cs="Times New Roman"/>
        </w:rPr>
        <w:t xml:space="preserve"> (Accessed 25 January 2024)</w:t>
      </w:r>
    </w:p>
    <w:p w14:paraId="413D2F6E" w14:textId="77777777" w:rsidR="000652D3" w:rsidRPr="00DF012E" w:rsidRDefault="000652D3" w:rsidP="00E44DC2">
      <w:pPr>
        <w:pStyle w:val="ListParagraph"/>
        <w:numPr>
          <w:ilvl w:val="0"/>
          <w:numId w:val="1"/>
        </w:numPr>
        <w:spacing w:before="240" w:line="240" w:lineRule="auto"/>
        <w:rPr>
          <w:rFonts w:ascii="Times New Roman" w:hAnsi="Times New Roman" w:cs="Times New Roman"/>
          <w:color w:val="0B0C0C"/>
          <w:shd w:val="clear" w:color="auto" w:fill="FFFFFF"/>
        </w:rPr>
      </w:pPr>
      <w:r w:rsidRPr="00DF012E">
        <w:rPr>
          <w:rFonts w:ascii="Times New Roman" w:hAnsi="Times New Roman" w:cs="Times New Roman"/>
          <w:color w:val="0B0C0C"/>
          <w:shd w:val="clear" w:color="auto" w:fill="FFFFFF"/>
        </w:rPr>
        <w:t>Javid, B. and Morrell, K. (2019) ‘Public confidence in the police: A critical review and interrogation of construct clarity’. Critical Perspectives on the Management and Organization of Emergency services, pp. 254 to 269 (Accessed 7 February 2024)</w:t>
      </w:r>
    </w:p>
    <w:p w14:paraId="635159F6" w14:textId="77777777" w:rsidR="000652D3" w:rsidRPr="00D90019" w:rsidRDefault="000652D3" w:rsidP="00954C62">
      <w:pPr>
        <w:pStyle w:val="NormalWeb"/>
        <w:numPr>
          <w:ilvl w:val="0"/>
          <w:numId w:val="1"/>
        </w:numPr>
        <w:spacing w:before="240" w:beforeAutospacing="0" w:after="240" w:afterAutospacing="0"/>
        <w:rPr>
          <w:sz w:val="22"/>
          <w:szCs w:val="22"/>
        </w:rPr>
      </w:pPr>
      <w:r w:rsidRPr="00D90019">
        <w:rPr>
          <w:sz w:val="22"/>
          <w:szCs w:val="22"/>
          <w:shd w:val="clear" w:color="auto" w:fill="FFFFFF"/>
        </w:rPr>
        <w:t>Kebbell, M. R., Milne, R., &amp; Wagstaff, G. F. (1999). </w:t>
      </w:r>
      <w:hyperlink r:id="rId12" w:tgtFrame="_blank" w:history="1">
        <w:r w:rsidRPr="00D90019">
          <w:rPr>
            <w:rStyle w:val="Hyperlink"/>
            <w:color w:val="auto"/>
            <w:sz w:val="22"/>
            <w:szCs w:val="22"/>
            <w:u w:val="none"/>
            <w:shd w:val="clear" w:color="auto" w:fill="FFFFFF"/>
          </w:rPr>
          <w:t>The cognitive interview: A survey of its forensic effectiveness</w:t>
        </w:r>
      </w:hyperlink>
      <w:r w:rsidRPr="00D90019">
        <w:rPr>
          <w:sz w:val="22"/>
          <w:szCs w:val="22"/>
          <w:shd w:val="clear" w:color="auto" w:fill="FFFFFF"/>
        </w:rPr>
        <w:t>. </w:t>
      </w:r>
      <w:r w:rsidRPr="00D90019">
        <w:rPr>
          <w:rStyle w:val="Emphasis"/>
          <w:sz w:val="22"/>
          <w:szCs w:val="22"/>
          <w:shd w:val="clear" w:color="auto" w:fill="FFFFFF"/>
        </w:rPr>
        <w:t xml:space="preserve">Psychology, </w:t>
      </w:r>
      <w:proofErr w:type="gramStart"/>
      <w:r w:rsidRPr="00D90019">
        <w:rPr>
          <w:rStyle w:val="Emphasis"/>
          <w:sz w:val="22"/>
          <w:szCs w:val="22"/>
          <w:shd w:val="clear" w:color="auto" w:fill="FFFFFF"/>
        </w:rPr>
        <w:t>crime</w:t>
      </w:r>
      <w:proofErr w:type="gramEnd"/>
      <w:r w:rsidRPr="00D90019">
        <w:rPr>
          <w:rStyle w:val="Emphasis"/>
          <w:sz w:val="22"/>
          <w:szCs w:val="22"/>
          <w:shd w:val="clear" w:color="auto" w:fill="FFFFFF"/>
        </w:rPr>
        <w:t xml:space="preserve"> and law, 5(1-2)</w:t>
      </w:r>
      <w:r w:rsidRPr="00D90019">
        <w:rPr>
          <w:sz w:val="22"/>
          <w:szCs w:val="22"/>
          <w:shd w:val="clear" w:color="auto" w:fill="FFFFFF"/>
        </w:rPr>
        <w:t>, 101-115.</w:t>
      </w:r>
    </w:p>
    <w:p w14:paraId="42F52BC0" w14:textId="77777777" w:rsidR="000652D3" w:rsidRDefault="000652D3" w:rsidP="00954C62">
      <w:pPr>
        <w:pStyle w:val="NormalWeb"/>
        <w:numPr>
          <w:ilvl w:val="0"/>
          <w:numId w:val="1"/>
        </w:numPr>
        <w:spacing w:before="240" w:beforeAutospacing="0" w:after="240" w:afterAutospacing="0"/>
        <w:rPr>
          <w:sz w:val="22"/>
          <w:szCs w:val="22"/>
        </w:rPr>
      </w:pPr>
      <w:r w:rsidRPr="00954C62">
        <w:rPr>
          <w:sz w:val="22"/>
          <w:szCs w:val="22"/>
        </w:rPr>
        <w:lastRenderedPageBreak/>
        <w:t>Mc</w:t>
      </w:r>
      <w:r>
        <w:rPr>
          <w:sz w:val="22"/>
          <w:szCs w:val="22"/>
        </w:rPr>
        <w:t>L</w:t>
      </w:r>
      <w:r w:rsidRPr="00954C62">
        <w:rPr>
          <w:sz w:val="22"/>
          <w:szCs w:val="22"/>
        </w:rPr>
        <w:t xml:space="preserve">eod, S. (2023). </w:t>
      </w:r>
      <w:r w:rsidRPr="00954C62">
        <w:rPr>
          <w:i/>
          <w:iCs/>
          <w:sz w:val="22"/>
          <w:szCs w:val="22"/>
        </w:rPr>
        <w:t>Cognitive Interview Technique | Simply Psychology</w:t>
      </w:r>
      <w:r w:rsidRPr="00954C62">
        <w:rPr>
          <w:sz w:val="22"/>
          <w:szCs w:val="22"/>
        </w:rPr>
        <w:t xml:space="preserve">. [online] Simplypsychology.org. Available at: </w:t>
      </w:r>
      <w:proofErr w:type="gramStart"/>
      <w:r w:rsidRPr="00954C62">
        <w:rPr>
          <w:sz w:val="22"/>
          <w:szCs w:val="22"/>
        </w:rPr>
        <w:t xml:space="preserve">https://www.simplypsychology.org/cognitive-interview.html </w:t>
      </w:r>
      <w:r>
        <w:rPr>
          <w:sz w:val="22"/>
          <w:szCs w:val="22"/>
        </w:rPr>
        <w:t xml:space="preserve"> </w:t>
      </w:r>
      <w:r w:rsidRPr="00954C62">
        <w:rPr>
          <w:sz w:val="22"/>
          <w:szCs w:val="22"/>
        </w:rPr>
        <w:t>(</w:t>
      </w:r>
      <w:proofErr w:type="gramEnd"/>
      <w:r w:rsidRPr="00954C62">
        <w:rPr>
          <w:sz w:val="22"/>
          <w:szCs w:val="22"/>
        </w:rPr>
        <w:t>Accessed 8 Feb. 2024).</w:t>
      </w:r>
    </w:p>
    <w:p w14:paraId="529C487B" w14:textId="77777777" w:rsidR="000652D3" w:rsidRDefault="000652D3" w:rsidP="003D6AC2">
      <w:pPr>
        <w:pStyle w:val="NormalWeb"/>
        <w:numPr>
          <w:ilvl w:val="0"/>
          <w:numId w:val="1"/>
        </w:numPr>
        <w:spacing w:before="240" w:beforeAutospacing="0" w:after="240" w:afterAutospacing="0"/>
        <w:rPr>
          <w:sz w:val="22"/>
          <w:szCs w:val="22"/>
        </w:rPr>
      </w:pPr>
      <w:r w:rsidRPr="002141CC">
        <w:rPr>
          <w:sz w:val="22"/>
          <w:szCs w:val="22"/>
        </w:rPr>
        <w:t>Milne, R</w:t>
      </w:r>
      <w:r>
        <w:rPr>
          <w:sz w:val="22"/>
          <w:szCs w:val="22"/>
        </w:rPr>
        <w:t xml:space="preserve">., </w:t>
      </w:r>
      <w:r w:rsidRPr="002141CC">
        <w:rPr>
          <w:sz w:val="22"/>
          <w:szCs w:val="22"/>
        </w:rPr>
        <w:t>Clare, I</w:t>
      </w:r>
      <w:r>
        <w:rPr>
          <w:sz w:val="22"/>
          <w:szCs w:val="22"/>
        </w:rPr>
        <w:t xml:space="preserve">., </w:t>
      </w:r>
      <w:r w:rsidRPr="002141CC">
        <w:rPr>
          <w:sz w:val="22"/>
          <w:szCs w:val="22"/>
        </w:rPr>
        <w:t xml:space="preserve">&amp; Bull, R. (1999). Using the cognitive interview with adults with mild learning disabilities. Psychology Crime &amp; Law - PSYCHOL CRIME LAW. 5. 81-99. </w:t>
      </w:r>
    </w:p>
    <w:p w14:paraId="50956775" w14:textId="77777777" w:rsidR="000652D3" w:rsidRPr="008930ED" w:rsidRDefault="000652D3" w:rsidP="008930ED">
      <w:pPr>
        <w:pStyle w:val="NormalWeb"/>
        <w:numPr>
          <w:ilvl w:val="0"/>
          <w:numId w:val="1"/>
        </w:numPr>
        <w:spacing w:before="240" w:beforeAutospacing="0" w:after="240" w:afterAutospacing="0"/>
        <w:rPr>
          <w:sz w:val="22"/>
          <w:szCs w:val="22"/>
        </w:rPr>
      </w:pPr>
      <w:r w:rsidRPr="008930ED">
        <w:rPr>
          <w:sz w:val="22"/>
          <w:szCs w:val="22"/>
        </w:rPr>
        <w:t xml:space="preserve">Potts, J. (2018). </w:t>
      </w:r>
      <w:r w:rsidRPr="008930ED">
        <w:rPr>
          <w:i/>
          <w:iCs/>
          <w:sz w:val="22"/>
          <w:szCs w:val="22"/>
        </w:rPr>
        <w:t>Enhanced Interviewing Techniques to Improve Memory Recall</w:t>
      </w:r>
      <w:r w:rsidRPr="008930ED">
        <w:rPr>
          <w:sz w:val="22"/>
          <w:szCs w:val="22"/>
        </w:rPr>
        <w:t xml:space="preserve">.  National Policing Institute. Available at: </w:t>
      </w:r>
      <w:hyperlink r:id="rId13" w:history="1">
        <w:r w:rsidRPr="00B41C4D">
          <w:rPr>
            <w:rStyle w:val="Hyperlink"/>
            <w:sz w:val="22"/>
            <w:szCs w:val="22"/>
          </w:rPr>
          <w:t>https://www.policinginstitute.org/onpolicing/enhanced-interviewing-techniques-to-improve-memory-recall/</w:t>
        </w:r>
      </w:hyperlink>
      <w:r>
        <w:rPr>
          <w:sz w:val="22"/>
          <w:szCs w:val="22"/>
        </w:rPr>
        <w:t xml:space="preserve"> </w:t>
      </w:r>
      <w:r w:rsidRPr="008930ED">
        <w:rPr>
          <w:sz w:val="22"/>
          <w:szCs w:val="22"/>
        </w:rPr>
        <w:t xml:space="preserve"> </w:t>
      </w:r>
      <w:r w:rsidRPr="008930ED">
        <w:rPr>
          <w:sz w:val="22"/>
          <w:szCs w:val="22"/>
        </w:rPr>
        <w:t>(</w:t>
      </w:r>
      <w:r w:rsidRPr="008930ED">
        <w:rPr>
          <w:sz w:val="22"/>
          <w:szCs w:val="22"/>
        </w:rPr>
        <w:t>Accessed 19 Feb. 2024</w:t>
      </w:r>
      <w:r w:rsidRPr="008930ED">
        <w:rPr>
          <w:sz w:val="22"/>
          <w:szCs w:val="22"/>
        </w:rPr>
        <w:t>)</w:t>
      </w:r>
      <w:r w:rsidRPr="008930ED">
        <w:rPr>
          <w:sz w:val="22"/>
          <w:szCs w:val="22"/>
        </w:rPr>
        <w:t>.</w:t>
      </w:r>
    </w:p>
    <w:p w14:paraId="0EAEC601" w14:textId="77777777" w:rsidR="000652D3" w:rsidRDefault="000652D3" w:rsidP="00E44DC2">
      <w:pPr>
        <w:pStyle w:val="ListParagraph"/>
        <w:numPr>
          <w:ilvl w:val="0"/>
          <w:numId w:val="1"/>
        </w:numPr>
        <w:spacing w:line="240" w:lineRule="auto"/>
        <w:rPr>
          <w:rFonts w:ascii="Times New Roman" w:hAnsi="Times New Roman" w:cs="Times New Roman"/>
        </w:rPr>
      </w:pPr>
      <w:r w:rsidRPr="00DF012E">
        <w:rPr>
          <w:rFonts w:ascii="Times New Roman" w:hAnsi="Times New Roman" w:cs="Times New Roman"/>
        </w:rPr>
        <w:t xml:space="preserve">Richard Brown (2023) Do We Trust </w:t>
      </w:r>
      <w:proofErr w:type="gramStart"/>
      <w:r w:rsidRPr="00DF012E">
        <w:rPr>
          <w:rFonts w:ascii="Times New Roman" w:hAnsi="Times New Roman" w:cs="Times New Roman"/>
        </w:rPr>
        <w:t>The</w:t>
      </w:r>
      <w:proofErr w:type="gramEnd"/>
      <w:r w:rsidRPr="00DF012E">
        <w:rPr>
          <w:rFonts w:ascii="Times New Roman" w:hAnsi="Times New Roman" w:cs="Times New Roman"/>
        </w:rPr>
        <w:t xml:space="preserve"> Police | Psychology Today United Kingdom. Available at </w:t>
      </w:r>
      <w:hyperlink r:id="rId14" w:anchor=":~:text=Without%20trust%2C%20citizens%20are%20less%20likely%20to%20report,to%20social%20unrest%20and%20heightened%20feelings%20of%20injustice." w:history="1">
        <w:r w:rsidRPr="00DF012E">
          <w:rPr>
            <w:rStyle w:val="Hyperlink"/>
            <w:rFonts w:ascii="Times New Roman" w:hAnsi="Times New Roman" w:cs="Times New Roman"/>
            <w:color w:val="auto"/>
          </w:rPr>
          <w:t>Do We Trust the Police? | Psychology Today United Kingdom</w:t>
        </w:r>
      </w:hyperlink>
      <w:r w:rsidRPr="00DF012E">
        <w:rPr>
          <w:rFonts w:ascii="Times New Roman" w:hAnsi="Times New Roman" w:cs="Times New Roman"/>
        </w:rPr>
        <w:t xml:space="preserve"> (Accessed 25 January 2024). </w:t>
      </w:r>
    </w:p>
    <w:p w14:paraId="61EEC750" w14:textId="77777777" w:rsidR="000652D3" w:rsidRDefault="000652D3" w:rsidP="00E44DC2">
      <w:pPr>
        <w:pStyle w:val="NormalWeb"/>
        <w:numPr>
          <w:ilvl w:val="0"/>
          <w:numId w:val="1"/>
        </w:numPr>
        <w:spacing w:before="0" w:beforeAutospacing="0" w:after="0" w:afterAutospacing="0"/>
        <w:rPr>
          <w:sz w:val="22"/>
          <w:szCs w:val="22"/>
        </w:rPr>
      </w:pPr>
      <w:r w:rsidRPr="009B5918">
        <w:rPr>
          <w:sz w:val="22"/>
          <w:szCs w:val="22"/>
        </w:rPr>
        <w:t>University of Law (2023) 'New findings reveal the harmful effects of under-representation in UK policing,' </w:t>
      </w:r>
      <w:r w:rsidRPr="009B5918">
        <w:rPr>
          <w:i/>
          <w:iCs/>
          <w:sz w:val="22"/>
          <w:szCs w:val="22"/>
          <w:bdr w:val="single" w:sz="2" w:space="0" w:color="ECEDEE" w:frame="1"/>
        </w:rPr>
        <w:t>www.law.ac.uk</w:t>
      </w:r>
      <w:r w:rsidRPr="009B5918">
        <w:rPr>
          <w:sz w:val="22"/>
          <w:szCs w:val="22"/>
        </w:rPr>
        <w:t>, 10 May. </w:t>
      </w:r>
      <w:r w:rsidRPr="009B5918">
        <w:rPr>
          <w:rStyle w:val="url"/>
          <w:sz w:val="22"/>
          <w:szCs w:val="22"/>
          <w:bdr w:val="single" w:sz="2" w:space="0" w:color="ECEDEE" w:frame="1"/>
        </w:rPr>
        <w:t>https://www.law.ac.uk/about/press-releases/under-representation-uk-policing/</w:t>
      </w:r>
      <w:r w:rsidRPr="009B5918">
        <w:rPr>
          <w:sz w:val="22"/>
          <w:szCs w:val="22"/>
        </w:rPr>
        <w:t> (Accessed: February 7, 2024)</w:t>
      </w:r>
    </w:p>
    <w:p w14:paraId="206135AF" w14:textId="77777777" w:rsidR="000652D3" w:rsidRPr="002141CC" w:rsidRDefault="000652D3" w:rsidP="00ED532A">
      <w:pPr>
        <w:pStyle w:val="NormalWeb"/>
        <w:numPr>
          <w:ilvl w:val="0"/>
          <w:numId w:val="1"/>
        </w:numPr>
        <w:spacing w:before="240" w:beforeAutospacing="0" w:after="240" w:afterAutospacing="0"/>
        <w:rPr>
          <w:sz w:val="22"/>
          <w:szCs w:val="22"/>
        </w:rPr>
      </w:pPr>
      <w:r w:rsidRPr="003B2E1C">
        <w:rPr>
          <w:sz w:val="22"/>
          <w:szCs w:val="22"/>
          <w:shd w:val="clear" w:color="auto" w:fill="FFFFFF"/>
        </w:rPr>
        <w:t>Wright, A. M., &amp; Holliday, R. E. (2007). </w:t>
      </w:r>
      <w:hyperlink r:id="rId15" w:tgtFrame="_blank" w:history="1">
        <w:r w:rsidRPr="003B2E1C">
          <w:rPr>
            <w:rStyle w:val="Hyperlink"/>
            <w:color w:val="auto"/>
            <w:sz w:val="22"/>
            <w:szCs w:val="22"/>
            <w:u w:val="none"/>
            <w:shd w:val="clear" w:color="auto" w:fill="FFFFFF"/>
          </w:rPr>
          <w:t>Interviewing cognitively impaired older adults: How useful is a Cognitive Interview</w:t>
        </w:r>
      </w:hyperlink>
      <w:r w:rsidRPr="003B2E1C">
        <w:rPr>
          <w:sz w:val="22"/>
          <w:szCs w:val="22"/>
          <w:shd w:val="clear" w:color="auto" w:fill="FFFFFF"/>
        </w:rPr>
        <w:t>? </w:t>
      </w:r>
      <w:r w:rsidRPr="003B2E1C">
        <w:rPr>
          <w:rStyle w:val="Emphasis"/>
          <w:sz w:val="22"/>
          <w:szCs w:val="22"/>
          <w:shd w:val="clear" w:color="auto" w:fill="FFFFFF"/>
        </w:rPr>
        <w:t>Memory, 15</w:t>
      </w:r>
      <w:r w:rsidRPr="003B2E1C">
        <w:rPr>
          <w:sz w:val="22"/>
          <w:szCs w:val="22"/>
          <w:shd w:val="clear" w:color="auto" w:fill="FFFFFF"/>
        </w:rPr>
        <w:t> (1), 17-33</w:t>
      </w:r>
    </w:p>
    <w:p w14:paraId="0DB2EA00" w14:textId="77777777" w:rsidR="003D6AC2" w:rsidRPr="003D6AC2" w:rsidRDefault="003D6AC2" w:rsidP="003D6AC2">
      <w:pPr>
        <w:pStyle w:val="NormalWeb"/>
        <w:spacing w:before="240" w:beforeAutospacing="0" w:after="240" w:afterAutospacing="0"/>
        <w:ind w:left="720"/>
        <w:rPr>
          <w:sz w:val="22"/>
          <w:szCs w:val="22"/>
        </w:rPr>
      </w:pPr>
    </w:p>
    <w:p w14:paraId="2A2E05A1" w14:textId="77777777" w:rsidR="002C6F30" w:rsidRDefault="002C6F30" w:rsidP="002C6F30">
      <w:pPr>
        <w:pStyle w:val="NormalWeb"/>
        <w:rPr>
          <w:rFonts w:ascii="Calibri" w:hAnsi="Calibri" w:cs="Calibri"/>
          <w:color w:val="000000"/>
          <w:sz w:val="27"/>
          <w:szCs w:val="27"/>
        </w:rPr>
      </w:pPr>
      <w:r>
        <w:rPr>
          <w:rFonts w:ascii="Calibri" w:hAnsi="Calibri" w:cs="Calibri"/>
          <w:color w:val="000000"/>
          <w:sz w:val="27"/>
          <w:szCs w:val="27"/>
        </w:rPr>
        <w:t>‌</w:t>
      </w:r>
    </w:p>
    <w:p w14:paraId="0879482C" w14:textId="77777777" w:rsidR="002C6F30" w:rsidRPr="00152D85" w:rsidRDefault="002C6F30" w:rsidP="00DA7C39">
      <w:pPr>
        <w:rPr>
          <w:rFonts w:cstheme="minorHAnsi"/>
        </w:rPr>
      </w:pPr>
    </w:p>
    <w:p w14:paraId="49C8F506" w14:textId="6463C180" w:rsidR="009638CC" w:rsidRPr="00DA7C39" w:rsidRDefault="009638CC" w:rsidP="00DA7C39">
      <w:pPr>
        <w:rPr>
          <w:u w:val="single"/>
        </w:rPr>
      </w:pPr>
    </w:p>
    <w:sectPr w:rsidR="009638CC" w:rsidRPr="00DA7C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f3">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2327A3"/>
    <w:multiLevelType w:val="hybridMultilevel"/>
    <w:tmpl w:val="C1268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E5043C"/>
    <w:multiLevelType w:val="hybridMultilevel"/>
    <w:tmpl w:val="DE6C962A"/>
    <w:lvl w:ilvl="0" w:tplc="8F7034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487028"/>
    <w:multiLevelType w:val="hybridMultilevel"/>
    <w:tmpl w:val="28D03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A157E6"/>
    <w:multiLevelType w:val="hybridMultilevel"/>
    <w:tmpl w:val="6212AC0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B164181"/>
    <w:multiLevelType w:val="hybridMultilevel"/>
    <w:tmpl w:val="D2B05FBE"/>
    <w:lvl w:ilvl="0" w:tplc="163430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6425FC"/>
    <w:multiLevelType w:val="hybridMultilevel"/>
    <w:tmpl w:val="F01E6C3C"/>
    <w:lvl w:ilvl="0" w:tplc="8F7034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2051332">
    <w:abstractNumId w:val="2"/>
  </w:num>
  <w:num w:numId="2" w16cid:durableId="1914273271">
    <w:abstractNumId w:val="1"/>
  </w:num>
  <w:num w:numId="3" w16cid:durableId="1721631039">
    <w:abstractNumId w:val="5"/>
  </w:num>
  <w:num w:numId="4" w16cid:durableId="1320648146">
    <w:abstractNumId w:val="3"/>
  </w:num>
  <w:num w:numId="5" w16cid:durableId="1218586507">
    <w:abstractNumId w:val="0"/>
  </w:num>
  <w:num w:numId="6" w16cid:durableId="16516700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4E8"/>
    <w:rsid w:val="00002012"/>
    <w:rsid w:val="000214C4"/>
    <w:rsid w:val="0002694D"/>
    <w:rsid w:val="00033FC9"/>
    <w:rsid w:val="000475ED"/>
    <w:rsid w:val="00054E19"/>
    <w:rsid w:val="000566AF"/>
    <w:rsid w:val="0005728F"/>
    <w:rsid w:val="000652D3"/>
    <w:rsid w:val="00081C96"/>
    <w:rsid w:val="00083CB8"/>
    <w:rsid w:val="00086F82"/>
    <w:rsid w:val="000A593E"/>
    <w:rsid w:val="000B5947"/>
    <w:rsid w:val="000C28E4"/>
    <w:rsid w:val="000C75B3"/>
    <w:rsid w:val="000E22DD"/>
    <w:rsid w:val="000E4A94"/>
    <w:rsid w:val="000F02AA"/>
    <w:rsid w:val="00102FEB"/>
    <w:rsid w:val="00105D10"/>
    <w:rsid w:val="00114899"/>
    <w:rsid w:val="001214D7"/>
    <w:rsid w:val="00122B58"/>
    <w:rsid w:val="00132D0D"/>
    <w:rsid w:val="00135267"/>
    <w:rsid w:val="00140941"/>
    <w:rsid w:val="00152D85"/>
    <w:rsid w:val="001557DF"/>
    <w:rsid w:val="00164E57"/>
    <w:rsid w:val="00165156"/>
    <w:rsid w:val="00187BF9"/>
    <w:rsid w:val="00195BE6"/>
    <w:rsid w:val="001A1309"/>
    <w:rsid w:val="001A3B03"/>
    <w:rsid w:val="001B13E9"/>
    <w:rsid w:val="001C3827"/>
    <w:rsid w:val="001C65E7"/>
    <w:rsid w:val="001D270F"/>
    <w:rsid w:val="001F56D4"/>
    <w:rsid w:val="002011F5"/>
    <w:rsid w:val="00205B9D"/>
    <w:rsid w:val="0020675D"/>
    <w:rsid w:val="00210E8C"/>
    <w:rsid w:val="002141CC"/>
    <w:rsid w:val="002205D3"/>
    <w:rsid w:val="002242E8"/>
    <w:rsid w:val="002340F3"/>
    <w:rsid w:val="00241D7C"/>
    <w:rsid w:val="00246873"/>
    <w:rsid w:val="00252D65"/>
    <w:rsid w:val="00270E45"/>
    <w:rsid w:val="00282759"/>
    <w:rsid w:val="00284D2A"/>
    <w:rsid w:val="002926D1"/>
    <w:rsid w:val="002943D1"/>
    <w:rsid w:val="002A24E6"/>
    <w:rsid w:val="002A5D6B"/>
    <w:rsid w:val="002B3C53"/>
    <w:rsid w:val="002C57B9"/>
    <w:rsid w:val="002C6F30"/>
    <w:rsid w:val="002D35D2"/>
    <w:rsid w:val="002D6CC1"/>
    <w:rsid w:val="002E0EE0"/>
    <w:rsid w:val="002E3C8F"/>
    <w:rsid w:val="002F3B7D"/>
    <w:rsid w:val="002F499C"/>
    <w:rsid w:val="00310AB1"/>
    <w:rsid w:val="00312822"/>
    <w:rsid w:val="00325427"/>
    <w:rsid w:val="00332860"/>
    <w:rsid w:val="00332A9F"/>
    <w:rsid w:val="0033637D"/>
    <w:rsid w:val="00340797"/>
    <w:rsid w:val="00347B83"/>
    <w:rsid w:val="00353860"/>
    <w:rsid w:val="00360324"/>
    <w:rsid w:val="003844BD"/>
    <w:rsid w:val="003944BC"/>
    <w:rsid w:val="003A4023"/>
    <w:rsid w:val="003B2E1C"/>
    <w:rsid w:val="003B34D9"/>
    <w:rsid w:val="003B5905"/>
    <w:rsid w:val="003B61F8"/>
    <w:rsid w:val="003C1FB4"/>
    <w:rsid w:val="003C5110"/>
    <w:rsid w:val="003D0519"/>
    <w:rsid w:val="003D159C"/>
    <w:rsid w:val="003D329B"/>
    <w:rsid w:val="003D6AC2"/>
    <w:rsid w:val="003F342C"/>
    <w:rsid w:val="00403D43"/>
    <w:rsid w:val="00420F32"/>
    <w:rsid w:val="00424324"/>
    <w:rsid w:val="00426935"/>
    <w:rsid w:val="00465D01"/>
    <w:rsid w:val="00470934"/>
    <w:rsid w:val="00471390"/>
    <w:rsid w:val="00472EE0"/>
    <w:rsid w:val="0049245E"/>
    <w:rsid w:val="00496196"/>
    <w:rsid w:val="004D30A7"/>
    <w:rsid w:val="004D703A"/>
    <w:rsid w:val="004E03AA"/>
    <w:rsid w:val="004F4BB1"/>
    <w:rsid w:val="00513027"/>
    <w:rsid w:val="005163FB"/>
    <w:rsid w:val="00544B5C"/>
    <w:rsid w:val="005619B4"/>
    <w:rsid w:val="00565C21"/>
    <w:rsid w:val="005705F2"/>
    <w:rsid w:val="00570648"/>
    <w:rsid w:val="0057221C"/>
    <w:rsid w:val="00572B13"/>
    <w:rsid w:val="005742A0"/>
    <w:rsid w:val="00574808"/>
    <w:rsid w:val="00593B91"/>
    <w:rsid w:val="005A320E"/>
    <w:rsid w:val="005B437D"/>
    <w:rsid w:val="005C1152"/>
    <w:rsid w:val="005D445C"/>
    <w:rsid w:val="005E29C2"/>
    <w:rsid w:val="005F2E0E"/>
    <w:rsid w:val="0060191C"/>
    <w:rsid w:val="006043AB"/>
    <w:rsid w:val="0061126C"/>
    <w:rsid w:val="00612CF6"/>
    <w:rsid w:val="006251B6"/>
    <w:rsid w:val="00630A89"/>
    <w:rsid w:val="006327B9"/>
    <w:rsid w:val="00634EA1"/>
    <w:rsid w:val="00650028"/>
    <w:rsid w:val="00655625"/>
    <w:rsid w:val="006866F7"/>
    <w:rsid w:val="00695FC3"/>
    <w:rsid w:val="006A263C"/>
    <w:rsid w:val="006A6DC2"/>
    <w:rsid w:val="006B08F1"/>
    <w:rsid w:val="006D0837"/>
    <w:rsid w:val="006D54CC"/>
    <w:rsid w:val="006E2834"/>
    <w:rsid w:val="006E54CF"/>
    <w:rsid w:val="006E7A70"/>
    <w:rsid w:val="00710B95"/>
    <w:rsid w:val="007211C3"/>
    <w:rsid w:val="00734969"/>
    <w:rsid w:val="00743B83"/>
    <w:rsid w:val="007700B4"/>
    <w:rsid w:val="00774A7C"/>
    <w:rsid w:val="00774B9B"/>
    <w:rsid w:val="007843F8"/>
    <w:rsid w:val="00784E38"/>
    <w:rsid w:val="00786AD1"/>
    <w:rsid w:val="00791605"/>
    <w:rsid w:val="00793EF9"/>
    <w:rsid w:val="007A6F7F"/>
    <w:rsid w:val="007A75EC"/>
    <w:rsid w:val="007A7D9A"/>
    <w:rsid w:val="007B3B0F"/>
    <w:rsid w:val="007B7860"/>
    <w:rsid w:val="007D230B"/>
    <w:rsid w:val="007D52AD"/>
    <w:rsid w:val="007E01D8"/>
    <w:rsid w:val="007F4A32"/>
    <w:rsid w:val="00802541"/>
    <w:rsid w:val="00805D9D"/>
    <w:rsid w:val="0083606F"/>
    <w:rsid w:val="0083705C"/>
    <w:rsid w:val="00837E72"/>
    <w:rsid w:val="00841AD0"/>
    <w:rsid w:val="00842817"/>
    <w:rsid w:val="00846905"/>
    <w:rsid w:val="0085131D"/>
    <w:rsid w:val="00856BE8"/>
    <w:rsid w:val="00871841"/>
    <w:rsid w:val="00872069"/>
    <w:rsid w:val="00892171"/>
    <w:rsid w:val="008930ED"/>
    <w:rsid w:val="00895748"/>
    <w:rsid w:val="008A0B14"/>
    <w:rsid w:val="008B0201"/>
    <w:rsid w:val="008C44A2"/>
    <w:rsid w:val="008C46C1"/>
    <w:rsid w:val="008C6BAB"/>
    <w:rsid w:val="008D60DC"/>
    <w:rsid w:val="008E1547"/>
    <w:rsid w:val="008F59F9"/>
    <w:rsid w:val="008F7596"/>
    <w:rsid w:val="0090192E"/>
    <w:rsid w:val="0092722E"/>
    <w:rsid w:val="00935806"/>
    <w:rsid w:val="009368CD"/>
    <w:rsid w:val="00940A1E"/>
    <w:rsid w:val="0094349D"/>
    <w:rsid w:val="0094474B"/>
    <w:rsid w:val="00947101"/>
    <w:rsid w:val="009476DA"/>
    <w:rsid w:val="0095091D"/>
    <w:rsid w:val="00952D8E"/>
    <w:rsid w:val="00954C62"/>
    <w:rsid w:val="009638CC"/>
    <w:rsid w:val="009774A7"/>
    <w:rsid w:val="009871F8"/>
    <w:rsid w:val="0099082C"/>
    <w:rsid w:val="00996C81"/>
    <w:rsid w:val="009A06DB"/>
    <w:rsid w:val="009B3CC7"/>
    <w:rsid w:val="009B5918"/>
    <w:rsid w:val="009C33B6"/>
    <w:rsid w:val="009C343D"/>
    <w:rsid w:val="009C5FF2"/>
    <w:rsid w:val="009C66B4"/>
    <w:rsid w:val="009E0012"/>
    <w:rsid w:val="009E607F"/>
    <w:rsid w:val="00A03AC7"/>
    <w:rsid w:val="00A13114"/>
    <w:rsid w:val="00A133F3"/>
    <w:rsid w:val="00A2284D"/>
    <w:rsid w:val="00A24A95"/>
    <w:rsid w:val="00A26A51"/>
    <w:rsid w:val="00A36427"/>
    <w:rsid w:val="00A4066C"/>
    <w:rsid w:val="00A44BE7"/>
    <w:rsid w:val="00A52A42"/>
    <w:rsid w:val="00A64268"/>
    <w:rsid w:val="00A762A9"/>
    <w:rsid w:val="00AB0B09"/>
    <w:rsid w:val="00AB3ABA"/>
    <w:rsid w:val="00AB641A"/>
    <w:rsid w:val="00AC3906"/>
    <w:rsid w:val="00AC5130"/>
    <w:rsid w:val="00AC635F"/>
    <w:rsid w:val="00AE4D60"/>
    <w:rsid w:val="00AF15B6"/>
    <w:rsid w:val="00AF33EE"/>
    <w:rsid w:val="00AF4B28"/>
    <w:rsid w:val="00B00A89"/>
    <w:rsid w:val="00B04891"/>
    <w:rsid w:val="00B34AFA"/>
    <w:rsid w:val="00B51CBB"/>
    <w:rsid w:val="00B51F8A"/>
    <w:rsid w:val="00B641FE"/>
    <w:rsid w:val="00B64474"/>
    <w:rsid w:val="00B66179"/>
    <w:rsid w:val="00B75DE8"/>
    <w:rsid w:val="00B76C75"/>
    <w:rsid w:val="00B8133D"/>
    <w:rsid w:val="00B96B1F"/>
    <w:rsid w:val="00BA1B9D"/>
    <w:rsid w:val="00BB69FB"/>
    <w:rsid w:val="00BD0D45"/>
    <w:rsid w:val="00BD5219"/>
    <w:rsid w:val="00BD6BC3"/>
    <w:rsid w:val="00BE17FA"/>
    <w:rsid w:val="00BF32A7"/>
    <w:rsid w:val="00C006F7"/>
    <w:rsid w:val="00C02AB1"/>
    <w:rsid w:val="00C03838"/>
    <w:rsid w:val="00C06F18"/>
    <w:rsid w:val="00C11CA1"/>
    <w:rsid w:val="00C13BAB"/>
    <w:rsid w:val="00C1420E"/>
    <w:rsid w:val="00C27713"/>
    <w:rsid w:val="00C31EFC"/>
    <w:rsid w:val="00C334E8"/>
    <w:rsid w:val="00C36C27"/>
    <w:rsid w:val="00C53C4C"/>
    <w:rsid w:val="00C60620"/>
    <w:rsid w:val="00C7670F"/>
    <w:rsid w:val="00C94FDC"/>
    <w:rsid w:val="00C95851"/>
    <w:rsid w:val="00C96511"/>
    <w:rsid w:val="00CB36CA"/>
    <w:rsid w:val="00CC79DB"/>
    <w:rsid w:val="00CE480A"/>
    <w:rsid w:val="00CF6B12"/>
    <w:rsid w:val="00D023C1"/>
    <w:rsid w:val="00D03BDE"/>
    <w:rsid w:val="00D32D84"/>
    <w:rsid w:val="00D3728B"/>
    <w:rsid w:val="00D52C9A"/>
    <w:rsid w:val="00D5386B"/>
    <w:rsid w:val="00D57A59"/>
    <w:rsid w:val="00D61CF6"/>
    <w:rsid w:val="00D73F62"/>
    <w:rsid w:val="00D85EE5"/>
    <w:rsid w:val="00D90019"/>
    <w:rsid w:val="00DA7C39"/>
    <w:rsid w:val="00DB11B6"/>
    <w:rsid w:val="00DC23E6"/>
    <w:rsid w:val="00DD78D0"/>
    <w:rsid w:val="00DF012E"/>
    <w:rsid w:val="00DF09CA"/>
    <w:rsid w:val="00E252D6"/>
    <w:rsid w:val="00E44DC2"/>
    <w:rsid w:val="00E47547"/>
    <w:rsid w:val="00E56E44"/>
    <w:rsid w:val="00E61BAF"/>
    <w:rsid w:val="00E738F6"/>
    <w:rsid w:val="00E84603"/>
    <w:rsid w:val="00EA0459"/>
    <w:rsid w:val="00EB22AE"/>
    <w:rsid w:val="00EB34B1"/>
    <w:rsid w:val="00EC0BDC"/>
    <w:rsid w:val="00EC784B"/>
    <w:rsid w:val="00ED2433"/>
    <w:rsid w:val="00ED3CCC"/>
    <w:rsid w:val="00EE1EBC"/>
    <w:rsid w:val="00EF7EBB"/>
    <w:rsid w:val="00F1576B"/>
    <w:rsid w:val="00F266BB"/>
    <w:rsid w:val="00F3083D"/>
    <w:rsid w:val="00F502A8"/>
    <w:rsid w:val="00F56FC7"/>
    <w:rsid w:val="00F573CD"/>
    <w:rsid w:val="00F60BA8"/>
    <w:rsid w:val="00F66263"/>
    <w:rsid w:val="00F66D7F"/>
    <w:rsid w:val="00F81084"/>
    <w:rsid w:val="00F81DFA"/>
    <w:rsid w:val="00F8300D"/>
    <w:rsid w:val="00FA2314"/>
    <w:rsid w:val="00FB4D26"/>
    <w:rsid w:val="00FB7DD4"/>
    <w:rsid w:val="00FC1536"/>
    <w:rsid w:val="00FC2694"/>
    <w:rsid w:val="00FC2B62"/>
    <w:rsid w:val="00FD321C"/>
    <w:rsid w:val="00FE140F"/>
    <w:rsid w:val="00FE3022"/>
    <w:rsid w:val="00FE4112"/>
    <w:rsid w:val="00FF6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E35E7"/>
  <w15:chartTrackingRefBased/>
  <w15:docId w15:val="{396792E9-5951-4CE2-909D-DCEAA3A0B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A7C39"/>
    <w:rPr>
      <w:i/>
      <w:iCs/>
    </w:rPr>
  </w:style>
  <w:style w:type="character" w:styleId="Hyperlink">
    <w:name w:val="Hyperlink"/>
    <w:basedOn w:val="DefaultParagraphFont"/>
    <w:uiPriority w:val="99"/>
    <w:unhideWhenUsed/>
    <w:rsid w:val="00DA7C39"/>
    <w:rPr>
      <w:color w:val="0000FF"/>
      <w:u w:val="single"/>
    </w:rPr>
  </w:style>
  <w:style w:type="character" w:styleId="UnresolvedMention">
    <w:name w:val="Unresolved Mention"/>
    <w:basedOn w:val="DefaultParagraphFont"/>
    <w:uiPriority w:val="99"/>
    <w:semiHidden/>
    <w:unhideWhenUsed/>
    <w:rsid w:val="009638CC"/>
    <w:rPr>
      <w:color w:val="605E5C"/>
      <w:shd w:val="clear" w:color="auto" w:fill="E1DFDD"/>
    </w:rPr>
  </w:style>
  <w:style w:type="paragraph" w:styleId="PlainText">
    <w:name w:val="Plain Text"/>
    <w:basedOn w:val="Normal"/>
    <w:link w:val="PlainTextChar"/>
    <w:uiPriority w:val="99"/>
    <w:unhideWhenUsed/>
    <w:rsid w:val="00465D01"/>
    <w:pPr>
      <w:spacing w:after="0" w:line="240" w:lineRule="auto"/>
    </w:pPr>
    <w:rPr>
      <w:rFonts w:ascii="Calibri" w:eastAsia="Times New Roman" w:hAnsi="Calibri"/>
      <w:kern w:val="0"/>
      <w:szCs w:val="21"/>
      <w14:ligatures w14:val="none"/>
    </w:rPr>
  </w:style>
  <w:style w:type="character" w:customStyle="1" w:styleId="PlainTextChar">
    <w:name w:val="Plain Text Char"/>
    <w:basedOn w:val="DefaultParagraphFont"/>
    <w:link w:val="PlainText"/>
    <w:uiPriority w:val="99"/>
    <w:rsid w:val="00465D01"/>
    <w:rPr>
      <w:rFonts w:ascii="Calibri" w:eastAsia="Times New Roman" w:hAnsi="Calibri"/>
      <w:kern w:val="0"/>
      <w:szCs w:val="21"/>
      <w14:ligatures w14:val="none"/>
    </w:rPr>
  </w:style>
  <w:style w:type="paragraph" w:styleId="NormalWeb">
    <w:name w:val="Normal (Web)"/>
    <w:basedOn w:val="Normal"/>
    <w:uiPriority w:val="99"/>
    <w:semiHidden/>
    <w:unhideWhenUsed/>
    <w:rsid w:val="002C6F3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rl">
    <w:name w:val="url"/>
    <w:basedOn w:val="DefaultParagraphFont"/>
    <w:rsid w:val="009B5918"/>
  </w:style>
  <w:style w:type="paragraph" w:styleId="ListParagraph">
    <w:name w:val="List Paragraph"/>
    <w:basedOn w:val="Normal"/>
    <w:uiPriority w:val="34"/>
    <w:qFormat/>
    <w:rsid w:val="00DF012E"/>
    <w:pPr>
      <w:ind w:left="720"/>
      <w:contextualSpacing/>
    </w:pPr>
  </w:style>
  <w:style w:type="character" w:customStyle="1" w:styleId="a">
    <w:name w:val="_"/>
    <w:basedOn w:val="DefaultParagraphFont"/>
    <w:rsid w:val="00002012"/>
  </w:style>
  <w:style w:type="character" w:customStyle="1" w:styleId="ff2">
    <w:name w:val="ff2"/>
    <w:basedOn w:val="DefaultParagraphFont"/>
    <w:rsid w:val="00EF7EBB"/>
  </w:style>
  <w:style w:type="character" w:customStyle="1" w:styleId="ff3">
    <w:name w:val="ff3"/>
    <w:basedOn w:val="DefaultParagraphFont"/>
    <w:rsid w:val="00EF7EBB"/>
  </w:style>
  <w:style w:type="character" w:customStyle="1" w:styleId="ls3e">
    <w:name w:val="ls3e"/>
    <w:basedOn w:val="DefaultParagraphFont"/>
    <w:rsid w:val="00F81DFA"/>
  </w:style>
  <w:style w:type="character" w:customStyle="1" w:styleId="ls2">
    <w:name w:val="ls2"/>
    <w:basedOn w:val="DefaultParagraphFont"/>
    <w:rsid w:val="00F81DFA"/>
  </w:style>
  <w:style w:type="character" w:customStyle="1" w:styleId="ls47">
    <w:name w:val="ls47"/>
    <w:basedOn w:val="DefaultParagraphFont"/>
    <w:rsid w:val="00F81DFA"/>
  </w:style>
  <w:style w:type="character" w:customStyle="1" w:styleId="ls41">
    <w:name w:val="ls41"/>
    <w:basedOn w:val="DefaultParagraphFont"/>
    <w:rsid w:val="00F81DFA"/>
  </w:style>
  <w:style w:type="character" w:customStyle="1" w:styleId="ls40">
    <w:name w:val="ls40"/>
    <w:basedOn w:val="DefaultParagraphFont"/>
    <w:rsid w:val="00F81DFA"/>
  </w:style>
  <w:style w:type="character" w:customStyle="1" w:styleId="ls43">
    <w:name w:val="ls43"/>
    <w:basedOn w:val="DefaultParagraphFont"/>
    <w:rsid w:val="00F81DFA"/>
  </w:style>
  <w:style w:type="character" w:customStyle="1" w:styleId="ls48">
    <w:name w:val="ls48"/>
    <w:basedOn w:val="DefaultParagraphFont"/>
    <w:rsid w:val="00F81D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93967">
      <w:bodyDiv w:val="1"/>
      <w:marLeft w:val="0"/>
      <w:marRight w:val="0"/>
      <w:marTop w:val="0"/>
      <w:marBottom w:val="0"/>
      <w:divBdr>
        <w:top w:val="none" w:sz="0" w:space="0" w:color="auto"/>
        <w:left w:val="none" w:sz="0" w:space="0" w:color="auto"/>
        <w:bottom w:val="none" w:sz="0" w:space="0" w:color="auto"/>
        <w:right w:val="none" w:sz="0" w:space="0" w:color="auto"/>
      </w:divBdr>
      <w:divsChild>
        <w:div w:id="939416126">
          <w:marLeft w:val="0"/>
          <w:marRight w:val="0"/>
          <w:marTop w:val="0"/>
          <w:marBottom w:val="0"/>
          <w:divBdr>
            <w:top w:val="none" w:sz="0" w:space="0" w:color="auto"/>
            <w:left w:val="none" w:sz="0" w:space="0" w:color="auto"/>
            <w:bottom w:val="none" w:sz="0" w:space="0" w:color="auto"/>
            <w:right w:val="none" w:sz="0" w:space="0" w:color="auto"/>
          </w:divBdr>
        </w:div>
      </w:divsChild>
    </w:div>
    <w:div w:id="398021027">
      <w:bodyDiv w:val="1"/>
      <w:marLeft w:val="0"/>
      <w:marRight w:val="0"/>
      <w:marTop w:val="0"/>
      <w:marBottom w:val="0"/>
      <w:divBdr>
        <w:top w:val="none" w:sz="0" w:space="0" w:color="auto"/>
        <w:left w:val="none" w:sz="0" w:space="0" w:color="auto"/>
        <w:bottom w:val="none" w:sz="0" w:space="0" w:color="auto"/>
        <w:right w:val="none" w:sz="0" w:space="0" w:color="auto"/>
      </w:divBdr>
    </w:div>
    <w:div w:id="638919181">
      <w:bodyDiv w:val="1"/>
      <w:marLeft w:val="0"/>
      <w:marRight w:val="0"/>
      <w:marTop w:val="0"/>
      <w:marBottom w:val="0"/>
      <w:divBdr>
        <w:top w:val="none" w:sz="0" w:space="0" w:color="auto"/>
        <w:left w:val="none" w:sz="0" w:space="0" w:color="auto"/>
        <w:bottom w:val="none" w:sz="0" w:space="0" w:color="auto"/>
        <w:right w:val="none" w:sz="0" w:space="0" w:color="auto"/>
      </w:divBdr>
      <w:divsChild>
        <w:div w:id="1235120020">
          <w:marLeft w:val="0"/>
          <w:marRight w:val="0"/>
          <w:marTop w:val="0"/>
          <w:marBottom w:val="0"/>
          <w:divBdr>
            <w:top w:val="none" w:sz="0" w:space="0" w:color="auto"/>
            <w:left w:val="none" w:sz="0" w:space="0" w:color="auto"/>
            <w:bottom w:val="none" w:sz="0" w:space="0" w:color="auto"/>
            <w:right w:val="none" w:sz="0" w:space="0" w:color="auto"/>
          </w:divBdr>
        </w:div>
      </w:divsChild>
    </w:div>
    <w:div w:id="693117906">
      <w:bodyDiv w:val="1"/>
      <w:marLeft w:val="0"/>
      <w:marRight w:val="0"/>
      <w:marTop w:val="0"/>
      <w:marBottom w:val="0"/>
      <w:divBdr>
        <w:top w:val="none" w:sz="0" w:space="0" w:color="auto"/>
        <w:left w:val="none" w:sz="0" w:space="0" w:color="auto"/>
        <w:bottom w:val="none" w:sz="0" w:space="0" w:color="auto"/>
        <w:right w:val="none" w:sz="0" w:space="0" w:color="auto"/>
      </w:divBdr>
    </w:div>
    <w:div w:id="881945103">
      <w:bodyDiv w:val="1"/>
      <w:marLeft w:val="0"/>
      <w:marRight w:val="0"/>
      <w:marTop w:val="0"/>
      <w:marBottom w:val="0"/>
      <w:divBdr>
        <w:top w:val="none" w:sz="0" w:space="0" w:color="auto"/>
        <w:left w:val="none" w:sz="0" w:space="0" w:color="auto"/>
        <w:bottom w:val="none" w:sz="0" w:space="0" w:color="auto"/>
        <w:right w:val="none" w:sz="0" w:space="0" w:color="auto"/>
      </w:divBdr>
    </w:div>
    <w:div w:id="983317043">
      <w:bodyDiv w:val="1"/>
      <w:marLeft w:val="0"/>
      <w:marRight w:val="0"/>
      <w:marTop w:val="0"/>
      <w:marBottom w:val="0"/>
      <w:divBdr>
        <w:top w:val="none" w:sz="0" w:space="0" w:color="auto"/>
        <w:left w:val="none" w:sz="0" w:space="0" w:color="auto"/>
        <w:bottom w:val="none" w:sz="0" w:space="0" w:color="auto"/>
        <w:right w:val="none" w:sz="0" w:space="0" w:color="auto"/>
      </w:divBdr>
    </w:div>
    <w:div w:id="1025521562">
      <w:bodyDiv w:val="1"/>
      <w:marLeft w:val="0"/>
      <w:marRight w:val="0"/>
      <w:marTop w:val="0"/>
      <w:marBottom w:val="0"/>
      <w:divBdr>
        <w:top w:val="none" w:sz="0" w:space="0" w:color="auto"/>
        <w:left w:val="none" w:sz="0" w:space="0" w:color="auto"/>
        <w:bottom w:val="none" w:sz="0" w:space="0" w:color="auto"/>
        <w:right w:val="none" w:sz="0" w:space="0" w:color="auto"/>
      </w:divBdr>
    </w:div>
    <w:div w:id="1073047185">
      <w:bodyDiv w:val="1"/>
      <w:marLeft w:val="0"/>
      <w:marRight w:val="0"/>
      <w:marTop w:val="0"/>
      <w:marBottom w:val="0"/>
      <w:divBdr>
        <w:top w:val="none" w:sz="0" w:space="0" w:color="auto"/>
        <w:left w:val="none" w:sz="0" w:space="0" w:color="auto"/>
        <w:bottom w:val="none" w:sz="0" w:space="0" w:color="auto"/>
        <w:right w:val="none" w:sz="0" w:space="0" w:color="auto"/>
      </w:divBdr>
    </w:div>
    <w:div w:id="1239436266">
      <w:bodyDiv w:val="1"/>
      <w:marLeft w:val="0"/>
      <w:marRight w:val="0"/>
      <w:marTop w:val="0"/>
      <w:marBottom w:val="0"/>
      <w:divBdr>
        <w:top w:val="none" w:sz="0" w:space="0" w:color="auto"/>
        <w:left w:val="none" w:sz="0" w:space="0" w:color="auto"/>
        <w:bottom w:val="none" w:sz="0" w:space="0" w:color="auto"/>
        <w:right w:val="none" w:sz="0" w:space="0" w:color="auto"/>
      </w:divBdr>
    </w:div>
    <w:div w:id="1452701596">
      <w:bodyDiv w:val="1"/>
      <w:marLeft w:val="0"/>
      <w:marRight w:val="0"/>
      <w:marTop w:val="0"/>
      <w:marBottom w:val="0"/>
      <w:divBdr>
        <w:top w:val="none" w:sz="0" w:space="0" w:color="auto"/>
        <w:left w:val="none" w:sz="0" w:space="0" w:color="auto"/>
        <w:bottom w:val="none" w:sz="0" w:space="0" w:color="auto"/>
        <w:right w:val="none" w:sz="0" w:space="0" w:color="auto"/>
      </w:divBdr>
    </w:div>
    <w:div w:id="1692418176">
      <w:bodyDiv w:val="1"/>
      <w:marLeft w:val="0"/>
      <w:marRight w:val="0"/>
      <w:marTop w:val="0"/>
      <w:marBottom w:val="0"/>
      <w:divBdr>
        <w:top w:val="none" w:sz="0" w:space="0" w:color="auto"/>
        <w:left w:val="none" w:sz="0" w:space="0" w:color="auto"/>
        <w:bottom w:val="none" w:sz="0" w:space="0" w:color="auto"/>
        <w:right w:val="none" w:sz="0" w:space="0" w:color="auto"/>
      </w:divBdr>
    </w:div>
    <w:div w:id="1694766485">
      <w:bodyDiv w:val="1"/>
      <w:marLeft w:val="0"/>
      <w:marRight w:val="0"/>
      <w:marTop w:val="0"/>
      <w:marBottom w:val="0"/>
      <w:divBdr>
        <w:top w:val="none" w:sz="0" w:space="0" w:color="auto"/>
        <w:left w:val="none" w:sz="0" w:space="0" w:color="auto"/>
        <w:bottom w:val="none" w:sz="0" w:space="0" w:color="auto"/>
        <w:right w:val="none" w:sz="0" w:space="0" w:color="auto"/>
      </w:divBdr>
    </w:div>
    <w:div w:id="1959411338">
      <w:bodyDiv w:val="1"/>
      <w:marLeft w:val="0"/>
      <w:marRight w:val="0"/>
      <w:marTop w:val="0"/>
      <w:marBottom w:val="0"/>
      <w:divBdr>
        <w:top w:val="none" w:sz="0" w:space="0" w:color="auto"/>
        <w:left w:val="none" w:sz="0" w:space="0" w:color="auto"/>
        <w:bottom w:val="none" w:sz="0" w:space="0" w:color="auto"/>
        <w:right w:val="none" w:sz="0" w:space="0" w:color="auto"/>
      </w:divBdr>
      <w:divsChild>
        <w:div w:id="1719236279">
          <w:marLeft w:val="0"/>
          <w:marRight w:val="0"/>
          <w:marTop w:val="0"/>
          <w:marBottom w:val="0"/>
          <w:divBdr>
            <w:top w:val="none" w:sz="0" w:space="0" w:color="auto"/>
            <w:left w:val="none" w:sz="0" w:space="0" w:color="auto"/>
            <w:bottom w:val="none" w:sz="0" w:space="0" w:color="auto"/>
            <w:right w:val="none" w:sz="0" w:space="0" w:color="auto"/>
          </w:divBdr>
        </w:div>
      </w:divsChild>
    </w:div>
    <w:div w:id="1992101375">
      <w:bodyDiv w:val="1"/>
      <w:marLeft w:val="0"/>
      <w:marRight w:val="0"/>
      <w:marTop w:val="0"/>
      <w:marBottom w:val="0"/>
      <w:divBdr>
        <w:top w:val="none" w:sz="0" w:space="0" w:color="auto"/>
        <w:left w:val="none" w:sz="0" w:space="0" w:color="auto"/>
        <w:bottom w:val="none" w:sz="0" w:space="0" w:color="auto"/>
        <w:right w:val="none" w:sz="0" w:space="0" w:color="auto"/>
      </w:divBdr>
    </w:div>
    <w:div w:id="2014450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engagement-and-communication/media-relations" TargetMode="External"/><Relationship Id="rId13" Type="http://schemas.openxmlformats.org/officeDocument/2006/relationships/hyperlink" Target="https://www.policinginstitute.org/onpolicing/enhanced-interviewing-techniques-to-improve-memory-recall/" TargetMode="External"/><Relationship Id="rId3" Type="http://schemas.openxmlformats.org/officeDocument/2006/relationships/settings" Target="settings.xml"/><Relationship Id="rId7" Type="http://schemas.openxmlformats.org/officeDocument/2006/relationships/hyperlink" Target="https://doi.org/10.1177/1043986211425726" TargetMode="External"/><Relationship Id="rId12" Type="http://schemas.openxmlformats.org/officeDocument/2006/relationships/hyperlink" Target="https://www.tandfonline.com/doi/pdf/10.1080/10683169908414996?casa_token=AQZ-z8SIV-IAAAAA:mIa0lmJ5K96MO0S8GKcYpoFVSvYi6dFSJdF6VxZnYHxviMTKZh8EX6e36TGqm67NJ9xNrcv_AKM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researchbriefings.files.parliament.uk/documents/POST-PN-0693/POST-PN-0693.pdf" TargetMode="External"/><Relationship Id="rId11" Type="http://schemas.openxmlformats.org/officeDocument/2006/relationships/hyperlink" Target="https://doi.org/10.1093/police/paq020" TargetMode="External"/><Relationship Id="rId5" Type="http://schemas.openxmlformats.org/officeDocument/2006/relationships/hyperlink" Target="https://crestresearch.ac.uk/comment/the-cognitive-interview/" TargetMode="External"/><Relationship Id="rId15" Type="http://schemas.openxmlformats.org/officeDocument/2006/relationships/hyperlink" Target="https://www.tandfonline.com/doi/pdf/10.1080/09658210601047351?casa_token=yt50pdeW_XYAAAAA:r6PSJU00P2XJiLG5fnW3JK2kijpn4k1RCSo0jAaA69fkVspeG-99_cn0kPQDF2nhsidPBr4sEIf8" TargetMode="External"/><Relationship Id="rId10" Type="http://schemas.openxmlformats.org/officeDocument/2006/relationships/hyperlink" Target="https://www.researchgate.net/publication/229951700_The_Application_of_Cognitive_Interview_Techniques_as_Part_of_an_Investigation" TargetMode="External"/><Relationship Id="rId4" Type="http://schemas.openxmlformats.org/officeDocument/2006/relationships/webSettings" Target="webSettings.xml"/><Relationship Id="rId9" Type="http://schemas.openxmlformats.org/officeDocument/2006/relationships/hyperlink" Target="https://www.emerald.com/insight/content/doi/10.1108/PIJPSM-11-2017-0134/full/html" TargetMode="External"/><Relationship Id="rId14" Type="http://schemas.openxmlformats.org/officeDocument/2006/relationships/hyperlink" Target="https://www.psychologytoday.com/gb/blog/understanding-health-behaviors/202303/do-we-trust-the-po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1001</TotalTime>
  <Pages>6</Pages>
  <Words>2736</Words>
  <Characters>15597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Baker,Joe swp8297</dc:creator>
  <cp:keywords/>
  <dc:description/>
  <cp:lastModifiedBy>Baker,Joe swp8297</cp:lastModifiedBy>
  <cp:revision>322</cp:revision>
  <dcterms:created xsi:type="dcterms:W3CDTF">2024-01-25T13:30:00Z</dcterms:created>
  <dcterms:modified xsi:type="dcterms:W3CDTF">2024-02-19T16:29:00Z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2024-01-25T15:22:02Z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df8525d9-59de-445a-8169-f09525b799bd</vt:lpwstr>
  </property>
  <property fmtid="{D5CDD505-2E9C-101B-9397-08002B2CF9AE}" pid="8" name="MSIP_Label_66cf8fe5-b7b7-4df7-b38d-1c61ac2f6639_ContentBits">
    <vt:lpwstr>0</vt:lpwstr>
  </property>
</Properties>
</file>