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21288" w14:textId="619BECF1" w:rsidR="00B72EC1" w:rsidRPr="00F622F0" w:rsidRDefault="00B72EC1" w:rsidP="00DD24B5">
      <w:pPr>
        <w:spacing w:after="0" w:line="264" w:lineRule="auto"/>
        <w:rPr>
          <w:b/>
          <w:bCs/>
          <w:sz w:val="24"/>
          <w:szCs w:val="24"/>
        </w:rPr>
      </w:pPr>
      <w:r w:rsidRPr="00F622F0">
        <w:rPr>
          <w:b/>
          <w:bCs/>
          <w:sz w:val="24"/>
          <w:szCs w:val="24"/>
        </w:rPr>
        <w:t>Environmental Philosophy: Animals, Ecology and Sustainability (HPPH7009)</w:t>
      </w:r>
    </w:p>
    <w:p w14:paraId="47D8CBF2" w14:textId="71E09655" w:rsidR="00B72EC1" w:rsidRPr="00F622F0" w:rsidRDefault="00B72EC1" w:rsidP="00DD24B5">
      <w:pPr>
        <w:spacing w:after="0" w:line="264" w:lineRule="auto"/>
        <w:rPr>
          <w:b/>
          <w:bCs/>
          <w:sz w:val="24"/>
          <w:szCs w:val="24"/>
        </w:rPr>
      </w:pPr>
      <w:r w:rsidRPr="00F622F0">
        <w:rPr>
          <w:b/>
          <w:bCs/>
          <w:sz w:val="24"/>
          <w:szCs w:val="24"/>
        </w:rPr>
        <w:t>Assignment 1: Annotated Bibliography</w:t>
      </w:r>
    </w:p>
    <w:p w14:paraId="338116A0" w14:textId="0755C4AE" w:rsidR="00B72EC1" w:rsidRPr="00F622F0" w:rsidRDefault="00B72EC1" w:rsidP="00DD24B5">
      <w:pPr>
        <w:spacing w:after="0" w:line="264" w:lineRule="auto"/>
        <w:rPr>
          <w:b/>
          <w:bCs/>
          <w:sz w:val="24"/>
          <w:szCs w:val="24"/>
        </w:rPr>
      </w:pPr>
      <w:r w:rsidRPr="00F622F0">
        <w:rPr>
          <w:b/>
          <w:bCs/>
          <w:sz w:val="24"/>
          <w:szCs w:val="24"/>
        </w:rPr>
        <w:t xml:space="preserve">Catriona Toms (Student number: 2517573) </w:t>
      </w:r>
    </w:p>
    <w:p w14:paraId="02F5CA2C" w14:textId="77777777" w:rsidR="001057D1" w:rsidRPr="00F622F0" w:rsidRDefault="001057D1" w:rsidP="00B70D4B">
      <w:pPr>
        <w:spacing w:after="0" w:line="240" w:lineRule="auto"/>
        <w:rPr>
          <w:b/>
          <w:bCs/>
          <w:sz w:val="24"/>
          <w:szCs w:val="24"/>
        </w:rPr>
      </w:pPr>
    </w:p>
    <w:p w14:paraId="5CC4C02C" w14:textId="312FE702" w:rsidR="008B5C7D" w:rsidRPr="00F622F0" w:rsidRDefault="008B5C7D" w:rsidP="00F622F0">
      <w:pPr>
        <w:spacing w:after="120" w:line="264" w:lineRule="auto"/>
        <w:rPr>
          <w:b/>
          <w:bCs/>
          <w:sz w:val="24"/>
          <w:szCs w:val="24"/>
        </w:rPr>
      </w:pPr>
      <w:r w:rsidRPr="00F622F0">
        <w:rPr>
          <w:b/>
          <w:bCs/>
          <w:sz w:val="24"/>
          <w:szCs w:val="24"/>
        </w:rPr>
        <w:t>Peter</w:t>
      </w:r>
      <w:r w:rsidR="006B6AB6" w:rsidRPr="006B6AB6">
        <w:rPr>
          <w:b/>
          <w:bCs/>
          <w:sz w:val="24"/>
          <w:szCs w:val="24"/>
        </w:rPr>
        <w:t xml:space="preserve"> </w:t>
      </w:r>
      <w:r w:rsidR="006B6AB6" w:rsidRPr="00F622F0">
        <w:rPr>
          <w:b/>
          <w:bCs/>
          <w:sz w:val="24"/>
          <w:szCs w:val="24"/>
        </w:rPr>
        <w:t>Singer</w:t>
      </w:r>
      <w:r w:rsidRPr="00F622F0">
        <w:rPr>
          <w:b/>
          <w:bCs/>
          <w:sz w:val="24"/>
          <w:szCs w:val="24"/>
        </w:rPr>
        <w:t xml:space="preserve">, ‘All Animals are Equal’, in </w:t>
      </w:r>
      <w:r w:rsidRPr="00F622F0">
        <w:rPr>
          <w:b/>
          <w:bCs/>
          <w:i/>
          <w:iCs/>
          <w:sz w:val="24"/>
          <w:szCs w:val="24"/>
        </w:rPr>
        <w:t>Environmental Philosophy: From Animal Rights to Radical Ecology</w:t>
      </w:r>
      <w:r w:rsidRPr="00F622F0">
        <w:rPr>
          <w:b/>
          <w:bCs/>
          <w:sz w:val="24"/>
          <w:szCs w:val="24"/>
        </w:rPr>
        <w:t>, eds. Michael E. Zimmerman et al (Englewood Cliffs, New Jersey: Prentice Hall, 1998), pp.25-38</w:t>
      </w:r>
      <w:r w:rsidR="00E45B61" w:rsidRPr="00F622F0">
        <w:rPr>
          <w:b/>
          <w:bCs/>
          <w:sz w:val="24"/>
          <w:szCs w:val="24"/>
        </w:rPr>
        <w:t>.</w:t>
      </w:r>
    </w:p>
    <w:p w14:paraId="030D3CD8" w14:textId="60FAF4EC" w:rsidR="008B5C7D" w:rsidRPr="00F622F0" w:rsidRDefault="008B5C7D" w:rsidP="00F622F0">
      <w:pPr>
        <w:spacing w:after="120" w:line="264" w:lineRule="auto"/>
        <w:rPr>
          <w:sz w:val="24"/>
          <w:szCs w:val="24"/>
        </w:rPr>
      </w:pPr>
      <w:r w:rsidRPr="00F622F0">
        <w:rPr>
          <w:sz w:val="24"/>
          <w:szCs w:val="24"/>
        </w:rPr>
        <w:t xml:space="preserve">First published in the journal </w:t>
      </w:r>
      <w:r w:rsidRPr="00F622F0">
        <w:rPr>
          <w:i/>
          <w:iCs/>
          <w:sz w:val="24"/>
          <w:szCs w:val="24"/>
        </w:rPr>
        <w:t>Philosophical Exchange</w:t>
      </w:r>
      <w:r w:rsidRPr="00F622F0">
        <w:rPr>
          <w:sz w:val="24"/>
          <w:szCs w:val="24"/>
        </w:rPr>
        <w:t xml:space="preserve"> in 1974,</w:t>
      </w:r>
      <w:r w:rsidRPr="00F622F0">
        <w:rPr>
          <w:rStyle w:val="FootnoteReference"/>
          <w:sz w:val="24"/>
          <w:szCs w:val="24"/>
        </w:rPr>
        <w:footnoteReference w:id="1"/>
      </w:r>
      <w:r w:rsidRPr="00F622F0">
        <w:rPr>
          <w:sz w:val="24"/>
          <w:szCs w:val="24"/>
        </w:rPr>
        <w:t xml:space="preserve"> </w:t>
      </w:r>
      <w:r w:rsidR="007B373F">
        <w:rPr>
          <w:sz w:val="24"/>
          <w:szCs w:val="24"/>
        </w:rPr>
        <w:t xml:space="preserve">Peter </w:t>
      </w:r>
      <w:r w:rsidRPr="00F622F0">
        <w:rPr>
          <w:sz w:val="24"/>
          <w:szCs w:val="24"/>
        </w:rPr>
        <w:t xml:space="preserve">Singer’s article, ‘All Animals are Equal’, went on to be widely anthologised and to form the basis of the foundational chapter of his highly influential work </w:t>
      </w:r>
      <w:r w:rsidRPr="00F622F0">
        <w:rPr>
          <w:i/>
          <w:iCs/>
          <w:sz w:val="24"/>
          <w:szCs w:val="24"/>
        </w:rPr>
        <w:t>Animal Liberation</w:t>
      </w:r>
      <w:r w:rsidRPr="00F622F0">
        <w:rPr>
          <w:sz w:val="24"/>
          <w:szCs w:val="24"/>
        </w:rPr>
        <w:t>, published in 1975.</w:t>
      </w:r>
      <w:r w:rsidRPr="00F622F0">
        <w:rPr>
          <w:rStyle w:val="FootnoteReference"/>
          <w:sz w:val="24"/>
          <w:szCs w:val="24"/>
        </w:rPr>
        <w:footnoteReference w:id="2"/>
      </w:r>
      <w:r w:rsidRPr="00F622F0">
        <w:rPr>
          <w:sz w:val="24"/>
          <w:szCs w:val="24"/>
        </w:rPr>
        <w:t xml:space="preserve"> The arguments presented in the article would become a touchstone for a growing animal liberation movement, and would ignite philosophical debates on speciesism and the treatment of nonhuman animals.</w:t>
      </w:r>
      <w:r w:rsidRPr="00F622F0">
        <w:rPr>
          <w:rStyle w:val="FootnoteReference"/>
          <w:sz w:val="24"/>
          <w:szCs w:val="24"/>
        </w:rPr>
        <w:footnoteReference w:id="3"/>
      </w:r>
    </w:p>
    <w:p w14:paraId="2DE3CA51" w14:textId="2D098DD6" w:rsidR="008B5C7D" w:rsidRPr="00F622F0" w:rsidRDefault="008B5C7D" w:rsidP="00F622F0">
      <w:pPr>
        <w:spacing w:after="120" w:line="264" w:lineRule="auto"/>
        <w:rPr>
          <w:sz w:val="24"/>
          <w:szCs w:val="24"/>
        </w:rPr>
      </w:pPr>
      <w:r w:rsidRPr="00F622F0">
        <w:rPr>
          <w:sz w:val="24"/>
          <w:szCs w:val="24"/>
        </w:rPr>
        <w:t xml:space="preserve">The article’s key arguments are that the principle of equality applies to all sentient beings, not just humans, and that we therefore have a moral obligation to reduce their suffering. Building on Jeremy Bentham’s utilitarianism, Singer argues that the capacity for suffering and enjoyment (sentience) is </w:t>
      </w:r>
      <w:r w:rsidRPr="00F622F0">
        <w:rPr>
          <w:i/>
          <w:iCs/>
          <w:sz w:val="24"/>
          <w:szCs w:val="24"/>
        </w:rPr>
        <w:t>the</w:t>
      </w:r>
      <w:r w:rsidRPr="00F622F0">
        <w:rPr>
          <w:sz w:val="24"/>
          <w:szCs w:val="24"/>
        </w:rPr>
        <w:t xml:space="preserve"> necessary condition for having interests and therefore for having moral standing</w:t>
      </w:r>
      <w:r w:rsidR="007B373F">
        <w:rPr>
          <w:sz w:val="24"/>
          <w:szCs w:val="24"/>
        </w:rPr>
        <w:t>. He says:</w:t>
      </w:r>
    </w:p>
    <w:p w14:paraId="16D54079" w14:textId="57A26624" w:rsidR="008B5C7D" w:rsidRPr="00F622F0" w:rsidRDefault="008B5C7D" w:rsidP="00F622F0">
      <w:pPr>
        <w:spacing w:after="120" w:line="264" w:lineRule="auto"/>
        <w:ind w:left="720"/>
        <w:rPr>
          <w:sz w:val="24"/>
          <w:szCs w:val="24"/>
        </w:rPr>
      </w:pPr>
      <w:r w:rsidRPr="00F622F0">
        <w:rPr>
          <w:sz w:val="24"/>
          <w:szCs w:val="24"/>
        </w:rPr>
        <w:t>No matter what the nature of the being, the principle of equality requires that its suffering be counted equally with the like suffering … of any other being. If a being is not capable of suffering, or of experiencing enjoyment or happiness, there is nothing to be taken into account.</w:t>
      </w:r>
      <w:r w:rsidR="000F6DE7" w:rsidRPr="00F622F0">
        <w:rPr>
          <w:rStyle w:val="FootnoteReference"/>
          <w:sz w:val="24"/>
          <w:szCs w:val="24"/>
        </w:rPr>
        <w:footnoteReference w:id="4"/>
      </w:r>
    </w:p>
    <w:p w14:paraId="0E173189" w14:textId="1692DF79" w:rsidR="008B5C7D" w:rsidRPr="00F622F0" w:rsidRDefault="008B5C7D" w:rsidP="00F622F0">
      <w:pPr>
        <w:spacing w:after="120" w:line="264" w:lineRule="auto"/>
        <w:rPr>
          <w:sz w:val="24"/>
          <w:szCs w:val="24"/>
        </w:rPr>
      </w:pPr>
      <w:r w:rsidRPr="00F622F0">
        <w:rPr>
          <w:sz w:val="24"/>
          <w:szCs w:val="24"/>
        </w:rPr>
        <w:t>Singer argues that bias in favour of one’s own species – which he calls ‘speciesism’</w:t>
      </w:r>
      <w:r w:rsidRPr="00F622F0">
        <w:rPr>
          <w:rStyle w:val="FootnoteReference"/>
          <w:sz w:val="24"/>
          <w:szCs w:val="24"/>
        </w:rPr>
        <w:footnoteReference w:id="5"/>
      </w:r>
      <w:r w:rsidRPr="00F622F0">
        <w:rPr>
          <w:sz w:val="24"/>
          <w:szCs w:val="24"/>
        </w:rPr>
        <w:t xml:space="preserve"> – is analogous to racism or sexism. Examples cited by Singer include meat-eating, factory farming and vivisection, all of which, he argues, sacrifice nonhuman sentient animals’ basic interest in not suffering to satisfy non-basic – often trivial – interests of human beings. </w:t>
      </w:r>
    </w:p>
    <w:p w14:paraId="2AD40480" w14:textId="5F8FE1B1" w:rsidR="008B5C7D" w:rsidRPr="00F622F0" w:rsidRDefault="008B5C7D" w:rsidP="00F622F0">
      <w:pPr>
        <w:spacing w:after="120" w:line="264" w:lineRule="auto"/>
        <w:rPr>
          <w:sz w:val="24"/>
          <w:szCs w:val="24"/>
        </w:rPr>
      </w:pPr>
      <w:r w:rsidRPr="00F622F0">
        <w:rPr>
          <w:sz w:val="24"/>
          <w:szCs w:val="24"/>
        </w:rPr>
        <w:t>He discusses arguments used by liberation movements in advocating for equality amongst human beings, building on this to argue for ‘equality of consideration’ amongst all sentient creatures. Using what has become known as the ‘argument from marginal cases’,</w:t>
      </w:r>
      <w:r w:rsidRPr="00F622F0">
        <w:rPr>
          <w:rStyle w:val="FootnoteReference"/>
          <w:sz w:val="24"/>
          <w:szCs w:val="24"/>
        </w:rPr>
        <w:footnoteReference w:id="6"/>
      </w:r>
      <w:r w:rsidRPr="00F622F0">
        <w:rPr>
          <w:sz w:val="24"/>
          <w:szCs w:val="24"/>
        </w:rPr>
        <w:t xml:space="preserve"> he questions whether anyone would justify experiments on a human with severe, irreparable brain damage – who may have lesser cognitive abilities than some animals – if this were to save many other human beings. If this cannot be seen as morally justifiable, then, Singer argues, it is </w:t>
      </w:r>
      <w:r w:rsidR="00A029C6" w:rsidRPr="00F622F0">
        <w:rPr>
          <w:sz w:val="24"/>
          <w:szCs w:val="24"/>
        </w:rPr>
        <w:t>speciesis</w:t>
      </w:r>
      <w:r w:rsidR="00A029C6">
        <w:rPr>
          <w:sz w:val="24"/>
          <w:szCs w:val="24"/>
        </w:rPr>
        <w:t>t</w:t>
      </w:r>
      <w:r w:rsidRPr="00F622F0">
        <w:rPr>
          <w:sz w:val="24"/>
          <w:szCs w:val="24"/>
        </w:rPr>
        <w:t xml:space="preserve"> to suggest that the like treatment of nonhuman sentient animals is morally acceptable. His key argument here is that any </w:t>
      </w:r>
      <w:r w:rsidRPr="00F622F0">
        <w:rPr>
          <w:sz w:val="24"/>
          <w:szCs w:val="24"/>
        </w:rPr>
        <w:lastRenderedPageBreak/>
        <w:t xml:space="preserve">morally relevant characteristic that is shared by </w:t>
      </w:r>
      <w:r w:rsidRPr="00F622F0">
        <w:rPr>
          <w:i/>
          <w:iCs/>
          <w:sz w:val="24"/>
          <w:szCs w:val="24"/>
        </w:rPr>
        <w:t xml:space="preserve">all </w:t>
      </w:r>
      <w:r w:rsidRPr="00F622F0">
        <w:rPr>
          <w:sz w:val="24"/>
          <w:szCs w:val="24"/>
        </w:rPr>
        <w:t xml:space="preserve">humans is also shared by at least </w:t>
      </w:r>
      <w:r w:rsidRPr="00F622F0">
        <w:rPr>
          <w:i/>
          <w:iCs/>
          <w:sz w:val="24"/>
          <w:szCs w:val="24"/>
        </w:rPr>
        <w:t>some</w:t>
      </w:r>
      <w:r w:rsidRPr="00F622F0">
        <w:rPr>
          <w:sz w:val="24"/>
          <w:szCs w:val="24"/>
        </w:rPr>
        <w:t xml:space="preserve"> nonhumans.</w:t>
      </w:r>
    </w:p>
    <w:p w14:paraId="22BD7107" w14:textId="77777777" w:rsidR="008B5C7D" w:rsidRPr="00F622F0" w:rsidRDefault="008B5C7D" w:rsidP="00F622F0">
      <w:pPr>
        <w:spacing w:after="120" w:line="264" w:lineRule="auto"/>
        <w:rPr>
          <w:sz w:val="24"/>
          <w:szCs w:val="24"/>
        </w:rPr>
      </w:pPr>
      <w:r w:rsidRPr="00F622F0">
        <w:rPr>
          <w:sz w:val="24"/>
          <w:szCs w:val="24"/>
        </w:rPr>
        <w:t xml:space="preserve">Singer’s arguments have generated a great deal of debate within the fields of animal and environmental ethics over the past 50 years. The article provides convincing arguments to support the view that any and all sentient creatures should be included within the moral sphere and that their interest in not suffering should be given equal consideration to like interests of humans. The implications of this for our obligations towards the billions of animals suffering in factory farms and laboratories are well argued by Singer. </w:t>
      </w:r>
    </w:p>
    <w:p w14:paraId="58A5DACE" w14:textId="77777777" w:rsidR="008B5C7D" w:rsidRPr="00F622F0" w:rsidRDefault="008B5C7D" w:rsidP="00F622F0">
      <w:pPr>
        <w:spacing w:after="120" w:line="264" w:lineRule="auto"/>
        <w:rPr>
          <w:color w:val="000000" w:themeColor="text1"/>
          <w:sz w:val="24"/>
          <w:szCs w:val="24"/>
        </w:rPr>
      </w:pPr>
      <w:r w:rsidRPr="00F622F0">
        <w:rPr>
          <w:color w:val="000000" w:themeColor="text1"/>
          <w:sz w:val="24"/>
          <w:szCs w:val="24"/>
        </w:rPr>
        <w:t>It is worth briefly noting that Singer’s utilitarian approach has been critiqued. For example, Tom Regan has argued that all ‘subjects-of-a-life’ (beings with beliefs, desires, a sense of the future, for example) have inherent value and possess moral rights that we have a duty to respect regardless of the overall consequences.</w:t>
      </w:r>
      <w:r w:rsidRPr="00F622F0">
        <w:rPr>
          <w:rStyle w:val="FootnoteReference"/>
          <w:color w:val="000000" w:themeColor="text1"/>
          <w:sz w:val="24"/>
          <w:szCs w:val="24"/>
        </w:rPr>
        <w:footnoteReference w:id="7"/>
      </w:r>
      <w:r w:rsidRPr="00F622F0">
        <w:rPr>
          <w:color w:val="000000" w:themeColor="text1"/>
          <w:sz w:val="24"/>
          <w:szCs w:val="24"/>
        </w:rPr>
        <w:t xml:space="preserve"> However, as Lori Gruen has pointed out, Regan’s position provides little guidance on how to prioritise when the right-to-life of two different rights-holders comes into conflict.</w:t>
      </w:r>
      <w:r w:rsidRPr="00F622F0">
        <w:rPr>
          <w:rStyle w:val="FootnoteReference"/>
          <w:color w:val="000000" w:themeColor="text1"/>
          <w:sz w:val="24"/>
          <w:szCs w:val="24"/>
        </w:rPr>
        <w:footnoteReference w:id="8"/>
      </w:r>
      <w:r w:rsidRPr="00F622F0">
        <w:rPr>
          <w:color w:val="000000" w:themeColor="text1"/>
          <w:sz w:val="24"/>
          <w:szCs w:val="24"/>
        </w:rPr>
        <w:t xml:space="preserve"> In this regard, Singer’s utilitarian approach can be argued to provide a more useful ethical framework. </w:t>
      </w:r>
    </w:p>
    <w:p w14:paraId="6DC7F2B1" w14:textId="747833EB" w:rsidR="008B5C7D" w:rsidRPr="00F622F0" w:rsidRDefault="008B5C7D" w:rsidP="00F622F0">
      <w:pPr>
        <w:spacing w:after="120" w:line="264" w:lineRule="auto"/>
        <w:rPr>
          <w:sz w:val="24"/>
          <w:szCs w:val="24"/>
        </w:rPr>
      </w:pPr>
      <w:r w:rsidRPr="00F622F0">
        <w:rPr>
          <w:sz w:val="24"/>
          <w:szCs w:val="24"/>
        </w:rPr>
        <w:t xml:space="preserve">However, a key question is whether Singer provides </w:t>
      </w:r>
      <w:r w:rsidR="007B373F" w:rsidRPr="00F622F0">
        <w:rPr>
          <w:sz w:val="24"/>
          <w:szCs w:val="24"/>
        </w:rPr>
        <w:t>adequate</w:t>
      </w:r>
      <w:r w:rsidRPr="00F622F0">
        <w:rPr>
          <w:sz w:val="24"/>
          <w:szCs w:val="24"/>
        </w:rPr>
        <w:t xml:space="preserve"> grounds for </w:t>
      </w:r>
      <w:r w:rsidRPr="007B373F">
        <w:rPr>
          <w:i/>
          <w:iCs/>
          <w:sz w:val="24"/>
          <w:szCs w:val="24"/>
        </w:rPr>
        <w:t>only</w:t>
      </w:r>
      <w:r w:rsidRPr="00F622F0">
        <w:rPr>
          <w:sz w:val="24"/>
          <w:szCs w:val="24"/>
        </w:rPr>
        <w:t xml:space="preserve"> including sentient animals within the moral sphere: he well argues for sentience being a </w:t>
      </w:r>
      <w:r w:rsidRPr="00F622F0">
        <w:rPr>
          <w:i/>
          <w:iCs/>
          <w:sz w:val="24"/>
          <w:szCs w:val="24"/>
        </w:rPr>
        <w:t>sufficient</w:t>
      </w:r>
      <w:r w:rsidRPr="00F622F0">
        <w:rPr>
          <w:sz w:val="24"/>
          <w:szCs w:val="24"/>
        </w:rPr>
        <w:t xml:space="preserve"> condition for moral standing, but is it also a </w:t>
      </w:r>
      <w:r w:rsidRPr="00F622F0">
        <w:rPr>
          <w:i/>
          <w:iCs/>
          <w:sz w:val="24"/>
          <w:szCs w:val="24"/>
        </w:rPr>
        <w:t xml:space="preserve">necessary </w:t>
      </w:r>
      <w:r w:rsidRPr="00F622F0">
        <w:rPr>
          <w:sz w:val="24"/>
          <w:szCs w:val="24"/>
        </w:rPr>
        <w:t>condition? His statement that, unless a being has capacity for suffering or enjoyment, ‘there is nothing to be taken into account,’</w:t>
      </w:r>
      <w:r w:rsidRPr="00F622F0">
        <w:rPr>
          <w:rStyle w:val="FootnoteReference"/>
          <w:sz w:val="24"/>
          <w:szCs w:val="24"/>
        </w:rPr>
        <w:footnoteReference w:id="9"/>
      </w:r>
      <w:r w:rsidRPr="00F622F0">
        <w:rPr>
          <w:sz w:val="24"/>
          <w:szCs w:val="24"/>
        </w:rPr>
        <w:t xml:space="preserve"> has been challenged by biocentrists such as Kenneth Goodpaster. Goodpaster has plausibly argued that </w:t>
      </w:r>
      <w:r w:rsidRPr="00F622F0">
        <w:rPr>
          <w:i/>
          <w:iCs/>
          <w:sz w:val="24"/>
          <w:szCs w:val="24"/>
        </w:rPr>
        <w:t>all</w:t>
      </w:r>
      <w:r w:rsidRPr="00F622F0">
        <w:rPr>
          <w:sz w:val="24"/>
          <w:szCs w:val="24"/>
        </w:rPr>
        <w:t xml:space="preserve"> living entities are capable of being benefited or harmed, and therefore all have interests that confer moral </w:t>
      </w:r>
      <w:r w:rsidRPr="00F622F0">
        <w:rPr>
          <w:i/>
          <w:iCs/>
          <w:sz w:val="24"/>
          <w:szCs w:val="24"/>
        </w:rPr>
        <w:t xml:space="preserve">considerability </w:t>
      </w:r>
      <w:r w:rsidRPr="00F622F0">
        <w:rPr>
          <w:sz w:val="24"/>
          <w:szCs w:val="24"/>
        </w:rPr>
        <w:t xml:space="preserve">(or standing), regardless of whether some have additional characteristics – such as sentience – that may confer greater moral </w:t>
      </w:r>
      <w:r w:rsidRPr="00F622F0">
        <w:rPr>
          <w:i/>
          <w:iCs/>
          <w:sz w:val="24"/>
          <w:szCs w:val="24"/>
        </w:rPr>
        <w:t>significance</w:t>
      </w:r>
      <w:r w:rsidRPr="00F622F0">
        <w:rPr>
          <w:sz w:val="24"/>
          <w:szCs w:val="24"/>
        </w:rPr>
        <w:t>.</w:t>
      </w:r>
      <w:r w:rsidR="007B373F" w:rsidRPr="00F622F0">
        <w:rPr>
          <w:rStyle w:val="FootnoteReference"/>
          <w:sz w:val="24"/>
          <w:szCs w:val="24"/>
        </w:rPr>
        <w:footnoteReference w:id="10"/>
      </w:r>
    </w:p>
    <w:p w14:paraId="2AB652AF" w14:textId="3DE19C72" w:rsidR="008B5C7D" w:rsidRPr="00F622F0" w:rsidRDefault="008B5C7D" w:rsidP="00F622F0">
      <w:pPr>
        <w:spacing w:after="120" w:line="264" w:lineRule="auto"/>
        <w:rPr>
          <w:sz w:val="24"/>
          <w:szCs w:val="24"/>
        </w:rPr>
      </w:pPr>
      <w:r w:rsidRPr="00F622F0">
        <w:rPr>
          <w:sz w:val="24"/>
          <w:szCs w:val="24"/>
        </w:rPr>
        <w:t>Robin Attfield has similarly argued that Singer is right to identify the importance of recognising the moral significance of capacities such as sentience and self-awareness, but that a greater range of capacities should be taken into account when looking at which entities have moral standing.</w:t>
      </w:r>
      <w:r w:rsidRPr="00F622F0">
        <w:rPr>
          <w:rStyle w:val="FootnoteReference"/>
          <w:sz w:val="24"/>
          <w:szCs w:val="24"/>
        </w:rPr>
        <w:footnoteReference w:id="11"/>
      </w:r>
      <w:r w:rsidRPr="00F622F0">
        <w:rPr>
          <w:sz w:val="24"/>
          <w:szCs w:val="24"/>
        </w:rPr>
        <w:t xml:space="preserve"> Attfield further suggests that Singer’s reliance on argument from marginal cases</w:t>
      </w:r>
      <w:r w:rsidR="00642979">
        <w:rPr>
          <w:sz w:val="24"/>
          <w:szCs w:val="24"/>
        </w:rPr>
        <w:t xml:space="preserve"> </w:t>
      </w:r>
      <w:r w:rsidRPr="00F622F0">
        <w:rPr>
          <w:sz w:val="24"/>
          <w:szCs w:val="24"/>
        </w:rPr>
        <w:t>risks only taking into consideration human-like characteristics (such as the capacity to suffer)</w:t>
      </w:r>
      <w:r w:rsidR="00642979">
        <w:rPr>
          <w:sz w:val="24"/>
          <w:szCs w:val="24"/>
        </w:rPr>
        <w:t>,</w:t>
      </w:r>
      <w:r w:rsidRPr="00F622F0">
        <w:rPr>
          <w:sz w:val="24"/>
          <w:szCs w:val="24"/>
        </w:rPr>
        <w:t xml:space="preserve"> whereas Attfield points out that nonhuman living entities</w:t>
      </w:r>
      <w:r w:rsidR="00642979">
        <w:rPr>
          <w:sz w:val="24"/>
          <w:szCs w:val="24"/>
        </w:rPr>
        <w:t xml:space="preserve"> merit </w:t>
      </w:r>
      <w:r w:rsidRPr="00F622F0">
        <w:rPr>
          <w:sz w:val="24"/>
          <w:szCs w:val="24"/>
        </w:rPr>
        <w:t xml:space="preserve">consideration not because </w:t>
      </w:r>
      <w:r w:rsidR="00642979">
        <w:rPr>
          <w:sz w:val="24"/>
          <w:szCs w:val="24"/>
        </w:rPr>
        <w:t>they bear some resemblance to humans but because they have</w:t>
      </w:r>
      <w:r w:rsidRPr="00F622F0">
        <w:rPr>
          <w:sz w:val="24"/>
          <w:szCs w:val="24"/>
        </w:rPr>
        <w:t xml:space="preserve"> </w:t>
      </w:r>
      <w:r w:rsidR="00642979">
        <w:rPr>
          <w:sz w:val="24"/>
          <w:szCs w:val="24"/>
        </w:rPr>
        <w:t>‘</w:t>
      </w:r>
      <w:r w:rsidRPr="00F622F0">
        <w:rPr>
          <w:sz w:val="24"/>
          <w:szCs w:val="24"/>
        </w:rPr>
        <w:t>a good of their own</w:t>
      </w:r>
      <w:r w:rsidR="00642979">
        <w:rPr>
          <w:sz w:val="24"/>
          <w:szCs w:val="24"/>
        </w:rPr>
        <w:t>’</w:t>
      </w:r>
      <w:r w:rsidRPr="00F622F0">
        <w:rPr>
          <w:sz w:val="24"/>
          <w:szCs w:val="24"/>
        </w:rPr>
        <w:t xml:space="preserve">, which </w:t>
      </w:r>
      <w:r w:rsidR="00642979">
        <w:rPr>
          <w:sz w:val="24"/>
          <w:szCs w:val="24"/>
        </w:rPr>
        <w:t>may be very different from ours.</w:t>
      </w:r>
      <w:r w:rsidRPr="00F622F0">
        <w:rPr>
          <w:rStyle w:val="FootnoteReference"/>
          <w:sz w:val="24"/>
          <w:szCs w:val="24"/>
        </w:rPr>
        <w:footnoteReference w:id="12"/>
      </w:r>
    </w:p>
    <w:p w14:paraId="2F8ECA15" w14:textId="77777777" w:rsidR="008B5C7D" w:rsidRPr="00F622F0" w:rsidRDefault="008B5C7D" w:rsidP="00F622F0">
      <w:pPr>
        <w:spacing w:after="120" w:line="264" w:lineRule="auto"/>
        <w:rPr>
          <w:sz w:val="24"/>
          <w:szCs w:val="24"/>
        </w:rPr>
      </w:pPr>
      <w:r w:rsidRPr="00F622F0">
        <w:rPr>
          <w:sz w:val="24"/>
          <w:szCs w:val="24"/>
        </w:rPr>
        <w:lastRenderedPageBreak/>
        <w:t xml:space="preserve">It has also been suggested that, while the approach to utilitarianism used by Singer in this article may provide a cogent argument for preventing </w:t>
      </w:r>
      <w:r w:rsidRPr="00F622F0">
        <w:rPr>
          <w:i/>
          <w:iCs/>
          <w:sz w:val="24"/>
          <w:szCs w:val="24"/>
        </w:rPr>
        <w:t>suffering</w:t>
      </w:r>
      <w:r w:rsidRPr="00F622F0">
        <w:rPr>
          <w:sz w:val="24"/>
          <w:szCs w:val="24"/>
        </w:rPr>
        <w:t xml:space="preserve"> in nonhuman animals, its focus on suffering means that it does not provide sufficient grounds for preventing animals from being painlessly killed. Singer later refined his arguments to address this critique, adopting ‘preference utilitarianism’, in which sentience remains the grounds for moral standing, but which can also take into account other capacities, such as self-consciousness. This allowed Singer to argue that animals that may be capable of having preferences about their own future should be allowed to live out those futures.</w:t>
      </w:r>
      <w:r w:rsidRPr="00F622F0">
        <w:rPr>
          <w:rStyle w:val="FootnoteReference"/>
          <w:sz w:val="24"/>
          <w:szCs w:val="24"/>
        </w:rPr>
        <w:footnoteReference w:id="13"/>
      </w:r>
      <w:r w:rsidRPr="00F622F0">
        <w:rPr>
          <w:sz w:val="24"/>
          <w:szCs w:val="24"/>
        </w:rPr>
        <w:t xml:space="preserve"> </w:t>
      </w:r>
    </w:p>
    <w:p w14:paraId="13EB5E8C" w14:textId="77777777" w:rsidR="008B5C7D" w:rsidRPr="00F622F0" w:rsidRDefault="008B5C7D" w:rsidP="00F622F0">
      <w:pPr>
        <w:spacing w:after="120" w:line="264" w:lineRule="auto"/>
        <w:rPr>
          <w:color w:val="000000" w:themeColor="text1"/>
          <w:sz w:val="24"/>
          <w:szCs w:val="24"/>
        </w:rPr>
      </w:pPr>
      <w:r w:rsidRPr="00F622F0">
        <w:rPr>
          <w:sz w:val="24"/>
          <w:szCs w:val="24"/>
        </w:rPr>
        <w:t>Finally, a number of ecocentric ethicists have suggested that Singer’s ‘animal welfarist’ stance is fundamentally incompatible with environmentalism, suggesting that anyone taking Singer’s position would be logically required to intervene to prevent suffering in nature, for example by preventing predation.</w:t>
      </w:r>
      <w:r w:rsidRPr="00F622F0">
        <w:rPr>
          <w:rStyle w:val="FootnoteReference"/>
          <w:sz w:val="24"/>
          <w:szCs w:val="24"/>
        </w:rPr>
        <w:footnoteReference w:id="14"/>
      </w:r>
      <w:r w:rsidRPr="00F622F0">
        <w:rPr>
          <w:sz w:val="24"/>
          <w:szCs w:val="24"/>
        </w:rPr>
        <w:t xml:space="preserve"> However, as Rebekah Humphreys has pointed out, </w:t>
      </w:r>
      <w:r w:rsidRPr="00F622F0">
        <w:rPr>
          <w:color w:val="000000" w:themeColor="text1"/>
          <w:sz w:val="24"/>
          <w:szCs w:val="24"/>
        </w:rPr>
        <w:t>sentientists are free to argue that free-living animals have different interests from dependent animals, and that we have greater responsibilities to the latter because they are reliant on humans for their wellbeing.</w:t>
      </w:r>
      <w:r w:rsidRPr="00F622F0">
        <w:rPr>
          <w:rStyle w:val="FootnoteReference"/>
          <w:color w:val="000000" w:themeColor="text1"/>
          <w:sz w:val="24"/>
          <w:szCs w:val="24"/>
        </w:rPr>
        <w:footnoteReference w:id="15"/>
      </w:r>
      <w:r w:rsidRPr="00F622F0">
        <w:rPr>
          <w:color w:val="000000" w:themeColor="text1"/>
          <w:sz w:val="24"/>
          <w:szCs w:val="24"/>
        </w:rPr>
        <w:t xml:space="preserve"> Attfield further argues that, far from alleviating suffering, intervention in predation would have devastating impacts on ecosystems, to the detriment of the welfare of free-living animals.</w:t>
      </w:r>
      <w:r w:rsidRPr="00F622F0">
        <w:rPr>
          <w:rStyle w:val="FootnoteReference"/>
          <w:color w:val="000000" w:themeColor="text1"/>
          <w:sz w:val="24"/>
          <w:szCs w:val="24"/>
        </w:rPr>
        <w:footnoteReference w:id="16"/>
      </w:r>
      <w:r w:rsidRPr="00F622F0">
        <w:rPr>
          <w:color w:val="000000" w:themeColor="text1"/>
          <w:sz w:val="24"/>
          <w:szCs w:val="24"/>
        </w:rPr>
        <w:t xml:space="preserve"> Therefore, we can argue that Singer’s position is not necessarily </w:t>
      </w:r>
      <w:r w:rsidRPr="00F622F0">
        <w:rPr>
          <w:i/>
          <w:iCs/>
          <w:color w:val="000000" w:themeColor="text1"/>
          <w:sz w:val="24"/>
          <w:szCs w:val="24"/>
        </w:rPr>
        <w:t>inconsistent</w:t>
      </w:r>
      <w:r w:rsidRPr="00F622F0">
        <w:rPr>
          <w:color w:val="000000" w:themeColor="text1"/>
          <w:sz w:val="24"/>
          <w:szCs w:val="24"/>
        </w:rPr>
        <w:t xml:space="preserve"> with an environmental ethic, leaving aside for the moment the question of whether it is </w:t>
      </w:r>
      <w:r w:rsidRPr="00F622F0">
        <w:rPr>
          <w:i/>
          <w:iCs/>
          <w:color w:val="000000" w:themeColor="text1"/>
          <w:sz w:val="24"/>
          <w:szCs w:val="24"/>
        </w:rPr>
        <w:t>sufficient</w:t>
      </w:r>
      <w:r w:rsidRPr="00F622F0">
        <w:rPr>
          <w:color w:val="000000" w:themeColor="text1"/>
          <w:sz w:val="24"/>
          <w:szCs w:val="24"/>
        </w:rPr>
        <w:t xml:space="preserve"> for an environmental ethic.</w:t>
      </w:r>
    </w:p>
    <w:p w14:paraId="51A5DE98" w14:textId="77777777" w:rsidR="001057D1" w:rsidRPr="00F622F0" w:rsidRDefault="001057D1" w:rsidP="00F622F0">
      <w:pPr>
        <w:spacing w:after="120" w:line="264" w:lineRule="auto"/>
        <w:rPr>
          <w:color w:val="000000" w:themeColor="text1"/>
          <w:sz w:val="24"/>
          <w:szCs w:val="24"/>
        </w:rPr>
      </w:pPr>
    </w:p>
    <w:p w14:paraId="629F2AA2" w14:textId="1C03F023" w:rsidR="008B5C7D" w:rsidRPr="00F622F0" w:rsidRDefault="00C32093" w:rsidP="00F622F0">
      <w:pPr>
        <w:spacing w:after="120" w:line="264" w:lineRule="auto"/>
        <w:rPr>
          <w:b/>
          <w:bCs/>
          <w:sz w:val="24"/>
          <w:szCs w:val="24"/>
        </w:rPr>
      </w:pPr>
      <w:r w:rsidRPr="00F622F0">
        <w:rPr>
          <w:b/>
          <w:bCs/>
          <w:sz w:val="24"/>
          <w:szCs w:val="24"/>
        </w:rPr>
        <w:t xml:space="preserve">Paul W. </w:t>
      </w:r>
      <w:r w:rsidR="008B5C7D" w:rsidRPr="00F622F0">
        <w:rPr>
          <w:b/>
          <w:bCs/>
          <w:sz w:val="24"/>
          <w:szCs w:val="24"/>
        </w:rPr>
        <w:t xml:space="preserve">Taylor, ‘The Ethics of Respect for Nature’, in </w:t>
      </w:r>
      <w:r w:rsidR="008B5C7D" w:rsidRPr="00F622F0">
        <w:rPr>
          <w:b/>
          <w:bCs/>
          <w:i/>
          <w:iCs/>
          <w:sz w:val="24"/>
          <w:szCs w:val="24"/>
        </w:rPr>
        <w:t>Environmental Philosophy: From Animal Rights to Radical Ecology</w:t>
      </w:r>
      <w:r w:rsidR="008B5C7D" w:rsidRPr="00F622F0">
        <w:rPr>
          <w:b/>
          <w:bCs/>
          <w:sz w:val="24"/>
          <w:szCs w:val="24"/>
        </w:rPr>
        <w:t>, eds. Michael E. Zimmerman et al (Englewood Cliffs, New Jersey: Prentice Hall, 1998), pp.67-81</w:t>
      </w:r>
    </w:p>
    <w:p w14:paraId="0F336D09" w14:textId="77777777" w:rsidR="008B5C7D" w:rsidRPr="00F622F0" w:rsidRDefault="008B5C7D" w:rsidP="00F622F0">
      <w:pPr>
        <w:spacing w:after="120" w:line="264" w:lineRule="auto"/>
        <w:rPr>
          <w:sz w:val="24"/>
          <w:szCs w:val="24"/>
        </w:rPr>
      </w:pPr>
      <w:r w:rsidRPr="00F622F0">
        <w:rPr>
          <w:sz w:val="24"/>
          <w:szCs w:val="24"/>
        </w:rPr>
        <w:t xml:space="preserve">Originally published in 1981 in the journal </w:t>
      </w:r>
      <w:r w:rsidRPr="00F622F0">
        <w:rPr>
          <w:i/>
          <w:iCs/>
          <w:sz w:val="24"/>
          <w:szCs w:val="24"/>
        </w:rPr>
        <w:t>Environmental Ethics,</w:t>
      </w:r>
      <w:r w:rsidRPr="00F622F0">
        <w:rPr>
          <w:rStyle w:val="FootnoteReference"/>
          <w:i/>
          <w:iCs/>
          <w:sz w:val="24"/>
          <w:szCs w:val="24"/>
        </w:rPr>
        <w:footnoteReference w:id="17"/>
      </w:r>
      <w:r w:rsidRPr="00F622F0">
        <w:rPr>
          <w:i/>
          <w:iCs/>
          <w:sz w:val="24"/>
          <w:szCs w:val="24"/>
        </w:rPr>
        <w:t xml:space="preserve"> </w:t>
      </w:r>
      <w:r w:rsidRPr="00F622F0">
        <w:rPr>
          <w:sz w:val="24"/>
          <w:szCs w:val="24"/>
        </w:rPr>
        <w:t>Paul Taylor’s article sets out what has been described as a ‘biocentric egalitarian’ position.</w:t>
      </w:r>
      <w:r w:rsidRPr="00F622F0">
        <w:rPr>
          <w:rStyle w:val="FootnoteReference"/>
          <w:sz w:val="24"/>
          <w:szCs w:val="24"/>
        </w:rPr>
        <w:footnoteReference w:id="18"/>
      </w:r>
      <w:r w:rsidRPr="00F622F0">
        <w:rPr>
          <w:sz w:val="24"/>
          <w:szCs w:val="24"/>
        </w:rPr>
        <w:t xml:space="preserve"> Like all biocentrists, Taylor argues that all living entities have moral standing; however, unlike many biocentrists, he further claims that they all have </w:t>
      </w:r>
      <w:r w:rsidRPr="00F622F0">
        <w:rPr>
          <w:i/>
          <w:iCs/>
          <w:sz w:val="24"/>
          <w:szCs w:val="24"/>
        </w:rPr>
        <w:t xml:space="preserve">equal </w:t>
      </w:r>
      <w:r w:rsidRPr="00F622F0">
        <w:rPr>
          <w:sz w:val="24"/>
          <w:szCs w:val="24"/>
        </w:rPr>
        <w:t>inherent worth.</w:t>
      </w:r>
    </w:p>
    <w:p w14:paraId="42EAA020" w14:textId="392B429D" w:rsidR="008B5C7D" w:rsidRPr="00F622F0" w:rsidRDefault="008B5C7D" w:rsidP="00F622F0">
      <w:pPr>
        <w:spacing w:after="120" w:line="264" w:lineRule="auto"/>
        <w:rPr>
          <w:sz w:val="24"/>
          <w:szCs w:val="24"/>
        </w:rPr>
      </w:pPr>
      <w:r w:rsidRPr="00F622F0">
        <w:rPr>
          <w:sz w:val="24"/>
          <w:szCs w:val="24"/>
        </w:rPr>
        <w:t xml:space="preserve">Taylor’s biocentric approach is built on three key pillars based on respect for nature, which he says mirror anthropocentric ethical systems based on respect for people. These pillars begin with a ‘belief system’, which he calls ‘the biocentric outlook on nature’, which he says is founded in understandings of ecological science that </w:t>
      </w:r>
      <w:r w:rsidRPr="00F622F0">
        <w:rPr>
          <w:sz w:val="24"/>
          <w:szCs w:val="24"/>
        </w:rPr>
        <w:lastRenderedPageBreak/>
        <w:t xml:space="preserve">recognise the interdependence of all living organisms. In this view, humans are </w:t>
      </w:r>
      <w:r w:rsidR="00F101A4">
        <w:rPr>
          <w:sz w:val="24"/>
          <w:szCs w:val="24"/>
        </w:rPr>
        <w:t>part</w:t>
      </w:r>
      <w:r w:rsidRPr="00F622F0">
        <w:rPr>
          <w:sz w:val="24"/>
          <w:szCs w:val="24"/>
        </w:rPr>
        <w:t xml:space="preserve"> of ‘the Earth's community of life</w:t>
      </w:r>
      <w:r w:rsidR="00C3311A">
        <w:rPr>
          <w:sz w:val="24"/>
          <w:szCs w:val="24"/>
        </w:rPr>
        <w:t>’</w:t>
      </w:r>
      <w:r w:rsidRPr="00F622F0">
        <w:rPr>
          <w:sz w:val="24"/>
          <w:szCs w:val="24"/>
        </w:rPr>
        <w:t xml:space="preserve">, </w:t>
      </w:r>
      <w:r w:rsidR="00F101A4">
        <w:rPr>
          <w:sz w:val="24"/>
          <w:szCs w:val="24"/>
        </w:rPr>
        <w:t>alongside and</w:t>
      </w:r>
      <w:r w:rsidR="00C3311A">
        <w:rPr>
          <w:sz w:val="24"/>
          <w:szCs w:val="24"/>
        </w:rPr>
        <w:t xml:space="preserve"> </w:t>
      </w:r>
      <w:r w:rsidRPr="00F622F0">
        <w:rPr>
          <w:sz w:val="24"/>
          <w:szCs w:val="24"/>
        </w:rPr>
        <w:t xml:space="preserve">on the same terms as </w:t>
      </w:r>
      <w:r w:rsidR="00F101A4">
        <w:rPr>
          <w:sz w:val="24"/>
          <w:szCs w:val="24"/>
        </w:rPr>
        <w:t xml:space="preserve">all </w:t>
      </w:r>
      <w:r w:rsidRPr="00F622F0">
        <w:rPr>
          <w:sz w:val="24"/>
          <w:szCs w:val="24"/>
        </w:rPr>
        <w:t xml:space="preserve">the nonhuman </w:t>
      </w:r>
      <w:r w:rsidR="00F101A4">
        <w:rPr>
          <w:sz w:val="24"/>
          <w:szCs w:val="24"/>
        </w:rPr>
        <w:t xml:space="preserve">community </w:t>
      </w:r>
      <w:r w:rsidRPr="00F622F0">
        <w:rPr>
          <w:sz w:val="24"/>
          <w:szCs w:val="24"/>
        </w:rPr>
        <w:t>members.</w:t>
      </w:r>
      <w:r w:rsidR="00F101A4" w:rsidRPr="00F622F0">
        <w:rPr>
          <w:rStyle w:val="FootnoteReference"/>
          <w:sz w:val="24"/>
          <w:szCs w:val="24"/>
        </w:rPr>
        <w:footnoteReference w:id="19"/>
      </w:r>
      <w:r w:rsidRPr="00F622F0">
        <w:rPr>
          <w:sz w:val="24"/>
          <w:szCs w:val="24"/>
        </w:rPr>
        <w:t xml:space="preserve"> From this understanding – says Taylor – follows an ‘ultimate moral attitude’ of respect for nature, in which living things are regarded as having inherent worth, and therefore the promotion of their good is understood to have intrinsic value.</w:t>
      </w:r>
      <w:r w:rsidR="00F101A4" w:rsidRPr="00F622F0">
        <w:rPr>
          <w:rStyle w:val="FootnoteReference"/>
          <w:sz w:val="24"/>
          <w:szCs w:val="24"/>
        </w:rPr>
        <w:footnoteReference w:id="20"/>
      </w:r>
      <w:r w:rsidR="00F101A4" w:rsidRPr="00F622F0">
        <w:rPr>
          <w:sz w:val="24"/>
          <w:szCs w:val="24"/>
        </w:rPr>
        <w:t xml:space="preserve"> </w:t>
      </w:r>
      <w:r w:rsidRPr="00F622F0">
        <w:rPr>
          <w:sz w:val="24"/>
          <w:szCs w:val="24"/>
        </w:rPr>
        <w:t>Taylor argues that this results in a commitment to follow a set of rules or standards that are recognised to be morally binding.</w:t>
      </w:r>
    </w:p>
    <w:p w14:paraId="3E0DCBC2" w14:textId="54B06698" w:rsidR="008B5C7D" w:rsidRPr="00F622F0" w:rsidRDefault="008B5C7D" w:rsidP="00F622F0">
      <w:pPr>
        <w:spacing w:after="120" w:line="264" w:lineRule="auto"/>
        <w:rPr>
          <w:sz w:val="24"/>
          <w:szCs w:val="24"/>
        </w:rPr>
      </w:pPr>
      <w:r w:rsidRPr="00F622F0">
        <w:rPr>
          <w:sz w:val="24"/>
          <w:szCs w:val="24"/>
        </w:rPr>
        <w:t xml:space="preserve">Looking in more detail at the ‘inherent worth’ of living organisms, Taylor argues that all living entities are capable of being harmed or benefited, and </w:t>
      </w:r>
      <w:r w:rsidR="0014786F">
        <w:rPr>
          <w:sz w:val="24"/>
          <w:szCs w:val="24"/>
        </w:rPr>
        <w:t>each has a good of its</w:t>
      </w:r>
      <w:r w:rsidRPr="00F622F0">
        <w:rPr>
          <w:sz w:val="24"/>
          <w:szCs w:val="24"/>
        </w:rPr>
        <w:t xml:space="preserve"> own that is not dependent on characteristics like consciousness or sentience, but resides in ‘the full development of its biological powers.’</w:t>
      </w:r>
      <w:r w:rsidRPr="00F622F0">
        <w:rPr>
          <w:rStyle w:val="FootnoteReference"/>
          <w:sz w:val="24"/>
          <w:szCs w:val="24"/>
        </w:rPr>
        <w:t xml:space="preserve"> </w:t>
      </w:r>
      <w:r w:rsidRPr="00F622F0">
        <w:rPr>
          <w:rStyle w:val="FootnoteReference"/>
          <w:sz w:val="24"/>
          <w:szCs w:val="24"/>
        </w:rPr>
        <w:footnoteReference w:id="21"/>
      </w:r>
      <w:r w:rsidRPr="00F622F0">
        <w:rPr>
          <w:sz w:val="24"/>
          <w:szCs w:val="24"/>
        </w:rPr>
        <w:t xml:space="preserve"> He sees all living things as ‘teleological centres of life’ that pursue their own good in their own way.</w:t>
      </w:r>
      <w:r w:rsidRPr="00F622F0">
        <w:rPr>
          <w:rStyle w:val="FootnoteReference"/>
          <w:sz w:val="24"/>
          <w:szCs w:val="24"/>
        </w:rPr>
        <w:footnoteReference w:id="22"/>
      </w:r>
      <w:r w:rsidRPr="00F622F0">
        <w:rPr>
          <w:sz w:val="24"/>
          <w:szCs w:val="24"/>
        </w:rPr>
        <w:t xml:space="preserve"> Humans – as moral agents – are able to make judgements aimed at promoting a living entity’s good, regardless of whether the entity itself has any awareness of or interest in how its life is affected by these judgements. </w:t>
      </w:r>
    </w:p>
    <w:p w14:paraId="324EAD0A" w14:textId="39EBC319" w:rsidR="008B5C7D" w:rsidRPr="00F622F0" w:rsidRDefault="008B5C7D" w:rsidP="00F622F0">
      <w:pPr>
        <w:spacing w:after="120" w:line="264" w:lineRule="auto"/>
        <w:rPr>
          <w:sz w:val="24"/>
          <w:szCs w:val="24"/>
        </w:rPr>
      </w:pPr>
      <w:r w:rsidRPr="00F622F0">
        <w:rPr>
          <w:sz w:val="24"/>
          <w:szCs w:val="24"/>
        </w:rPr>
        <w:t xml:space="preserve">Taylor builds on this to question why humans’ </w:t>
      </w:r>
      <w:r w:rsidRPr="00F622F0">
        <w:rPr>
          <w:i/>
          <w:iCs/>
          <w:sz w:val="24"/>
          <w:szCs w:val="24"/>
        </w:rPr>
        <w:t>different</w:t>
      </w:r>
      <w:r w:rsidRPr="00F622F0">
        <w:rPr>
          <w:sz w:val="24"/>
          <w:szCs w:val="24"/>
        </w:rPr>
        <w:t xml:space="preserve"> capacities from other animals should be seen as conferring </w:t>
      </w:r>
      <w:r w:rsidRPr="00F622F0">
        <w:rPr>
          <w:i/>
          <w:iCs/>
          <w:sz w:val="24"/>
          <w:szCs w:val="24"/>
        </w:rPr>
        <w:t>greater moral superiority</w:t>
      </w:r>
      <w:r w:rsidR="0014786F">
        <w:rPr>
          <w:sz w:val="24"/>
          <w:szCs w:val="24"/>
        </w:rPr>
        <w:t>. P</w:t>
      </w:r>
      <w:r w:rsidRPr="00F622F0">
        <w:rPr>
          <w:sz w:val="24"/>
          <w:szCs w:val="24"/>
        </w:rPr>
        <w:t xml:space="preserve">ointing out that other species have capacities that humans </w:t>
      </w:r>
      <w:r w:rsidR="0014786F">
        <w:rPr>
          <w:sz w:val="24"/>
          <w:szCs w:val="24"/>
        </w:rPr>
        <w:t>do not</w:t>
      </w:r>
      <w:r w:rsidRPr="00F622F0">
        <w:rPr>
          <w:sz w:val="24"/>
          <w:szCs w:val="24"/>
        </w:rPr>
        <w:t xml:space="preserve"> have – capacities that are more valuable to those species than traits such as rationality would be – </w:t>
      </w:r>
      <w:r w:rsidR="0014786F">
        <w:rPr>
          <w:sz w:val="24"/>
          <w:szCs w:val="24"/>
        </w:rPr>
        <w:t>he asks</w:t>
      </w:r>
      <w:r w:rsidRPr="00F622F0">
        <w:rPr>
          <w:sz w:val="24"/>
          <w:szCs w:val="24"/>
        </w:rPr>
        <w:t xml:space="preserve"> why these should not be taken as </w:t>
      </w:r>
      <w:r w:rsidR="0014786F">
        <w:rPr>
          <w:sz w:val="24"/>
          <w:szCs w:val="24"/>
        </w:rPr>
        <w:t>signs of</w:t>
      </w:r>
      <w:r w:rsidRPr="00F622F0">
        <w:rPr>
          <w:sz w:val="24"/>
          <w:szCs w:val="24"/>
        </w:rPr>
        <w:t xml:space="preserve"> </w:t>
      </w:r>
      <w:r w:rsidRPr="00F622F0">
        <w:rPr>
          <w:i/>
          <w:iCs/>
          <w:sz w:val="24"/>
          <w:szCs w:val="24"/>
        </w:rPr>
        <w:t>their</w:t>
      </w:r>
      <w:r w:rsidRPr="00F622F0">
        <w:rPr>
          <w:sz w:val="24"/>
          <w:szCs w:val="24"/>
        </w:rPr>
        <w:t xml:space="preserve"> </w:t>
      </w:r>
      <w:r w:rsidR="0014786F">
        <w:rPr>
          <w:sz w:val="24"/>
          <w:szCs w:val="24"/>
        </w:rPr>
        <w:t xml:space="preserve">being </w:t>
      </w:r>
      <w:r w:rsidRPr="00F622F0">
        <w:rPr>
          <w:sz w:val="24"/>
          <w:szCs w:val="24"/>
        </w:rPr>
        <w:t xml:space="preserve">superior </w:t>
      </w:r>
      <w:r w:rsidR="0014786F">
        <w:rPr>
          <w:sz w:val="24"/>
          <w:szCs w:val="24"/>
        </w:rPr>
        <w:t>to</w:t>
      </w:r>
      <w:r w:rsidRPr="00F622F0">
        <w:rPr>
          <w:sz w:val="24"/>
          <w:szCs w:val="24"/>
        </w:rPr>
        <w:t xml:space="preserve"> humans when judged from </w:t>
      </w:r>
      <w:r w:rsidRPr="0014786F">
        <w:rPr>
          <w:i/>
          <w:iCs/>
          <w:sz w:val="24"/>
          <w:szCs w:val="24"/>
        </w:rPr>
        <w:t>their</w:t>
      </w:r>
      <w:r w:rsidRPr="00F622F0">
        <w:rPr>
          <w:sz w:val="24"/>
          <w:szCs w:val="24"/>
        </w:rPr>
        <w:t xml:space="preserve"> standpoint. He argues that </w:t>
      </w:r>
      <w:r w:rsidR="00F101A4">
        <w:rPr>
          <w:sz w:val="24"/>
          <w:szCs w:val="24"/>
        </w:rPr>
        <w:t>using criteria</w:t>
      </w:r>
      <w:r w:rsidRPr="00F622F0">
        <w:rPr>
          <w:sz w:val="24"/>
          <w:szCs w:val="24"/>
        </w:rPr>
        <w:t xml:space="preserve"> based on human values commit</w:t>
      </w:r>
      <w:r w:rsidR="00F101A4">
        <w:rPr>
          <w:sz w:val="24"/>
          <w:szCs w:val="24"/>
        </w:rPr>
        <w:t>s</w:t>
      </w:r>
      <w:r w:rsidRPr="00F622F0">
        <w:rPr>
          <w:sz w:val="24"/>
          <w:szCs w:val="24"/>
        </w:rPr>
        <w:t xml:space="preserve"> </w:t>
      </w:r>
      <w:r w:rsidR="00F101A4">
        <w:rPr>
          <w:sz w:val="24"/>
          <w:szCs w:val="24"/>
        </w:rPr>
        <w:t>us in advance to the view</w:t>
      </w:r>
      <w:r w:rsidRPr="00F622F0">
        <w:rPr>
          <w:sz w:val="24"/>
          <w:szCs w:val="24"/>
        </w:rPr>
        <w:t xml:space="preserve"> that humans are superior to </w:t>
      </w:r>
      <w:r w:rsidR="00F101A4">
        <w:rPr>
          <w:sz w:val="24"/>
          <w:szCs w:val="24"/>
        </w:rPr>
        <w:t>other living things</w:t>
      </w:r>
      <w:r w:rsidRPr="00F622F0">
        <w:rPr>
          <w:sz w:val="24"/>
          <w:szCs w:val="24"/>
        </w:rPr>
        <w:t>.</w:t>
      </w:r>
    </w:p>
    <w:p w14:paraId="0F513120" w14:textId="6F05B986" w:rsidR="008B5C7D" w:rsidRPr="00F622F0" w:rsidRDefault="008B5C7D" w:rsidP="00F622F0">
      <w:pPr>
        <w:spacing w:after="120" w:line="264" w:lineRule="auto"/>
        <w:rPr>
          <w:sz w:val="24"/>
          <w:szCs w:val="24"/>
        </w:rPr>
      </w:pPr>
      <w:r w:rsidRPr="00F622F0">
        <w:rPr>
          <w:sz w:val="24"/>
          <w:szCs w:val="24"/>
        </w:rPr>
        <w:t xml:space="preserve">The article then goes on to discuss whether humans could be argued to have greater </w:t>
      </w:r>
      <w:r w:rsidRPr="00F622F0">
        <w:rPr>
          <w:i/>
          <w:iCs/>
          <w:sz w:val="24"/>
          <w:szCs w:val="24"/>
        </w:rPr>
        <w:t xml:space="preserve">inherent worth </w:t>
      </w:r>
      <w:r w:rsidRPr="00F622F0">
        <w:rPr>
          <w:sz w:val="24"/>
          <w:szCs w:val="24"/>
        </w:rPr>
        <w:t xml:space="preserve">than other living entities, regardless of merit. He suggests that most people hold a hierarchical view of nature, in which only human beings are seen as having inherent worth. This, he argues, is </w:t>
      </w:r>
      <w:r w:rsidR="0014786F">
        <w:rPr>
          <w:sz w:val="24"/>
          <w:szCs w:val="24"/>
        </w:rPr>
        <w:t xml:space="preserve">based on a </w:t>
      </w:r>
      <w:r w:rsidR="0014786F" w:rsidRPr="00F622F0">
        <w:rPr>
          <w:sz w:val="24"/>
          <w:szCs w:val="24"/>
        </w:rPr>
        <w:t>groundless</w:t>
      </w:r>
      <w:r w:rsidRPr="00F622F0">
        <w:rPr>
          <w:sz w:val="24"/>
          <w:szCs w:val="24"/>
        </w:rPr>
        <w:t xml:space="preserve"> bias </w:t>
      </w:r>
      <w:r w:rsidR="0014786F">
        <w:rPr>
          <w:sz w:val="24"/>
          <w:szCs w:val="24"/>
        </w:rPr>
        <w:t>in favour of our own species</w:t>
      </w:r>
      <w:r w:rsidRPr="00F622F0">
        <w:rPr>
          <w:sz w:val="24"/>
          <w:szCs w:val="24"/>
        </w:rPr>
        <w:t xml:space="preserve"> that is embedded in western philosophical outlooks. If we reject this bias then, </w:t>
      </w:r>
      <w:r w:rsidR="0014786F">
        <w:rPr>
          <w:sz w:val="24"/>
          <w:szCs w:val="24"/>
        </w:rPr>
        <w:t xml:space="preserve">says </w:t>
      </w:r>
      <w:r w:rsidRPr="00F622F0">
        <w:rPr>
          <w:sz w:val="24"/>
          <w:szCs w:val="24"/>
        </w:rPr>
        <w:t>Taylor, we accept ‘the doctrine of species impartiality’,</w:t>
      </w:r>
      <w:r w:rsidRPr="00F622F0">
        <w:rPr>
          <w:rStyle w:val="FootnoteReference"/>
          <w:sz w:val="24"/>
          <w:szCs w:val="24"/>
        </w:rPr>
        <w:footnoteReference w:id="23"/>
      </w:r>
      <w:r w:rsidRPr="00F622F0">
        <w:rPr>
          <w:sz w:val="24"/>
          <w:szCs w:val="24"/>
        </w:rPr>
        <w:t xml:space="preserve"> and accept that all living things possess the same inherent worth, ‘since no one species has been shown to be either </w:t>
      </w:r>
      <w:r w:rsidR="0014786F">
        <w:rPr>
          <w:sz w:val="24"/>
          <w:szCs w:val="24"/>
        </w:rPr>
        <w:t>“</w:t>
      </w:r>
      <w:r w:rsidRPr="00F622F0">
        <w:rPr>
          <w:sz w:val="24"/>
          <w:szCs w:val="24"/>
        </w:rPr>
        <w:t>higher</w:t>
      </w:r>
      <w:r w:rsidR="0014786F">
        <w:rPr>
          <w:sz w:val="24"/>
          <w:szCs w:val="24"/>
        </w:rPr>
        <w:t>”</w:t>
      </w:r>
      <w:r w:rsidRPr="00F622F0">
        <w:rPr>
          <w:sz w:val="24"/>
          <w:szCs w:val="24"/>
        </w:rPr>
        <w:t xml:space="preserve"> or </w:t>
      </w:r>
      <w:r w:rsidR="0014786F">
        <w:rPr>
          <w:sz w:val="24"/>
          <w:szCs w:val="24"/>
        </w:rPr>
        <w:t>“</w:t>
      </w:r>
      <w:r w:rsidRPr="00F622F0">
        <w:rPr>
          <w:sz w:val="24"/>
          <w:szCs w:val="24"/>
        </w:rPr>
        <w:t>lower</w:t>
      </w:r>
      <w:r w:rsidR="0014786F">
        <w:rPr>
          <w:sz w:val="24"/>
          <w:szCs w:val="24"/>
        </w:rPr>
        <w:t>”</w:t>
      </w:r>
      <w:r w:rsidRPr="00F622F0">
        <w:rPr>
          <w:sz w:val="24"/>
          <w:szCs w:val="24"/>
        </w:rPr>
        <w:t xml:space="preserve"> than any other.’</w:t>
      </w:r>
      <w:r w:rsidRPr="00F622F0">
        <w:rPr>
          <w:rStyle w:val="FootnoteReference"/>
          <w:sz w:val="24"/>
          <w:szCs w:val="24"/>
        </w:rPr>
        <w:t xml:space="preserve"> </w:t>
      </w:r>
      <w:r w:rsidRPr="00F622F0">
        <w:rPr>
          <w:rStyle w:val="FootnoteReference"/>
          <w:sz w:val="24"/>
          <w:szCs w:val="24"/>
        </w:rPr>
        <w:footnoteReference w:id="24"/>
      </w:r>
    </w:p>
    <w:p w14:paraId="38D65FF5" w14:textId="07F6A754" w:rsidR="008B5C7D" w:rsidRPr="00F622F0" w:rsidRDefault="008B5C7D" w:rsidP="00F622F0">
      <w:pPr>
        <w:spacing w:after="120" w:line="264" w:lineRule="auto"/>
        <w:rPr>
          <w:sz w:val="24"/>
          <w:szCs w:val="24"/>
        </w:rPr>
      </w:pPr>
      <w:r w:rsidRPr="00F622F0">
        <w:rPr>
          <w:sz w:val="24"/>
          <w:szCs w:val="24"/>
        </w:rPr>
        <w:t xml:space="preserve">Towards the end of the article, Taylor acknowledges that this egalitarian approach to biocentrism leaves open the question of how to judge competing claims. This difficulty that has been highlighted by a number of ethicists, and is seen by many as a key weakness in Taylor’s arguments. Robin Attfield, for example, provides a useful illustration of this issue, arguing that if a plant and a human were both dying of thirst, the strict egalitarian biocentric ethic outlined in Taylor’s article would be indifferent as to </w:t>
      </w:r>
      <w:r w:rsidRPr="00F622F0">
        <w:rPr>
          <w:sz w:val="24"/>
          <w:szCs w:val="24"/>
        </w:rPr>
        <w:lastRenderedPageBreak/>
        <w:t>which of them we gave the last remaining water to, a conclusion that most people would consider to be wrong.</w:t>
      </w:r>
      <w:r w:rsidRPr="00F622F0">
        <w:rPr>
          <w:rStyle w:val="FootnoteReference"/>
          <w:sz w:val="24"/>
          <w:szCs w:val="24"/>
        </w:rPr>
        <w:footnoteReference w:id="25"/>
      </w:r>
      <w:r w:rsidRPr="00F622F0">
        <w:rPr>
          <w:sz w:val="24"/>
          <w:szCs w:val="24"/>
        </w:rPr>
        <w:t xml:space="preserve"> Attfield</w:t>
      </w:r>
      <w:r w:rsidR="0014786F">
        <w:rPr>
          <w:sz w:val="24"/>
          <w:szCs w:val="24"/>
        </w:rPr>
        <w:t xml:space="preserve"> is in agreement with Taylor’s position</w:t>
      </w:r>
      <w:r w:rsidRPr="00F622F0">
        <w:rPr>
          <w:sz w:val="24"/>
          <w:szCs w:val="24"/>
        </w:rPr>
        <w:t xml:space="preserve"> that all living things have moral standing and a good of their own that is not dependent on their conscious recognition of their own interests</w:t>
      </w:r>
      <w:r w:rsidR="0014786F">
        <w:rPr>
          <w:sz w:val="24"/>
          <w:szCs w:val="24"/>
        </w:rPr>
        <w:t>. However,</w:t>
      </w:r>
      <w:r w:rsidRPr="00F622F0">
        <w:rPr>
          <w:sz w:val="24"/>
          <w:szCs w:val="24"/>
        </w:rPr>
        <w:t xml:space="preserve"> </w:t>
      </w:r>
      <w:r w:rsidR="0094110B">
        <w:rPr>
          <w:sz w:val="24"/>
          <w:szCs w:val="24"/>
        </w:rPr>
        <w:t>Attfield</w:t>
      </w:r>
      <w:r w:rsidRPr="00F622F0">
        <w:rPr>
          <w:sz w:val="24"/>
          <w:szCs w:val="24"/>
        </w:rPr>
        <w:t xml:space="preserve"> argues (drawing on Goodpaster’s concept of ‘moral significance’</w:t>
      </w:r>
      <w:r w:rsidRPr="00F622F0">
        <w:rPr>
          <w:rStyle w:val="FootnoteReference"/>
          <w:sz w:val="24"/>
          <w:szCs w:val="24"/>
        </w:rPr>
        <w:footnoteReference w:id="26"/>
      </w:r>
      <w:r w:rsidRPr="00F622F0">
        <w:rPr>
          <w:sz w:val="24"/>
          <w:szCs w:val="24"/>
        </w:rPr>
        <w:t>) that, to be plausible, a biocentric ethic must also recognise that different capacities and capabilities confer different levels of moral significance, which can allow moral agents to judge competing claims when like interests are at stake. Attfield’s position allows him to justify providing the water to the human rather than the plant because of the value of interests</w:t>
      </w:r>
      <w:r w:rsidR="0094110B">
        <w:rPr>
          <w:sz w:val="24"/>
          <w:szCs w:val="24"/>
        </w:rPr>
        <w:t xml:space="preserve"> (such as</w:t>
      </w:r>
      <w:r w:rsidRPr="00F622F0">
        <w:rPr>
          <w:sz w:val="24"/>
          <w:szCs w:val="24"/>
        </w:rPr>
        <w:t xml:space="preserve"> autonomy</w:t>
      </w:r>
      <w:r w:rsidR="0094110B">
        <w:rPr>
          <w:sz w:val="24"/>
          <w:szCs w:val="24"/>
        </w:rPr>
        <w:t>)</w:t>
      </w:r>
      <w:r w:rsidRPr="00F622F0">
        <w:rPr>
          <w:sz w:val="24"/>
          <w:szCs w:val="24"/>
        </w:rPr>
        <w:t xml:space="preserve"> that can be assumed to be held by the human but not the plant. Whilst Taylor later developed a set of principles that would help to resolve conflicts, Attfield argues that these principles are not derived from his egalitarian position.</w:t>
      </w:r>
      <w:r w:rsidRPr="00F622F0">
        <w:rPr>
          <w:rStyle w:val="FootnoteReference"/>
          <w:sz w:val="24"/>
          <w:szCs w:val="24"/>
        </w:rPr>
        <w:footnoteReference w:id="27"/>
      </w:r>
    </w:p>
    <w:p w14:paraId="132C10D9" w14:textId="77777777" w:rsidR="008B5C7D" w:rsidRPr="00F622F0" w:rsidRDefault="008B5C7D" w:rsidP="00F622F0">
      <w:pPr>
        <w:spacing w:after="120" w:line="264" w:lineRule="auto"/>
        <w:rPr>
          <w:sz w:val="24"/>
          <w:szCs w:val="24"/>
        </w:rPr>
      </w:pPr>
      <w:r w:rsidRPr="00F622F0">
        <w:rPr>
          <w:sz w:val="24"/>
          <w:szCs w:val="24"/>
        </w:rPr>
        <w:t xml:space="preserve">In summary, whilst Taylor plausibly argues that all living entities have a good of their own that is valuable in itself and is not dependent on self-consciousness or sentience, and therefore that all have inherent worth, his stance that all have </w:t>
      </w:r>
      <w:r w:rsidRPr="00F622F0">
        <w:rPr>
          <w:i/>
          <w:iCs/>
          <w:sz w:val="24"/>
          <w:szCs w:val="24"/>
        </w:rPr>
        <w:t xml:space="preserve">equal </w:t>
      </w:r>
      <w:r w:rsidRPr="00F622F0">
        <w:rPr>
          <w:sz w:val="24"/>
          <w:szCs w:val="24"/>
        </w:rPr>
        <w:t>worth is difficult to defend and can be seen to be highly impractical.</w:t>
      </w:r>
    </w:p>
    <w:p w14:paraId="7577A00E" w14:textId="77777777" w:rsidR="001057D1" w:rsidRPr="00F622F0" w:rsidRDefault="001057D1" w:rsidP="00F622F0">
      <w:pPr>
        <w:spacing w:after="120" w:line="264" w:lineRule="auto"/>
        <w:rPr>
          <w:sz w:val="24"/>
          <w:szCs w:val="24"/>
        </w:rPr>
      </w:pPr>
    </w:p>
    <w:p w14:paraId="312A7679" w14:textId="44D3AFDB" w:rsidR="008B5C7D" w:rsidRPr="00F622F0" w:rsidRDefault="008B5C7D" w:rsidP="00F622F0">
      <w:pPr>
        <w:spacing w:after="120" w:line="264" w:lineRule="auto"/>
        <w:rPr>
          <w:b/>
          <w:bCs/>
          <w:sz w:val="24"/>
          <w:szCs w:val="24"/>
        </w:rPr>
      </w:pPr>
      <w:r w:rsidRPr="00F622F0">
        <w:rPr>
          <w:b/>
          <w:bCs/>
          <w:sz w:val="24"/>
          <w:szCs w:val="24"/>
        </w:rPr>
        <w:t xml:space="preserve">Holmes </w:t>
      </w:r>
      <w:r w:rsidR="00804F64" w:rsidRPr="00F622F0">
        <w:rPr>
          <w:b/>
          <w:bCs/>
          <w:sz w:val="24"/>
          <w:szCs w:val="24"/>
        </w:rPr>
        <w:t xml:space="preserve">Rolston </w:t>
      </w:r>
      <w:r w:rsidRPr="00F622F0">
        <w:rPr>
          <w:b/>
          <w:bCs/>
          <w:sz w:val="24"/>
          <w:szCs w:val="24"/>
        </w:rPr>
        <w:t xml:space="preserve">III, ‘Environmental Ethics: Values in and Duties to the Natural World’, in F. Herbert Bormann and Stephen R. Kellert, eds., </w:t>
      </w:r>
      <w:r w:rsidRPr="00F622F0">
        <w:rPr>
          <w:b/>
          <w:bCs/>
          <w:i/>
          <w:iCs/>
          <w:sz w:val="24"/>
          <w:szCs w:val="24"/>
        </w:rPr>
        <w:t>Ecology, Economics, Ethics: The Broken Circle</w:t>
      </w:r>
      <w:r w:rsidRPr="00F622F0">
        <w:rPr>
          <w:b/>
          <w:bCs/>
          <w:sz w:val="24"/>
          <w:szCs w:val="24"/>
        </w:rPr>
        <w:t xml:space="preserve"> </w:t>
      </w:r>
      <w:r w:rsidR="00563F0A" w:rsidRPr="00F622F0">
        <w:rPr>
          <w:b/>
          <w:bCs/>
          <w:sz w:val="24"/>
          <w:szCs w:val="24"/>
        </w:rPr>
        <w:t>(</w:t>
      </w:r>
      <w:r w:rsidRPr="00F622F0">
        <w:rPr>
          <w:b/>
          <w:bCs/>
          <w:sz w:val="24"/>
          <w:szCs w:val="24"/>
        </w:rPr>
        <w:t>New Haven: Yale University Press, 1991</w:t>
      </w:r>
      <w:r w:rsidR="00563F0A" w:rsidRPr="00F622F0">
        <w:rPr>
          <w:b/>
          <w:bCs/>
          <w:sz w:val="24"/>
          <w:szCs w:val="24"/>
        </w:rPr>
        <w:t>)</w:t>
      </w:r>
      <w:r w:rsidRPr="00F622F0">
        <w:rPr>
          <w:b/>
          <w:bCs/>
          <w:sz w:val="24"/>
          <w:szCs w:val="24"/>
        </w:rPr>
        <w:t>, pp.73-96.</w:t>
      </w:r>
    </w:p>
    <w:p w14:paraId="450FC903" w14:textId="34169265" w:rsidR="008B5C7D" w:rsidRPr="00F622F0" w:rsidRDefault="008B5C7D" w:rsidP="00F622F0">
      <w:pPr>
        <w:spacing w:after="120" w:line="264" w:lineRule="auto"/>
        <w:rPr>
          <w:sz w:val="24"/>
          <w:szCs w:val="24"/>
        </w:rPr>
      </w:pPr>
      <w:r w:rsidRPr="00F622F0">
        <w:rPr>
          <w:sz w:val="24"/>
          <w:szCs w:val="24"/>
        </w:rPr>
        <w:t xml:space="preserve">Published as a chapter in the interdisciplinary volume </w:t>
      </w:r>
      <w:r w:rsidRPr="00F622F0">
        <w:rPr>
          <w:i/>
          <w:iCs/>
          <w:sz w:val="24"/>
          <w:szCs w:val="24"/>
        </w:rPr>
        <w:t>Ecology, Economics, Ethics: The Broken Circle</w:t>
      </w:r>
      <w:r w:rsidRPr="00F622F0">
        <w:rPr>
          <w:sz w:val="24"/>
          <w:szCs w:val="24"/>
        </w:rPr>
        <w:t>,</w:t>
      </w:r>
      <w:r w:rsidRPr="00F622F0">
        <w:rPr>
          <w:rStyle w:val="FootnoteReference"/>
          <w:sz w:val="24"/>
          <w:szCs w:val="24"/>
        </w:rPr>
        <w:footnoteReference w:id="28"/>
      </w:r>
      <w:r w:rsidRPr="00F622F0">
        <w:rPr>
          <w:sz w:val="24"/>
          <w:szCs w:val="24"/>
        </w:rPr>
        <w:t xml:space="preserve"> Holmes Rolston III’s ‘Environmental Ethics: Values in and Duties to the Natural World’ sets out to discuss whether there can be nonhuman ‘objects of duty’.</w:t>
      </w:r>
      <w:r w:rsidRPr="00F622F0">
        <w:rPr>
          <w:rStyle w:val="FootnoteReference"/>
          <w:sz w:val="24"/>
          <w:szCs w:val="24"/>
        </w:rPr>
        <w:footnoteReference w:id="29"/>
      </w:r>
      <w:r w:rsidRPr="00F622F0">
        <w:rPr>
          <w:sz w:val="24"/>
          <w:szCs w:val="24"/>
        </w:rPr>
        <w:t xml:space="preserve"> In exploring this question, Rolston looks at different aspects of the natural world and discusses where value is located and why, breaking the chapter down into sections covering higher animals, organisms, species</w:t>
      </w:r>
      <w:r w:rsidR="005A121D">
        <w:rPr>
          <w:sz w:val="24"/>
          <w:szCs w:val="24"/>
        </w:rPr>
        <w:t>,</w:t>
      </w:r>
      <w:r w:rsidRPr="00F622F0">
        <w:rPr>
          <w:sz w:val="24"/>
          <w:szCs w:val="24"/>
        </w:rPr>
        <w:t xml:space="preserve"> and ecosystems, before a final section on value theory.</w:t>
      </w:r>
    </w:p>
    <w:p w14:paraId="099F55C1" w14:textId="32235DFE" w:rsidR="008B5C7D" w:rsidRPr="00F622F0" w:rsidRDefault="008B5C7D" w:rsidP="00F622F0">
      <w:pPr>
        <w:spacing w:after="120" w:line="264" w:lineRule="auto"/>
        <w:rPr>
          <w:sz w:val="24"/>
          <w:szCs w:val="24"/>
        </w:rPr>
      </w:pPr>
      <w:r w:rsidRPr="00F622F0">
        <w:rPr>
          <w:sz w:val="24"/>
          <w:szCs w:val="24"/>
        </w:rPr>
        <w:t>Rolston begins by looking at sentient (or ‘higher’) animals, arguing that this is the most straightforward place from which to challenge anthropocentric (human-centred) ethics. He provides a brief summary of some of the reasons philosophers have given for extending moral concern to sentient animals, saying, ‘Animals defend their lives; they have a good of their own and suffer pains and pleasures like ourselves.’</w:t>
      </w:r>
      <w:r w:rsidRPr="00F622F0">
        <w:rPr>
          <w:rStyle w:val="FootnoteReference"/>
          <w:sz w:val="24"/>
          <w:szCs w:val="24"/>
        </w:rPr>
        <w:footnoteReference w:id="30"/>
      </w:r>
      <w:r w:rsidRPr="00F622F0">
        <w:rPr>
          <w:sz w:val="24"/>
          <w:szCs w:val="24"/>
        </w:rPr>
        <w:t xml:space="preserve"> He suggests that both logically and psychologically this should bring sentient animals within the </w:t>
      </w:r>
      <w:r w:rsidRPr="00F622F0">
        <w:rPr>
          <w:sz w:val="24"/>
          <w:szCs w:val="24"/>
        </w:rPr>
        <w:lastRenderedPageBreak/>
        <w:t xml:space="preserve">domain of moral concern, since, he says, </w:t>
      </w:r>
      <w:r w:rsidR="005A121D">
        <w:rPr>
          <w:sz w:val="24"/>
          <w:szCs w:val="24"/>
        </w:rPr>
        <w:t xml:space="preserve">there </w:t>
      </w:r>
      <w:r w:rsidR="00147148">
        <w:rPr>
          <w:sz w:val="24"/>
          <w:szCs w:val="24"/>
        </w:rPr>
        <w:t>can be</w:t>
      </w:r>
      <w:r w:rsidR="005A121D">
        <w:rPr>
          <w:sz w:val="24"/>
          <w:szCs w:val="24"/>
        </w:rPr>
        <w:t xml:space="preserve"> no justification for </w:t>
      </w:r>
      <w:r w:rsidR="00147148">
        <w:rPr>
          <w:sz w:val="24"/>
          <w:szCs w:val="24"/>
        </w:rPr>
        <w:t>taking into account</w:t>
      </w:r>
      <w:r w:rsidR="005A121D">
        <w:rPr>
          <w:sz w:val="24"/>
          <w:szCs w:val="24"/>
        </w:rPr>
        <w:t xml:space="preserve"> </w:t>
      </w:r>
      <w:r w:rsidR="00147148">
        <w:rPr>
          <w:sz w:val="24"/>
          <w:szCs w:val="24"/>
        </w:rPr>
        <w:t xml:space="preserve">pain and pleasure in </w:t>
      </w:r>
      <w:r w:rsidRPr="00F622F0">
        <w:rPr>
          <w:sz w:val="24"/>
          <w:szCs w:val="24"/>
        </w:rPr>
        <w:t xml:space="preserve">humans </w:t>
      </w:r>
      <w:r w:rsidR="00147148">
        <w:rPr>
          <w:sz w:val="24"/>
          <w:szCs w:val="24"/>
        </w:rPr>
        <w:t>but</w:t>
      </w:r>
      <w:r w:rsidRPr="00F622F0">
        <w:rPr>
          <w:sz w:val="24"/>
          <w:szCs w:val="24"/>
        </w:rPr>
        <w:t xml:space="preserve"> not in </w:t>
      </w:r>
      <w:r w:rsidR="005752B0">
        <w:rPr>
          <w:sz w:val="24"/>
          <w:szCs w:val="24"/>
        </w:rPr>
        <w:t xml:space="preserve">other </w:t>
      </w:r>
      <w:r w:rsidRPr="00F622F0">
        <w:rPr>
          <w:sz w:val="24"/>
          <w:szCs w:val="24"/>
        </w:rPr>
        <w:t xml:space="preserve">animals. However, Rolston is concerned that this approach counts only felt experience, and is of little help when looking at plants, non-sentient animals, species and ecosystems. He argues that more of a paradigm shift is needed for a comprehensive environmental ethic. </w:t>
      </w:r>
    </w:p>
    <w:p w14:paraId="40A9828A" w14:textId="5C8BF926" w:rsidR="008B5C7D" w:rsidRPr="00F622F0" w:rsidRDefault="008B5C7D" w:rsidP="00F622F0">
      <w:pPr>
        <w:spacing w:after="120" w:line="264" w:lineRule="auto"/>
        <w:rPr>
          <w:sz w:val="24"/>
          <w:szCs w:val="24"/>
        </w:rPr>
      </w:pPr>
      <w:r w:rsidRPr="00F622F0">
        <w:rPr>
          <w:sz w:val="24"/>
          <w:szCs w:val="24"/>
        </w:rPr>
        <w:t xml:space="preserve">Rolston </w:t>
      </w:r>
      <w:r w:rsidR="00147148">
        <w:rPr>
          <w:sz w:val="24"/>
          <w:szCs w:val="24"/>
        </w:rPr>
        <w:t>proceeds to build</w:t>
      </w:r>
      <w:r w:rsidRPr="00F622F0">
        <w:rPr>
          <w:sz w:val="24"/>
          <w:szCs w:val="24"/>
        </w:rPr>
        <w:t xml:space="preserve"> a case for the existence of intrinsic (non-derivative) value throughout nature, including at the levels of individual organisms, species</w:t>
      </w:r>
      <w:r w:rsidR="00147148">
        <w:rPr>
          <w:sz w:val="24"/>
          <w:szCs w:val="24"/>
        </w:rPr>
        <w:t>,</w:t>
      </w:r>
      <w:r w:rsidRPr="00F622F0">
        <w:rPr>
          <w:sz w:val="24"/>
          <w:szCs w:val="24"/>
        </w:rPr>
        <w:t xml:space="preserve"> and ecosystems. He begins by looking at individual living beings, and argues that information carried in DNA gives an organism a </w:t>
      </w:r>
      <w:r w:rsidRPr="00F622F0">
        <w:rPr>
          <w:i/>
          <w:iCs/>
          <w:sz w:val="24"/>
          <w:szCs w:val="24"/>
        </w:rPr>
        <w:t>telos</w:t>
      </w:r>
      <w:r w:rsidRPr="00F622F0">
        <w:rPr>
          <w:sz w:val="24"/>
          <w:szCs w:val="24"/>
        </w:rPr>
        <w:t>, or a goal (of which the organism itself may not be aware). He says that, ‘The physical state that the organism seeks [i.e. the goal written in its DNA]… is a valued state.’</w:t>
      </w:r>
      <w:r w:rsidRPr="00F622F0">
        <w:rPr>
          <w:rStyle w:val="FootnoteReference"/>
          <w:sz w:val="24"/>
          <w:szCs w:val="24"/>
        </w:rPr>
        <w:footnoteReference w:id="31"/>
      </w:r>
      <w:r w:rsidRPr="00F622F0">
        <w:rPr>
          <w:sz w:val="24"/>
          <w:szCs w:val="24"/>
        </w:rPr>
        <w:t xml:space="preserve"> So, for Rolston, organisms have moral standing because they have a genetically-determined good of their own that they work to fulfil. This focus on a genetically-encoded goal is important for his next step, which is to look at the value of species as opposed to individuals.</w:t>
      </w:r>
    </w:p>
    <w:p w14:paraId="4201AF2A" w14:textId="620C2FDA" w:rsidR="008B5C7D" w:rsidRPr="00F622F0" w:rsidRDefault="008B5C7D" w:rsidP="00F622F0">
      <w:pPr>
        <w:spacing w:after="120" w:line="264" w:lineRule="auto"/>
        <w:rPr>
          <w:sz w:val="24"/>
          <w:szCs w:val="24"/>
        </w:rPr>
      </w:pPr>
      <w:r w:rsidRPr="00F622F0">
        <w:rPr>
          <w:sz w:val="24"/>
          <w:szCs w:val="24"/>
        </w:rPr>
        <w:t>Rolston makes a case that a species is ‘a dynamic life-form maintained over time’, with individuals of that species representing the life-form. For Rolston, individuals are ‘a token of a type, and the type is more important than the token.’</w:t>
      </w:r>
      <w:r w:rsidRPr="00F622F0">
        <w:rPr>
          <w:rStyle w:val="FootnoteReference"/>
          <w:sz w:val="24"/>
          <w:szCs w:val="24"/>
        </w:rPr>
        <w:footnoteReference w:id="32"/>
      </w:r>
      <w:r w:rsidRPr="00F622F0">
        <w:rPr>
          <w:sz w:val="24"/>
          <w:szCs w:val="24"/>
        </w:rPr>
        <w:t xml:space="preserve"> In this view, a species is not seen as a collection of like individuals, but rather as a form of life adapted to its biological niche, and the form of life is – for Rolston – more important than the individuals of that type. He says that although the level of a species may lack moral agency, self-awareness, sentience and individuality, these are not the only criteria for ethical consideration – a species has</w:t>
      </w:r>
      <w:r w:rsidR="00E16883" w:rsidRPr="00F622F0">
        <w:rPr>
          <w:sz w:val="24"/>
          <w:szCs w:val="24"/>
        </w:rPr>
        <w:t xml:space="preserve"> a biologically-based </w:t>
      </w:r>
      <w:r w:rsidRPr="00F622F0">
        <w:rPr>
          <w:sz w:val="24"/>
          <w:szCs w:val="24"/>
        </w:rPr>
        <w:t>identity</w:t>
      </w:r>
      <w:r w:rsidR="00E16883" w:rsidRPr="00F622F0">
        <w:rPr>
          <w:sz w:val="24"/>
          <w:szCs w:val="24"/>
        </w:rPr>
        <w:t xml:space="preserve"> that is repeated</w:t>
      </w:r>
      <w:r w:rsidRPr="00F622F0">
        <w:rPr>
          <w:sz w:val="24"/>
          <w:szCs w:val="24"/>
        </w:rPr>
        <w:t xml:space="preserve"> genetically </w:t>
      </w:r>
      <w:r w:rsidR="00E16883" w:rsidRPr="00F622F0">
        <w:rPr>
          <w:sz w:val="24"/>
          <w:szCs w:val="24"/>
        </w:rPr>
        <w:t>across successive generations</w:t>
      </w:r>
      <w:r w:rsidRPr="00F622F0">
        <w:rPr>
          <w:sz w:val="24"/>
          <w:szCs w:val="24"/>
        </w:rPr>
        <w:t xml:space="preserve">. Rolston combines this with his understanding of organisms as having a genetically encoded telos to argue that the </w:t>
      </w:r>
      <w:r w:rsidRPr="00F622F0">
        <w:rPr>
          <w:i/>
          <w:iCs/>
          <w:sz w:val="24"/>
          <w:szCs w:val="24"/>
        </w:rPr>
        <w:t>life</w:t>
      </w:r>
      <w:r w:rsidRPr="00F622F0">
        <w:rPr>
          <w:sz w:val="24"/>
          <w:szCs w:val="24"/>
        </w:rPr>
        <w:t xml:space="preserve"> an individual has is as much ‘something passing through it’ – the coded genetic information from the species level – as it is something intrinsically possessed by the individual. From this position, Rolston argues that ‘the genetic set, in which is coded the telos, is as evidently the property of the species as of the individual through which it passes.’</w:t>
      </w:r>
      <w:r w:rsidR="0086199F" w:rsidRPr="00F622F0">
        <w:rPr>
          <w:rStyle w:val="FootnoteReference"/>
          <w:sz w:val="24"/>
          <w:szCs w:val="24"/>
        </w:rPr>
        <w:footnoteReference w:id="33"/>
      </w:r>
      <w:r w:rsidRPr="00F622F0">
        <w:rPr>
          <w:sz w:val="24"/>
          <w:szCs w:val="24"/>
        </w:rPr>
        <w:t xml:space="preserve"> Individuals are thus seen by Rolston as parts of the species line, which is the ‘vital living system, the whole,’ to which individuals are subordinate.</w:t>
      </w:r>
      <w:r w:rsidRPr="00F622F0">
        <w:rPr>
          <w:rStyle w:val="FootnoteReference"/>
          <w:sz w:val="24"/>
          <w:szCs w:val="24"/>
        </w:rPr>
        <w:footnoteReference w:id="34"/>
      </w:r>
      <w:r w:rsidRPr="00F622F0">
        <w:rPr>
          <w:sz w:val="24"/>
          <w:szCs w:val="24"/>
        </w:rPr>
        <w:t xml:space="preserve"> In other words, he sees the individual as the species’ way of continuing itself, and argues that the species level is the appropriate level of moral concern.</w:t>
      </w:r>
    </w:p>
    <w:p w14:paraId="55A9BF97" w14:textId="52F98058" w:rsidR="008B5C7D" w:rsidRPr="00F622F0" w:rsidRDefault="008B5C7D" w:rsidP="00F622F0">
      <w:pPr>
        <w:spacing w:after="120" w:line="264" w:lineRule="auto"/>
        <w:rPr>
          <w:sz w:val="24"/>
          <w:szCs w:val="24"/>
        </w:rPr>
      </w:pPr>
      <w:r w:rsidRPr="00F622F0">
        <w:rPr>
          <w:sz w:val="24"/>
          <w:szCs w:val="24"/>
        </w:rPr>
        <w:t xml:space="preserve">Next, Rolston looks at ecosystems, which he says generate and support life; they are not simply a collection of interacting individuals, but a ‘biotic community’ that shapes the individuals within it. For this he creates a new category of what he calls ‘systemic value’ rather than relying on established concepts of intrinsic or instrumental value, since, he says, ‘though it has value </w:t>
      </w:r>
      <w:r w:rsidRPr="00F622F0">
        <w:rPr>
          <w:i/>
          <w:iCs/>
          <w:sz w:val="24"/>
          <w:szCs w:val="24"/>
        </w:rPr>
        <w:t xml:space="preserve">in </w:t>
      </w:r>
      <w:r w:rsidRPr="00F622F0">
        <w:rPr>
          <w:sz w:val="24"/>
          <w:szCs w:val="24"/>
        </w:rPr>
        <w:t>itself, the system does not have any value</w:t>
      </w:r>
      <w:r w:rsidRPr="00F622F0">
        <w:rPr>
          <w:i/>
          <w:iCs/>
          <w:sz w:val="24"/>
          <w:szCs w:val="24"/>
        </w:rPr>
        <w:t xml:space="preserve"> for </w:t>
      </w:r>
      <w:r w:rsidRPr="00F622F0">
        <w:rPr>
          <w:sz w:val="24"/>
          <w:szCs w:val="24"/>
        </w:rPr>
        <w:lastRenderedPageBreak/>
        <w:t>itself.’</w:t>
      </w:r>
      <w:r w:rsidRPr="00F622F0">
        <w:rPr>
          <w:rStyle w:val="FootnoteReference"/>
          <w:sz w:val="24"/>
          <w:szCs w:val="24"/>
        </w:rPr>
        <w:footnoteReference w:id="35"/>
      </w:r>
      <w:r w:rsidRPr="00F622F0">
        <w:rPr>
          <w:sz w:val="24"/>
          <w:szCs w:val="24"/>
        </w:rPr>
        <w:t xml:space="preserve"> As the generator and protector of life, this biotic community should, Rolston argues, be the fundamental level of moral concern. A key argument here is that all of nature carries value – all value is generated within ecosystems – so whilst an individual within this system has intrinsic value, this value cannot be separated from the wider interrelated system of which the individual is a part. In other words, individuals have a good of their own </w:t>
      </w:r>
      <w:r w:rsidRPr="00F622F0">
        <w:rPr>
          <w:i/>
          <w:iCs/>
          <w:sz w:val="24"/>
          <w:szCs w:val="24"/>
        </w:rPr>
        <w:t>in a role</w:t>
      </w:r>
      <w:r w:rsidRPr="00F622F0">
        <w:rPr>
          <w:sz w:val="24"/>
          <w:szCs w:val="24"/>
        </w:rPr>
        <w:t xml:space="preserve"> </w:t>
      </w:r>
      <w:r w:rsidRPr="00F622F0">
        <w:rPr>
          <w:i/>
          <w:iCs/>
          <w:sz w:val="24"/>
          <w:szCs w:val="24"/>
        </w:rPr>
        <w:t>within a system</w:t>
      </w:r>
      <w:r w:rsidRPr="00F622F0">
        <w:rPr>
          <w:sz w:val="24"/>
          <w:szCs w:val="24"/>
        </w:rPr>
        <w:t xml:space="preserve"> (or within the biotic community), and the system is the generator and transformer of value.</w:t>
      </w:r>
    </w:p>
    <w:p w14:paraId="6C27DBD2" w14:textId="1FD44D30" w:rsidR="008B5C7D" w:rsidRPr="00F622F0" w:rsidRDefault="008B5C7D" w:rsidP="00F622F0">
      <w:pPr>
        <w:spacing w:after="120" w:line="264" w:lineRule="auto"/>
        <w:rPr>
          <w:sz w:val="24"/>
          <w:szCs w:val="24"/>
        </w:rPr>
      </w:pPr>
      <w:r w:rsidRPr="00F622F0">
        <w:rPr>
          <w:sz w:val="24"/>
          <w:szCs w:val="24"/>
        </w:rPr>
        <w:t>In arguing for both individual and holistic value, Rolston has gone some way towards bridging biocentrist and ecocentri</w:t>
      </w:r>
      <w:r w:rsidR="00147148">
        <w:rPr>
          <w:sz w:val="24"/>
          <w:szCs w:val="24"/>
        </w:rPr>
        <w:t>st</w:t>
      </w:r>
      <w:r w:rsidRPr="00F622F0">
        <w:rPr>
          <w:sz w:val="24"/>
          <w:szCs w:val="24"/>
        </w:rPr>
        <w:t xml:space="preserve"> positions in ethics. His suggestion that individual living entities have a ‘telos’ can be seen to be similar to Taylor’s argument, discussed above, that living things are ‘teleological centres of life’ with a good of their own that they work to fulfil, whether consciously or not.</w:t>
      </w:r>
      <w:r w:rsidR="00D93138" w:rsidRPr="00F622F0">
        <w:rPr>
          <w:rStyle w:val="FootnoteReference"/>
          <w:sz w:val="24"/>
          <w:szCs w:val="24"/>
        </w:rPr>
        <w:footnoteReference w:id="36"/>
      </w:r>
      <w:r w:rsidRPr="00F622F0">
        <w:rPr>
          <w:sz w:val="24"/>
          <w:szCs w:val="24"/>
        </w:rPr>
        <w:t xml:space="preserve"> However, contra Taylor but in a similar vein to Attfield</w:t>
      </w:r>
      <w:r w:rsidR="00D93138" w:rsidRPr="00F622F0">
        <w:rPr>
          <w:rStyle w:val="FootnoteReference"/>
          <w:sz w:val="24"/>
          <w:szCs w:val="24"/>
        </w:rPr>
        <w:footnoteReference w:id="37"/>
      </w:r>
      <w:r w:rsidRPr="00F622F0">
        <w:rPr>
          <w:sz w:val="24"/>
          <w:szCs w:val="24"/>
        </w:rPr>
        <w:t xml:space="preserve"> and Goodpaster,</w:t>
      </w:r>
      <w:r w:rsidR="00D93138" w:rsidRPr="00F622F0">
        <w:rPr>
          <w:rStyle w:val="FootnoteReference"/>
          <w:sz w:val="24"/>
          <w:szCs w:val="24"/>
        </w:rPr>
        <w:t xml:space="preserve"> </w:t>
      </w:r>
      <w:r w:rsidR="00D93138" w:rsidRPr="00F622F0">
        <w:rPr>
          <w:rStyle w:val="FootnoteReference"/>
          <w:sz w:val="24"/>
          <w:szCs w:val="24"/>
        </w:rPr>
        <w:footnoteReference w:id="38"/>
      </w:r>
      <w:r w:rsidRPr="00F622F0">
        <w:rPr>
          <w:sz w:val="24"/>
          <w:szCs w:val="24"/>
        </w:rPr>
        <w:t xml:space="preserve"> Rolston argues that differences between organisms – such as possessing consciousness – can add value (or what Goodpaster what call ‘moral significance’). Where Rolston differs from these biocentrist positions is in his </w:t>
      </w:r>
      <w:r w:rsidRPr="00F622F0">
        <w:rPr>
          <w:i/>
          <w:iCs/>
          <w:sz w:val="24"/>
          <w:szCs w:val="24"/>
        </w:rPr>
        <w:t>also</w:t>
      </w:r>
      <w:r w:rsidRPr="00F622F0">
        <w:rPr>
          <w:sz w:val="24"/>
          <w:szCs w:val="24"/>
        </w:rPr>
        <w:t xml:space="preserve"> attributing intrinsic value to species and systemic value to ecosystems, and in his belief that individuals are subordinate to the</w:t>
      </w:r>
      <w:r w:rsidR="00015EC6">
        <w:rPr>
          <w:sz w:val="24"/>
          <w:szCs w:val="24"/>
        </w:rPr>
        <w:t>se</w:t>
      </w:r>
      <w:r w:rsidRPr="00F622F0">
        <w:rPr>
          <w:sz w:val="24"/>
          <w:szCs w:val="24"/>
        </w:rPr>
        <w:t xml:space="preserve"> whole</w:t>
      </w:r>
      <w:r w:rsidR="00015EC6">
        <w:rPr>
          <w:sz w:val="24"/>
          <w:szCs w:val="24"/>
        </w:rPr>
        <w:t>s</w:t>
      </w:r>
      <w:r w:rsidRPr="00F622F0">
        <w:rPr>
          <w:sz w:val="24"/>
          <w:szCs w:val="24"/>
        </w:rPr>
        <w:t xml:space="preserve">. </w:t>
      </w:r>
    </w:p>
    <w:p w14:paraId="4CBBB071" w14:textId="15494EF9" w:rsidR="008B5C7D" w:rsidRPr="00F622F0" w:rsidRDefault="008B5C7D" w:rsidP="00F622F0">
      <w:pPr>
        <w:spacing w:after="120" w:line="264" w:lineRule="auto"/>
        <w:rPr>
          <w:color w:val="000000" w:themeColor="text1"/>
          <w:sz w:val="24"/>
          <w:szCs w:val="24"/>
        </w:rPr>
      </w:pPr>
      <w:r w:rsidRPr="00F622F0">
        <w:rPr>
          <w:sz w:val="24"/>
          <w:szCs w:val="24"/>
        </w:rPr>
        <w:t xml:space="preserve">Rolston’s is clearly an ecocentric position, albeit one that does recognise that individuals also possess intrinsic value; in this respect, Rolston’s ecocentrism could be argued to be more plausible than </w:t>
      </w:r>
      <w:r w:rsidR="001674D4" w:rsidRPr="00F622F0">
        <w:rPr>
          <w:sz w:val="24"/>
          <w:szCs w:val="24"/>
        </w:rPr>
        <w:t>approaches to ecocentrism that deny the moral standing of individuals</w:t>
      </w:r>
      <w:r w:rsidRPr="00F622F0">
        <w:rPr>
          <w:sz w:val="24"/>
          <w:szCs w:val="24"/>
        </w:rPr>
        <w:t xml:space="preserve">. However, others have argued that the </w:t>
      </w:r>
      <w:r w:rsidRPr="00F622F0">
        <w:rPr>
          <w:color w:val="000000" w:themeColor="text1"/>
          <w:sz w:val="24"/>
          <w:szCs w:val="24"/>
        </w:rPr>
        <w:t xml:space="preserve">value of ecosystems and species is not </w:t>
      </w:r>
      <w:r w:rsidRPr="00F622F0">
        <w:rPr>
          <w:i/>
          <w:iCs/>
          <w:color w:val="000000" w:themeColor="text1"/>
          <w:sz w:val="24"/>
          <w:szCs w:val="24"/>
        </w:rPr>
        <w:t>necessarily</w:t>
      </w:r>
      <w:r w:rsidRPr="00F622F0">
        <w:rPr>
          <w:color w:val="000000" w:themeColor="text1"/>
          <w:sz w:val="24"/>
          <w:szCs w:val="24"/>
        </w:rPr>
        <w:t xml:space="preserve"> dependent on them possessing intrinsic or systemic value</w:t>
      </w:r>
      <w:r w:rsidR="00015EC6">
        <w:rPr>
          <w:color w:val="000000" w:themeColor="text1"/>
          <w:sz w:val="24"/>
          <w:szCs w:val="24"/>
        </w:rPr>
        <w:t>.</w:t>
      </w:r>
      <w:r w:rsidRPr="00F622F0">
        <w:rPr>
          <w:color w:val="000000" w:themeColor="text1"/>
          <w:sz w:val="24"/>
          <w:szCs w:val="24"/>
        </w:rPr>
        <w:t xml:space="preserve"> Attfield, for example, agrees that ecosystems have value, but argues that this value could be instrumental, based on their vital importance for individual living entities, whose flourishing is held by Attfield to have intrinsic value (he in fact recognises that Rolston’s term ‘systemic value’ may be useful here, if ‘instrumental value’ is interpreted as implying that ecosystems may be expendable).</w:t>
      </w:r>
      <w:r w:rsidRPr="00F622F0">
        <w:rPr>
          <w:rStyle w:val="FootnoteReference"/>
          <w:color w:val="000000" w:themeColor="text1"/>
          <w:sz w:val="24"/>
          <w:szCs w:val="24"/>
        </w:rPr>
        <w:footnoteReference w:id="39"/>
      </w:r>
      <w:r w:rsidRPr="00F622F0">
        <w:rPr>
          <w:color w:val="000000" w:themeColor="text1"/>
          <w:sz w:val="24"/>
          <w:szCs w:val="24"/>
        </w:rPr>
        <w:t xml:space="preserve"> Similarly, Attfield argues – in contrast to Rolston – that the value of a species lies in the individuals that make up the species; the wrong that is done when a species is made extinct through human action (or inaction) is a wrong done to current and potential future </w:t>
      </w:r>
      <w:r w:rsidRPr="00F622F0">
        <w:rPr>
          <w:i/>
          <w:iCs/>
          <w:color w:val="000000" w:themeColor="text1"/>
          <w:sz w:val="24"/>
          <w:szCs w:val="24"/>
        </w:rPr>
        <w:t>individuals</w:t>
      </w:r>
      <w:r w:rsidRPr="00F622F0">
        <w:rPr>
          <w:color w:val="000000" w:themeColor="text1"/>
          <w:sz w:val="24"/>
          <w:szCs w:val="24"/>
        </w:rPr>
        <w:t xml:space="preserve"> of that species, who – Attfield argues – have moral standing and whose flourishing has intrinsic value.</w:t>
      </w:r>
      <w:r w:rsidRPr="00F622F0">
        <w:rPr>
          <w:rStyle w:val="FootnoteReference"/>
          <w:color w:val="000000" w:themeColor="text1"/>
          <w:sz w:val="24"/>
          <w:szCs w:val="24"/>
        </w:rPr>
        <w:footnoteReference w:id="40"/>
      </w:r>
      <w:r w:rsidRPr="00F622F0">
        <w:rPr>
          <w:color w:val="000000" w:themeColor="text1"/>
          <w:sz w:val="24"/>
          <w:szCs w:val="24"/>
        </w:rPr>
        <w:t xml:space="preserve"> Rebekah Humphreys has argued that one of the difficulties with ecocentric positions like Rolston’s is that the value of individuals may be held to be relatively minor compared to the value of the ecosystem or species to which they belong; this may mean that individual organisms are viewed as part of a general category rather than being seen as individuals with interests of their own. Humphreys argues that, ‘As a result, an individual's value may be overshadowed by the supposed value of the larger </w:t>
      </w:r>
      <w:r w:rsidRPr="00F622F0">
        <w:rPr>
          <w:color w:val="000000" w:themeColor="text1"/>
          <w:sz w:val="24"/>
          <w:szCs w:val="24"/>
        </w:rPr>
        <w:lastRenderedPageBreak/>
        <w:t>system,’ which may open the door for the oppression of individuals within certain groups in a way that biocentric ethics is able to avoid.</w:t>
      </w:r>
      <w:r w:rsidRPr="00F622F0">
        <w:rPr>
          <w:rStyle w:val="FootnoteReference"/>
          <w:color w:val="000000" w:themeColor="text1"/>
          <w:sz w:val="24"/>
          <w:szCs w:val="24"/>
        </w:rPr>
        <w:footnoteReference w:id="41"/>
      </w:r>
      <w:r w:rsidRPr="00F622F0">
        <w:rPr>
          <w:color w:val="000000" w:themeColor="text1"/>
          <w:sz w:val="24"/>
          <w:szCs w:val="24"/>
        </w:rPr>
        <w:t xml:space="preserve"> </w:t>
      </w:r>
    </w:p>
    <w:p w14:paraId="177C530C" w14:textId="77777777" w:rsidR="001057D1" w:rsidRPr="00F622F0" w:rsidRDefault="001057D1" w:rsidP="00F622F0">
      <w:pPr>
        <w:spacing w:after="120" w:line="264" w:lineRule="auto"/>
        <w:rPr>
          <w:color w:val="000000" w:themeColor="text1"/>
          <w:sz w:val="24"/>
          <w:szCs w:val="24"/>
        </w:rPr>
      </w:pPr>
    </w:p>
    <w:p w14:paraId="7E68A09A" w14:textId="14405EBD" w:rsidR="008B5C7D" w:rsidRPr="00F622F0" w:rsidRDefault="00804F64" w:rsidP="00F622F0">
      <w:pPr>
        <w:spacing w:after="120" w:line="264" w:lineRule="auto"/>
        <w:rPr>
          <w:b/>
          <w:bCs/>
          <w:sz w:val="24"/>
          <w:szCs w:val="24"/>
        </w:rPr>
      </w:pPr>
      <w:r w:rsidRPr="00F622F0">
        <w:rPr>
          <w:b/>
          <w:bCs/>
          <w:sz w:val="24"/>
          <w:szCs w:val="24"/>
        </w:rPr>
        <w:t xml:space="preserve">Mary </w:t>
      </w:r>
      <w:r w:rsidR="008B5C7D" w:rsidRPr="00F622F0">
        <w:rPr>
          <w:b/>
          <w:bCs/>
          <w:sz w:val="24"/>
          <w:szCs w:val="24"/>
        </w:rPr>
        <w:t xml:space="preserve">Midgley, ‘Beasts Versus the Biosphere?’, </w:t>
      </w:r>
      <w:r w:rsidR="008B5C7D" w:rsidRPr="00F622F0">
        <w:rPr>
          <w:b/>
          <w:bCs/>
          <w:i/>
          <w:iCs/>
          <w:sz w:val="24"/>
          <w:szCs w:val="24"/>
        </w:rPr>
        <w:t>Environmental Values</w:t>
      </w:r>
      <w:r w:rsidR="008B5C7D" w:rsidRPr="00F622F0">
        <w:rPr>
          <w:b/>
          <w:bCs/>
          <w:sz w:val="24"/>
          <w:szCs w:val="24"/>
        </w:rPr>
        <w:t>, Vol.1, No.2, 1992, pp.113-21.</w:t>
      </w:r>
    </w:p>
    <w:p w14:paraId="0EE62504" w14:textId="2E6948A2" w:rsidR="008B5C7D" w:rsidRPr="00F622F0" w:rsidRDefault="008B5C7D" w:rsidP="00F622F0">
      <w:pPr>
        <w:spacing w:after="120" w:line="264" w:lineRule="auto"/>
        <w:rPr>
          <w:sz w:val="24"/>
          <w:szCs w:val="24"/>
        </w:rPr>
      </w:pPr>
      <w:r w:rsidRPr="00F622F0">
        <w:rPr>
          <w:sz w:val="24"/>
          <w:szCs w:val="24"/>
        </w:rPr>
        <w:t>Mary Midgley’s 1992 paper, ‘Beasts Versus the Biosphere’</w:t>
      </w:r>
      <w:r w:rsidRPr="00F622F0">
        <w:rPr>
          <w:rStyle w:val="FootnoteReference"/>
          <w:sz w:val="24"/>
          <w:szCs w:val="24"/>
        </w:rPr>
        <w:footnoteReference w:id="42"/>
      </w:r>
      <w:r w:rsidRPr="00F622F0">
        <w:rPr>
          <w:sz w:val="24"/>
          <w:szCs w:val="24"/>
        </w:rPr>
        <w:t xml:space="preserve"> discusses the apparent intractability of the debate between concern for individual animals and concern for the wider environment (a division that</w:t>
      </w:r>
      <w:r w:rsidR="00015EC6">
        <w:rPr>
          <w:sz w:val="24"/>
          <w:szCs w:val="24"/>
        </w:rPr>
        <w:t xml:space="preserve"> J. Baird</w:t>
      </w:r>
      <w:r w:rsidRPr="00F622F0">
        <w:rPr>
          <w:sz w:val="24"/>
          <w:szCs w:val="24"/>
        </w:rPr>
        <w:t xml:space="preserve"> Callicott</w:t>
      </w:r>
      <w:r w:rsidR="001674D4" w:rsidRPr="00F622F0">
        <w:rPr>
          <w:sz w:val="24"/>
          <w:szCs w:val="24"/>
        </w:rPr>
        <w:t>, for example,</w:t>
      </w:r>
      <w:r w:rsidRPr="00F622F0">
        <w:rPr>
          <w:sz w:val="24"/>
          <w:szCs w:val="24"/>
        </w:rPr>
        <w:t xml:space="preserve"> had previously emphasised</w:t>
      </w:r>
      <w:r w:rsidR="001674D4" w:rsidRPr="00F622F0">
        <w:rPr>
          <w:rStyle w:val="FootnoteReference"/>
          <w:sz w:val="24"/>
          <w:szCs w:val="24"/>
        </w:rPr>
        <w:footnoteReference w:id="43"/>
      </w:r>
      <w:r w:rsidRPr="00F622F0">
        <w:rPr>
          <w:sz w:val="24"/>
          <w:szCs w:val="24"/>
        </w:rPr>
        <w:t>). In this paper, Midgley argues that differences between the two schools of thought are a matter of emphasis rather than of basic principles, and that there had been a gradual recognition that the two causes were linked, owing to both the interdependence of plants and animals and the common threats to both individuals and ecosystems, for example factory farming.</w:t>
      </w:r>
    </w:p>
    <w:p w14:paraId="2E26C1AD" w14:textId="6ED1A6B2" w:rsidR="008B5C7D" w:rsidRPr="00F622F0" w:rsidRDefault="008B5C7D" w:rsidP="00F622F0">
      <w:pPr>
        <w:spacing w:after="120" w:line="264" w:lineRule="auto"/>
        <w:rPr>
          <w:sz w:val="24"/>
          <w:szCs w:val="24"/>
        </w:rPr>
      </w:pPr>
      <w:r w:rsidRPr="00F622F0">
        <w:rPr>
          <w:sz w:val="24"/>
          <w:szCs w:val="24"/>
        </w:rPr>
        <w:t>Taking a pluralistic approach, Midgley argues that, ‘Moral principles are part of a larger whole, within which they can be related, rather than absolute all-purpose rules of right conduct.’</w:t>
      </w:r>
      <w:r w:rsidRPr="00F622F0">
        <w:rPr>
          <w:rStyle w:val="FootnoteReference"/>
          <w:sz w:val="24"/>
          <w:szCs w:val="24"/>
        </w:rPr>
        <w:footnoteReference w:id="44"/>
      </w:r>
      <w:r w:rsidRPr="00F622F0">
        <w:rPr>
          <w:sz w:val="24"/>
          <w:szCs w:val="24"/>
        </w:rPr>
        <w:t xml:space="preserve"> Making the case that attempts to find a single moral theory capable of encompassing all of morality fail to take account of the complexity of our different aims, she argues that philosophers can instead provide </w:t>
      </w:r>
      <w:r w:rsidR="00E16883" w:rsidRPr="00F622F0">
        <w:rPr>
          <w:sz w:val="24"/>
          <w:szCs w:val="24"/>
        </w:rPr>
        <w:t>tools that</w:t>
      </w:r>
      <w:r w:rsidRPr="00F622F0">
        <w:rPr>
          <w:sz w:val="24"/>
          <w:szCs w:val="24"/>
        </w:rPr>
        <w:t xml:space="preserve"> can help illuminate context-specific decision-making. She suggests, therefore, that to be practically feasible, an environmental ethic must take into account </w:t>
      </w:r>
      <w:r w:rsidRPr="00F622F0">
        <w:rPr>
          <w:i/>
          <w:iCs/>
          <w:sz w:val="24"/>
          <w:szCs w:val="24"/>
        </w:rPr>
        <w:t xml:space="preserve">both </w:t>
      </w:r>
      <w:r w:rsidRPr="00F622F0">
        <w:rPr>
          <w:sz w:val="24"/>
          <w:szCs w:val="24"/>
        </w:rPr>
        <w:t xml:space="preserve">individual animals </w:t>
      </w:r>
      <w:r w:rsidRPr="00F622F0">
        <w:rPr>
          <w:i/>
          <w:iCs/>
          <w:sz w:val="24"/>
          <w:szCs w:val="24"/>
        </w:rPr>
        <w:t xml:space="preserve">and </w:t>
      </w:r>
      <w:r w:rsidRPr="00F622F0">
        <w:rPr>
          <w:sz w:val="24"/>
          <w:szCs w:val="24"/>
        </w:rPr>
        <w:t>the wholes (ecosystems) of which they are a part, saying: ‘concern for the whole and concern for individuals are simply not alternatives. They are complementary, and indeed inseparable, aspects of a decent moral problem.’</w:t>
      </w:r>
      <w:r w:rsidRPr="00F622F0">
        <w:rPr>
          <w:rStyle w:val="FootnoteReference"/>
          <w:sz w:val="24"/>
          <w:szCs w:val="24"/>
        </w:rPr>
        <w:footnoteReference w:id="45"/>
      </w:r>
      <w:r w:rsidRPr="00F622F0">
        <w:rPr>
          <w:sz w:val="24"/>
          <w:szCs w:val="24"/>
        </w:rPr>
        <w:t xml:space="preserve"> When these interests conflict, one should try – Midgley argues – to find solutions that work for both individuals and the collective.</w:t>
      </w:r>
    </w:p>
    <w:p w14:paraId="1FE0DEAB" w14:textId="23D89464" w:rsidR="008B5C7D" w:rsidRPr="00F622F0" w:rsidRDefault="008B5C7D" w:rsidP="00F622F0">
      <w:pPr>
        <w:spacing w:after="120" w:line="264" w:lineRule="auto"/>
        <w:rPr>
          <w:sz w:val="24"/>
          <w:szCs w:val="24"/>
        </w:rPr>
      </w:pPr>
      <w:r w:rsidRPr="00F622F0">
        <w:rPr>
          <w:sz w:val="24"/>
          <w:szCs w:val="24"/>
        </w:rPr>
        <w:t>She goes on to illustrate the value of this approach with an example of a dilemma – common in conservation management – over whether to cull a group of herbivores that are having a detrimental impact on the local ecosystem (and therefore</w:t>
      </w:r>
      <w:r w:rsidR="00015EC6">
        <w:rPr>
          <w:sz w:val="24"/>
          <w:szCs w:val="24"/>
        </w:rPr>
        <w:t xml:space="preserve"> on</w:t>
      </w:r>
      <w:r w:rsidRPr="00F622F0">
        <w:rPr>
          <w:sz w:val="24"/>
          <w:szCs w:val="24"/>
        </w:rPr>
        <w:t xml:space="preserve"> its individual members) through overgrazing. Arguing that this dilemma offers ‘a choice between two evils’, she suggests that it is better to approach the decision by looking at the specifics of the individual case. Rather than trying </w:t>
      </w:r>
      <w:r w:rsidR="005752B0">
        <w:rPr>
          <w:sz w:val="24"/>
          <w:szCs w:val="24"/>
        </w:rPr>
        <w:t>to apply</w:t>
      </w:r>
      <w:r w:rsidRPr="00F622F0">
        <w:rPr>
          <w:sz w:val="24"/>
          <w:szCs w:val="24"/>
        </w:rPr>
        <w:t xml:space="preserve"> a ‘sweeping fiat from general principles’,</w:t>
      </w:r>
      <w:r w:rsidRPr="00F622F0">
        <w:rPr>
          <w:rStyle w:val="FootnoteReference"/>
          <w:sz w:val="24"/>
          <w:szCs w:val="24"/>
        </w:rPr>
        <w:footnoteReference w:id="46"/>
      </w:r>
      <w:r w:rsidRPr="00F622F0">
        <w:rPr>
          <w:sz w:val="24"/>
          <w:szCs w:val="24"/>
        </w:rPr>
        <w:t xml:space="preserve"> Midgley advocates honestly admitting that there is a clash of (moral) interests, and trying to work through these on a practical basis to decide what </w:t>
      </w:r>
      <w:r w:rsidRPr="00F622F0">
        <w:rPr>
          <w:i/>
          <w:iCs/>
          <w:sz w:val="24"/>
          <w:szCs w:val="24"/>
        </w:rPr>
        <w:t xml:space="preserve">actually, </w:t>
      </w:r>
      <w:r w:rsidRPr="00F622F0">
        <w:rPr>
          <w:sz w:val="24"/>
          <w:szCs w:val="24"/>
        </w:rPr>
        <w:t xml:space="preserve">in </w:t>
      </w:r>
      <w:r w:rsidRPr="00F622F0">
        <w:rPr>
          <w:i/>
          <w:iCs/>
          <w:sz w:val="24"/>
          <w:szCs w:val="24"/>
        </w:rPr>
        <w:t>this instance</w:t>
      </w:r>
      <w:r w:rsidRPr="00F622F0">
        <w:rPr>
          <w:sz w:val="24"/>
          <w:szCs w:val="24"/>
        </w:rPr>
        <w:t>, is the best course of action. She says:</w:t>
      </w:r>
    </w:p>
    <w:p w14:paraId="10CB1147" w14:textId="77777777" w:rsidR="008B5C7D" w:rsidRPr="00F622F0" w:rsidRDefault="008B5C7D" w:rsidP="00F622F0">
      <w:pPr>
        <w:spacing w:after="120" w:line="264" w:lineRule="auto"/>
        <w:ind w:left="720"/>
        <w:rPr>
          <w:sz w:val="24"/>
          <w:szCs w:val="24"/>
        </w:rPr>
      </w:pPr>
      <w:r w:rsidRPr="00F622F0">
        <w:rPr>
          <w:sz w:val="24"/>
          <w:szCs w:val="24"/>
        </w:rPr>
        <w:lastRenderedPageBreak/>
        <w:t>Where it is possible to find ways of keeping the biosphere going without killing or injuring any members of other species – or indeed our own species – it is surely our business to use those ways, and we ought to make great efforts to find them.</w:t>
      </w:r>
    </w:p>
    <w:p w14:paraId="59628B63" w14:textId="100A7390" w:rsidR="008B5C7D" w:rsidRPr="00F622F0" w:rsidRDefault="008B5C7D" w:rsidP="00F622F0">
      <w:pPr>
        <w:spacing w:after="120" w:line="264" w:lineRule="auto"/>
        <w:rPr>
          <w:sz w:val="24"/>
          <w:szCs w:val="24"/>
        </w:rPr>
      </w:pPr>
      <w:r w:rsidRPr="00F622F0">
        <w:rPr>
          <w:sz w:val="24"/>
          <w:szCs w:val="24"/>
        </w:rPr>
        <w:t xml:space="preserve">Discussing the usefulness of inventive thinking, Midgley makes the point that there will sometimes be ways of circumventing the clash of interests. For example, she suggests that in some instances contraception may be an alternative to culling, although she highlights that this will not always be an available or appropriate course of action, given potential practical difficulties, ethical implications and the risk of unintended consequences. We may, ultimately, have to choose between two options that are both morally objectionable. It may be – says Midgley – that in some cases killing individual animals will be the lesser evil than allowing the continuation of habitat damage (it is worth pointing out here that the reverse </w:t>
      </w:r>
      <w:r w:rsidR="00015EC6">
        <w:rPr>
          <w:sz w:val="24"/>
          <w:szCs w:val="24"/>
        </w:rPr>
        <w:t>may also be</w:t>
      </w:r>
      <w:r w:rsidRPr="00F622F0">
        <w:rPr>
          <w:sz w:val="24"/>
          <w:szCs w:val="24"/>
        </w:rPr>
        <w:t xml:space="preserve"> true), but it is vital to look at each individual case. Further discussing the ethics of culling, Midgley suggests that there is generally greater reluctance to kill animals ‘as we go “up” the scale of life’</w:t>
      </w:r>
      <w:r w:rsidR="00015EC6">
        <w:rPr>
          <w:sz w:val="24"/>
          <w:szCs w:val="24"/>
        </w:rPr>
        <w:t>,</w:t>
      </w:r>
      <w:r w:rsidRPr="00F622F0">
        <w:rPr>
          <w:rStyle w:val="FootnoteReference"/>
          <w:sz w:val="24"/>
          <w:szCs w:val="24"/>
        </w:rPr>
        <w:footnoteReference w:id="47"/>
      </w:r>
      <w:r w:rsidR="00015EC6">
        <w:rPr>
          <w:sz w:val="24"/>
          <w:szCs w:val="24"/>
        </w:rPr>
        <w:t xml:space="preserve"> </w:t>
      </w:r>
      <w:r w:rsidRPr="00F622F0">
        <w:rPr>
          <w:sz w:val="24"/>
          <w:szCs w:val="24"/>
        </w:rPr>
        <w:t>by which she means people are less willing to kill elephants than deer, deer than rabbits, rabbits than insects. She argues that this is (ethically) reasonable because of the individuality of more intelligent and social animals.</w:t>
      </w:r>
    </w:p>
    <w:p w14:paraId="348A3074" w14:textId="5A32E7FE" w:rsidR="008B5C7D" w:rsidRPr="00F622F0" w:rsidRDefault="008B5C7D" w:rsidP="00F622F0">
      <w:pPr>
        <w:spacing w:after="120" w:line="264" w:lineRule="auto"/>
        <w:rPr>
          <w:sz w:val="24"/>
          <w:szCs w:val="24"/>
        </w:rPr>
      </w:pPr>
      <w:r w:rsidRPr="00F622F0">
        <w:rPr>
          <w:sz w:val="24"/>
          <w:szCs w:val="24"/>
        </w:rPr>
        <w:t>In terms of Midgley’s broad argument that concerns for individual animals and concerns for the wider environment need not be seen as directly conflicting, this is a view that others have shared. Callicott, for example, having originally argued that these two areas of ethics were fundamentally incompatible,</w:t>
      </w:r>
      <w:r w:rsidRPr="00F622F0">
        <w:rPr>
          <w:rStyle w:val="FootnoteReference"/>
          <w:sz w:val="24"/>
          <w:szCs w:val="24"/>
        </w:rPr>
        <w:footnoteReference w:id="48"/>
      </w:r>
      <w:r w:rsidRPr="00F622F0">
        <w:rPr>
          <w:sz w:val="24"/>
          <w:szCs w:val="24"/>
        </w:rPr>
        <w:t xml:space="preserve"> later suggested that their overlapping concerns meant that</w:t>
      </w:r>
      <w:r w:rsidR="00574918">
        <w:rPr>
          <w:sz w:val="24"/>
          <w:szCs w:val="24"/>
        </w:rPr>
        <w:t xml:space="preserve"> it would be better to work together to address the shared drivers of environmental destruction and animal suffering than to continue ‘squabbling’.</w:t>
      </w:r>
      <w:r w:rsidRPr="00F622F0">
        <w:rPr>
          <w:rStyle w:val="FootnoteReference"/>
          <w:sz w:val="24"/>
          <w:szCs w:val="24"/>
        </w:rPr>
        <w:footnoteReference w:id="49"/>
      </w:r>
      <w:r w:rsidRPr="00F622F0">
        <w:rPr>
          <w:sz w:val="24"/>
          <w:szCs w:val="24"/>
        </w:rPr>
        <w:t xml:space="preserve"> </w:t>
      </w:r>
    </w:p>
    <w:p w14:paraId="3471A3AA" w14:textId="14AB863B" w:rsidR="008B5C7D" w:rsidRPr="00F622F0" w:rsidRDefault="008B5C7D" w:rsidP="00F622F0">
      <w:pPr>
        <w:spacing w:after="120" w:line="264" w:lineRule="auto"/>
        <w:rPr>
          <w:sz w:val="24"/>
          <w:szCs w:val="24"/>
        </w:rPr>
      </w:pPr>
      <w:r w:rsidRPr="00F622F0">
        <w:rPr>
          <w:sz w:val="24"/>
          <w:szCs w:val="24"/>
        </w:rPr>
        <w:t>Midgley’s type of pluralistic approach to environmental ethics has also been championed by a number of other philosophers, including, for example, Andrew Brennan, who has argued that</w:t>
      </w:r>
      <w:r w:rsidR="00643251">
        <w:rPr>
          <w:sz w:val="24"/>
          <w:szCs w:val="24"/>
        </w:rPr>
        <w:t xml:space="preserve"> </w:t>
      </w:r>
      <w:r w:rsidR="004C2B94">
        <w:rPr>
          <w:sz w:val="24"/>
          <w:szCs w:val="24"/>
        </w:rPr>
        <w:t xml:space="preserve">we are subject to competing ethical claims from a range of different sources that make it futile to </w:t>
      </w:r>
      <w:r w:rsidR="00643251">
        <w:rPr>
          <w:sz w:val="24"/>
          <w:szCs w:val="24"/>
        </w:rPr>
        <w:t xml:space="preserve">attempt to find one overarching principle </w:t>
      </w:r>
      <w:r w:rsidR="004C2B94">
        <w:rPr>
          <w:sz w:val="24"/>
          <w:szCs w:val="24"/>
        </w:rPr>
        <w:t xml:space="preserve">by which to </w:t>
      </w:r>
      <w:r w:rsidR="00643251">
        <w:rPr>
          <w:sz w:val="24"/>
          <w:szCs w:val="24"/>
        </w:rPr>
        <w:t>live</w:t>
      </w:r>
      <w:r w:rsidR="004C2B94">
        <w:rPr>
          <w:sz w:val="24"/>
          <w:szCs w:val="24"/>
        </w:rPr>
        <w:t>.</w:t>
      </w:r>
      <w:r w:rsidRPr="00F622F0">
        <w:rPr>
          <w:rStyle w:val="FootnoteReference"/>
          <w:sz w:val="24"/>
          <w:szCs w:val="24"/>
        </w:rPr>
        <w:footnoteReference w:id="50"/>
      </w:r>
      <w:r w:rsidRPr="00F622F0">
        <w:rPr>
          <w:sz w:val="24"/>
          <w:szCs w:val="24"/>
        </w:rPr>
        <w:t xml:space="preserve"> However, the obvious challenge is the question of what to do when clashes of interests cannot be avoided and when different ethical frameworks suggest different choices between the two remaining ‘evils’. As Callicott has asked, how does a pluralist approach help one to decide between ‘inconsistent or contradictory indications’ of different ethical theories?</w:t>
      </w:r>
      <w:r w:rsidRPr="00F622F0">
        <w:rPr>
          <w:rStyle w:val="FootnoteReference"/>
          <w:sz w:val="24"/>
          <w:szCs w:val="24"/>
        </w:rPr>
        <w:footnoteReference w:id="51"/>
      </w:r>
    </w:p>
    <w:p w14:paraId="7BEF94C0" w14:textId="1F6CF5A8" w:rsidR="001057D1" w:rsidRPr="00F622F0" w:rsidRDefault="008B5C7D" w:rsidP="00F622F0">
      <w:pPr>
        <w:spacing w:after="120" w:line="264" w:lineRule="auto"/>
        <w:rPr>
          <w:sz w:val="24"/>
          <w:szCs w:val="24"/>
        </w:rPr>
      </w:pPr>
      <w:r w:rsidRPr="00F622F0">
        <w:rPr>
          <w:sz w:val="24"/>
          <w:szCs w:val="24"/>
        </w:rPr>
        <w:t xml:space="preserve">Whilst it may be reasonable to reply – with Midgley – that only by looking at the specific local circumstances can we fully take account of the complexity of environmental </w:t>
      </w:r>
      <w:r w:rsidRPr="00F622F0">
        <w:rPr>
          <w:sz w:val="24"/>
          <w:szCs w:val="24"/>
        </w:rPr>
        <w:lastRenderedPageBreak/>
        <w:t>decision-making, other approaches to combining concern for individuals with concern for ecosystems may offer clearer guidance for ethical decision-making whilst still taking account of complexity and of specific local contexts. One such approach is Attfield’s biocentric consequentialism, in which he argues that the value of ecosystems may be based on their instrumental value for all of the individual living entities (which can be harmed or benefitted and therefore have moral standing) that depend on the ecosystem for their flourishing (Attfield argues that this flourishing has intrinsic value).</w:t>
      </w:r>
      <w:r w:rsidRPr="00F622F0">
        <w:rPr>
          <w:rStyle w:val="FootnoteReference"/>
          <w:sz w:val="24"/>
          <w:szCs w:val="24"/>
        </w:rPr>
        <w:footnoteReference w:id="52"/>
      </w:r>
      <w:r w:rsidRPr="00F622F0">
        <w:rPr>
          <w:sz w:val="24"/>
          <w:szCs w:val="24"/>
        </w:rPr>
        <w:t xml:space="preserve"> In this view, protecting a habitat by killing individual animals </w:t>
      </w:r>
      <w:r w:rsidRPr="00F622F0">
        <w:rPr>
          <w:i/>
          <w:iCs/>
          <w:sz w:val="24"/>
          <w:szCs w:val="24"/>
        </w:rPr>
        <w:t xml:space="preserve">may </w:t>
      </w:r>
      <w:r w:rsidRPr="00F622F0">
        <w:rPr>
          <w:sz w:val="24"/>
          <w:szCs w:val="24"/>
        </w:rPr>
        <w:t>be justified if the foreseeable differences that will result (for those that have moral standing) are on balance more good than bad. In making these judgements, Attfield argues – like Midgley – that it is reasonable to take into account characteristics, such as autonomy, that confer greater moral significance, as well as differences between basic interests (for example, in survival or in not suffering) and non-basic or trivial ones.</w:t>
      </w:r>
      <w:r w:rsidRPr="00F622F0">
        <w:rPr>
          <w:rStyle w:val="FootnoteReference"/>
          <w:sz w:val="24"/>
          <w:szCs w:val="24"/>
        </w:rPr>
        <w:footnoteReference w:id="53"/>
      </w:r>
      <w:r w:rsidRPr="00F622F0">
        <w:rPr>
          <w:sz w:val="24"/>
          <w:szCs w:val="24"/>
        </w:rPr>
        <w:t xml:space="preserve"> Like Midgley’s approach, Attfield’s requires looking at the specifics of a particular situation and weighing up conflicting interests, morally relevant characteristics, and the foreseeable outcomes of an action, rather than applying overly simplistic general principles, and is capable of taking into account both individuals and ecosystems.</w:t>
      </w:r>
    </w:p>
    <w:p w14:paraId="293BE5B0" w14:textId="77777777" w:rsidR="001057D1" w:rsidRPr="00F622F0" w:rsidRDefault="001057D1" w:rsidP="00F622F0">
      <w:pPr>
        <w:spacing w:after="120" w:line="264" w:lineRule="auto"/>
        <w:rPr>
          <w:sz w:val="24"/>
          <w:szCs w:val="24"/>
        </w:rPr>
      </w:pPr>
      <w:r w:rsidRPr="00F622F0">
        <w:rPr>
          <w:sz w:val="24"/>
          <w:szCs w:val="24"/>
        </w:rPr>
        <w:br w:type="page"/>
      </w:r>
    </w:p>
    <w:p w14:paraId="7E8C4B2B" w14:textId="2F520CA8" w:rsidR="00E45B61" w:rsidRPr="00F622F0" w:rsidRDefault="00E45B61" w:rsidP="00F622F0">
      <w:pPr>
        <w:spacing w:after="120" w:line="264" w:lineRule="auto"/>
        <w:rPr>
          <w:b/>
          <w:bCs/>
          <w:sz w:val="24"/>
          <w:szCs w:val="24"/>
        </w:rPr>
      </w:pPr>
      <w:r w:rsidRPr="00F622F0">
        <w:rPr>
          <w:b/>
          <w:bCs/>
          <w:sz w:val="24"/>
          <w:szCs w:val="24"/>
        </w:rPr>
        <w:lastRenderedPageBreak/>
        <w:t>Bibliography</w:t>
      </w:r>
    </w:p>
    <w:p w14:paraId="33E79F78" w14:textId="2AB2685E" w:rsidR="00A91785" w:rsidRPr="00F622F0" w:rsidRDefault="00A91785" w:rsidP="00F622F0">
      <w:pPr>
        <w:spacing w:after="120" w:line="264" w:lineRule="auto"/>
        <w:rPr>
          <w:sz w:val="24"/>
          <w:szCs w:val="24"/>
        </w:rPr>
      </w:pPr>
      <w:r w:rsidRPr="00F622F0">
        <w:rPr>
          <w:sz w:val="24"/>
          <w:szCs w:val="24"/>
        </w:rPr>
        <w:t xml:space="preserve">Attfield, Robin, </w:t>
      </w:r>
      <w:r w:rsidRPr="00F622F0">
        <w:rPr>
          <w:i/>
          <w:iCs/>
          <w:sz w:val="24"/>
          <w:szCs w:val="24"/>
        </w:rPr>
        <w:t>Applied Ethics: An Introduction</w:t>
      </w:r>
      <w:r w:rsidRPr="00F622F0">
        <w:rPr>
          <w:sz w:val="24"/>
          <w:szCs w:val="24"/>
        </w:rPr>
        <w:t xml:space="preserve"> (Cambridge: Polity Press, 2023)</w:t>
      </w:r>
      <w:r w:rsidR="008D4155">
        <w:rPr>
          <w:sz w:val="24"/>
          <w:szCs w:val="24"/>
        </w:rPr>
        <w:t>.</w:t>
      </w:r>
    </w:p>
    <w:p w14:paraId="57DD88D9" w14:textId="5CF7D4FA" w:rsidR="00A91785" w:rsidRPr="00F622F0" w:rsidRDefault="00A91785" w:rsidP="00F622F0">
      <w:pPr>
        <w:pStyle w:val="FootnoteText"/>
        <w:spacing w:after="120" w:line="264" w:lineRule="auto"/>
        <w:rPr>
          <w:sz w:val="24"/>
          <w:szCs w:val="24"/>
        </w:rPr>
      </w:pPr>
      <w:r w:rsidRPr="00F622F0">
        <w:rPr>
          <w:sz w:val="24"/>
          <w:szCs w:val="24"/>
        </w:rPr>
        <w:t xml:space="preserve">Attfield, Robin, </w:t>
      </w:r>
      <w:r w:rsidRPr="00F622F0">
        <w:rPr>
          <w:i/>
          <w:iCs/>
          <w:sz w:val="24"/>
          <w:szCs w:val="24"/>
        </w:rPr>
        <w:t xml:space="preserve">Environmental Ethics: An Introduction, </w:t>
      </w:r>
      <w:r w:rsidRPr="00F622F0">
        <w:rPr>
          <w:sz w:val="24"/>
          <w:szCs w:val="24"/>
        </w:rPr>
        <w:t>2</w:t>
      </w:r>
      <w:r w:rsidRPr="00F622F0">
        <w:rPr>
          <w:sz w:val="24"/>
          <w:szCs w:val="24"/>
          <w:vertAlign w:val="superscript"/>
        </w:rPr>
        <w:t>nd</w:t>
      </w:r>
      <w:r w:rsidRPr="00F622F0">
        <w:rPr>
          <w:sz w:val="24"/>
          <w:szCs w:val="24"/>
        </w:rPr>
        <w:t xml:space="preserve"> Ed.</w:t>
      </w:r>
      <w:r w:rsidRPr="00F622F0">
        <w:rPr>
          <w:i/>
          <w:iCs/>
          <w:sz w:val="24"/>
          <w:szCs w:val="24"/>
        </w:rPr>
        <w:t xml:space="preserve"> </w:t>
      </w:r>
      <w:r w:rsidRPr="00F622F0">
        <w:rPr>
          <w:sz w:val="24"/>
          <w:szCs w:val="24"/>
        </w:rPr>
        <w:t>(Cambridge: Polity Press, 2014)</w:t>
      </w:r>
      <w:r w:rsidR="008D4155">
        <w:rPr>
          <w:sz w:val="24"/>
          <w:szCs w:val="24"/>
        </w:rPr>
        <w:t>.</w:t>
      </w:r>
    </w:p>
    <w:p w14:paraId="68D7C6E5" w14:textId="1C64AAC4" w:rsidR="00A91785" w:rsidRPr="00F622F0" w:rsidRDefault="00A91785" w:rsidP="00F622F0">
      <w:pPr>
        <w:spacing w:after="120" w:line="264" w:lineRule="auto"/>
        <w:rPr>
          <w:sz w:val="24"/>
          <w:szCs w:val="24"/>
          <w:lang w:val="en-US"/>
        </w:rPr>
      </w:pPr>
      <w:r w:rsidRPr="00F622F0">
        <w:rPr>
          <w:sz w:val="24"/>
          <w:szCs w:val="24"/>
        </w:rPr>
        <w:t xml:space="preserve">Bormann, F. Herbert and Kellert, Stephen R. (eds.), </w:t>
      </w:r>
      <w:r w:rsidRPr="00F622F0">
        <w:rPr>
          <w:i/>
          <w:iCs/>
          <w:sz w:val="24"/>
          <w:szCs w:val="24"/>
        </w:rPr>
        <w:t>Ecology, Economics, Ethics: The Broken Circle</w:t>
      </w:r>
      <w:r w:rsidRPr="00F622F0">
        <w:rPr>
          <w:sz w:val="24"/>
          <w:szCs w:val="24"/>
        </w:rPr>
        <w:t xml:space="preserve"> (New Haven: Yale University Press, 1991)</w:t>
      </w:r>
      <w:r w:rsidR="008D4155">
        <w:rPr>
          <w:sz w:val="24"/>
          <w:szCs w:val="24"/>
        </w:rPr>
        <w:t>.</w:t>
      </w:r>
    </w:p>
    <w:p w14:paraId="38F625C5" w14:textId="6C35543A" w:rsidR="00A91785" w:rsidRPr="00F622F0" w:rsidRDefault="00A91785" w:rsidP="00F622F0">
      <w:pPr>
        <w:spacing w:after="120" w:line="264" w:lineRule="auto"/>
        <w:rPr>
          <w:sz w:val="24"/>
          <w:szCs w:val="24"/>
          <w:lang w:val="en-US"/>
        </w:rPr>
      </w:pPr>
      <w:r w:rsidRPr="00F622F0">
        <w:rPr>
          <w:sz w:val="24"/>
          <w:szCs w:val="24"/>
          <w:lang w:val="en-US"/>
        </w:rPr>
        <w:t xml:space="preserve">Callicott, J. Baird, ‘Animal Liberation and Environmental Ethics: Back Together Again’, </w:t>
      </w:r>
      <w:r w:rsidRPr="00F622F0">
        <w:rPr>
          <w:i/>
          <w:sz w:val="24"/>
          <w:szCs w:val="24"/>
          <w:lang w:val="en-US"/>
        </w:rPr>
        <w:t>Between the Species</w:t>
      </w:r>
      <w:r w:rsidRPr="00F622F0">
        <w:rPr>
          <w:sz w:val="24"/>
          <w:szCs w:val="24"/>
          <w:lang w:val="en-US"/>
        </w:rPr>
        <w:t>, Vol.4, Issue 3, 1988, pp.163-69.</w:t>
      </w:r>
    </w:p>
    <w:p w14:paraId="5613C397" w14:textId="77777777" w:rsidR="00A91785" w:rsidRPr="00F622F0" w:rsidRDefault="00A91785" w:rsidP="00F622F0">
      <w:pPr>
        <w:spacing w:after="120" w:line="264" w:lineRule="auto"/>
        <w:rPr>
          <w:sz w:val="24"/>
          <w:szCs w:val="24"/>
        </w:rPr>
      </w:pPr>
      <w:r w:rsidRPr="00F622F0">
        <w:rPr>
          <w:sz w:val="24"/>
          <w:szCs w:val="24"/>
        </w:rPr>
        <w:t xml:space="preserve">Callicott, J. Baird, ‘Animal Liberation: A Triangular Affair’, </w:t>
      </w:r>
      <w:r w:rsidRPr="00F622F0">
        <w:rPr>
          <w:i/>
          <w:iCs/>
          <w:sz w:val="24"/>
          <w:szCs w:val="24"/>
        </w:rPr>
        <w:t>Environmental Ethics</w:t>
      </w:r>
      <w:r w:rsidRPr="00F622F0">
        <w:rPr>
          <w:sz w:val="24"/>
          <w:szCs w:val="24"/>
        </w:rPr>
        <w:t xml:space="preserve">, Vol.2, 1980, pp.311-38. </w:t>
      </w:r>
    </w:p>
    <w:p w14:paraId="4F436D91" w14:textId="77777777" w:rsidR="00A91785" w:rsidRPr="00F622F0" w:rsidRDefault="00A91785" w:rsidP="00F622F0">
      <w:pPr>
        <w:spacing w:after="120" w:line="264" w:lineRule="auto"/>
        <w:rPr>
          <w:sz w:val="24"/>
          <w:szCs w:val="24"/>
        </w:rPr>
      </w:pPr>
      <w:r w:rsidRPr="00F622F0">
        <w:rPr>
          <w:sz w:val="24"/>
          <w:szCs w:val="24"/>
        </w:rPr>
        <w:t>Callicott, J. Baird. ‘The Case against Moral Pluralism.’ </w:t>
      </w:r>
      <w:r w:rsidRPr="00F622F0">
        <w:rPr>
          <w:i/>
          <w:iCs/>
          <w:sz w:val="24"/>
          <w:szCs w:val="24"/>
        </w:rPr>
        <w:t>Environmental Ethics</w:t>
      </w:r>
      <w:r w:rsidRPr="00F622F0">
        <w:rPr>
          <w:sz w:val="24"/>
          <w:szCs w:val="24"/>
        </w:rPr>
        <w:t>, vol. 12, no. 2, 1990, pp. 99–124. </w:t>
      </w:r>
    </w:p>
    <w:p w14:paraId="68CF3B39" w14:textId="60FE7154" w:rsidR="00A91785" w:rsidRPr="00F622F0" w:rsidRDefault="00A91785" w:rsidP="00F622F0">
      <w:pPr>
        <w:pStyle w:val="FootnoteText"/>
        <w:spacing w:after="120" w:line="264" w:lineRule="auto"/>
        <w:rPr>
          <w:sz w:val="24"/>
          <w:szCs w:val="24"/>
        </w:rPr>
      </w:pPr>
      <w:r w:rsidRPr="00F622F0">
        <w:rPr>
          <w:sz w:val="24"/>
          <w:szCs w:val="24"/>
        </w:rPr>
        <w:t xml:space="preserve">Goodpaster, Kenneth, ‘On Being Morally Considerable’, </w:t>
      </w:r>
      <w:r w:rsidRPr="00F622F0">
        <w:rPr>
          <w:i/>
          <w:iCs/>
          <w:sz w:val="24"/>
          <w:szCs w:val="24"/>
        </w:rPr>
        <w:t>Journal of Philosophy</w:t>
      </w:r>
      <w:r w:rsidRPr="00F622F0">
        <w:rPr>
          <w:sz w:val="24"/>
          <w:szCs w:val="24"/>
        </w:rPr>
        <w:t xml:space="preserve">, 75, 1978. Reprinted in </w:t>
      </w:r>
      <w:r w:rsidRPr="00F622F0">
        <w:rPr>
          <w:i/>
          <w:iCs/>
          <w:sz w:val="24"/>
          <w:szCs w:val="24"/>
        </w:rPr>
        <w:t>Environmental Philosophy: From Animal Rights to Radical Ecology</w:t>
      </w:r>
      <w:r w:rsidRPr="00F622F0">
        <w:rPr>
          <w:sz w:val="24"/>
          <w:szCs w:val="24"/>
        </w:rPr>
        <w:t>, eds. Michael E. Zimmerman et al (Englewood Cliffs, New Jersey: Prentice Hall, 1998), pp.53-66.</w:t>
      </w:r>
    </w:p>
    <w:p w14:paraId="711FFAF5" w14:textId="77777777" w:rsidR="00A91785" w:rsidRPr="00F622F0" w:rsidRDefault="00A91785" w:rsidP="00F622F0">
      <w:pPr>
        <w:pStyle w:val="FootnoteText"/>
        <w:spacing w:after="120" w:line="264" w:lineRule="auto"/>
        <w:rPr>
          <w:sz w:val="24"/>
          <w:szCs w:val="24"/>
        </w:rPr>
      </w:pPr>
      <w:r w:rsidRPr="00F622F0">
        <w:rPr>
          <w:sz w:val="24"/>
          <w:szCs w:val="24"/>
        </w:rPr>
        <w:t xml:space="preserve">Humphreys, Rebekah, </w:t>
      </w:r>
      <w:r w:rsidRPr="00F622F0">
        <w:rPr>
          <w:i/>
          <w:iCs/>
          <w:sz w:val="24"/>
          <w:szCs w:val="24"/>
        </w:rPr>
        <w:t xml:space="preserve">Animal Studies and Philosophy </w:t>
      </w:r>
      <w:r w:rsidRPr="00F622F0">
        <w:rPr>
          <w:sz w:val="24"/>
          <w:szCs w:val="24"/>
        </w:rPr>
        <w:t>(Cambridge: Polity Press, 2026).</w:t>
      </w:r>
    </w:p>
    <w:p w14:paraId="72EB6F81" w14:textId="781FB287" w:rsidR="00A91785" w:rsidRPr="00F622F0" w:rsidRDefault="00A91785" w:rsidP="00F622F0">
      <w:pPr>
        <w:spacing w:after="120" w:line="264" w:lineRule="auto"/>
        <w:rPr>
          <w:color w:val="3366FF"/>
          <w:sz w:val="24"/>
          <w:szCs w:val="24"/>
          <w:lang w:val="en-US"/>
        </w:rPr>
      </w:pPr>
      <w:r w:rsidRPr="00F622F0">
        <w:rPr>
          <w:sz w:val="24"/>
          <w:szCs w:val="24"/>
          <w:lang w:val="en-US"/>
        </w:rPr>
        <w:t xml:space="preserve">Midgley, Mary, ‘Beasts Versus the Biosphere?’, </w:t>
      </w:r>
      <w:r w:rsidRPr="00F622F0">
        <w:rPr>
          <w:i/>
          <w:sz w:val="24"/>
          <w:szCs w:val="24"/>
          <w:lang w:val="en-US"/>
        </w:rPr>
        <w:t>Environmental Values</w:t>
      </w:r>
      <w:r w:rsidRPr="00F622F0">
        <w:rPr>
          <w:sz w:val="24"/>
          <w:szCs w:val="24"/>
          <w:lang w:val="en-US"/>
        </w:rPr>
        <w:t xml:space="preserve">, Vol.1, No.2, 1992, pp.113-21. </w:t>
      </w:r>
    </w:p>
    <w:p w14:paraId="4D219449" w14:textId="60085A47" w:rsidR="00A91785" w:rsidRPr="00F622F0" w:rsidRDefault="00A91785" w:rsidP="00F622F0">
      <w:pPr>
        <w:pStyle w:val="FootnoteText"/>
        <w:spacing w:after="120" w:line="264" w:lineRule="auto"/>
        <w:rPr>
          <w:sz w:val="24"/>
          <w:szCs w:val="24"/>
        </w:rPr>
      </w:pPr>
      <w:r w:rsidRPr="00F622F0">
        <w:rPr>
          <w:sz w:val="24"/>
          <w:szCs w:val="24"/>
        </w:rPr>
        <w:t>Regan, Tom, ‘Animal Rights, Human Wrongs’</w:t>
      </w:r>
      <w:r w:rsidR="00BD2782">
        <w:rPr>
          <w:sz w:val="24"/>
          <w:szCs w:val="24"/>
        </w:rPr>
        <w:t>, in</w:t>
      </w:r>
      <w:r w:rsidRPr="00F622F0">
        <w:rPr>
          <w:sz w:val="24"/>
          <w:szCs w:val="24"/>
        </w:rPr>
        <w:t xml:space="preserve"> </w:t>
      </w:r>
      <w:r w:rsidRPr="00F622F0">
        <w:rPr>
          <w:i/>
          <w:iCs/>
          <w:sz w:val="24"/>
          <w:szCs w:val="24"/>
        </w:rPr>
        <w:t>Environmental Philosophy: From Animal Rights to Radical Ecology,</w:t>
      </w:r>
      <w:r w:rsidRPr="00F622F0">
        <w:rPr>
          <w:sz w:val="24"/>
          <w:szCs w:val="24"/>
        </w:rPr>
        <w:t xml:space="preserve"> eds. Michael E. Zimmerman et al (Englewood Cliffs, New Jersey: Prentice Hall, 1998), pp.39-52.</w:t>
      </w:r>
    </w:p>
    <w:p w14:paraId="1C428811" w14:textId="1DDA798B" w:rsidR="00A91785" w:rsidRPr="00F622F0" w:rsidRDefault="00A91785" w:rsidP="00F622F0">
      <w:pPr>
        <w:spacing w:after="120" w:line="264" w:lineRule="auto"/>
        <w:rPr>
          <w:sz w:val="24"/>
          <w:szCs w:val="24"/>
          <w:lang w:val="en-US"/>
        </w:rPr>
      </w:pPr>
      <w:r w:rsidRPr="00F622F0">
        <w:rPr>
          <w:sz w:val="24"/>
          <w:szCs w:val="24"/>
          <w:lang w:val="en-US"/>
        </w:rPr>
        <w:t xml:space="preserve">Rolston, Holmes III, ‘Environmental Ethics: Values in and Duties to the Natural World’, in F. Herbert Bormann and Stephen R. Kellert, eds., </w:t>
      </w:r>
      <w:r w:rsidRPr="00F622F0">
        <w:rPr>
          <w:i/>
          <w:iCs/>
          <w:sz w:val="24"/>
          <w:szCs w:val="24"/>
          <w:lang w:val="en-US"/>
        </w:rPr>
        <w:t>Ecology, Economics, Ethics: The Broken Circle</w:t>
      </w:r>
      <w:r w:rsidR="00BD2782">
        <w:rPr>
          <w:sz w:val="24"/>
          <w:szCs w:val="24"/>
          <w:lang w:val="en-US"/>
        </w:rPr>
        <w:t xml:space="preserve"> (</w:t>
      </w:r>
      <w:r w:rsidRPr="00F622F0">
        <w:rPr>
          <w:sz w:val="24"/>
          <w:szCs w:val="24"/>
          <w:lang w:val="en-US"/>
        </w:rPr>
        <w:t>New Haven: Yale University Press, 1991</w:t>
      </w:r>
      <w:r w:rsidR="00BD2782">
        <w:rPr>
          <w:sz w:val="24"/>
          <w:szCs w:val="24"/>
          <w:lang w:val="en-US"/>
        </w:rPr>
        <w:t>)</w:t>
      </w:r>
      <w:r w:rsidRPr="00F622F0">
        <w:rPr>
          <w:sz w:val="24"/>
          <w:szCs w:val="24"/>
          <w:lang w:val="en-US"/>
        </w:rPr>
        <w:t xml:space="preserve"> pp.73-96.</w:t>
      </w:r>
    </w:p>
    <w:p w14:paraId="3F6ABBF5" w14:textId="61757E2B" w:rsidR="00A91785" w:rsidRPr="00F622F0" w:rsidRDefault="00A91785" w:rsidP="00F622F0">
      <w:pPr>
        <w:spacing w:after="120" w:line="264" w:lineRule="auto"/>
        <w:rPr>
          <w:sz w:val="24"/>
          <w:szCs w:val="24"/>
        </w:rPr>
      </w:pPr>
      <w:r w:rsidRPr="00F622F0">
        <w:rPr>
          <w:sz w:val="24"/>
          <w:szCs w:val="24"/>
        </w:rPr>
        <w:t xml:space="preserve">Sagoff, Mark, ‘Animal Liberation and Environmental Ethics: Bad Marriage, Quick Divorce’, </w:t>
      </w:r>
      <w:r w:rsidRPr="00F622F0">
        <w:rPr>
          <w:i/>
          <w:iCs/>
          <w:sz w:val="24"/>
          <w:szCs w:val="24"/>
        </w:rPr>
        <w:t>Osgoode Hall Journal</w:t>
      </w:r>
      <w:r w:rsidRPr="00F622F0">
        <w:rPr>
          <w:sz w:val="24"/>
          <w:szCs w:val="24"/>
        </w:rPr>
        <w:t>, Vol.22, No.2, 1984, pp.297-307.</w:t>
      </w:r>
    </w:p>
    <w:p w14:paraId="7CB9804A" w14:textId="77777777" w:rsidR="00A91785" w:rsidRPr="00F622F0" w:rsidRDefault="00A91785" w:rsidP="00F622F0">
      <w:pPr>
        <w:spacing w:after="120" w:line="264" w:lineRule="auto"/>
        <w:rPr>
          <w:sz w:val="24"/>
          <w:szCs w:val="24"/>
        </w:rPr>
      </w:pPr>
      <w:r w:rsidRPr="00F622F0">
        <w:rPr>
          <w:sz w:val="24"/>
          <w:szCs w:val="24"/>
        </w:rPr>
        <w:t xml:space="preserve">Singer, Peter, ‘All Animals are Equal’, in </w:t>
      </w:r>
      <w:r w:rsidRPr="00BD2782">
        <w:rPr>
          <w:i/>
          <w:iCs/>
          <w:sz w:val="24"/>
          <w:szCs w:val="24"/>
        </w:rPr>
        <w:t>Environmental Philosophy: From Animal Rights to Radical Ecology</w:t>
      </w:r>
      <w:r w:rsidRPr="00F622F0">
        <w:rPr>
          <w:sz w:val="24"/>
          <w:szCs w:val="24"/>
        </w:rPr>
        <w:t>, eds. Michael E. Zimmerman et al (Englewood Cliffs, New Jersey: Prentice Hall, 1998), pp.25-38.</w:t>
      </w:r>
    </w:p>
    <w:p w14:paraId="737B925D" w14:textId="77777777" w:rsidR="00A91785" w:rsidRPr="00F622F0" w:rsidRDefault="00A91785" w:rsidP="00F622F0">
      <w:pPr>
        <w:pStyle w:val="FootnoteText"/>
        <w:spacing w:after="120" w:line="264" w:lineRule="auto"/>
        <w:rPr>
          <w:sz w:val="24"/>
          <w:szCs w:val="24"/>
        </w:rPr>
      </w:pPr>
      <w:r w:rsidRPr="00F622F0">
        <w:rPr>
          <w:sz w:val="24"/>
          <w:szCs w:val="24"/>
        </w:rPr>
        <w:t xml:space="preserve">Singer, Peter, ‘All Animals are Equal’, </w:t>
      </w:r>
      <w:r w:rsidRPr="00F622F0">
        <w:rPr>
          <w:i/>
          <w:iCs/>
          <w:sz w:val="24"/>
          <w:szCs w:val="24"/>
        </w:rPr>
        <w:t>Philosophical Exchange</w:t>
      </w:r>
      <w:r w:rsidRPr="00F622F0">
        <w:rPr>
          <w:sz w:val="24"/>
          <w:szCs w:val="24"/>
        </w:rPr>
        <w:t>, Vol 1, No. 5 (Summer, 1974), pp.103-116.</w:t>
      </w:r>
    </w:p>
    <w:p w14:paraId="66AAE0CF" w14:textId="77777777" w:rsidR="00A91785" w:rsidRPr="00F622F0" w:rsidRDefault="00A91785" w:rsidP="00F622F0">
      <w:pPr>
        <w:pStyle w:val="FootnoteText"/>
        <w:spacing w:after="120" w:line="264" w:lineRule="auto"/>
        <w:rPr>
          <w:sz w:val="24"/>
          <w:szCs w:val="24"/>
        </w:rPr>
      </w:pPr>
      <w:r w:rsidRPr="00F622F0">
        <w:rPr>
          <w:sz w:val="24"/>
          <w:szCs w:val="24"/>
        </w:rPr>
        <w:t xml:space="preserve">Singer, Peter, </w:t>
      </w:r>
      <w:r w:rsidRPr="00F622F0">
        <w:rPr>
          <w:i/>
          <w:iCs/>
          <w:sz w:val="24"/>
          <w:szCs w:val="24"/>
        </w:rPr>
        <w:t>Animal Liberation: A New Ethics for our Treatment of Animals</w:t>
      </w:r>
      <w:r w:rsidRPr="00F622F0">
        <w:rPr>
          <w:sz w:val="24"/>
          <w:szCs w:val="24"/>
        </w:rPr>
        <w:t xml:space="preserve"> (New York: New York Review, 1975).</w:t>
      </w:r>
    </w:p>
    <w:p w14:paraId="1894B8C5" w14:textId="1D42A6E5" w:rsidR="009C1F4C" w:rsidRPr="00F622F0" w:rsidRDefault="006B1727" w:rsidP="006B1727">
      <w:pPr>
        <w:pStyle w:val="FootnoteText"/>
        <w:spacing w:after="120" w:line="264" w:lineRule="auto"/>
        <w:rPr>
          <w:sz w:val="24"/>
          <w:szCs w:val="24"/>
        </w:rPr>
      </w:pPr>
      <w:r w:rsidRPr="006B1727">
        <w:rPr>
          <w:sz w:val="24"/>
          <w:szCs w:val="24"/>
        </w:rPr>
        <w:t xml:space="preserve">Taylor, Paul W., ‘The Ethics of Respect for Nature’, in </w:t>
      </w:r>
      <w:r w:rsidRPr="006B1727">
        <w:rPr>
          <w:i/>
          <w:iCs/>
          <w:sz w:val="24"/>
          <w:szCs w:val="24"/>
        </w:rPr>
        <w:t>Environmental Philosophy: From Animal Rights to Radical Ecology</w:t>
      </w:r>
      <w:r w:rsidRPr="006B1727">
        <w:rPr>
          <w:sz w:val="24"/>
          <w:szCs w:val="24"/>
        </w:rPr>
        <w:t>, eds. Michael E. Zimmerman et al (Englewood Cliffs, New Jersey: Prentice Hall, 1998), pp.67-81</w:t>
      </w:r>
      <w:r>
        <w:rPr>
          <w:sz w:val="24"/>
          <w:szCs w:val="24"/>
        </w:rPr>
        <w:t>.</w:t>
      </w:r>
    </w:p>
    <w:sectPr w:rsidR="009C1F4C" w:rsidRPr="00F622F0">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93D6C" w14:textId="77777777" w:rsidR="00056514" w:rsidRDefault="00056514" w:rsidP="008B5C7D">
      <w:pPr>
        <w:spacing w:after="0" w:line="240" w:lineRule="auto"/>
      </w:pPr>
      <w:r>
        <w:separator/>
      </w:r>
    </w:p>
  </w:endnote>
  <w:endnote w:type="continuationSeparator" w:id="0">
    <w:p w14:paraId="72390FA8" w14:textId="77777777" w:rsidR="00056514" w:rsidRDefault="00056514" w:rsidP="008B5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EAE31" w14:textId="7499BA2F" w:rsidR="001057D1" w:rsidRPr="001057D1" w:rsidRDefault="001057D1" w:rsidP="001057D1">
    <w:pPr>
      <w:pStyle w:val="Footer"/>
      <w:jc w:val="right"/>
      <w:rPr>
        <w:sz w:val="20"/>
        <w:szCs w:val="20"/>
      </w:rPr>
    </w:pPr>
    <w:r w:rsidRPr="001057D1">
      <w:rPr>
        <w:sz w:val="20"/>
        <w:szCs w:val="20"/>
      </w:rPr>
      <w:t xml:space="preserve">Page </w:t>
    </w:r>
    <w:r w:rsidRPr="001057D1">
      <w:rPr>
        <w:sz w:val="20"/>
        <w:szCs w:val="20"/>
      </w:rPr>
      <w:fldChar w:fldCharType="begin"/>
    </w:r>
    <w:r w:rsidRPr="001057D1">
      <w:rPr>
        <w:sz w:val="20"/>
        <w:szCs w:val="20"/>
      </w:rPr>
      <w:instrText xml:space="preserve"> PAGE   \* MERGEFORMAT </w:instrText>
    </w:r>
    <w:r w:rsidRPr="001057D1">
      <w:rPr>
        <w:sz w:val="20"/>
        <w:szCs w:val="20"/>
      </w:rPr>
      <w:fldChar w:fldCharType="separate"/>
    </w:r>
    <w:r w:rsidRPr="001057D1">
      <w:rPr>
        <w:noProof/>
        <w:sz w:val="20"/>
        <w:szCs w:val="20"/>
      </w:rPr>
      <w:t>1</w:t>
    </w:r>
    <w:r w:rsidRPr="001057D1">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5AA9C" w14:textId="77777777" w:rsidR="00056514" w:rsidRDefault="00056514" w:rsidP="008B5C7D">
      <w:pPr>
        <w:spacing w:after="0" w:line="240" w:lineRule="auto"/>
      </w:pPr>
      <w:r>
        <w:separator/>
      </w:r>
    </w:p>
  </w:footnote>
  <w:footnote w:type="continuationSeparator" w:id="0">
    <w:p w14:paraId="3F1A9AD9" w14:textId="77777777" w:rsidR="00056514" w:rsidRDefault="00056514" w:rsidP="008B5C7D">
      <w:pPr>
        <w:spacing w:after="0" w:line="240" w:lineRule="auto"/>
      </w:pPr>
      <w:r>
        <w:continuationSeparator/>
      </w:r>
    </w:p>
  </w:footnote>
  <w:footnote w:id="1">
    <w:p w14:paraId="4796EF4F" w14:textId="5F4D1B75" w:rsidR="008B5C7D" w:rsidRDefault="008B5C7D" w:rsidP="008B5C7D">
      <w:pPr>
        <w:pStyle w:val="FootnoteText"/>
      </w:pPr>
      <w:r>
        <w:rPr>
          <w:rStyle w:val="FootnoteReference"/>
        </w:rPr>
        <w:footnoteRef/>
      </w:r>
      <w:r>
        <w:t xml:space="preserve"> </w:t>
      </w:r>
      <w:r w:rsidR="006445C6" w:rsidRPr="00903AF9">
        <w:t xml:space="preserve">Peter </w:t>
      </w:r>
      <w:r w:rsidRPr="00903AF9">
        <w:t xml:space="preserve">Singer, ‘All Animals are Equal’, </w:t>
      </w:r>
      <w:r w:rsidRPr="00903AF9">
        <w:rPr>
          <w:i/>
          <w:iCs/>
        </w:rPr>
        <w:t>Philosophic</w:t>
      </w:r>
      <w:r>
        <w:rPr>
          <w:i/>
          <w:iCs/>
        </w:rPr>
        <w:t>al</w:t>
      </w:r>
      <w:r w:rsidRPr="00903AF9">
        <w:rPr>
          <w:i/>
          <w:iCs/>
        </w:rPr>
        <w:t xml:space="preserve"> Exchange</w:t>
      </w:r>
      <w:r w:rsidRPr="00903AF9">
        <w:t>, Vol 1, No. 5 (Summer, 1974), pp.</w:t>
      </w:r>
      <w:r>
        <w:t>103-116</w:t>
      </w:r>
      <w:r w:rsidRPr="00903AF9">
        <w:t>.</w:t>
      </w:r>
    </w:p>
  </w:footnote>
  <w:footnote w:id="2">
    <w:p w14:paraId="04678A5C" w14:textId="0469CF99" w:rsidR="008B5C7D" w:rsidRDefault="008B5C7D" w:rsidP="008B5C7D">
      <w:pPr>
        <w:pStyle w:val="FootnoteText"/>
      </w:pPr>
      <w:r>
        <w:rPr>
          <w:rStyle w:val="FootnoteReference"/>
        </w:rPr>
        <w:footnoteRef/>
      </w:r>
      <w:r>
        <w:t xml:space="preserve"> </w:t>
      </w:r>
      <w:r w:rsidR="006445C6" w:rsidRPr="00903AF9">
        <w:t>P</w:t>
      </w:r>
      <w:r w:rsidR="006445C6">
        <w:t>eter</w:t>
      </w:r>
      <w:r w:rsidR="006445C6" w:rsidRPr="00903AF9">
        <w:t xml:space="preserve"> </w:t>
      </w:r>
      <w:r w:rsidRPr="00903AF9">
        <w:t xml:space="preserve">Singer, </w:t>
      </w:r>
      <w:r w:rsidRPr="00903AF9">
        <w:rPr>
          <w:i/>
          <w:iCs/>
        </w:rPr>
        <w:t xml:space="preserve">Animal Liberation: A New Ethics for </w:t>
      </w:r>
      <w:r>
        <w:rPr>
          <w:i/>
          <w:iCs/>
        </w:rPr>
        <w:t>o</w:t>
      </w:r>
      <w:r w:rsidRPr="00903AF9">
        <w:rPr>
          <w:i/>
          <w:iCs/>
        </w:rPr>
        <w:t>ur Treatment of Animals</w:t>
      </w:r>
      <w:r>
        <w:t xml:space="preserve"> (</w:t>
      </w:r>
      <w:r w:rsidRPr="00903AF9">
        <w:t>New York: New York Review</w:t>
      </w:r>
      <w:r>
        <w:t>, 1975)</w:t>
      </w:r>
      <w:r w:rsidRPr="00903AF9">
        <w:t>.</w:t>
      </w:r>
    </w:p>
  </w:footnote>
  <w:footnote w:id="3">
    <w:p w14:paraId="1333AB0A" w14:textId="4FA260D3" w:rsidR="008B5C7D" w:rsidRPr="00903AF9" w:rsidRDefault="008B5C7D" w:rsidP="008B5C7D">
      <w:pPr>
        <w:pStyle w:val="FootnoteText"/>
      </w:pPr>
      <w:r>
        <w:rPr>
          <w:rStyle w:val="FootnoteReference"/>
        </w:rPr>
        <w:footnoteRef/>
      </w:r>
      <w:r>
        <w:t xml:space="preserve"> </w:t>
      </w:r>
      <w:r w:rsidR="006445C6">
        <w:t xml:space="preserve">Rebekah </w:t>
      </w:r>
      <w:r w:rsidR="00E45B61">
        <w:t xml:space="preserve">Humphreys, </w:t>
      </w:r>
      <w:r w:rsidR="00E45B61">
        <w:rPr>
          <w:i/>
          <w:iCs/>
        </w:rPr>
        <w:t xml:space="preserve">Animal Studies and Philosophy </w:t>
      </w:r>
      <w:r w:rsidR="00E45B61">
        <w:t>(Cambridge: Polity Press, 2026)</w:t>
      </w:r>
      <w:r w:rsidR="00E45B61">
        <w:rPr>
          <w:i/>
          <w:iCs/>
        </w:rPr>
        <w:t xml:space="preserve">, </w:t>
      </w:r>
      <w:r w:rsidR="00AD4439">
        <w:t>p</w:t>
      </w:r>
      <w:r w:rsidR="00E45B61">
        <w:t>.1.</w:t>
      </w:r>
    </w:p>
  </w:footnote>
  <w:footnote w:id="4">
    <w:p w14:paraId="3710C05E" w14:textId="1B71CB94" w:rsidR="000F6DE7" w:rsidRDefault="000F6DE7">
      <w:pPr>
        <w:pStyle w:val="FootnoteText"/>
      </w:pPr>
      <w:r>
        <w:rPr>
          <w:rStyle w:val="FootnoteReference"/>
        </w:rPr>
        <w:footnoteRef/>
      </w:r>
      <w:r>
        <w:t xml:space="preserve"> Singer, ‘All Animals are Equal’, 1998, </w:t>
      </w:r>
      <w:r w:rsidR="00AD4439">
        <w:t>p</w:t>
      </w:r>
      <w:r>
        <w:t>.30.</w:t>
      </w:r>
    </w:p>
  </w:footnote>
  <w:footnote w:id="5">
    <w:p w14:paraId="59D51FBF" w14:textId="28EC15DC" w:rsidR="008B5C7D" w:rsidRDefault="008B5C7D" w:rsidP="008B5C7D">
      <w:pPr>
        <w:pStyle w:val="FootnoteText"/>
      </w:pPr>
      <w:r>
        <w:rPr>
          <w:rStyle w:val="FootnoteReference"/>
        </w:rPr>
        <w:footnoteRef/>
      </w:r>
      <w:r>
        <w:t xml:space="preserve"> A term </w:t>
      </w:r>
      <w:r w:rsidRPr="000F6DE7">
        <w:rPr>
          <w:color w:val="000000" w:themeColor="text1"/>
        </w:rPr>
        <w:t>coined by Richard Ryder</w:t>
      </w:r>
      <w:r w:rsidR="000F6DE7" w:rsidRPr="000F6DE7">
        <w:rPr>
          <w:color w:val="000000" w:themeColor="text1"/>
        </w:rPr>
        <w:t>, cited in Singer</w:t>
      </w:r>
      <w:r w:rsidR="000F6DE7">
        <w:t xml:space="preserve">, ‘All Animals are Equal’, 1998, </w:t>
      </w:r>
      <w:r w:rsidR="00AD4439">
        <w:t>p</w:t>
      </w:r>
      <w:r w:rsidR="000F6DE7">
        <w:t>.30.</w:t>
      </w:r>
    </w:p>
  </w:footnote>
  <w:footnote w:id="6">
    <w:p w14:paraId="602FC6F0" w14:textId="5E20069E" w:rsidR="008B5C7D" w:rsidRPr="00D1594F" w:rsidRDefault="008B5C7D" w:rsidP="008B5C7D">
      <w:pPr>
        <w:pStyle w:val="FootnoteText"/>
      </w:pPr>
      <w:r>
        <w:rPr>
          <w:rStyle w:val="FootnoteReference"/>
        </w:rPr>
        <w:footnoteRef/>
      </w:r>
      <w:r>
        <w:t xml:space="preserve"> </w:t>
      </w:r>
      <w:r w:rsidR="006445C6">
        <w:t xml:space="preserve">Robin </w:t>
      </w:r>
      <w:r>
        <w:t xml:space="preserve">Attfield, </w:t>
      </w:r>
      <w:r>
        <w:rPr>
          <w:i/>
          <w:iCs/>
        </w:rPr>
        <w:t>Applied Ethics: An Introduction</w:t>
      </w:r>
      <w:r w:rsidR="000F6DE7">
        <w:t xml:space="preserve"> (Cambridge: Polity Press, 2023),</w:t>
      </w:r>
      <w:r>
        <w:t xml:space="preserve"> </w:t>
      </w:r>
      <w:r w:rsidR="00AD4439">
        <w:t>p</w:t>
      </w:r>
      <w:r>
        <w:t>.60</w:t>
      </w:r>
      <w:r w:rsidR="009D5B4E">
        <w:t>.</w:t>
      </w:r>
    </w:p>
  </w:footnote>
  <w:footnote w:id="7">
    <w:p w14:paraId="23EFDC40" w14:textId="4CCC10CA" w:rsidR="008B5C7D" w:rsidRDefault="008B5C7D" w:rsidP="008B5C7D">
      <w:pPr>
        <w:pStyle w:val="FootnoteText"/>
      </w:pPr>
      <w:r w:rsidRPr="000F6DE7">
        <w:rPr>
          <w:rStyle w:val="FootnoteReference"/>
          <w:color w:val="000000" w:themeColor="text1"/>
        </w:rPr>
        <w:footnoteRef/>
      </w:r>
      <w:r w:rsidRPr="000F6DE7">
        <w:rPr>
          <w:rStyle w:val="FootnoteReference"/>
          <w:color w:val="000000" w:themeColor="text1"/>
        </w:rPr>
        <w:t xml:space="preserve"> </w:t>
      </w:r>
      <w:r w:rsidR="006445C6">
        <w:t xml:space="preserve">Tom </w:t>
      </w:r>
      <w:r w:rsidR="000F6DE7">
        <w:t xml:space="preserve">Regan, ‘Animal Rights, Human Wrongs’, </w:t>
      </w:r>
      <w:r w:rsidR="000F6DE7" w:rsidRPr="008B5C7D">
        <w:t xml:space="preserve">in </w:t>
      </w:r>
      <w:r w:rsidR="000F6DE7" w:rsidRPr="000F6DE7">
        <w:rPr>
          <w:i/>
          <w:iCs/>
        </w:rPr>
        <w:t>Environmental Philosophy: From Animal Rights to Radical Ecology,</w:t>
      </w:r>
      <w:r w:rsidR="000F6DE7" w:rsidRPr="008B5C7D">
        <w:t xml:space="preserve"> eds. Michael E. Zimmerman et al (Englewood Cliffs, New Jersey: Prentice Hall, 1998), pp.3</w:t>
      </w:r>
      <w:r w:rsidR="000F6DE7">
        <w:t>9-52.</w:t>
      </w:r>
    </w:p>
  </w:footnote>
  <w:footnote w:id="8">
    <w:p w14:paraId="43E14EC7" w14:textId="691FF505" w:rsidR="008B5C7D" w:rsidRDefault="008B5C7D" w:rsidP="008B5C7D">
      <w:pPr>
        <w:pStyle w:val="FootnoteText"/>
      </w:pPr>
      <w:r w:rsidRPr="000F6DE7">
        <w:rPr>
          <w:rStyle w:val="FootnoteReference"/>
          <w:color w:val="000000" w:themeColor="text1"/>
        </w:rPr>
        <w:footnoteRef/>
      </w:r>
      <w:r w:rsidR="006445C6">
        <w:rPr>
          <w:color w:val="000000" w:themeColor="text1"/>
        </w:rPr>
        <w:t xml:space="preserve"> </w:t>
      </w:r>
      <w:r w:rsidR="000F6DE7" w:rsidRPr="000F6DE7">
        <w:rPr>
          <w:color w:val="000000" w:themeColor="text1"/>
        </w:rPr>
        <w:t>Lori</w:t>
      </w:r>
      <w:r w:rsidR="006445C6" w:rsidRPr="006445C6">
        <w:rPr>
          <w:color w:val="000000" w:themeColor="text1"/>
        </w:rPr>
        <w:t xml:space="preserve"> </w:t>
      </w:r>
      <w:r w:rsidR="006445C6" w:rsidRPr="000F6DE7">
        <w:rPr>
          <w:color w:val="000000" w:themeColor="text1"/>
        </w:rPr>
        <w:t>Gruen</w:t>
      </w:r>
      <w:r w:rsidR="000F6DE7" w:rsidRPr="000F6DE7">
        <w:rPr>
          <w:color w:val="000000" w:themeColor="text1"/>
        </w:rPr>
        <w:t xml:space="preserve">, ‘Animals’, in Peter Singer (ed) </w:t>
      </w:r>
      <w:r w:rsidR="000F6DE7" w:rsidRPr="000F6DE7">
        <w:rPr>
          <w:i/>
          <w:iCs/>
          <w:color w:val="000000" w:themeColor="text1"/>
        </w:rPr>
        <w:t xml:space="preserve">A Companion to Ethics </w:t>
      </w:r>
      <w:r w:rsidR="000F6DE7" w:rsidRPr="000F6DE7">
        <w:rPr>
          <w:color w:val="000000" w:themeColor="text1"/>
        </w:rPr>
        <w:t>(Oxford and Cambridge, MA: Blackwell, 1991), pp.343-53</w:t>
      </w:r>
      <w:r w:rsidR="009D5B4E">
        <w:rPr>
          <w:color w:val="000000" w:themeColor="text1"/>
        </w:rPr>
        <w:t>, c</w:t>
      </w:r>
      <w:r w:rsidRPr="000F6DE7">
        <w:rPr>
          <w:color w:val="000000" w:themeColor="text1"/>
        </w:rPr>
        <w:t xml:space="preserve">ited in Attfield, </w:t>
      </w:r>
      <w:r w:rsidRPr="000F6DE7">
        <w:rPr>
          <w:i/>
          <w:iCs/>
          <w:color w:val="000000" w:themeColor="text1"/>
        </w:rPr>
        <w:t>Applied Ethics</w:t>
      </w:r>
      <w:r w:rsidRPr="000F6DE7">
        <w:rPr>
          <w:color w:val="000000" w:themeColor="text1"/>
        </w:rPr>
        <w:t xml:space="preserve">, </w:t>
      </w:r>
      <w:r w:rsidR="00AD4439">
        <w:rPr>
          <w:color w:val="000000" w:themeColor="text1"/>
        </w:rPr>
        <w:t>p</w:t>
      </w:r>
      <w:r w:rsidRPr="000F6DE7">
        <w:rPr>
          <w:color w:val="000000" w:themeColor="text1"/>
        </w:rPr>
        <w:t>.58</w:t>
      </w:r>
      <w:r w:rsidR="000F6DE7" w:rsidRPr="000F6DE7">
        <w:rPr>
          <w:color w:val="000000" w:themeColor="text1"/>
        </w:rPr>
        <w:t>.</w:t>
      </w:r>
    </w:p>
  </w:footnote>
  <w:footnote w:id="9">
    <w:p w14:paraId="359805BB" w14:textId="638DD0A1" w:rsidR="008B5C7D" w:rsidRDefault="008B5C7D" w:rsidP="008B5C7D">
      <w:pPr>
        <w:pStyle w:val="FootnoteText"/>
      </w:pPr>
      <w:r>
        <w:rPr>
          <w:rStyle w:val="FootnoteReference"/>
        </w:rPr>
        <w:footnoteRef/>
      </w:r>
      <w:r>
        <w:t xml:space="preserve"> </w:t>
      </w:r>
      <w:r w:rsidR="000F6DE7">
        <w:t xml:space="preserve">Singer, ‘All Animals are Equal’, 1998, </w:t>
      </w:r>
      <w:r w:rsidR="00AD4439">
        <w:t>p</w:t>
      </w:r>
      <w:r w:rsidR="00D1522F">
        <w:t>.30.</w:t>
      </w:r>
    </w:p>
  </w:footnote>
  <w:footnote w:id="10">
    <w:p w14:paraId="0E021CE7" w14:textId="5AB1403E" w:rsidR="007B373F" w:rsidRPr="001830AD" w:rsidRDefault="007B373F" w:rsidP="007B373F">
      <w:pPr>
        <w:pStyle w:val="FootnoteText"/>
      </w:pPr>
      <w:r>
        <w:rPr>
          <w:rStyle w:val="FootnoteReference"/>
        </w:rPr>
        <w:footnoteRef/>
      </w:r>
      <w:r>
        <w:t xml:space="preserve"> </w:t>
      </w:r>
      <w:r w:rsidRPr="001830AD">
        <w:t xml:space="preserve">Kenneth Goodpaster, ‘On Being Morally Considerable’, </w:t>
      </w:r>
      <w:r w:rsidRPr="001830AD">
        <w:rPr>
          <w:i/>
          <w:iCs/>
        </w:rPr>
        <w:t>Journal of Philosophy</w:t>
      </w:r>
      <w:r w:rsidRPr="001830AD">
        <w:t xml:space="preserve">, 75, 1978. Reprinted in </w:t>
      </w:r>
      <w:r w:rsidRPr="001830AD">
        <w:rPr>
          <w:i/>
          <w:iCs/>
        </w:rPr>
        <w:t>Environmental Philosophy: From Animal Rights to Radical Ecology</w:t>
      </w:r>
      <w:r w:rsidRPr="001830AD">
        <w:t>, eds. Michael E. Zimmerman et al (Englewood Cliffs, New Jersey: Prentice Hall, 1998), pp.53-66.</w:t>
      </w:r>
    </w:p>
  </w:footnote>
  <w:footnote w:id="11">
    <w:p w14:paraId="12532E53" w14:textId="5B71D877" w:rsidR="008B5C7D" w:rsidRDefault="008B5C7D" w:rsidP="008B5C7D">
      <w:pPr>
        <w:pStyle w:val="FootnoteText"/>
      </w:pPr>
      <w:r>
        <w:rPr>
          <w:rStyle w:val="FootnoteReference"/>
        </w:rPr>
        <w:footnoteRef/>
      </w:r>
      <w:r>
        <w:t xml:space="preserve"> </w:t>
      </w:r>
      <w:r w:rsidR="006445C6">
        <w:t xml:space="preserve">Robin </w:t>
      </w:r>
      <w:r>
        <w:t>Attfield</w:t>
      </w:r>
      <w:r w:rsidR="00D1522F">
        <w:t>,</w:t>
      </w:r>
      <w:r>
        <w:t xml:space="preserve"> </w:t>
      </w:r>
      <w:r w:rsidRPr="00DA390F">
        <w:rPr>
          <w:i/>
          <w:iCs/>
        </w:rPr>
        <w:t>Env</w:t>
      </w:r>
      <w:r>
        <w:rPr>
          <w:i/>
          <w:iCs/>
        </w:rPr>
        <w:t>ironmental</w:t>
      </w:r>
      <w:r w:rsidRPr="00DA390F">
        <w:rPr>
          <w:i/>
          <w:iCs/>
        </w:rPr>
        <w:t xml:space="preserve"> Ethics</w:t>
      </w:r>
      <w:r w:rsidR="00D1522F">
        <w:rPr>
          <w:i/>
          <w:iCs/>
        </w:rPr>
        <w:t xml:space="preserve">: An Introduction, </w:t>
      </w:r>
      <w:r w:rsidR="00D1522F">
        <w:t>2</w:t>
      </w:r>
      <w:r w:rsidR="00D1522F" w:rsidRPr="00D1522F">
        <w:rPr>
          <w:vertAlign w:val="superscript"/>
        </w:rPr>
        <w:t>nd</w:t>
      </w:r>
      <w:r w:rsidR="00D1522F">
        <w:t xml:space="preserve"> Ed.</w:t>
      </w:r>
      <w:r w:rsidR="00D1522F">
        <w:rPr>
          <w:i/>
          <w:iCs/>
        </w:rPr>
        <w:t xml:space="preserve"> </w:t>
      </w:r>
      <w:r w:rsidR="00D1522F">
        <w:t>(Cambridge: Polity Press, 2014)</w:t>
      </w:r>
      <w:r>
        <w:t xml:space="preserve">, </w:t>
      </w:r>
      <w:r w:rsidR="005375AB">
        <w:t>pp</w:t>
      </w:r>
      <w:r>
        <w:t>.42</w:t>
      </w:r>
      <w:r w:rsidR="00D1522F">
        <w:t>-3.</w:t>
      </w:r>
    </w:p>
  </w:footnote>
  <w:footnote w:id="12">
    <w:p w14:paraId="1C24E000" w14:textId="052D76BF" w:rsidR="008B5C7D" w:rsidRDefault="008B5C7D" w:rsidP="008B5C7D">
      <w:pPr>
        <w:pStyle w:val="FootnoteText"/>
      </w:pPr>
      <w:r>
        <w:rPr>
          <w:rStyle w:val="FootnoteReference"/>
        </w:rPr>
        <w:footnoteRef/>
      </w:r>
      <w:r>
        <w:t xml:space="preserve"> Attfield, </w:t>
      </w:r>
      <w:r w:rsidRPr="00D1522F">
        <w:rPr>
          <w:i/>
          <w:iCs/>
        </w:rPr>
        <w:t>Applied Ethics</w:t>
      </w:r>
      <w:r>
        <w:t xml:space="preserve">, </w:t>
      </w:r>
      <w:r w:rsidR="005375AB">
        <w:t>p</w:t>
      </w:r>
      <w:r>
        <w:t>.60</w:t>
      </w:r>
      <w:r w:rsidR="009D5B4E">
        <w:t>.</w:t>
      </w:r>
    </w:p>
  </w:footnote>
  <w:footnote w:id="13">
    <w:p w14:paraId="4DB21C2B" w14:textId="398A2546" w:rsidR="008B5C7D" w:rsidRDefault="008B5C7D" w:rsidP="008B5C7D">
      <w:pPr>
        <w:pStyle w:val="FootnoteText"/>
      </w:pPr>
      <w:r>
        <w:rPr>
          <w:rStyle w:val="FootnoteReference"/>
        </w:rPr>
        <w:footnoteRef/>
      </w:r>
      <w:r>
        <w:t xml:space="preserve"> </w:t>
      </w:r>
      <w:r w:rsidR="006671D3" w:rsidRPr="006671D3">
        <w:rPr>
          <w:i/>
          <w:iCs/>
        </w:rPr>
        <w:t>Ibid</w:t>
      </w:r>
      <w:r w:rsidR="006671D3">
        <w:t>.</w:t>
      </w:r>
      <w:r>
        <w:t xml:space="preserve">, </w:t>
      </w:r>
      <w:r w:rsidR="005375AB">
        <w:t>pp</w:t>
      </w:r>
      <w:r>
        <w:t>.56-7.</w:t>
      </w:r>
    </w:p>
  </w:footnote>
  <w:footnote w:id="14">
    <w:p w14:paraId="44EF71FE" w14:textId="7B15AE1A" w:rsidR="008B5C7D" w:rsidRPr="009C1F4C" w:rsidRDefault="008B5C7D" w:rsidP="009C1F4C">
      <w:pPr>
        <w:pStyle w:val="FootnoteText"/>
        <w:rPr>
          <w:lang w:val="en-US"/>
        </w:rPr>
      </w:pPr>
      <w:r>
        <w:rPr>
          <w:rStyle w:val="FootnoteReference"/>
        </w:rPr>
        <w:footnoteRef/>
      </w:r>
      <w:r>
        <w:t xml:space="preserve"> </w:t>
      </w:r>
      <w:r w:rsidRPr="009C1F4C">
        <w:t>For example</w:t>
      </w:r>
      <w:r w:rsidR="006445C6" w:rsidRPr="009C1F4C">
        <w:t xml:space="preserve">, J. Baird </w:t>
      </w:r>
      <w:r w:rsidR="009C1F4C" w:rsidRPr="009C1F4C">
        <w:t xml:space="preserve">Callicott, ‘Animal Liberation: A Triangular Affair’, </w:t>
      </w:r>
      <w:r w:rsidR="009C1F4C" w:rsidRPr="009C1F4C">
        <w:rPr>
          <w:i/>
          <w:iCs/>
        </w:rPr>
        <w:t>Environmental Ethics</w:t>
      </w:r>
      <w:r w:rsidR="009C1F4C" w:rsidRPr="009C1F4C">
        <w:t>, Vol.2, 1980, pp.311-38</w:t>
      </w:r>
      <w:r w:rsidRPr="009C1F4C">
        <w:t>;</w:t>
      </w:r>
      <w:r w:rsidR="006445C6">
        <w:t xml:space="preserve"> Mark</w:t>
      </w:r>
      <w:r w:rsidRPr="009C1F4C">
        <w:t xml:space="preserve"> </w:t>
      </w:r>
      <w:r w:rsidR="009C1F4C" w:rsidRPr="009C1F4C">
        <w:t xml:space="preserve">Sagoff, ‘Animal Liberation and Environmental Ethics: Bad Marriage, Quick Divorce’, in </w:t>
      </w:r>
      <w:r w:rsidR="009C1F4C" w:rsidRPr="009C1F4C">
        <w:rPr>
          <w:i/>
          <w:iCs/>
        </w:rPr>
        <w:t>Osgoode Hall Journal</w:t>
      </w:r>
      <w:r w:rsidR="009C1F4C" w:rsidRPr="009C1F4C">
        <w:t>, Vol.22, No.2, 1984, pp.297-307.</w:t>
      </w:r>
      <w:r w:rsidR="009C1F4C">
        <w:rPr>
          <w:lang w:val="en-US"/>
        </w:rPr>
        <w:t xml:space="preserve"> </w:t>
      </w:r>
    </w:p>
  </w:footnote>
  <w:footnote w:id="15">
    <w:p w14:paraId="30F4E4FB" w14:textId="03C4B252" w:rsidR="008B5C7D" w:rsidRPr="00DD1C96" w:rsidRDefault="008B5C7D" w:rsidP="008B5C7D">
      <w:pPr>
        <w:pStyle w:val="FootnoteText"/>
      </w:pPr>
      <w:r>
        <w:rPr>
          <w:rStyle w:val="FootnoteReference"/>
        </w:rPr>
        <w:footnoteRef/>
      </w:r>
      <w:r>
        <w:t xml:space="preserve"> Humphreys, </w:t>
      </w:r>
      <w:r>
        <w:rPr>
          <w:i/>
          <w:iCs/>
        </w:rPr>
        <w:t xml:space="preserve">Animal Studies and Philosophy, </w:t>
      </w:r>
      <w:r w:rsidR="009D5B4E">
        <w:t>p</w:t>
      </w:r>
      <w:r w:rsidR="005375AB">
        <w:t>p</w:t>
      </w:r>
      <w:r>
        <w:t>.114-5</w:t>
      </w:r>
      <w:r w:rsidR="009D5B4E">
        <w:t>.</w:t>
      </w:r>
    </w:p>
  </w:footnote>
  <w:footnote w:id="16">
    <w:p w14:paraId="3E014481" w14:textId="1FBE9367" w:rsidR="008B5C7D" w:rsidRDefault="008B5C7D" w:rsidP="008B5C7D">
      <w:pPr>
        <w:pStyle w:val="FootnoteText"/>
      </w:pPr>
      <w:r>
        <w:rPr>
          <w:rStyle w:val="FootnoteReference"/>
        </w:rPr>
        <w:footnoteRef/>
      </w:r>
      <w:r>
        <w:t xml:space="preserve"> Attfield, </w:t>
      </w:r>
      <w:r>
        <w:rPr>
          <w:i/>
          <w:iCs/>
        </w:rPr>
        <w:t>Applied Ethics</w:t>
      </w:r>
      <w:r w:rsidR="009D5B4E">
        <w:rPr>
          <w:i/>
          <w:iCs/>
        </w:rPr>
        <w:t>,</w:t>
      </w:r>
      <w:r>
        <w:rPr>
          <w:i/>
          <w:iCs/>
        </w:rPr>
        <w:t xml:space="preserve"> </w:t>
      </w:r>
      <w:r w:rsidR="009D5B4E">
        <w:t>p</w:t>
      </w:r>
      <w:r w:rsidR="005375AB">
        <w:t>p</w:t>
      </w:r>
      <w:r>
        <w:t>.72-3</w:t>
      </w:r>
      <w:r w:rsidR="009D5B4E">
        <w:t>.</w:t>
      </w:r>
    </w:p>
  </w:footnote>
  <w:footnote w:id="17">
    <w:p w14:paraId="1C8F1C51" w14:textId="333D27C0" w:rsidR="008B5C7D" w:rsidRPr="001F1987" w:rsidRDefault="008B5C7D" w:rsidP="008B5C7D">
      <w:pPr>
        <w:pStyle w:val="FootnoteText"/>
      </w:pPr>
      <w:r>
        <w:rPr>
          <w:rStyle w:val="FootnoteReference"/>
        </w:rPr>
        <w:footnoteRef/>
      </w:r>
      <w:r>
        <w:t xml:space="preserve"> </w:t>
      </w:r>
      <w:r w:rsidR="006445C6" w:rsidRPr="001F1987">
        <w:t xml:space="preserve">Paul W. </w:t>
      </w:r>
      <w:r w:rsidRPr="001F1987">
        <w:t>Taylor, ‘The Ethics of Respect for Nature’,</w:t>
      </w:r>
      <w:r>
        <w:t xml:space="preserve"> </w:t>
      </w:r>
      <w:r>
        <w:rPr>
          <w:i/>
          <w:iCs/>
        </w:rPr>
        <w:t xml:space="preserve">Environmental Ethics, </w:t>
      </w:r>
      <w:r>
        <w:t xml:space="preserve">Vol 3, No 3 (Fall 1981), </w:t>
      </w:r>
      <w:r w:rsidR="009D5B4E">
        <w:t>pp</w:t>
      </w:r>
      <w:r>
        <w:t>.197-218.</w:t>
      </w:r>
    </w:p>
  </w:footnote>
  <w:footnote w:id="18">
    <w:p w14:paraId="393E0DD7" w14:textId="15BAA793" w:rsidR="008B5C7D" w:rsidRDefault="008B5C7D" w:rsidP="008B5C7D">
      <w:pPr>
        <w:pStyle w:val="FootnoteText"/>
      </w:pPr>
      <w:r>
        <w:rPr>
          <w:rStyle w:val="FootnoteReference"/>
        </w:rPr>
        <w:footnoteRef/>
      </w:r>
      <w:r>
        <w:t xml:space="preserve"> Attfield, </w:t>
      </w:r>
      <w:r w:rsidRPr="003804BC">
        <w:rPr>
          <w:i/>
          <w:iCs/>
        </w:rPr>
        <w:t>Environmental Ethics</w:t>
      </w:r>
      <w:r>
        <w:t xml:space="preserve">, </w:t>
      </w:r>
      <w:r w:rsidR="009D5B4E">
        <w:t>p</w:t>
      </w:r>
      <w:r>
        <w:t>.43</w:t>
      </w:r>
      <w:r w:rsidR="009D5B4E">
        <w:t>.</w:t>
      </w:r>
    </w:p>
  </w:footnote>
  <w:footnote w:id="19">
    <w:p w14:paraId="326D9BCF" w14:textId="159EEAA3" w:rsidR="00F101A4" w:rsidRDefault="00F101A4" w:rsidP="00F101A4">
      <w:pPr>
        <w:pStyle w:val="FootnoteText"/>
      </w:pPr>
      <w:r>
        <w:rPr>
          <w:rStyle w:val="FootnoteReference"/>
        </w:rPr>
        <w:footnoteRef/>
      </w:r>
      <w:r>
        <w:t xml:space="preserve"> Taylor, ‘The Ethics of Respect for Nature’, 1998, </w:t>
      </w:r>
      <w:r w:rsidR="009D5B4E">
        <w:t>p</w:t>
      </w:r>
      <w:r>
        <w:t>.70.</w:t>
      </w:r>
    </w:p>
  </w:footnote>
  <w:footnote w:id="20">
    <w:p w14:paraId="7C0B0ACD" w14:textId="0257672F" w:rsidR="00F101A4" w:rsidRDefault="00F101A4" w:rsidP="00F101A4">
      <w:pPr>
        <w:pStyle w:val="FootnoteText"/>
      </w:pPr>
      <w:r>
        <w:rPr>
          <w:rStyle w:val="FootnoteReference"/>
        </w:rPr>
        <w:footnoteRef/>
      </w:r>
      <w:r>
        <w:t xml:space="preserve"> </w:t>
      </w:r>
      <w:r w:rsidR="006671D3" w:rsidRPr="006671D3">
        <w:rPr>
          <w:i/>
          <w:iCs/>
        </w:rPr>
        <w:t>Ibid.</w:t>
      </w:r>
    </w:p>
  </w:footnote>
  <w:footnote w:id="21">
    <w:p w14:paraId="212AC349" w14:textId="186ADE12" w:rsidR="008B5C7D" w:rsidRDefault="008B5C7D" w:rsidP="008B5C7D">
      <w:pPr>
        <w:pStyle w:val="FootnoteText"/>
      </w:pPr>
      <w:r>
        <w:rPr>
          <w:rStyle w:val="FootnoteReference"/>
        </w:rPr>
        <w:footnoteRef/>
      </w:r>
      <w:r>
        <w:t xml:space="preserve"> </w:t>
      </w:r>
      <w:r w:rsidR="006671D3">
        <w:rPr>
          <w:i/>
          <w:iCs/>
        </w:rPr>
        <w:t>Ibid.</w:t>
      </w:r>
      <w:r w:rsidR="00E16883">
        <w:t xml:space="preserve">, </w:t>
      </w:r>
      <w:r w:rsidR="005375AB">
        <w:t>p</w:t>
      </w:r>
      <w:r>
        <w:t>.68</w:t>
      </w:r>
      <w:r w:rsidR="003804BC">
        <w:t>.</w:t>
      </w:r>
    </w:p>
  </w:footnote>
  <w:footnote w:id="22">
    <w:p w14:paraId="00927FB8" w14:textId="6BDE5F77" w:rsidR="008B5C7D" w:rsidRDefault="008B5C7D" w:rsidP="008B5C7D">
      <w:pPr>
        <w:pStyle w:val="FootnoteText"/>
      </w:pPr>
      <w:r>
        <w:rPr>
          <w:rStyle w:val="FootnoteReference"/>
        </w:rPr>
        <w:footnoteRef/>
      </w:r>
      <w:r>
        <w:t xml:space="preserve"> </w:t>
      </w:r>
      <w:r w:rsidR="006671D3">
        <w:rPr>
          <w:i/>
          <w:iCs/>
        </w:rPr>
        <w:t>Ibid.</w:t>
      </w:r>
      <w:r w:rsidR="006671D3">
        <w:t>,</w:t>
      </w:r>
      <w:r w:rsidR="00E16883">
        <w:t xml:space="preserve"> </w:t>
      </w:r>
      <w:r w:rsidR="005375AB">
        <w:t>p</w:t>
      </w:r>
      <w:r>
        <w:t>.70</w:t>
      </w:r>
      <w:r w:rsidR="003804BC">
        <w:t>.</w:t>
      </w:r>
    </w:p>
  </w:footnote>
  <w:footnote w:id="23">
    <w:p w14:paraId="6D15A2DB" w14:textId="444EF2AA" w:rsidR="008B5C7D" w:rsidRDefault="008B5C7D" w:rsidP="008B5C7D">
      <w:pPr>
        <w:pStyle w:val="FootnoteText"/>
      </w:pPr>
      <w:r>
        <w:rPr>
          <w:rStyle w:val="FootnoteReference"/>
        </w:rPr>
        <w:footnoteRef/>
      </w:r>
      <w:r>
        <w:t xml:space="preserve"> </w:t>
      </w:r>
      <w:r w:rsidR="006671D3">
        <w:rPr>
          <w:i/>
          <w:iCs/>
        </w:rPr>
        <w:t>Ibid.</w:t>
      </w:r>
      <w:r w:rsidR="006671D3">
        <w:t>,</w:t>
      </w:r>
      <w:r w:rsidR="00E16883">
        <w:t xml:space="preserve"> </w:t>
      </w:r>
      <w:r w:rsidR="005375AB">
        <w:t>p</w:t>
      </w:r>
      <w:r w:rsidR="00563F0A">
        <w:t>.</w:t>
      </w:r>
      <w:r>
        <w:t>80</w:t>
      </w:r>
      <w:r w:rsidR="006671D3">
        <w:t>.</w:t>
      </w:r>
    </w:p>
  </w:footnote>
  <w:footnote w:id="24">
    <w:p w14:paraId="72158E50" w14:textId="21A60125" w:rsidR="008B5C7D" w:rsidRDefault="008B5C7D" w:rsidP="008B5C7D">
      <w:pPr>
        <w:pStyle w:val="FootnoteText"/>
      </w:pPr>
      <w:r>
        <w:rPr>
          <w:rStyle w:val="FootnoteReference"/>
        </w:rPr>
        <w:footnoteRef/>
      </w:r>
      <w:r>
        <w:t xml:space="preserve"> </w:t>
      </w:r>
      <w:r w:rsidR="006671D3">
        <w:rPr>
          <w:i/>
          <w:iCs/>
        </w:rPr>
        <w:t>Ibid.</w:t>
      </w:r>
      <w:r w:rsidR="00E16883">
        <w:t xml:space="preserve">, </w:t>
      </w:r>
      <w:r w:rsidR="005375AB">
        <w:t>p</w:t>
      </w:r>
      <w:r w:rsidR="00563F0A">
        <w:t>.</w:t>
      </w:r>
      <w:r>
        <w:t>78</w:t>
      </w:r>
      <w:r w:rsidR="006671D3">
        <w:t>.</w:t>
      </w:r>
    </w:p>
  </w:footnote>
  <w:footnote w:id="25">
    <w:p w14:paraId="40017C7D" w14:textId="5F8E32BD" w:rsidR="008B5C7D" w:rsidRDefault="008B5C7D" w:rsidP="008B5C7D">
      <w:pPr>
        <w:pStyle w:val="FootnoteText"/>
      </w:pPr>
      <w:r>
        <w:rPr>
          <w:rStyle w:val="FootnoteReference"/>
        </w:rPr>
        <w:footnoteRef/>
      </w:r>
      <w:r>
        <w:t xml:space="preserve"> Attfield, </w:t>
      </w:r>
      <w:r w:rsidR="00563F0A" w:rsidRPr="00563F0A">
        <w:rPr>
          <w:i/>
          <w:iCs/>
        </w:rPr>
        <w:t>Environmental Ethics</w:t>
      </w:r>
      <w:r>
        <w:t xml:space="preserve">, </w:t>
      </w:r>
      <w:r w:rsidR="005375AB">
        <w:t>p</w:t>
      </w:r>
      <w:r>
        <w:t>.43</w:t>
      </w:r>
      <w:r w:rsidR="00563F0A">
        <w:t>.</w:t>
      </w:r>
    </w:p>
  </w:footnote>
  <w:footnote w:id="26">
    <w:p w14:paraId="141190C5" w14:textId="77777777" w:rsidR="008B5C7D" w:rsidRDefault="008B5C7D" w:rsidP="008B5C7D">
      <w:pPr>
        <w:pStyle w:val="FootnoteText"/>
      </w:pPr>
      <w:r>
        <w:rPr>
          <w:rStyle w:val="FootnoteReference"/>
        </w:rPr>
        <w:footnoteRef/>
      </w:r>
      <w:r>
        <w:t xml:space="preserve"> Goodpaster, ‘On Moral Considerability’.</w:t>
      </w:r>
    </w:p>
  </w:footnote>
  <w:footnote w:id="27">
    <w:p w14:paraId="00EB8261" w14:textId="688A975F" w:rsidR="008B5C7D" w:rsidRDefault="008B5C7D" w:rsidP="008B5C7D">
      <w:pPr>
        <w:pStyle w:val="FootnoteText"/>
      </w:pPr>
      <w:r>
        <w:rPr>
          <w:rStyle w:val="FootnoteReference"/>
        </w:rPr>
        <w:footnoteRef/>
      </w:r>
      <w:r>
        <w:t xml:space="preserve"> Attfield, </w:t>
      </w:r>
      <w:r w:rsidRPr="00563F0A">
        <w:rPr>
          <w:i/>
          <w:iCs/>
        </w:rPr>
        <w:t>Env</w:t>
      </w:r>
      <w:r w:rsidR="00563F0A" w:rsidRPr="00563F0A">
        <w:rPr>
          <w:i/>
          <w:iCs/>
        </w:rPr>
        <w:t>ironmental</w:t>
      </w:r>
      <w:r w:rsidRPr="00563F0A">
        <w:rPr>
          <w:i/>
          <w:iCs/>
        </w:rPr>
        <w:t xml:space="preserve"> Ethics</w:t>
      </w:r>
      <w:r>
        <w:t xml:space="preserve">, </w:t>
      </w:r>
      <w:r w:rsidR="005375AB">
        <w:t>p</w:t>
      </w:r>
      <w:r>
        <w:t>.43</w:t>
      </w:r>
      <w:r w:rsidR="00563F0A">
        <w:t>.</w:t>
      </w:r>
    </w:p>
  </w:footnote>
  <w:footnote w:id="28">
    <w:p w14:paraId="576CAAE1" w14:textId="76D70831" w:rsidR="008B5C7D" w:rsidRDefault="008B5C7D" w:rsidP="008B5C7D">
      <w:pPr>
        <w:pStyle w:val="FootnoteText"/>
      </w:pPr>
      <w:r>
        <w:rPr>
          <w:rStyle w:val="FootnoteReference"/>
        </w:rPr>
        <w:footnoteRef/>
      </w:r>
      <w:r>
        <w:t xml:space="preserve"> </w:t>
      </w:r>
      <w:r w:rsidRPr="00AE046B">
        <w:t xml:space="preserve">F. Herbert Bormann and Stephen R. Kellert, eds., </w:t>
      </w:r>
      <w:r w:rsidRPr="00AE046B">
        <w:rPr>
          <w:i/>
          <w:iCs/>
        </w:rPr>
        <w:t>Ecology, Economics, Ethics: The Broken Circle</w:t>
      </w:r>
      <w:r w:rsidR="00563F0A">
        <w:t xml:space="preserve"> (</w:t>
      </w:r>
      <w:r w:rsidRPr="00AE046B">
        <w:t>New Haven: Yale University Press, 1991</w:t>
      </w:r>
      <w:r w:rsidR="00563F0A">
        <w:t>).</w:t>
      </w:r>
    </w:p>
  </w:footnote>
  <w:footnote w:id="29">
    <w:p w14:paraId="7EE44CAE" w14:textId="5C3F39BB" w:rsidR="008B5C7D" w:rsidRPr="0086199F" w:rsidRDefault="008B5C7D" w:rsidP="00A91785">
      <w:pPr>
        <w:pStyle w:val="FootnoteText"/>
        <w:rPr>
          <w:color w:val="000000" w:themeColor="text1"/>
        </w:rPr>
      </w:pPr>
      <w:r w:rsidRPr="00A91785">
        <w:rPr>
          <w:rStyle w:val="FootnoteReference"/>
        </w:rPr>
        <w:footnoteRef/>
      </w:r>
      <w:r w:rsidRPr="00A91785">
        <w:rPr>
          <w:rStyle w:val="FootnoteReference"/>
        </w:rPr>
        <w:t xml:space="preserve"> </w:t>
      </w:r>
      <w:r w:rsidR="006445C6" w:rsidRPr="00A91785">
        <w:t xml:space="preserve">Holmes </w:t>
      </w:r>
      <w:r w:rsidR="00D93138" w:rsidRPr="00A91785">
        <w:t xml:space="preserve">Rolston III, ‘Environmental Ethics: Values in and Duties to the Natural World’, in F. Herbert Bormann and Stephen R. Kellert, eds., </w:t>
      </w:r>
      <w:r w:rsidR="00D93138" w:rsidRPr="00A91785">
        <w:rPr>
          <w:i/>
          <w:iCs/>
        </w:rPr>
        <w:t>Ecology, Economics, Ethics: The Broken Circle</w:t>
      </w:r>
      <w:r w:rsidR="00D93138" w:rsidRPr="00A91785">
        <w:t xml:space="preserve"> (New Haven: Yale University </w:t>
      </w:r>
      <w:r w:rsidR="00D93138" w:rsidRPr="0086199F">
        <w:rPr>
          <w:color w:val="000000" w:themeColor="text1"/>
        </w:rPr>
        <w:t xml:space="preserve">Press, 1991), pp.73-96, </w:t>
      </w:r>
      <w:r w:rsidR="009D5B4E">
        <w:rPr>
          <w:color w:val="000000" w:themeColor="text1"/>
        </w:rPr>
        <w:t>p</w:t>
      </w:r>
      <w:r w:rsidRPr="0086199F">
        <w:rPr>
          <w:color w:val="000000" w:themeColor="text1"/>
        </w:rPr>
        <w:t>.73</w:t>
      </w:r>
      <w:r w:rsidR="0086199F">
        <w:rPr>
          <w:color w:val="000000" w:themeColor="text1"/>
        </w:rPr>
        <w:t>.</w:t>
      </w:r>
    </w:p>
  </w:footnote>
  <w:footnote w:id="30">
    <w:p w14:paraId="26EC624A" w14:textId="2E5464E5" w:rsidR="008B5C7D" w:rsidRPr="0086199F" w:rsidRDefault="008B5C7D" w:rsidP="008B5C7D">
      <w:pPr>
        <w:pStyle w:val="FootnoteText"/>
        <w:rPr>
          <w:color w:val="000000" w:themeColor="text1"/>
        </w:rPr>
      </w:pPr>
      <w:r w:rsidRPr="0086199F">
        <w:rPr>
          <w:rStyle w:val="FootnoteReference"/>
          <w:color w:val="000000" w:themeColor="text1"/>
        </w:rPr>
        <w:footnoteRef/>
      </w:r>
      <w:r w:rsidRPr="0086199F">
        <w:rPr>
          <w:color w:val="000000" w:themeColor="text1"/>
        </w:rPr>
        <w:t xml:space="preserve"> </w:t>
      </w:r>
      <w:r w:rsidR="006671D3">
        <w:rPr>
          <w:i/>
          <w:iCs/>
          <w:color w:val="000000" w:themeColor="text1"/>
        </w:rPr>
        <w:t>Ibid.</w:t>
      </w:r>
      <w:r w:rsidR="006671D3" w:rsidRPr="0086199F">
        <w:rPr>
          <w:color w:val="000000" w:themeColor="text1"/>
        </w:rPr>
        <w:t>,</w:t>
      </w:r>
      <w:r w:rsidR="00D93138" w:rsidRPr="0086199F">
        <w:rPr>
          <w:color w:val="000000" w:themeColor="text1"/>
        </w:rPr>
        <w:t xml:space="preserve"> </w:t>
      </w:r>
      <w:r w:rsidR="009D5B4E">
        <w:rPr>
          <w:color w:val="000000" w:themeColor="text1"/>
        </w:rPr>
        <w:t>p</w:t>
      </w:r>
      <w:r w:rsidR="0086199F" w:rsidRPr="0086199F">
        <w:rPr>
          <w:color w:val="000000" w:themeColor="text1"/>
        </w:rPr>
        <w:t>.74</w:t>
      </w:r>
      <w:r w:rsidR="0086199F">
        <w:rPr>
          <w:color w:val="000000" w:themeColor="text1"/>
        </w:rPr>
        <w:t>.</w:t>
      </w:r>
    </w:p>
  </w:footnote>
  <w:footnote w:id="31">
    <w:p w14:paraId="2D9C845C" w14:textId="0CE7A8AD" w:rsidR="008B5C7D" w:rsidRPr="0086199F" w:rsidRDefault="008B5C7D" w:rsidP="008B5C7D">
      <w:pPr>
        <w:pStyle w:val="FootnoteText"/>
        <w:rPr>
          <w:color w:val="000000" w:themeColor="text1"/>
        </w:rPr>
      </w:pPr>
      <w:r w:rsidRPr="0086199F">
        <w:rPr>
          <w:rStyle w:val="FootnoteReference"/>
          <w:color w:val="000000" w:themeColor="text1"/>
        </w:rPr>
        <w:footnoteRef/>
      </w:r>
      <w:r w:rsidRPr="0086199F">
        <w:rPr>
          <w:color w:val="000000" w:themeColor="text1"/>
        </w:rPr>
        <w:t xml:space="preserve"> </w:t>
      </w:r>
      <w:r w:rsidR="006671D3">
        <w:rPr>
          <w:i/>
          <w:iCs/>
          <w:color w:val="000000" w:themeColor="text1"/>
        </w:rPr>
        <w:t>Ibid.</w:t>
      </w:r>
      <w:r w:rsidR="00D93138" w:rsidRPr="0086199F">
        <w:rPr>
          <w:color w:val="000000" w:themeColor="text1"/>
        </w:rPr>
        <w:t xml:space="preserve">, </w:t>
      </w:r>
      <w:r w:rsidR="005375AB">
        <w:rPr>
          <w:color w:val="000000" w:themeColor="text1"/>
        </w:rPr>
        <w:t>p</w:t>
      </w:r>
      <w:r w:rsidRPr="0086199F">
        <w:rPr>
          <w:color w:val="000000" w:themeColor="text1"/>
        </w:rPr>
        <w:t>.80</w:t>
      </w:r>
      <w:r w:rsidR="0086199F">
        <w:rPr>
          <w:color w:val="000000" w:themeColor="text1"/>
        </w:rPr>
        <w:t>.</w:t>
      </w:r>
    </w:p>
  </w:footnote>
  <w:footnote w:id="32">
    <w:p w14:paraId="688E9A08" w14:textId="341A11D8" w:rsidR="008B5C7D" w:rsidRPr="0086199F" w:rsidRDefault="008B5C7D" w:rsidP="008B5C7D">
      <w:pPr>
        <w:pStyle w:val="FootnoteText"/>
        <w:rPr>
          <w:color w:val="000000" w:themeColor="text1"/>
        </w:rPr>
      </w:pPr>
      <w:r w:rsidRPr="0086199F">
        <w:rPr>
          <w:rStyle w:val="FootnoteReference"/>
          <w:color w:val="000000" w:themeColor="text1"/>
        </w:rPr>
        <w:footnoteRef/>
      </w:r>
      <w:r w:rsidRPr="0086199F">
        <w:rPr>
          <w:color w:val="000000" w:themeColor="text1"/>
        </w:rPr>
        <w:t xml:space="preserve"> </w:t>
      </w:r>
      <w:r w:rsidR="006671D3">
        <w:rPr>
          <w:i/>
          <w:iCs/>
          <w:color w:val="000000" w:themeColor="text1"/>
        </w:rPr>
        <w:t>Ibid.</w:t>
      </w:r>
      <w:r w:rsidR="006671D3" w:rsidRPr="0086199F">
        <w:rPr>
          <w:color w:val="000000" w:themeColor="text1"/>
        </w:rPr>
        <w:t xml:space="preserve">, </w:t>
      </w:r>
      <w:r w:rsidR="005375AB">
        <w:rPr>
          <w:color w:val="000000" w:themeColor="text1"/>
        </w:rPr>
        <w:t>p</w:t>
      </w:r>
      <w:r w:rsidR="0086199F" w:rsidRPr="0086199F">
        <w:rPr>
          <w:color w:val="000000" w:themeColor="text1"/>
        </w:rPr>
        <w:t>.84</w:t>
      </w:r>
      <w:r w:rsidR="0086199F">
        <w:rPr>
          <w:color w:val="000000" w:themeColor="text1"/>
        </w:rPr>
        <w:t>.</w:t>
      </w:r>
    </w:p>
  </w:footnote>
  <w:footnote w:id="33">
    <w:p w14:paraId="4DC3077C" w14:textId="3C0469DA" w:rsidR="0086199F" w:rsidRPr="0086199F" w:rsidRDefault="0086199F">
      <w:pPr>
        <w:pStyle w:val="FootnoteText"/>
        <w:rPr>
          <w:color w:val="000000" w:themeColor="text1"/>
        </w:rPr>
      </w:pPr>
      <w:r w:rsidRPr="0086199F">
        <w:rPr>
          <w:rStyle w:val="FootnoteReference"/>
          <w:color w:val="000000" w:themeColor="text1"/>
        </w:rPr>
        <w:footnoteRef/>
      </w:r>
      <w:r w:rsidRPr="0086199F">
        <w:rPr>
          <w:color w:val="000000" w:themeColor="text1"/>
        </w:rPr>
        <w:t xml:space="preserve"> </w:t>
      </w:r>
      <w:r w:rsidR="006671D3">
        <w:rPr>
          <w:i/>
          <w:iCs/>
          <w:color w:val="000000" w:themeColor="text1"/>
        </w:rPr>
        <w:t>Ibid</w:t>
      </w:r>
      <w:r>
        <w:rPr>
          <w:color w:val="000000" w:themeColor="text1"/>
        </w:rPr>
        <w:t>.</w:t>
      </w:r>
    </w:p>
  </w:footnote>
  <w:footnote w:id="34">
    <w:p w14:paraId="4DA0156F" w14:textId="04D4F0A7" w:rsidR="008B5C7D" w:rsidRPr="001949F2" w:rsidRDefault="008B5C7D" w:rsidP="008B5C7D">
      <w:pPr>
        <w:pStyle w:val="FootnoteText"/>
        <w:rPr>
          <w:color w:val="EE0000"/>
        </w:rPr>
      </w:pPr>
      <w:r w:rsidRPr="0086199F">
        <w:rPr>
          <w:rStyle w:val="FootnoteReference"/>
          <w:color w:val="000000" w:themeColor="text1"/>
        </w:rPr>
        <w:footnoteRef/>
      </w:r>
      <w:r w:rsidRPr="0086199F">
        <w:rPr>
          <w:color w:val="000000" w:themeColor="text1"/>
        </w:rPr>
        <w:t xml:space="preserve"> </w:t>
      </w:r>
      <w:r w:rsidR="006671D3">
        <w:rPr>
          <w:i/>
          <w:iCs/>
          <w:color w:val="000000" w:themeColor="text1"/>
        </w:rPr>
        <w:t>Ibid.</w:t>
      </w:r>
      <w:r w:rsidR="006671D3" w:rsidRPr="0086199F">
        <w:rPr>
          <w:color w:val="000000" w:themeColor="text1"/>
        </w:rPr>
        <w:t xml:space="preserve">, </w:t>
      </w:r>
      <w:r w:rsidR="005375AB">
        <w:rPr>
          <w:color w:val="000000" w:themeColor="text1"/>
        </w:rPr>
        <w:t>p</w:t>
      </w:r>
      <w:r w:rsidR="0086199F" w:rsidRPr="0086199F">
        <w:rPr>
          <w:color w:val="000000" w:themeColor="text1"/>
        </w:rPr>
        <w:t>.85</w:t>
      </w:r>
      <w:r w:rsidR="0086199F">
        <w:rPr>
          <w:color w:val="000000" w:themeColor="text1"/>
        </w:rPr>
        <w:t>.</w:t>
      </w:r>
    </w:p>
  </w:footnote>
  <w:footnote w:id="35">
    <w:p w14:paraId="22B8E20D" w14:textId="6AEE5D5B" w:rsidR="008B5C7D" w:rsidRDefault="008B5C7D" w:rsidP="008B5C7D">
      <w:pPr>
        <w:pStyle w:val="FootnoteText"/>
      </w:pPr>
      <w:r>
        <w:rPr>
          <w:rStyle w:val="FootnoteReference"/>
        </w:rPr>
        <w:footnoteRef/>
      </w:r>
      <w:r>
        <w:t xml:space="preserve"> </w:t>
      </w:r>
      <w:r w:rsidR="006671D3">
        <w:rPr>
          <w:i/>
          <w:iCs/>
          <w:color w:val="000000" w:themeColor="text1"/>
        </w:rPr>
        <w:t>Ibid.</w:t>
      </w:r>
      <w:r w:rsidR="006671D3" w:rsidRPr="0086199F">
        <w:rPr>
          <w:color w:val="000000" w:themeColor="text1"/>
        </w:rPr>
        <w:t>,</w:t>
      </w:r>
      <w:r w:rsidR="00D93138">
        <w:t xml:space="preserve"> </w:t>
      </w:r>
      <w:r w:rsidR="005375AB">
        <w:t>p</w:t>
      </w:r>
      <w:r>
        <w:t>.92</w:t>
      </w:r>
    </w:p>
  </w:footnote>
  <w:footnote w:id="36">
    <w:p w14:paraId="12CDA6F6" w14:textId="3A61939E" w:rsidR="00D93138" w:rsidRDefault="00D93138" w:rsidP="00D93138">
      <w:pPr>
        <w:pStyle w:val="FootnoteText"/>
      </w:pPr>
      <w:r>
        <w:rPr>
          <w:rStyle w:val="FootnoteReference"/>
        </w:rPr>
        <w:footnoteRef/>
      </w:r>
      <w:r>
        <w:t xml:space="preserve"> Taylor, ‘The Ethics of Respect for Nature’, </w:t>
      </w:r>
      <w:r w:rsidR="005375AB">
        <w:t>p</w:t>
      </w:r>
      <w:r>
        <w:t>.70.</w:t>
      </w:r>
    </w:p>
  </w:footnote>
  <w:footnote w:id="37">
    <w:p w14:paraId="2163BCD2" w14:textId="5CAB4AB2" w:rsidR="00D93138" w:rsidRDefault="00D93138" w:rsidP="00D93138">
      <w:pPr>
        <w:pStyle w:val="FootnoteText"/>
      </w:pPr>
      <w:r>
        <w:rPr>
          <w:rStyle w:val="FootnoteReference"/>
        </w:rPr>
        <w:footnoteRef/>
      </w:r>
      <w:r>
        <w:t xml:space="preserve"> Attfield, </w:t>
      </w:r>
      <w:r w:rsidRPr="00DA390F">
        <w:rPr>
          <w:i/>
          <w:iCs/>
        </w:rPr>
        <w:t>Env</w:t>
      </w:r>
      <w:r>
        <w:rPr>
          <w:i/>
          <w:iCs/>
        </w:rPr>
        <w:t>ironmental</w:t>
      </w:r>
      <w:r w:rsidRPr="00DA390F">
        <w:rPr>
          <w:i/>
          <w:iCs/>
        </w:rPr>
        <w:t xml:space="preserve"> Ethics</w:t>
      </w:r>
      <w:r w:rsidR="0066471F">
        <w:rPr>
          <w:i/>
          <w:iCs/>
        </w:rPr>
        <w:t xml:space="preserve">, </w:t>
      </w:r>
      <w:r w:rsidR="005375AB">
        <w:t>pp</w:t>
      </w:r>
      <w:r>
        <w:t>.42-3.</w:t>
      </w:r>
    </w:p>
  </w:footnote>
  <w:footnote w:id="38">
    <w:p w14:paraId="452BD0B9" w14:textId="2B473913" w:rsidR="00D93138" w:rsidRPr="001830AD" w:rsidRDefault="00D93138" w:rsidP="00D93138">
      <w:pPr>
        <w:pStyle w:val="FootnoteText"/>
      </w:pPr>
      <w:r>
        <w:rPr>
          <w:rStyle w:val="FootnoteReference"/>
        </w:rPr>
        <w:footnoteRef/>
      </w:r>
      <w:r>
        <w:t xml:space="preserve"> </w:t>
      </w:r>
      <w:r w:rsidRPr="001830AD">
        <w:t>Goodpaster, ‘On Being Morally Considerable’, pp.53-66.</w:t>
      </w:r>
    </w:p>
  </w:footnote>
  <w:footnote w:id="39">
    <w:p w14:paraId="7173917B" w14:textId="47554491" w:rsidR="008B5C7D" w:rsidRDefault="008B5C7D" w:rsidP="008B5C7D">
      <w:pPr>
        <w:pStyle w:val="FootnoteText"/>
      </w:pPr>
      <w:r>
        <w:rPr>
          <w:rStyle w:val="FootnoteReference"/>
        </w:rPr>
        <w:footnoteRef/>
      </w:r>
      <w:r>
        <w:t xml:space="preserve"> </w:t>
      </w:r>
      <w:r w:rsidR="00D93138">
        <w:t xml:space="preserve">Attfield, </w:t>
      </w:r>
      <w:r w:rsidRPr="00D93138">
        <w:rPr>
          <w:i/>
          <w:iCs/>
        </w:rPr>
        <w:t>Env</w:t>
      </w:r>
      <w:r w:rsidR="00D93138" w:rsidRPr="00D93138">
        <w:rPr>
          <w:i/>
          <w:iCs/>
        </w:rPr>
        <w:t>ironmental</w:t>
      </w:r>
      <w:r w:rsidRPr="00D93138">
        <w:rPr>
          <w:i/>
          <w:iCs/>
        </w:rPr>
        <w:t xml:space="preserve"> Ethics</w:t>
      </w:r>
      <w:r>
        <w:t xml:space="preserve">, </w:t>
      </w:r>
      <w:r w:rsidR="005375AB">
        <w:t>pp</w:t>
      </w:r>
      <w:r>
        <w:t>.40-41</w:t>
      </w:r>
    </w:p>
  </w:footnote>
  <w:footnote w:id="40">
    <w:p w14:paraId="79A107BA" w14:textId="499B0F6B" w:rsidR="008B5C7D" w:rsidRDefault="008B5C7D" w:rsidP="008B5C7D">
      <w:pPr>
        <w:pStyle w:val="FootnoteText"/>
      </w:pPr>
      <w:r>
        <w:rPr>
          <w:rStyle w:val="FootnoteReference"/>
        </w:rPr>
        <w:footnoteRef/>
      </w:r>
      <w:r>
        <w:t xml:space="preserve"> </w:t>
      </w:r>
      <w:r w:rsidR="006671D3">
        <w:rPr>
          <w:i/>
          <w:iCs/>
        </w:rPr>
        <w:t>Ibid.</w:t>
      </w:r>
      <w:r w:rsidR="00D93138">
        <w:t xml:space="preserve">, </w:t>
      </w:r>
      <w:r w:rsidR="005375AB">
        <w:t>p</w:t>
      </w:r>
      <w:r>
        <w:t>.</w:t>
      </w:r>
      <w:r w:rsidR="002F6CB5">
        <w:t>39</w:t>
      </w:r>
    </w:p>
  </w:footnote>
  <w:footnote w:id="41">
    <w:p w14:paraId="31B26814" w14:textId="1CE5938D" w:rsidR="008B5C7D" w:rsidRPr="00A91785" w:rsidRDefault="008B5C7D" w:rsidP="008B5C7D">
      <w:pPr>
        <w:pStyle w:val="FootnoteText"/>
      </w:pPr>
      <w:r w:rsidRPr="00A91785">
        <w:rPr>
          <w:rStyle w:val="FootnoteReference"/>
        </w:rPr>
        <w:footnoteRef/>
      </w:r>
      <w:r w:rsidRPr="00A91785">
        <w:t xml:space="preserve"> </w:t>
      </w:r>
      <w:r w:rsidR="0066471F" w:rsidRPr="00A91785">
        <w:t>Humphreys,</w:t>
      </w:r>
      <w:r w:rsidRPr="00A91785">
        <w:t xml:space="preserve"> </w:t>
      </w:r>
      <w:r w:rsidRPr="00A91785">
        <w:rPr>
          <w:i/>
          <w:iCs/>
        </w:rPr>
        <w:t xml:space="preserve">Animal Studies </w:t>
      </w:r>
      <w:r w:rsidR="0066471F" w:rsidRPr="00A91785">
        <w:rPr>
          <w:i/>
          <w:iCs/>
        </w:rPr>
        <w:t>and Philosophy</w:t>
      </w:r>
      <w:r w:rsidR="0066471F" w:rsidRPr="00A91785">
        <w:t xml:space="preserve">, </w:t>
      </w:r>
      <w:r w:rsidR="00AD4439">
        <w:t>pp</w:t>
      </w:r>
      <w:r w:rsidR="0066471F" w:rsidRPr="00A91785">
        <w:t>.</w:t>
      </w:r>
      <w:r w:rsidRPr="00A91785">
        <w:t>106-7</w:t>
      </w:r>
      <w:r w:rsidR="0066471F" w:rsidRPr="00A91785">
        <w:t>.</w:t>
      </w:r>
    </w:p>
  </w:footnote>
  <w:footnote w:id="42">
    <w:p w14:paraId="55C9FA15" w14:textId="71D29549" w:rsidR="008B5C7D" w:rsidRPr="00A91785" w:rsidRDefault="008B5C7D" w:rsidP="00A91785">
      <w:pPr>
        <w:pStyle w:val="FootnoteText"/>
      </w:pPr>
      <w:r w:rsidRPr="00A91785">
        <w:rPr>
          <w:rStyle w:val="FootnoteReference"/>
        </w:rPr>
        <w:footnoteRef/>
      </w:r>
      <w:r w:rsidRPr="00A91785">
        <w:t xml:space="preserve"> </w:t>
      </w:r>
      <w:r w:rsidR="006445C6" w:rsidRPr="00A91785">
        <w:t xml:space="preserve">Mary </w:t>
      </w:r>
      <w:r w:rsidR="00A91785" w:rsidRPr="00A91785">
        <w:t xml:space="preserve">Midgley, ‘Beasts Versus the Biosphere?’, </w:t>
      </w:r>
      <w:r w:rsidR="00A91785" w:rsidRPr="00A91785">
        <w:rPr>
          <w:i/>
          <w:iCs/>
        </w:rPr>
        <w:t>Environmental Values</w:t>
      </w:r>
      <w:r w:rsidR="00A91785" w:rsidRPr="00A91785">
        <w:t>, Vol.1, No.2, 1992, pp.113-21.</w:t>
      </w:r>
    </w:p>
  </w:footnote>
  <w:footnote w:id="43">
    <w:p w14:paraId="1603BAB4" w14:textId="770A0D51" w:rsidR="001674D4" w:rsidRDefault="001674D4">
      <w:pPr>
        <w:pStyle w:val="FootnoteText"/>
      </w:pPr>
      <w:r>
        <w:rPr>
          <w:rStyle w:val="FootnoteReference"/>
        </w:rPr>
        <w:footnoteRef/>
      </w:r>
      <w:r w:rsidR="006445C6">
        <w:t xml:space="preserve"> </w:t>
      </w:r>
      <w:r w:rsidR="00A91785" w:rsidRPr="009C1F4C">
        <w:t>J. Baird</w:t>
      </w:r>
      <w:r w:rsidR="006445C6" w:rsidRPr="006445C6">
        <w:t xml:space="preserve"> </w:t>
      </w:r>
      <w:r w:rsidR="006445C6" w:rsidRPr="009C1F4C">
        <w:t>Callicott</w:t>
      </w:r>
      <w:r w:rsidR="00A91785" w:rsidRPr="009C1F4C">
        <w:t xml:space="preserve">, ‘Animal Liberation: A Triangular Affair’, </w:t>
      </w:r>
      <w:r w:rsidR="00A91785" w:rsidRPr="009C1F4C">
        <w:rPr>
          <w:i/>
          <w:iCs/>
        </w:rPr>
        <w:t>Environmental Ethics</w:t>
      </w:r>
      <w:r w:rsidR="00A91785" w:rsidRPr="009C1F4C">
        <w:t>, Vol.2, 1980, pp.311-38</w:t>
      </w:r>
      <w:r w:rsidR="00A91785">
        <w:t>.</w:t>
      </w:r>
    </w:p>
  </w:footnote>
  <w:footnote w:id="44">
    <w:p w14:paraId="408BE8FF" w14:textId="3533611B" w:rsidR="008B5C7D" w:rsidRDefault="008B5C7D" w:rsidP="008B5C7D">
      <w:pPr>
        <w:pStyle w:val="FootnoteText"/>
      </w:pPr>
      <w:r>
        <w:rPr>
          <w:rStyle w:val="FootnoteReference"/>
        </w:rPr>
        <w:footnoteRef/>
      </w:r>
      <w:r>
        <w:t xml:space="preserve"> </w:t>
      </w:r>
      <w:r w:rsidR="00A91785" w:rsidRPr="00A91785">
        <w:t>Midgley, ‘Beasts Versus the Biosphere?’,</w:t>
      </w:r>
      <w:r w:rsidR="00A91785">
        <w:t xml:space="preserve"> </w:t>
      </w:r>
      <w:r w:rsidR="00AD4439">
        <w:t>p</w:t>
      </w:r>
      <w:r>
        <w:t>.113</w:t>
      </w:r>
    </w:p>
  </w:footnote>
  <w:footnote w:id="45">
    <w:p w14:paraId="20277DC3" w14:textId="5AD8A3D9" w:rsidR="008B5C7D" w:rsidRDefault="008B5C7D" w:rsidP="008B5C7D">
      <w:pPr>
        <w:pStyle w:val="FootnoteText"/>
      </w:pPr>
      <w:r>
        <w:rPr>
          <w:rStyle w:val="FootnoteReference"/>
        </w:rPr>
        <w:footnoteRef/>
      </w:r>
      <w:r>
        <w:t xml:space="preserve"> </w:t>
      </w:r>
      <w:r w:rsidR="002F6CB5">
        <w:rPr>
          <w:i/>
          <w:iCs/>
        </w:rPr>
        <w:t>Ibid.</w:t>
      </w:r>
      <w:r w:rsidR="00A91785" w:rsidRPr="00A91785">
        <w:t>,</w:t>
      </w:r>
      <w:r w:rsidR="00A91785">
        <w:t xml:space="preserve"> </w:t>
      </w:r>
      <w:r w:rsidR="00AD4439">
        <w:t>p</w:t>
      </w:r>
      <w:r>
        <w:t>.117</w:t>
      </w:r>
      <w:r w:rsidR="00A91785">
        <w:t>.</w:t>
      </w:r>
    </w:p>
  </w:footnote>
  <w:footnote w:id="46">
    <w:p w14:paraId="2610729D" w14:textId="1969291F" w:rsidR="008B5C7D" w:rsidRDefault="008B5C7D" w:rsidP="008B5C7D">
      <w:pPr>
        <w:pStyle w:val="FootnoteText"/>
      </w:pPr>
      <w:r>
        <w:rPr>
          <w:rStyle w:val="FootnoteReference"/>
        </w:rPr>
        <w:footnoteRef/>
      </w:r>
      <w:r w:rsidR="00A91785">
        <w:t xml:space="preserve"> </w:t>
      </w:r>
      <w:r w:rsidR="002F6CB5">
        <w:rPr>
          <w:i/>
          <w:iCs/>
        </w:rPr>
        <w:t>Ibid.</w:t>
      </w:r>
      <w:r w:rsidR="002F6CB5" w:rsidRPr="00A91785">
        <w:t>,</w:t>
      </w:r>
      <w:r w:rsidR="002F6CB5">
        <w:t xml:space="preserve"> </w:t>
      </w:r>
      <w:r w:rsidR="00AD4439">
        <w:t>p</w:t>
      </w:r>
      <w:r>
        <w:t>.118</w:t>
      </w:r>
      <w:r w:rsidR="00A91785">
        <w:t>.</w:t>
      </w:r>
    </w:p>
  </w:footnote>
  <w:footnote w:id="47">
    <w:p w14:paraId="6009C388" w14:textId="44FD68D8" w:rsidR="008B5C7D" w:rsidRDefault="008B5C7D" w:rsidP="008B5C7D">
      <w:pPr>
        <w:pStyle w:val="FootnoteText"/>
      </w:pPr>
      <w:r>
        <w:rPr>
          <w:rStyle w:val="FootnoteReference"/>
        </w:rPr>
        <w:footnoteRef/>
      </w:r>
      <w:r>
        <w:t xml:space="preserve"> </w:t>
      </w:r>
      <w:r w:rsidR="002F6CB5">
        <w:rPr>
          <w:i/>
          <w:iCs/>
        </w:rPr>
        <w:t>Ibid.</w:t>
      </w:r>
      <w:r w:rsidR="002F6CB5" w:rsidRPr="00A91785">
        <w:t>,</w:t>
      </w:r>
      <w:r w:rsidR="00A91785" w:rsidRPr="00A65153">
        <w:rPr>
          <w:color w:val="000000" w:themeColor="text1"/>
        </w:rPr>
        <w:t xml:space="preserve"> </w:t>
      </w:r>
      <w:r w:rsidR="005375AB">
        <w:rPr>
          <w:color w:val="000000" w:themeColor="text1"/>
        </w:rPr>
        <w:t>p</w:t>
      </w:r>
      <w:r w:rsidR="00A65153" w:rsidRPr="00A65153">
        <w:rPr>
          <w:color w:val="000000" w:themeColor="text1"/>
        </w:rPr>
        <w:t>.121.</w:t>
      </w:r>
    </w:p>
  </w:footnote>
  <w:footnote w:id="48">
    <w:p w14:paraId="719F11B8" w14:textId="7E67B52E" w:rsidR="008B5C7D" w:rsidRDefault="008B5C7D" w:rsidP="008B5C7D">
      <w:pPr>
        <w:pStyle w:val="FootnoteText"/>
      </w:pPr>
      <w:r>
        <w:rPr>
          <w:rStyle w:val="FootnoteReference"/>
        </w:rPr>
        <w:footnoteRef/>
      </w:r>
      <w:r>
        <w:t xml:space="preserve"> </w:t>
      </w:r>
      <w:r w:rsidR="00A91785" w:rsidRPr="009C1F4C">
        <w:t>Callicott, ‘Animal Liberation: A Triangular Affair’</w:t>
      </w:r>
      <w:r w:rsidR="00A91785">
        <w:t>.</w:t>
      </w:r>
    </w:p>
  </w:footnote>
  <w:footnote w:id="49">
    <w:p w14:paraId="7E77AD76" w14:textId="2933C289" w:rsidR="008B5C7D" w:rsidRPr="00A91785" w:rsidRDefault="008B5C7D" w:rsidP="00A91785">
      <w:pPr>
        <w:pStyle w:val="FootnoteText"/>
        <w:rPr>
          <w:lang w:val="en-US"/>
        </w:rPr>
      </w:pPr>
      <w:r>
        <w:rPr>
          <w:rStyle w:val="FootnoteReference"/>
        </w:rPr>
        <w:footnoteRef/>
      </w:r>
      <w:r>
        <w:t xml:space="preserve"> </w:t>
      </w:r>
      <w:r w:rsidR="006445C6" w:rsidRPr="00A91785">
        <w:t xml:space="preserve">J. Baird </w:t>
      </w:r>
      <w:r w:rsidR="00A91785" w:rsidRPr="00A91785">
        <w:t xml:space="preserve">Callicott, ‘Animal Liberation and Environmental Ethics: Back Together Again’, </w:t>
      </w:r>
      <w:r w:rsidR="00A91785" w:rsidRPr="00574918">
        <w:rPr>
          <w:i/>
          <w:iCs/>
        </w:rPr>
        <w:t>Between the Species</w:t>
      </w:r>
      <w:r w:rsidR="00A91785" w:rsidRPr="00A91785">
        <w:t>, Vol.4, Issue 3, 1988,</w:t>
      </w:r>
      <w:r w:rsidR="00574918">
        <w:t xml:space="preserve"> </w:t>
      </w:r>
      <w:r w:rsidR="00AD4439">
        <w:t>pp</w:t>
      </w:r>
      <w:r w:rsidR="00A91785" w:rsidRPr="00A91785">
        <w:t>.163-69</w:t>
      </w:r>
      <w:r w:rsidR="00574918">
        <w:t xml:space="preserve">, </w:t>
      </w:r>
      <w:r w:rsidR="005375AB">
        <w:t>p.</w:t>
      </w:r>
      <w:r w:rsidR="00574918">
        <w:t>163.</w:t>
      </w:r>
    </w:p>
  </w:footnote>
  <w:footnote w:id="50">
    <w:p w14:paraId="70AA1893" w14:textId="775544ED" w:rsidR="00A65153" w:rsidRPr="00A65153" w:rsidRDefault="008B5C7D" w:rsidP="00A65153">
      <w:pPr>
        <w:pStyle w:val="FootnoteText"/>
        <w:rPr>
          <w:i/>
          <w:iCs/>
        </w:rPr>
      </w:pPr>
      <w:r>
        <w:rPr>
          <w:rStyle w:val="FootnoteReference"/>
        </w:rPr>
        <w:footnoteRef/>
      </w:r>
      <w:r>
        <w:t xml:space="preserve"> </w:t>
      </w:r>
      <w:r w:rsidR="006445C6">
        <w:t>Andrew</w:t>
      </w:r>
      <w:r w:rsidR="006445C6" w:rsidRPr="00A91785">
        <w:t xml:space="preserve"> </w:t>
      </w:r>
      <w:r w:rsidRPr="00A91785">
        <w:t>Brennan</w:t>
      </w:r>
      <w:r w:rsidR="00A91785">
        <w:t xml:space="preserve">, </w:t>
      </w:r>
      <w:r w:rsidR="00A65153" w:rsidRPr="00A65153">
        <w:rPr>
          <w:i/>
          <w:iCs/>
        </w:rPr>
        <w:t>Thinking About Nature: An Investigation Of Nature, Value</w:t>
      </w:r>
      <w:r w:rsidR="00E50F50">
        <w:rPr>
          <w:i/>
          <w:iCs/>
        </w:rPr>
        <w:t xml:space="preserve"> </w:t>
      </w:r>
      <w:r w:rsidR="00A65153" w:rsidRPr="00A65153">
        <w:rPr>
          <w:i/>
          <w:iCs/>
        </w:rPr>
        <w:t>and Ecology</w:t>
      </w:r>
    </w:p>
    <w:p w14:paraId="50467E2E" w14:textId="3590E37D" w:rsidR="008B5C7D" w:rsidRPr="00A91785" w:rsidRDefault="00A65153" w:rsidP="00A65153">
      <w:pPr>
        <w:pStyle w:val="FootnoteText"/>
      </w:pPr>
      <w:r w:rsidRPr="00A65153">
        <w:t>(Athens: The University of Georgia Press, 1988)</w:t>
      </w:r>
      <w:r w:rsidR="00A91785" w:rsidRPr="00A65153">
        <w:t xml:space="preserve">, </w:t>
      </w:r>
      <w:r w:rsidR="005375AB">
        <w:t>p</w:t>
      </w:r>
      <w:r w:rsidR="008B5C7D" w:rsidRPr="00A91785">
        <w:t>.186</w:t>
      </w:r>
      <w:r w:rsidR="00E50F50">
        <w:t>, ci</w:t>
      </w:r>
      <w:r w:rsidR="008B5C7D" w:rsidRPr="00A91785">
        <w:t>ted in</w:t>
      </w:r>
      <w:r w:rsidR="00A91785" w:rsidRPr="00A91785">
        <w:t xml:space="preserve"> J. Baird</w:t>
      </w:r>
      <w:r w:rsidR="006445C6" w:rsidRPr="006445C6">
        <w:t xml:space="preserve"> </w:t>
      </w:r>
      <w:r w:rsidR="006445C6" w:rsidRPr="00A91785">
        <w:t>Callicott</w:t>
      </w:r>
      <w:r w:rsidR="0027616E">
        <w:t>,</w:t>
      </w:r>
      <w:r w:rsidR="00A91785" w:rsidRPr="00A91785">
        <w:t xml:space="preserve"> ‘The Case against Moral Pluralism’</w:t>
      </w:r>
      <w:r w:rsidR="002F6CB5">
        <w:t>,</w:t>
      </w:r>
      <w:r w:rsidR="00A91785" w:rsidRPr="00A91785">
        <w:t> </w:t>
      </w:r>
      <w:r w:rsidR="00A91785" w:rsidRPr="002F6CB5">
        <w:rPr>
          <w:i/>
          <w:iCs/>
        </w:rPr>
        <w:t>Environmental Ethics</w:t>
      </w:r>
      <w:r w:rsidR="00A91785" w:rsidRPr="00A91785">
        <w:t>, vol. 12, no. 2, 1990, pp. 99–124</w:t>
      </w:r>
      <w:r w:rsidR="004C2B94">
        <w:t>.</w:t>
      </w:r>
    </w:p>
  </w:footnote>
  <w:footnote w:id="51">
    <w:p w14:paraId="3B637D5C" w14:textId="21A188EF" w:rsidR="008B5C7D" w:rsidRDefault="008B5C7D" w:rsidP="008B5C7D">
      <w:pPr>
        <w:pStyle w:val="FootnoteText"/>
      </w:pPr>
      <w:r>
        <w:rPr>
          <w:rStyle w:val="FootnoteReference"/>
        </w:rPr>
        <w:footnoteRef/>
      </w:r>
      <w:r>
        <w:t xml:space="preserve"> </w:t>
      </w:r>
      <w:r w:rsidR="006445C6">
        <w:t xml:space="preserve">J. Baird </w:t>
      </w:r>
      <w:r>
        <w:t xml:space="preserve">Callicott, ‘The Case Against Moral Pluralism’, </w:t>
      </w:r>
      <w:r w:rsidR="006445C6" w:rsidRPr="006445C6">
        <w:rPr>
          <w:i/>
          <w:iCs/>
        </w:rPr>
        <w:t>Environmental Ethics</w:t>
      </w:r>
      <w:r w:rsidR="006445C6" w:rsidRPr="006445C6">
        <w:t>, vol. 12, no. 2, 1990, pp.99</w:t>
      </w:r>
      <w:r w:rsidR="006445C6">
        <w:t>-</w:t>
      </w:r>
      <w:r w:rsidR="006445C6" w:rsidRPr="006445C6">
        <w:t>124</w:t>
      </w:r>
      <w:r w:rsidR="006445C6">
        <w:t xml:space="preserve">, </w:t>
      </w:r>
      <w:r w:rsidR="0027616E">
        <w:t>p</w:t>
      </w:r>
      <w:r>
        <w:t>.112</w:t>
      </w:r>
      <w:r w:rsidR="006445C6">
        <w:t>.</w:t>
      </w:r>
    </w:p>
  </w:footnote>
  <w:footnote w:id="52">
    <w:p w14:paraId="72CCF34F" w14:textId="475BED8C" w:rsidR="008B5C7D" w:rsidRPr="00A91785" w:rsidRDefault="008B5C7D" w:rsidP="008B5C7D">
      <w:pPr>
        <w:pStyle w:val="FootnoteText"/>
      </w:pPr>
      <w:r>
        <w:rPr>
          <w:rStyle w:val="FootnoteReference"/>
        </w:rPr>
        <w:footnoteRef/>
      </w:r>
      <w:r>
        <w:t xml:space="preserve"> </w:t>
      </w:r>
      <w:r w:rsidR="00A91785">
        <w:t xml:space="preserve">Attfield, </w:t>
      </w:r>
      <w:r w:rsidR="00A91785">
        <w:rPr>
          <w:i/>
          <w:iCs/>
        </w:rPr>
        <w:t xml:space="preserve">Environmental Ethics, </w:t>
      </w:r>
      <w:r w:rsidR="005375AB">
        <w:t>pp.</w:t>
      </w:r>
      <w:r w:rsidR="00A91785">
        <w:t>42-45.</w:t>
      </w:r>
    </w:p>
  </w:footnote>
  <w:footnote w:id="53">
    <w:p w14:paraId="3B9F0314" w14:textId="2804CE7A" w:rsidR="008B5C7D" w:rsidRPr="00190617" w:rsidRDefault="008B5C7D" w:rsidP="008B5C7D">
      <w:pPr>
        <w:pStyle w:val="FootnoteText"/>
      </w:pPr>
      <w:r>
        <w:rPr>
          <w:rStyle w:val="FootnoteReference"/>
        </w:rPr>
        <w:footnoteRef/>
      </w:r>
      <w:r>
        <w:t xml:space="preserve"> </w:t>
      </w:r>
      <w:r w:rsidR="002F6CB5">
        <w:rPr>
          <w:i/>
          <w:iCs/>
        </w:rPr>
        <w:t>Ibid.</w:t>
      </w:r>
      <w:r w:rsidR="002F6CB5" w:rsidRPr="00A91785">
        <w:t>,</w:t>
      </w:r>
      <w:r w:rsidR="00190617">
        <w:rPr>
          <w:i/>
          <w:iCs/>
        </w:rPr>
        <w:t xml:space="preserve"> </w:t>
      </w:r>
      <w:r w:rsidR="005375AB">
        <w:t>pp</w:t>
      </w:r>
      <w:r w:rsidR="00190617">
        <w:t>.42-43.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548"/>
    <w:rsid w:val="00015EC6"/>
    <w:rsid w:val="00056514"/>
    <w:rsid w:val="000C1975"/>
    <w:rsid w:val="000D35D9"/>
    <w:rsid w:val="000F6DE7"/>
    <w:rsid w:val="001057D1"/>
    <w:rsid w:val="00147148"/>
    <w:rsid w:val="0014786F"/>
    <w:rsid w:val="001674D4"/>
    <w:rsid w:val="00190617"/>
    <w:rsid w:val="00196CE7"/>
    <w:rsid w:val="001A452B"/>
    <w:rsid w:val="0027616E"/>
    <w:rsid w:val="002D681B"/>
    <w:rsid w:val="002F238B"/>
    <w:rsid w:val="002F6CB5"/>
    <w:rsid w:val="003804BC"/>
    <w:rsid w:val="003919F4"/>
    <w:rsid w:val="003C0940"/>
    <w:rsid w:val="00414A30"/>
    <w:rsid w:val="004C2B94"/>
    <w:rsid w:val="004F76CA"/>
    <w:rsid w:val="005375AB"/>
    <w:rsid w:val="005422AB"/>
    <w:rsid w:val="00563F0A"/>
    <w:rsid w:val="00574918"/>
    <w:rsid w:val="005752B0"/>
    <w:rsid w:val="005A121D"/>
    <w:rsid w:val="005D37BD"/>
    <w:rsid w:val="00642979"/>
    <w:rsid w:val="00643251"/>
    <w:rsid w:val="006445C6"/>
    <w:rsid w:val="0064655C"/>
    <w:rsid w:val="0066471F"/>
    <w:rsid w:val="00666C3A"/>
    <w:rsid w:val="006671D3"/>
    <w:rsid w:val="006844E8"/>
    <w:rsid w:val="00686A9B"/>
    <w:rsid w:val="006A54CC"/>
    <w:rsid w:val="006B1727"/>
    <w:rsid w:val="006B6AB6"/>
    <w:rsid w:val="006C087A"/>
    <w:rsid w:val="006E69EC"/>
    <w:rsid w:val="006F05CE"/>
    <w:rsid w:val="006F1718"/>
    <w:rsid w:val="007816FB"/>
    <w:rsid w:val="007B373F"/>
    <w:rsid w:val="007F2195"/>
    <w:rsid w:val="00804F64"/>
    <w:rsid w:val="0081511B"/>
    <w:rsid w:val="00842A84"/>
    <w:rsid w:val="00844BDE"/>
    <w:rsid w:val="0086199F"/>
    <w:rsid w:val="008B5C7D"/>
    <w:rsid w:val="008D4155"/>
    <w:rsid w:val="00936121"/>
    <w:rsid w:val="0094110B"/>
    <w:rsid w:val="009753F1"/>
    <w:rsid w:val="009C1F4C"/>
    <w:rsid w:val="009D5B4E"/>
    <w:rsid w:val="009E323A"/>
    <w:rsid w:val="00A029C6"/>
    <w:rsid w:val="00A21C7D"/>
    <w:rsid w:val="00A620C6"/>
    <w:rsid w:val="00A65153"/>
    <w:rsid w:val="00A7048E"/>
    <w:rsid w:val="00A91785"/>
    <w:rsid w:val="00AD4439"/>
    <w:rsid w:val="00B04AC9"/>
    <w:rsid w:val="00B70D4B"/>
    <w:rsid w:val="00B72EC1"/>
    <w:rsid w:val="00BD2782"/>
    <w:rsid w:val="00C313B3"/>
    <w:rsid w:val="00C32093"/>
    <w:rsid w:val="00C3311A"/>
    <w:rsid w:val="00C44548"/>
    <w:rsid w:val="00C663D4"/>
    <w:rsid w:val="00D1522F"/>
    <w:rsid w:val="00D63FC1"/>
    <w:rsid w:val="00D93138"/>
    <w:rsid w:val="00DB6D0B"/>
    <w:rsid w:val="00DD24B5"/>
    <w:rsid w:val="00DD2B43"/>
    <w:rsid w:val="00DD663D"/>
    <w:rsid w:val="00DF7C6B"/>
    <w:rsid w:val="00E16883"/>
    <w:rsid w:val="00E45B61"/>
    <w:rsid w:val="00E50F50"/>
    <w:rsid w:val="00F101A4"/>
    <w:rsid w:val="00F622F0"/>
    <w:rsid w:val="00FD6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58E883"/>
  <w15:chartTrackingRefBased/>
  <w15:docId w15:val="{BF425603-0DD6-4FA1-8356-3EACB98A5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5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5C7D"/>
    <w:pPr>
      <w:keepNext/>
      <w:keepLines/>
      <w:spacing w:after="80"/>
      <w:outlineLvl w:val="1"/>
    </w:pPr>
    <w:rPr>
      <w:rFonts w:asciiTheme="majorHAnsi" w:eastAsiaTheme="majorEastAsia" w:hAnsiTheme="majorHAnsi" w:cstheme="majorBidi"/>
      <w:b/>
      <w:bCs/>
      <w:color w:val="000000" w:themeColor="text1"/>
    </w:rPr>
  </w:style>
  <w:style w:type="paragraph" w:styleId="Heading3">
    <w:name w:val="heading 3"/>
    <w:basedOn w:val="Normal"/>
    <w:next w:val="Normal"/>
    <w:link w:val="Heading3Char"/>
    <w:uiPriority w:val="9"/>
    <w:semiHidden/>
    <w:unhideWhenUsed/>
    <w:qFormat/>
    <w:rsid w:val="00C445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5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5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5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5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5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5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5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5C7D"/>
    <w:rPr>
      <w:rFonts w:asciiTheme="majorHAnsi" w:eastAsiaTheme="majorEastAsia" w:hAnsiTheme="majorHAnsi" w:cstheme="majorBidi"/>
      <w:b/>
      <w:bCs/>
      <w:color w:val="000000" w:themeColor="text1"/>
    </w:rPr>
  </w:style>
  <w:style w:type="character" w:customStyle="1" w:styleId="Heading3Char">
    <w:name w:val="Heading 3 Char"/>
    <w:basedOn w:val="DefaultParagraphFont"/>
    <w:link w:val="Heading3"/>
    <w:uiPriority w:val="9"/>
    <w:semiHidden/>
    <w:rsid w:val="00C445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5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5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5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5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5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548"/>
    <w:rPr>
      <w:rFonts w:eastAsiaTheme="majorEastAsia" w:cstheme="majorBidi"/>
      <w:color w:val="272727" w:themeColor="text1" w:themeTint="D8"/>
    </w:rPr>
  </w:style>
  <w:style w:type="paragraph" w:styleId="Title">
    <w:name w:val="Title"/>
    <w:basedOn w:val="Normal"/>
    <w:next w:val="Normal"/>
    <w:link w:val="TitleChar"/>
    <w:uiPriority w:val="10"/>
    <w:qFormat/>
    <w:rsid w:val="00C445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5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5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5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548"/>
    <w:pPr>
      <w:spacing w:before="160"/>
      <w:jc w:val="center"/>
    </w:pPr>
    <w:rPr>
      <w:i/>
      <w:iCs/>
      <w:color w:val="404040" w:themeColor="text1" w:themeTint="BF"/>
    </w:rPr>
  </w:style>
  <w:style w:type="character" w:customStyle="1" w:styleId="QuoteChar">
    <w:name w:val="Quote Char"/>
    <w:basedOn w:val="DefaultParagraphFont"/>
    <w:link w:val="Quote"/>
    <w:uiPriority w:val="29"/>
    <w:rsid w:val="00C44548"/>
    <w:rPr>
      <w:i/>
      <w:iCs/>
      <w:color w:val="404040" w:themeColor="text1" w:themeTint="BF"/>
    </w:rPr>
  </w:style>
  <w:style w:type="paragraph" w:styleId="ListParagraph">
    <w:name w:val="List Paragraph"/>
    <w:basedOn w:val="Normal"/>
    <w:uiPriority w:val="34"/>
    <w:qFormat/>
    <w:rsid w:val="00C44548"/>
    <w:pPr>
      <w:ind w:left="720"/>
      <w:contextualSpacing/>
    </w:pPr>
  </w:style>
  <w:style w:type="character" w:styleId="IntenseEmphasis">
    <w:name w:val="Intense Emphasis"/>
    <w:basedOn w:val="DefaultParagraphFont"/>
    <w:uiPriority w:val="21"/>
    <w:qFormat/>
    <w:rsid w:val="00C44548"/>
    <w:rPr>
      <w:i/>
      <w:iCs/>
      <w:color w:val="0F4761" w:themeColor="accent1" w:themeShade="BF"/>
    </w:rPr>
  </w:style>
  <w:style w:type="paragraph" w:styleId="IntenseQuote">
    <w:name w:val="Intense Quote"/>
    <w:basedOn w:val="Normal"/>
    <w:next w:val="Normal"/>
    <w:link w:val="IntenseQuoteChar"/>
    <w:uiPriority w:val="30"/>
    <w:qFormat/>
    <w:rsid w:val="00C445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548"/>
    <w:rPr>
      <w:i/>
      <w:iCs/>
      <w:color w:val="0F4761" w:themeColor="accent1" w:themeShade="BF"/>
    </w:rPr>
  </w:style>
  <w:style w:type="character" w:styleId="IntenseReference">
    <w:name w:val="Intense Reference"/>
    <w:basedOn w:val="DefaultParagraphFont"/>
    <w:uiPriority w:val="32"/>
    <w:qFormat/>
    <w:rsid w:val="00C44548"/>
    <w:rPr>
      <w:b/>
      <w:bCs/>
      <w:smallCaps/>
      <w:color w:val="0F4761" w:themeColor="accent1" w:themeShade="BF"/>
      <w:spacing w:val="5"/>
    </w:rPr>
  </w:style>
  <w:style w:type="paragraph" w:styleId="FootnoteText">
    <w:name w:val="footnote text"/>
    <w:basedOn w:val="Normal"/>
    <w:link w:val="FootnoteTextChar"/>
    <w:uiPriority w:val="99"/>
    <w:unhideWhenUsed/>
    <w:rsid w:val="008B5C7D"/>
    <w:pPr>
      <w:spacing w:after="0" w:line="240" w:lineRule="auto"/>
    </w:pPr>
    <w:rPr>
      <w:sz w:val="20"/>
      <w:szCs w:val="20"/>
    </w:rPr>
  </w:style>
  <w:style w:type="character" w:customStyle="1" w:styleId="FootnoteTextChar">
    <w:name w:val="Footnote Text Char"/>
    <w:basedOn w:val="DefaultParagraphFont"/>
    <w:link w:val="FootnoteText"/>
    <w:uiPriority w:val="99"/>
    <w:rsid w:val="008B5C7D"/>
    <w:rPr>
      <w:sz w:val="20"/>
      <w:szCs w:val="20"/>
    </w:rPr>
  </w:style>
  <w:style w:type="character" w:styleId="FootnoteReference">
    <w:name w:val="footnote reference"/>
    <w:basedOn w:val="DefaultParagraphFont"/>
    <w:uiPriority w:val="99"/>
    <w:semiHidden/>
    <w:unhideWhenUsed/>
    <w:rsid w:val="008B5C7D"/>
    <w:rPr>
      <w:vertAlign w:val="superscript"/>
    </w:rPr>
  </w:style>
  <w:style w:type="paragraph" w:styleId="Header">
    <w:name w:val="header"/>
    <w:basedOn w:val="Normal"/>
    <w:link w:val="HeaderChar"/>
    <w:uiPriority w:val="99"/>
    <w:unhideWhenUsed/>
    <w:rsid w:val="001057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7D1"/>
  </w:style>
  <w:style w:type="paragraph" w:styleId="Footer">
    <w:name w:val="footer"/>
    <w:basedOn w:val="Normal"/>
    <w:link w:val="FooterChar"/>
    <w:uiPriority w:val="99"/>
    <w:unhideWhenUsed/>
    <w:rsid w:val="001057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4300</Words>
  <Characters>24516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Catriona Toms</dc:creator>
  <cp:keywords/>
  <dc:description/>
  <cp:lastModifiedBy>Catriona Toms</cp:lastModifiedBy>
  <cp:revision>58</cp:revision>
  <dcterms:created xsi:type="dcterms:W3CDTF">2026-07-22T17:21:00Z</dcterms:created>
  <dcterms:modified xsi:type="dcterms:W3CDTF">2026-07-27T17:07:00Z</dcterms:modified>
</cp:coreProperties>
</file>