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376D9" w:rsidRPr="000376D9" w:rsidRDefault="000376D9" w:rsidP="004F6B57">
      <w:pPr>
        <w:jc w:val="both"/>
      </w:pPr>
      <w:bookmarkStart w:id="0" w:name="_GoBack"/>
      <w:bookmarkEnd w:id="0"/>
      <w:r w:rsidRPr="000376D9">
        <w:t xml:space="preserve">This extract is </w:t>
      </w:r>
      <w:r w:rsidRPr="000376D9">
        <w:rPr>
          <w:i/>
        </w:rPr>
        <w:t>Three Dead Kings</w:t>
      </w:r>
      <w:r w:rsidRPr="000376D9">
        <w:t xml:space="preserve">, a narrative poem that was compiled as part of an anthology, MS </w:t>
      </w:r>
      <w:proofErr w:type="spellStart"/>
      <w:r w:rsidRPr="000376D9">
        <w:t>Douce</w:t>
      </w:r>
      <w:proofErr w:type="spellEnd"/>
      <w:r w:rsidRPr="000376D9">
        <w:t xml:space="preserve"> 302 from c. 1420 -1425 – which was found in the archives of the Bodleian Library at the University of Oxford in 1930. </w:t>
      </w:r>
      <w:r w:rsidR="00283D7B">
        <w:rPr>
          <w:rStyle w:val="FootnoteReference"/>
        </w:rPr>
        <w:footnoteReference w:id="1"/>
      </w:r>
      <w:r w:rsidRPr="000376D9">
        <w:t xml:space="preserve">Whilst the vast majority of the content in the manuscript can be traced back to the priest and poet, John Auldelay (d. 1426), the question as to whom composed </w:t>
      </w:r>
      <w:r w:rsidRPr="000376D9">
        <w:rPr>
          <w:i/>
        </w:rPr>
        <w:t xml:space="preserve">Three Dead Kings </w:t>
      </w:r>
      <w:r w:rsidRPr="000376D9">
        <w:t>is not as straightforward and is in fact rather questionable. Although assumed to be Auldelay by earlier scholars, this assumption has been challenged by modern scholarship on the basis of what is known about Auldelay specifically at during the period when the poem was written (and later compiled) and through the examination of his other works.</w:t>
      </w:r>
      <w:r w:rsidR="00762443">
        <w:rPr>
          <w:rStyle w:val="FootnoteReference"/>
        </w:rPr>
        <w:footnoteReference w:id="2"/>
      </w:r>
      <w:r w:rsidRPr="000376D9">
        <w:t xml:space="preserve"> At the heart of this issue lies the question of as to whether John was still in a position where he could have written the poem in the first place, given that he had lost both his sight and sense of hearing as a result of his poor health.</w:t>
      </w:r>
      <w:r w:rsidR="00A439A1">
        <w:rPr>
          <w:rStyle w:val="FootnoteReference"/>
        </w:rPr>
        <w:footnoteReference w:id="3"/>
      </w:r>
      <w:r w:rsidRPr="000376D9">
        <w:t xml:space="preserve"> Secondary to this is that the composition of </w:t>
      </w:r>
      <w:r w:rsidRPr="000376D9">
        <w:rPr>
          <w:i/>
        </w:rPr>
        <w:t xml:space="preserve">Three Dead Kings </w:t>
      </w:r>
      <w:r w:rsidRPr="000376D9">
        <w:t>is remarkably different to that of other works in the manuscript on the basis that is complex in nature, and that it showed a significant degree of technical skill on the writer's part – something which John had clearly lacked (as observable in his previous works).</w:t>
      </w:r>
      <w:r w:rsidR="00257261">
        <w:rPr>
          <w:rStyle w:val="FootnoteReference"/>
        </w:rPr>
        <w:footnoteReference w:id="4"/>
      </w:r>
      <w:r w:rsidRPr="000376D9">
        <w:t xml:space="preserve">  </w:t>
      </w:r>
      <w:r w:rsidRPr="000376D9">
        <w:rPr>
          <w:i/>
        </w:rPr>
        <w:t>Three Dead Kings</w:t>
      </w:r>
      <w:r w:rsidRPr="000376D9">
        <w:t xml:space="preserve"> is written in a style atypical of Auldelay, and therefore does not fit into body of his previous work on this fact alone.</w:t>
      </w:r>
      <w:r w:rsidR="00E8398E">
        <w:rPr>
          <w:rStyle w:val="FootnoteReference"/>
        </w:rPr>
        <w:footnoteReference w:id="5"/>
      </w:r>
      <w:r w:rsidRPr="000376D9">
        <w:t xml:space="preserve">  Conversely, though the origin of both the poem and the manuscript can be traced back to his native parish of Staffordshire this does not necessarily mean that authorship should be attributed to Auldelay on the principle of location alone.  This only serves to widen the scope of this question as it introduces a number of other potential candidates, in particular those close to Auldelay in his final years; these include his fellow clergymen within his parish.</w:t>
      </w:r>
      <w:r w:rsidR="00CF004C">
        <w:rPr>
          <w:rStyle w:val="FootnoteReference"/>
        </w:rPr>
        <w:footnoteReference w:id="6"/>
      </w:r>
      <w:r w:rsidRPr="000376D9">
        <w:t xml:space="preserve"> </w:t>
      </w:r>
      <w:r w:rsidR="00D63BDE">
        <w:t>Additionally</w:t>
      </w:r>
      <w:r w:rsidRPr="000376D9">
        <w:t xml:space="preserve">, the reason as to why the manuscript was commissioned (and later archived in the Bodleian Library) in the first place is a point of contention among modern scholarship in connection to the issues stated previously – if Auldelay was neither able to see or hear, how could he have the ability to communicate this request effectively? An alternative and relatively realistic argument to this lies in the likelihood that the manuscript was compiled posthumously, and that the </w:t>
      </w:r>
      <w:r w:rsidRPr="000376D9">
        <w:rPr>
          <w:i/>
        </w:rPr>
        <w:t>Three Dead Kings</w:t>
      </w:r>
      <w:r w:rsidRPr="000376D9">
        <w:t xml:space="preserve"> was included as a mark of respect, or just merely out of error.</w:t>
      </w:r>
      <w:r w:rsidR="00543F70">
        <w:rPr>
          <w:rStyle w:val="FootnoteReference"/>
        </w:rPr>
        <w:footnoteReference w:id="7"/>
      </w:r>
    </w:p>
    <w:p w:rsidR="00F510A1" w:rsidRDefault="000376D9" w:rsidP="00EF6796">
      <w:pPr>
        <w:jc w:val="both"/>
      </w:pPr>
      <w:r w:rsidRPr="000376D9">
        <w:t xml:space="preserve">Thematically speaking, the central concept behind </w:t>
      </w:r>
      <w:r w:rsidRPr="000376D9">
        <w:rPr>
          <w:i/>
        </w:rPr>
        <w:t>Three Dead Kings</w:t>
      </w:r>
      <w:r w:rsidRPr="000376D9">
        <w:t xml:space="preserve"> is that it is a narrative representation of a </w:t>
      </w:r>
      <w:r w:rsidRPr="000376D9">
        <w:rPr>
          <w:i/>
        </w:rPr>
        <w:t xml:space="preserve">memento mori </w:t>
      </w:r>
      <w:r w:rsidRPr="000376D9">
        <w:t>[reminder of death] that had become a widespread visual motif across various settings in Europe since its origins in the late thirteenth century.</w:t>
      </w:r>
      <w:r w:rsidR="002E7924">
        <w:rPr>
          <w:rStyle w:val="FootnoteReference"/>
        </w:rPr>
        <w:footnoteReference w:id="8"/>
      </w:r>
      <w:r w:rsidRPr="000376D9">
        <w:t xml:space="preserve">  The core aspect of this motif is the meeting between the living and the dead, to which the latter are often depicted as being somewhat fluent in a fashion that enables them to have a conversation with the former.</w:t>
      </w:r>
      <w:r w:rsidR="005C1B80">
        <w:rPr>
          <w:rStyle w:val="FootnoteReference"/>
        </w:rPr>
        <w:footnoteReference w:id="9"/>
      </w:r>
      <w:r w:rsidRPr="000376D9">
        <w:t xml:space="preserve"> </w:t>
      </w:r>
      <w:r>
        <w:t xml:space="preserve"> It is important to note that though the identities of these men depicted</w:t>
      </w:r>
      <w:r w:rsidR="004F6B57">
        <w:t xml:space="preserve"> (often aristocrats or wealthy men)</w:t>
      </w:r>
      <w:r>
        <w:t xml:space="preserve"> differ on the basis of interpretation, as does the subject of conversation or the presence of a ‘mediator’ such as a cleric, the fact that both parties are in dialogue with one another re</w:t>
      </w:r>
      <w:r w:rsidR="004F6B57">
        <w:t>mains the same.</w:t>
      </w:r>
      <w:r w:rsidR="009D37C5">
        <w:rPr>
          <w:rStyle w:val="FootnoteReference"/>
        </w:rPr>
        <w:footnoteReference w:id="10"/>
      </w:r>
      <w:r w:rsidR="004F6B57">
        <w:t xml:space="preserve">  French works, for</w:t>
      </w:r>
      <w:r w:rsidR="002F1CF1">
        <w:t xml:space="preserve"> example, tended to feature the cleric far more frequently than their Italian counterparts. This not only demonstrated a lack of interest on the part of Italian producers, but also </w:t>
      </w:r>
      <w:r w:rsidR="002F1CF1">
        <w:lastRenderedPageBreak/>
        <w:t>the significant degree of regional nuance involved.</w:t>
      </w:r>
      <w:r w:rsidR="009D37C5">
        <w:rPr>
          <w:rStyle w:val="FootnoteReference"/>
        </w:rPr>
        <w:footnoteReference w:id="11"/>
      </w:r>
      <w:r w:rsidR="002F1CF1">
        <w:t xml:space="preserve"> </w:t>
      </w:r>
      <w:r w:rsidR="003C0BBB">
        <w:t xml:space="preserve"> </w:t>
      </w:r>
      <w:r w:rsidR="007076AB">
        <w:t>Auldelay’s decision to cast the men as kings on a boar hunt</w:t>
      </w:r>
      <w:r w:rsidR="00CB79A5">
        <w:t>, and the dead men as their forefathers therefore</w:t>
      </w:r>
      <w:r w:rsidR="007076AB">
        <w:t xml:space="preserve"> was </w:t>
      </w:r>
      <w:r w:rsidR="00CB79A5">
        <w:t>clearly conscious on his part; as was the use of fog (or mist) as a plot device.</w:t>
      </w:r>
      <w:r w:rsidR="009A672D">
        <w:rPr>
          <w:rStyle w:val="FootnoteReference"/>
        </w:rPr>
        <w:footnoteReference w:id="12"/>
      </w:r>
      <w:r w:rsidR="00CB79A5">
        <w:t xml:space="preserve"> This provided a means to which Auldelay could frame the discussion of two concepts in particular: the importance of intercessory prayer, and the relationship between </w:t>
      </w:r>
      <w:r w:rsidR="00F561E7">
        <w:t xml:space="preserve">the Church and the secular crown. </w:t>
      </w:r>
      <w:r w:rsidR="001F5071">
        <w:t xml:space="preserve"> </w:t>
      </w:r>
    </w:p>
    <w:p w:rsidR="00CC7558" w:rsidRDefault="001F5071" w:rsidP="004F6B57">
      <w:pPr>
        <w:jc w:val="both"/>
      </w:pPr>
      <w:r>
        <w:t>T</w:t>
      </w:r>
      <w:r w:rsidR="005907E5">
        <w:t xml:space="preserve">he use of the fog can be interpreted as an allegory for the </w:t>
      </w:r>
      <w:r w:rsidR="00DA5DA4">
        <w:t>kings ‘losing their way’ in connection to these concepts – and as such would require the guidance of the church for them to ‘find their way’</w:t>
      </w:r>
      <w:r>
        <w:t xml:space="preserve"> in order to seek redemption</w:t>
      </w:r>
      <w:r w:rsidR="00F510A1">
        <w:t xml:space="preserve"> – for these men are clouded by their obsession with the pursuits of the secular society.</w:t>
      </w:r>
      <w:r w:rsidR="009D4A02">
        <w:rPr>
          <w:rStyle w:val="FootnoteReference"/>
        </w:rPr>
        <w:footnoteReference w:id="13"/>
      </w:r>
      <w:r w:rsidR="00F510A1">
        <w:t xml:space="preserve"> Moreover, </w:t>
      </w:r>
      <w:r w:rsidR="009D6E41">
        <w:t>Auldelay expands his argument to conclude that the fruits of these pursuits only exist on earth, and</w:t>
      </w:r>
      <w:r w:rsidR="00905CFA">
        <w:t xml:space="preserve"> are therefore </w:t>
      </w:r>
      <w:r w:rsidR="00E66F8E">
        <w:t>only tempo</w:t>
      </w:r>
      <w:r w:rsidR="00905CFA">
        <w:t>rary.</w:t>
      </w:r>
      <w:r w:rsidR="00C91F54">
        <w:rPr>
          <w:rStyle w:val="FootnoteReference"/>
        </w:rPr>
        <w:footnoteReference w:id="14"/>
      </w:r>
      <w:r w:rsidR="00905CFA">
        <w:t xml:space="preserve">  Using the decaying bodies of kings as an analogy, </w:t>
      </w:r>
      <w:r w:rsidR="00854375">
        <w:t>Auldelay explains that earthly possessions such as wealth or secular power are stripped from a person’s body on death, in a fashion similar to the rotting of flesh – the soul, salvation, on the other hand exist for all eternity as the</w:t>
      </w:r>
      <w:r w:rsidR="006F3C1D">
        <w:t>y go beyond the material world.</w:t>
      </w:r>
      <w:r w:rsidR="001B52C4">
        <w:rPr>
          <w:rStyle w:val="FootnoteReference"/>
        </w:rPr>
        <w:footnoteReference w:id="15"/>
      </w:r>
      <w:r w:rsidR="006F3C1D">
        <w:t xml:space="preserve"> Continuing the classical tradition of using characters as a mouthpiece, Auldelay is able to use them in order to distance himself from his own views and as such maintain a sense of impartiality. </w:t>
      </w:r>
    </w:p>
    <w:p w:rsidR="003D01F4" w:rsidRDefault="00CC7558" w:rsidP="004F6B57">
      <w:pPr>
        <w:jc w:val="both"/>
      </w:pPr>
      <w:r>
        <w:t xml:space="preserve">In other words, the </w:t>
      </w:r>
      <w:r w:rsidR="00622422">
        <w:t xml:space="preserve">main </w:t>
      </w:r>
      <w:r>
        <w:t xml:space="preserve">strength </w:t>
      </w:r>
      <w:r>
        <w:rPr>
          <w:i/>
        </w:rPr>
        <w:t>The Three Living and the Three Dead</w:t>
      </w:r>
      <w:r>
        <w:t xml:space="preserve"> has as a motif lies in how it can be adapted almost any context – and </w:t>
      </w:r>
      <w:r w:rsidR="00622422">
        <w:t>can</w:t>
      </w:r>
      <w:r>
        <w:t xml:space="preserve"> somehow</w:t>
      </w:r>
      <w:r w:rsidR="00622422">
        <w:t xml:space="preserve"> still</w:t>
      </w:r>
      <w:r>
        <w:t xml:space="preserve"> </w:t>
      </w:r>
      <w:r w:rsidR="00622422">
        <w:t xml:space="preserve">remain contemporary. To </w:t>
      </w:r>
      <w:r w:rsidR="005E4FAF">
        <w:t xml:space="preserve">put this into perspective, </w:t>
      </w:r>
      <w:r w:rsidR="00622422">
        <w:t>Auldelay’s adaptation is only one of fifteen narrative adaptations (which exist also in French, German, and Italian), which exist in addition to more than two hundred examples of macabre art.</w:t>
      </w:r>
      <w:r w:rsidR="005D106B">
        <w:rPr>
          <w:rStyle w:val="FootnoteReference"/>
        </w:rPr>
        <w:footnoteReference w:id="16"/>
      </w:r>
      <w:r w:rsidR="00622422">
        <w:t xml:space="preserve"> Yet this poem is able to provide an interpretation that is uniquely English, in the sense that Auldelay had updated </w:t>
      </w:r>
      <w:r w:rsidR="00861D8D">
        <w:t>a motif originally designed as a polemic against the rising power of secular kings in the thirteenth century as a response to the recent struggles of the late fourteenth and early fifteenth century England.</w:t>
      </w:r>
      <w:r w:rsidR="00DB71A3">
        <w:rPr>
          <w:rStyle w:val="FootnoteReference"/>
        </w:rPr>
        <w:footnoteReference w:id="17"/>
      </w:r>
      <w:r w:rsidR="00861D8D">
        <w:t xml:space="preserve"> </w:t>
      </w:r>
    </w:p>
    <w:p w:rsidR="003D01F4" w:rsidRDefault="003D01F4">
      <w:r>
        <w:br w:type="page"/>
      </w:r>
    </w:p>
    <w:p w:rsidR="003D01F4" w:rsidRDefault="003D01F4" w:rsidP="004F6B57">
      <w:pPr>
        <w:jc w:val="both"/>
        <w:rPr>
          <w:u w:val="single"/>
        </w:rPr>
      </w:pPr>
      <w:r w:rsidRPr="003D01F4">
        <w:rPr>
          <w:sz w:val="24"/>
          <w:u w:val="single"/>
        </w:rPr>
        <w:lastRenderedPageBreak/>
        <w:t>Bibliography</w:t>
      </w:r>
      <w:r w:rsidR="008A2A72" w:rsidRPr="003D01F4">
        <w:rPr>
          <w:u w:val="single"/>
        </w:rPr>
        <w:t xml:space="preserve"> </w:t>
      </w:r>
      <w:r w:rsidR="00283D7B" w:rsidRPr="003D01F4">
        <w:rPr>
          <w:u w:val="single"/>
        </w:rPr>
        <w:t xml:space="preserve"> </w:t>
      </w:r>
    </w:p>
    <w:p w:rsidR="003D01F4" w:rsidRDefault="003D01F4" w:rsidP="003D01F4">
      <w:pPr>
        <w:jc w:val="both"/>
      </w:pPr>
      <w:r>
        <w:t xml:space="preserve">Kinch, Ashby, 'Image, Ideology and Form: the Middle English Three Dead Kings in its Iconographic Context', </w:t>
      </w:r>
      <w:r w:rsidRPr="003D01F4">
        <w:rPr>
          <w:i/>
        </w:rPr>
        <w:t>Chaucer Review</w:t>
      </w:r>
      <w:r>
        <w:t xml:space="preserve">, 43.1, (2008), 49-72. </w:t>
      </w:r>
    </w:p>
    <w:p w:rsidR="003D01F4" w:rsidRDefault="003D01F4" w:rsidP="003D01F4">
      <w:pPr>
        <w:jc w:val="both"/>
      </w:pPr>
      <w:r>
        <w:t xml:space="preserve">Putter, A.D., 'The Language and Metre of "Pater Noster" and "Three Dead Kings"', </w:t>
      </w:r>
      <w:proofErr w:type="gramStart"/>
      <w:r w:rsidRPr="003D01F4">
        <w:rPr>
          <w:i/>
        </w:rPr>
        <w:t>The</w:t>
      </w:r>
      <w:proofErr w:type="gramEnd"/>
      <w:r w:rsidRPr="003D01F4">
        <w:rPr>
          <w:i/>
        </w:rPr>
        <w:t xml:space="preserve"> Review of English Studies</w:t>
      </w:r>
      <w:r>
        <w:t xml:space="preserve">, New Series, 55.221, (2004), 498-526. </w:t>
      </w:r>
    </w:p>
    <w:p w:rsidR="003D01F4" w:rsidRPr="003D01F4" w:rsidRDefault="003D01F4" w:rsidP="003D01F4">
      <w:pPr>
        <w:jc w:val="both"/>
      </w:pPr>
      <w:r>
        <w:t>Turville-Petre, T</w:t>
      </w:r>
      <w:r>
        <w:t>.,</w:t>
      </w:r>
      <w:r>
        <w:t xml:space="preserve"> </w:t>
      </w:r>
      <w:proofErr w:type="gramStart"/>
      <w:r w:rsidRPr="003D01F4">
        <w:rPr>
          <w:i/>
        </w:rPr>
        <w:t>The</w:t>
      </w:r>
      <w:proofErr w:type="gramEnd"/>
      <w:r w:rsidRPr="003D01F4">
        <w:rPr>
          <w:i/>
        </w:rPr>
        <w:t xml:space="preserve"> Alliterative Revival</w:t>
      </w:r>
      <w:r>
        <w:t xml:space="preserve"> (Cambridge: Brewer, 1977), p. 64-70.</w:t>
      </w:r>
    </w:p>
    <w:sectPr w:rsidR="003D01F4" w:rsidRPr="003D01F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83D7B" w:rsidRDefault="00283D7B" w:rsidP="00283D7B">
      <w:pPr>
        <w:spacing w:after="0" w:line="240" w:lineRule="auto"/>
      </w:pPr>
      <w:r>
        <w:separator/>
      </w:r>
    </w:p>
  </w:endnote>
  <w:endnote w:type="continuationSeparator" w:id="0">
    <w:p w:rsidR="00283D7B" w:rsidRDefault="00283D7B" w:rsidP="00283D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83D7B" w:rsidRDefault="00283D7B" w:rsidP="00283D7B">
      <w:pPr>
        <w:spacing w:after="0" w:line="240" w:lineRule="auto"/>
      </w:pPr>
      <w:r>
        <w:separator/>
      </w:r>
    </w:p>
  </w:footnote>
  <w:footnote w:type="continuationSeparator" w:id="0">
    <w:p w:rsidR="00283D7B" w:rsidRDefault="00283D7B" w:rsidP="00283D7B">
      <w:pPr>
        <w:spacing w:after="0" w:line="240" w:lineRule="auto"/>
      </w:pPr>
      <w:r>
        <w:continuationSeparator/>
      </w:r>
    </w:p>
  </w:footnote>
  <w:footnote w:id="1">
    <w:p w:rsidR="00283D7B" w:rsidRDefault="00283D7B">
      <w:pPr>
        <w:pStyle w:val="FootnoteText"/>
      </w:pPr>
      <w:r>
        <w:rPr>
          <w:rStyle w:val="FootnoteReference"/>
        </w:rPr>
        <w:footnoteRef/>
      </w:r>
      <w:r>
        <w:t xml:space="preserve"> </w:t>
      </w:r>
      <w:r w:rsidRPr="00283D7B">
        <w:t>Kinch, Ashby, 'Image, Ideology and Form: the Middle English Three Dead Kings in its Iconographic Context', </w:t>
      </w:r>
      <w:r w:rsidRPr="00283D7B">
        <w:rPr>
          <w:i/>
          <w:iCs/>
        </w:rPr>
        <w:t>Chaucer Review</w:t>
      </w:r>
      <w:r w:rsidRPr="00283D7B">
        <w:t>,</w:t>
      </w:r>
      <w:r>
        <w:t xml:space="preserve"> 43.1, (2008), pp49.</w:t>
      </w:r>
    </w:p>
    <w:p w:rsidR="00BC2EA8" w:rsidRPr="00BC2EA8" w:rsidRDefault="00BC2EA8">
      <w:pPr>
        <w:pStyle w:val="FootnoteText"/>
      </w:pPr>
      <w:r w:rsidRPr="00BC2EA8">
        <w:t>Turville-Petre, T. , </w:t>
      </w:r>
      <w:r w:rsidRPr="00BC2EA8">
        <w:rPr>
          <w:i/>
          <w:iCs/>
        </w:rPr>
        <w:t>The Alliterative Revival</w:t>
      </w:r>
      <w:r w:rsidRPr="00BC2EA8">
        <w:t xml:space="preserve"> (Cambridge: Brewer, 1977), </w:t>
      </w:r>
      <w:r w:rsidR="006C59A0">
        <w:t>p</w:t>
      </w:r>
      <w:r w:rsidR="00A439A1">
        <w:t>p. 64</w:t>
      </w:r>
    </w:p>
  </w:footnote>
  <w:footnote w:id="2">
    <w:p w:rsidR="00762443" w:rsidRDefault="00762443">
      <w:pPr>
        <w:pStyle w:val="FootnoteText"/>
      </w:pPr>
      <w:r>
        <w:rPr>
          <w:rStyle w:val="FootnoteReference"/>
        </w:rPr>
        <w:footnoteRef/>
      </w:r>
      <w:r>
        <w:t xml:space="preserve"> Kinch, A. (2008), pp49</w:t>
      </w:r>
      <w:r w:rsidR="006C59A0">
        <w:t>, Turville-Petre, T. (1977), pp64</w:t>
      </w:r>
    </w:p>
  </w:footnote>
  <w:footnote w:id="3">
    <w:p w:rsidR="00A439A1" w:rsidRDefault="00A439A1">
      <w:pPr>
        <w:pStyle w:val="FootnoteText"/>
      </w:pPr>
      <w:r>
        <w:rPr>
          <w:rStyle w:val="FootnoteReference"/>
        </w:rPr>
        <w:footnoteRef/>
      </w:r>
      <w:r>
        <w:t xml:space="preserve"> Kinch</w:t>
      </w:r>
      <w:r w:rsidR="00E8398E">
        <w:t>,</w:t>
      </w:r>
      <w:r>
        <w:t xml:space="preserve"> A. (2008), pp49, </w:t>
      </w:r>
      <w:r w:rsidRPr="00A439A1">
        <w:t>Putter, A.D., 'The Language and Metre of "Pater Noster" and "Three Dead Kings"', </w:t>
      </w:r>
      <w:r w:rsidRPr="00A439A1">
        <w:rPr>
          <w:i/>
          <w:iCs/>
        </w:rPr>
        <w:t>The Review of English Studies, New Series</w:t>
      </w:r>
      <w:r>
        <w:t>, 55.221, (2004), pp498</w:t>
      </w:r>
    </w:p>
  </w:footnote>
  <w:footnote w:id="4">
    <w:p w:rsidR="00257261" w:rsidRDefault="00257261">
      <w:pPr>
        <w:pStyle w:val="FootnoteText"/>
      </w:pPr>
      <w:r>
        <w:rPr>
          <w:rStyle w:val="FootnoteReference"/>
        </w:rPr>
        <w:footnoteRef/>
      </w:r>
      <w:r>
        <w:t xml:space="preserve"> Putter, A.D. (2004), pp499</w:t>
      </w:r>
    </w:p>
  </w:footnote>
  <w:footnote w:id="5">
    <w:p w:rsidR="00E8398E" w:rsidRDefault="00E8398E">
      <w:pPr>
        <w:pStyle w:val="FootnoteText"/>
      </w:pPr>
      <w:r>
        <w:rPr>
          <w:rStyle w:val="FootnoteReference"/>
        </w:rPr>
        <w:footnoteRef/>
      </w:r>
      <w:r>
        <w:t xml:space="preserve"> Putter, A.D. (2004), pp500, Kinch, A. (2008), pp49</w:t>
      </w:r>
    </w:p>
  </w:footnote>
  <w:footnote w:id="6">
    <w:p w:rsidR="00CF004C" w:rsidRDefault="00CF004C">
      <w:pPr>
        <w:pStyle w:val="FootnoteText"/>
      </w:pPr>
      <w:r>
        <w:rPr>
          <w:rStyle w:val="FootnoteReference"/>
        </w:rPr>
        <w:footnoteRef/>
      </w:r>
      <w:r>
        <w:t xml:space="preserve"> Kinch, A. (2008), pp50</w:t>
      </w:r>
    </w:p>
  </w:footnote>
  <w:footnote w:id="7">
    <w:p w:rsidR="00543F70" w:rsidRDefault="00543F70">
      <w:pPr>
        <w:pStyle w:val="FootnoteText"/>
      </w:pPr>
      <w:r>
        <w:rPr>
          <w:rStyle w:val="FootnoteReference"/>
        </w:rPr>
        <w:footnoteRef/>
      </w:r>
      <w:r>
        <w:t xml:space="preserve"> Kinch, A. (2008), pp50</w:t>
      </w:r>
    </w:p>
  </w:footnote>
  <w:footnote w:id="8">
    <w:p w:rsidR="002E7924" w:rsidRDefault="002E7924">
      <w:pPr>
        <w:pStyle w:val="FootnoteText"/>
      </w:pPr>
      <w:r>
        <w:rPr>
          <w:rStyle w:val="FootnoteReference"/>
        </w:rPr>
        <w:footnoteRef/>
      </w:r>
      <w:r>
        <w:t xml:space="preserve"> Putter, A.D. (2004),pp500, Kinch A. (2008), pp</w:t>
      </w:r>
      <w:r w:rsidR="005A0722">
        <w:t>51, Turville-Petre, T. (1977), pp65</w:t>
      </w:r>
    </w:p>
  </w:footnote>
  <w:footnote w:id="9">
    <w:p w:rsidR="005C1B80" w:rsidRDefault="005C1B80">
      <w:pPr>
        <w:pStyle w:val="FootnoteText"/>
      </w:pPr>
      <w:r>
        <w:rPr>
          <w:rStyle w:val="FootnoteReference"/>
        </w:rPr>
        <w:footnoteRef/>
      </w:r>
      <w:r w:rsidR="009D37C5">
        <w:t xml:space="preserve"> Kinch, A.D. (2008</w:t>
      </w:r>
      <w:r>
        <w:t>) pp51, Turville-Petre T. (1977) pp65</w:t>
      </w:r>
    </w:p>
  </w:footnote>
  <w:footnote w:id="10">
    <w:p w:rsidR="009D37C5" w:rsidRDefault="009D37C5">
      <w:pPr>
        <w:pStyle w:val="FootnoteText"/>
      </w:pPr>
      <w:r>
        <w:rPr>
          <w:rStyle w:val="FootnoteReference"/>
        </w:rPr>
        <w:footnoteRef/>
      </w:r>
      <w:r>
        <w:t xml:space="preserve"> Kinch, A.D. (2008), pp51.</w:t>
      </w:r>
    </w:p>
  </w:footnote>
  <w:footnote w:id="11">
    <w:p w:rsidR="009D37C5" w:rsidRDefault="009D37C5">
      <w:pPr>
        <w:pStyle w:val="FootnoteText"/>
      </w:pPr>
      <w:r>
        <w:rPr>
          <w:rStyle w:val="FootnoteReference"/>
        </w:rPr>
        <w:footnoteRef/>
      </w:r>
      <w:r>
        <w:t xml:space="preserve"> Kinch, A. (2008), pp51-52.</w:t>
      </w:r>
    </w:p>
  </w:footnote>
  <w:footnote w:id="12">
    <w:p w:rsidR="009A672D" w:rsidRDefault="00B84397">
      <w:pPr>
        <w:pStyle w:val="FootnoteText"/>
      </w:pPr>
      <w:r>
        <w:rPr>
          <w:rStyle w:val="FootnoteReference"/>
        </w:rPr>
        <w:footnoteRef/>
      </w:r>
      <w:r>
        <w:t xml:space="preserve"> </w:t>
      </w:r>
      <w:r w:rsidR="009A672D">
        <w:t>Putter, A.D. (2004)</w:t>
      </w:r>
      <w:r w:rsidR="009D4A02">
        <w:t>,</w:t>
      </w:r>
      <w:r w:rsidR="009A672D">
        <w:t xml:space="preserve"> pp503</w:t>
      </w:r>
      <w:r>
        <w:t>.</w:t>
      </w:r>
    </w:p>
  </w:footnote>
  <w:footnote w:id="13">
    <w:p w:rsidR="009D4A02" w:rsidRDefault="009D4A02">
      <w:pPr>
        <w:pStyle w:val="FootnoteText"/>
      </w:pPr>
      <w:r>
        <w:rPr>
          <w:rStyle w:val="FootnoteReference"/>
        </w:rPr>
        <w:footnoteRef/>
      </w:r>
      <w:r>
        <w:t xml:space="preserve"> Putter, A.D. (2004), pp505.</w:t>
      </w:r>
    </w:p>
  </w:footnote>
  <w:footnote w:id="14">
    <w:p w:rsidR="00C91F54" w:rsidRDefault="00C91F54">
      <w:pPr>
        <w:pStyle w:val="FootnoteText"/>
      </w:pPr>
      <w:r>
        <w:rPr>
          <w:rStyle w:val="FootnoteReference"/>
        </w:rPr>
        <w:footnoteRef/>
      </w:r>
      <w:r>
        <w:t xml:space="preserve"> Putter, A.D. (2004), pp506</w:t>
      </w:r>
    </w:p>
  </w:footnote>
  <w:footnote w:id="15">
    <w:p w:rsidR="001B52C4" w:rsidRDefault="001B52C4">
      <w:pPr>
        <w:pStyle w:val="FootnoteText"/>
      </w:pPr>
      <w:r>
        <w:rPr>
          <w:rStyle w:val="FootnoteReference"/>
        </w:rPr>
        <w:footnoteRef/>
      </w:r>
      <w:r>
        <w:t xml:space="preserve"> Putter, A.D. (2004</w:t>
      </w:r>
      <w:r w:rsidR="00DB4C45">
        <w:t>), pp507, Kinch, A. (2008), pp55</w:t>
      </w:r>
    </w:p>
  </w:footnote>
  <w:footnote w:id="16">
    <w:p w:rsidR="005D106B" w:rsidRDefault="005D106B">
      <w:pPr>
        <w:pStyle w:val="FootnoteText"/>
      </w:pPr>
      <w:r>
        <w:rPr>
          <w:rStyle w:val="FootnoteReference"/>
        </w:rPr>
        <w:footnoteRef/>
      </w:r>
      <w:r>
        <w:t xml:space="preserve"> Kinch, A.D. (2008), pp53</w:t>
      </w:r>
    </w:p>
  </w:footnote>
  <w:footnote w:id="17">
    <w:p w:rsidR="00DB71A3" w:rsidRDefault="00DB71A3">
      <w:pPr>
        <w:pStyle w:val="FootnoteText"/>
      </w:pPr>
      <w:r>
        <w:rPr>
          <w:rStyle w:val="FootnoteReference"/>
        </w:rPr>
        <w:footnoteRef/>
      </w:r>
      <w:r>
        <w:t xml:space="preserve"> Kinch, A.D. (2008), pp55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76D9"/>
    <w:rsid w:val="000376D9"/>
    <w:rsid w:val="001325CD"/>
    <w:rsid w:val="001B52C4"/>
    <w:rsid w:val="001F5071"/>
    <w:rsid w:val="00257261"/>
    <w:rsid w:val="00283D7B"/>
    <w:rsid w:val="002E7924"/>
    <w:rsid w:val="002F1CF1"/>
    <w:rsid w:val="003930E3"/>
    <w:rsid w:val="003C0BBB"/>
    <w:rsid w:val="003D01F4"/>
    <w:rsid w:val="00480719"/>
    <w:rsid w:val="004F6B57"/>
    <w:rsid w:val="00543F70"/>
    <w:rsid w:val="005907E5"/>
    <w:rsid w:val="005A0722"/>
    <w:rsid w:val="005C1B80"/>
    <w:rsid w:val="005D106B"/>
    <w:rsid w:val="005E4FAF"/>
    <w:rsid w:val="00622422"/>
    <w:rsid w:val="006C59A0"/>
    <w:rsid w:val="006F3C1D"/>
    <w:rsid w:val="007076AB"/>
    <w:rsid w:val="00757FC8"/>
    <w:rsid w:val="00762443"/>
    <w:rsid w:val="00854375"/>
    <w:rsid w:val="00861D8D"/>
    <w:rsid w:val="0086227C"/>
    <w:rsid w:val="008A2A72"/>
    <w:rsid w:val="00905CFA"/>
    <w:rsid w:val="0092329F"/>
    <w:rsid w:val="009A672D"/>
    <w:rsid w:val="009D37C5"/>
    <w:rsid w:val="009D4A02"/>
    <w:rsid w:val="009D6E41"/>
    <w:rsid w:val="00A439A1"/>
    <w:rsid w:val="00AC1D1B"/>
    <w:rsid w:val="00B84397"/>
    <w:rsid w:val="00BC1B0F"/>
    <w:rsid w:val="00BC2EA8"/>
    <w:rsid w:val="00C91F54"/>
    <w:rsid w:val="00CB79A5"/>
    <w:rsid w:val="00CC7558"/>
    <w:rsid w:val="00CF004C"/>
    <w:rsid w:val="00D6390B"/>
    <w:rsid w:val="00D63BDE"/>
    <w:rsid w:val="00DA5DA4"/>
    <w:rsid w:val="00DA6A49"/>
    <w:rsid w:val="00DB4C45"/>
    <w:rsid w:val="00DB71A3"/>
    <w:rsid w:val="00E46D97"/>
    <w:rsid w:val="00E66F8E"/>
    <w:rsid w:val="00E8398E"/>
    <w:rsid w:val="00EF6796"/>
    <w:rsid w:val="00F510A1"/>
    <w:rsid w:val="00F561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2DC763F-BF55-458F-BB83-2585780C4A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83D7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83D7B"/>
    <w:rPr>
      <w:sz w:val="20"/>
      <w:szCs w:val="20"/>
    </w:rPr>
  </w:style>
  <w:style w:type="character" w:styleId="FootnoteReference">
    <w:name w:val="footnote reference"/>
    <w:basedOn w:val="DefaultParagraphFont"/>
    <w:uiPriority w:val="99"/>
    <w:semiHidden/>
    <w:unhideWhenUsed/>
    <w:rsid w:val="00283D7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0A30DAB-9944-4914-872E-BE4AA8B544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900</Words>
  <Characters>5135</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dc:creator>
  <cp:keywords/>
  <dc:description/>
  <cp:lastModifiedBy>University Of Wales</cp:lastModifiedBy>
  <cp:revision>3</cp:revision>
  <dcterms:created xsi:type="dcterms:W3CDTF">2017-10-20T20:39:00Z</dcterms:created>
  <dcterms:modified xsi:type="dcterms:W3CDTF">2017-10-20T20:41:00Z</dcterms:modified>
</cp:coreProperties>
</file>