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A1CE" w14:textId="77777777" w:rsidR="00087739" w:rsidRDefault="00E4354C" w:rsidP="00E54270">
      <w:pPr>
        <w:jc w:val="center"/>
        <w:rPr>
          <w:rFonts w:ascii="Calibri" w:eastAsia="Calibri" w:hAnsi="Calibri" w:cs="Calibri"/>
          <w:sz w:val="34"/>
          <w:szCs w:val="34"/>
        </w:rPr>
      </w:pPr>
      <w:bookmarkStart w:id="0" w:name="_sgsjnwbgzslr" w:colFirst="0" w:colLast="0"/>
      <w:bookmarkEnd w:id="0"/>
      <w:r>
        <w:rPr>
          <w:noProof/>
        </w:rPr>
        <w:drawing>
          <wp:inline distT="114300" distB="114300" distL="114300" distR="114300" wp14:anchorId="0FC7BCB8" wp14:editId="7C9FAB7E">
            <wp:extent cx="4752975" cy="18954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752975" cy="1895475"/>
                    </a:xfrm>
                    <a:prstGeom prst="rect">
                      <a:avLst/>
                    </a:prstGeom>
                    <a:ln/>
                  </pic:spPr>
                </pic:pic>
              </a:graphicData>
            </a:graphic>
          </wp:inline>
        </w:drawing>
      </w:r>
    </w:p>
    <w:p w14:paraId="129617EE" w14:textId="77777777" w:rsidR="00087739" w:rsidRDefault="00087739">
      <w:pPr>
        <w:spacing w:before="240" w:after="240"/>
        <w:rPr>
          <w:rFonts w:ascii="Calibri" w:eastAsia="Calibri" w:hAnsi="Calibri" w:cs="Calibri"/>
        </w:rPr>
      </w:pPr>
    </w:p>
    <w:p w14:paraId="2320D2DD" w14:textId="77777777" w:rsidR="00087739" w:rsidRDefault="00087739">
      <w:pPr>
        <w:spacing w:before="240" w:after="240"/>
        <w:rPr>
          <w:rFonts w:ascii="Calibri" w:eastAsia="Calibri" w:hAnsi="Calibri" w:cs="Calibri"/>
        </w:rPr>
      </w:pPr>
    </w:p>
    <w:p w14:paraId="3D46341D" w14:textId="77777777" w:rsidR="00087739" w:rsidRDefault="00087739">
      <w:pPr>
        <w:spacing w:before="240" w:after="240"/>
        <w:rPr>
          <w:rFonts w:ascii="Calibri" w:eastAsia="Calibri" w:hAnsi="Calibri" w:cs="Calibri"/>
        </w:rPr>
      </w:pPr>
    </w:p>
    <w:p w14:paraId="494A0F7B" w14:textId="77777777" w:rsidR="00087739" w:rsidRDefault="00087739">
      <w:pPr>
        <w:spacing w:before="240" w:after="240"/>
        <w:rPr>
          <w:rFonts w:ascii="Calibri" w:eastAsia="Calibri" w:hAnsi="Calibri" w:cs="Calibri"/>
        </w:rPr>
      </w:pPr>
    </w:p>
    <w:p w14:paraId="3940BE72" w14:textId="77777777" w:rsidR="00087739" w:rsidRDefault="00E4354C">
      <w:pPr>
        <w:shd w:val="clear" w:color="auto" w:fill="FFFFFF"/>
        <w:spacing w:before="220" w:after="280" w:line="342" w:lineRule="auto"/>
        <w:jc w:val="center"/>
        <w:rPr>
          <w:rFonts w:ascii="Calibri" w:eastAsia="Calibri" w:hAnsi="Calibri" w:cs="Calibri"/>
          <w:b/>
          <w:bCs/>
        </w:rPr>
      </w:pPr>
      <w:r>
        <w:rPr>
          <w:rFonts w:ascii="Calibri" w:eastAsia="Calibri" w:hAnsi="Calibri" w:cs="Calibri"/>
          <w:b/>
          <w:bCs/>
        </w:rPr>
        <w:t>Name: Md Mehedi Hasan</w:t>
      </w:r>
    </w:p>
    <w:p w14:paraId="03D6F050" w14:textId="77777777" w:rsidR="00087739" w:rsidRDefault="00E4354C">
      <w:pPr>
        <w:shd w:val="clear" w:color="auto" w:fill="FFFFFF"/>
        <w:spacing w:before="220" w:after="280" w:line="342" w:lineRule="auto"/>
        <w:jc w:val="center"/>
        <w:rPr>
          <w:rFonts w:ascii="Calibri" w:eastAsia="Calibri" w:hAnsi="Calibri" w:cs="Calibri"/>
          <w:b/>
          <w:bCs/>
        </w:rPr>
      </w:pPr>
      <w:r>
        <w:rPr>
          <w:rFonts w:ascii="Calibri" w:eastAsia="Calibri" w:hAnsi="Calibri" w:cs="Calibri"/>
          <w:b/>
          <w:bCs/>
        </w:rPr>
        <w:t>Student ID: 2506709</w:t>
      </w:r>
    </w:p>
    <w:p w14:paraId="67CDD8D2" w14:textId="77777777" w:rsidR="00087739" w:rsidRDefault="00E4354C">
      <w:pPr>
        <w:shd w:val="clear" w:color="auto" w:fill="FFFFFF"/>
        <w:spacing w:before="220" w:after="280" w:line="342" w:lineRule="auto"/>
        <w:jc w:val="center"/>
        <w:rPr>
          <w:rFonts w:ascii="Calibri" w:eastAsia="Calibri" w:hAnsi="Calibri" w:cs="Calibri"/>
          <w:b/>
          <w:bCs/>
        </w:rPr>
      </w:pPr>
      <w:r>
        <w:rPr>
          <w:rFonts w:ascii="Calibri" w:eastAsia="Calibri" w:hAnsi="Calibri" w:cs="Calibri"/>
          <w:b/>
          <w:bCs/>
        </w:rPr>
        <w:t>Module Name: Financial Management</w:t>
      </w:r>
    </w:p>
    <w:p w14:paraId="5F03CD20" w14:textId="77777777" w:rsidR="00087739" w:rsidRDefault="00E4354C">
      <w:pPr>
        <w:shd w:val="clear" w:color="auto" w:fill="FFFFFF"/>
        <w:spacing w:before="220" w:after="280" w:line="342" w:lineRule="auto"/>
        <w:jc w:val="center"/>
        <w:rPr>
          <w:rFonts w:ascii="Calibri" w:eastAsia="Calibri" w:hAnsi="Calibri" w:cs="Calibri"/>
          <w:b/>
          <w:bCs/>
        </w:rPr>
      </w:pPr>
      <w:r>
        <w:rPr>
          <w:rFonts w:ascii="Calibri" w:eastAsia="Calibri" w:hAnsi="Calibri" w:cs="Calibri"/>
          <w:b/>
          <w:bCs/>
        </w:rPr>
        <w:t xml:space="preserve">Module Code: LCMB7002 </w:t>
      </w:r>
    </w:p>
    <w:p w14:paraId="2FE1207D" w14:textId="77777777" w:rsidR="00087739" w:rsidRDefault="00E4354C">
      <w:pPr>
        <w:shd w:val="clear" w:color="auto" w:fill="FFFFFF"/>
        <w:spacing w:before="220" w:after="280" w:line="342" w:lineRule="auto"/>
        <w:jc w:val="center"/>
        <w:rPr>
          <w:rFonts w:ascii="Calibri" w:eastAsia="Calibri" w:hAnsi="Calibri" w:cs="Calibri"/>
          <w:b/>
          <w:bCs/>
        </w:rPr>
      </w:pPr>
      <w:r>
        <w:rPr>
          <w:rFonts w:ascii="Calibri" w:eastAsia="Calibri" w:hAnsi="Calibri" w:cs="Calibri"/>
          <w:b/>
          <w:bCs/>
        </w:rPr>
        <w:t xml:space="preserve">Lecturer's Name: </w:t>
      </w:r>
      <w:proofErr w:type="spellStart"/>
      <w:r>
        <w:rPr>
          <w:rFonts w:ascii="Calibri" w:eastAsia="Calibri" w:hAnsi="Calibri" w:cs="Calibri"/>
          <w:b/>
          <w:bCs/>
        </w:rPr>
        <w:t>Shengfeng</w:t>
      </w:r>
      <w:proofErr w:type="spellEnd"/>
      <w:r>
        <w:rPr>
          <w:rFonts w:ascii="Calibri" w:eastAsia="Calibri" w:hAnsi="Calibri" w:cs="Calibri"/>
          <w:b/>
          <w:bCs/>
        </w:rPr>
        <w:t xml:space="preserve"> Mei (London) </w:t>
      </w:r>
    </w:p>
    <w:p w14:paraId="6AA82969" w14:textId="77777777" w:rsidR="00087739" w:rsidRDefault="00087739">
      <w:pPr>
        <w:shd w:val="clear" w:color="auto" w:fill="FFFFFF"/>
        <w:spacing w:before="220" w:line="342" w:lineRule="auto"/>
        <w:jc w:val="center"/>
        <w:rPr>
          <w:rFonts w:ascii="Calibri" w:eastAsia="Calibri" w:hAnsi="Calibri" w:cs="Calibri"/>
          <w:b/>
          <w:bCs/>
        </w:rPr>
      </w:pPr>
    </w:p>
    <w:p w14:paraId="50497E5B" w14:textId="77777777" w:rsidR="00087739" w:rsidRDefault="00E4354C">
      <w:pPr>
        <w:shd w:val="clear" w:color="auto" w:fill="FFFFFF"/>
        <w:spacing w:before="220" w:line="342" w:lineRule="auto"/>
        <w:jc w:val="left"/>
        <w:rPr>
          <w:rFonts w:ascii="Calibri" w:eastAsia="Calibri" w:hAnsi="Calibri" w:cs="Calibri"/>
          <w:b/>
          <w:bCs/>
        </w:rPr>
      </w:pPr>
      <w:r>
        <w:br w:type="page"/>
      </w:r>
    </w:p>
    <w:p w14:paraId="2E814167" w14:textId="77777777" w:rsidR="00087739" w:rsidRDefault="00E4354C" w:rsidP="00BD57AC">
      <w:pPr>
        <w:pStyle w:val="Heading1"/>
      </w:pPr>
      <w:bookmarkStart w:id="1" w:name="_rtxw3in7pjc3" w:colFirst="0" w:colLast="0"/>
      <w:bookmarkStart w:id="2" w:name="_Toc217146055"/>
      <w:bookmarkEnd w:id="1"/>
      <w:r>
        <w:lastRenderedPageBreak/>
        <w:t>Executive Summary</w:t>
      </w:r>
      <w:bookmarkEnd w:id="2"/>
    </w:p>
    <w:p w14:paraId="4FCA798A" w14:textId="77777777" w:rsidR="00E26288" w:rsidRPr="009F7F30" w:rsidRDefault="00E26288" w:rsidP="00E26288">
      <w:pPr>
        <w:spacing w:before="240" w:after="240"/>
      </w:pPr>
      <w:bookmarkStart w:id="3" w:name="OLE_LINK12"/>
      <w:bookmarkStart w:id="4" w:name="OLE_LINK13"/>
      <w:r w:rsidRPr="009F7F30">
        <w:t xml:space="preserve">General Electronics has been under constant financial stress. It has been experiencing deteriorating revenues and profitability challenges. The firm has also been experiencing </w:t>
      </w:r>
      <w:r>
        <w:t xml:space="preserve">a </w:t>
      </w:r>
      <w:r w:rsidRPr="009F7F30">
        <w:t xml:space="preserve">tight cash crunch. The company has been in </w:t>
      </w:r>
      <w:r>
        <w:t xml:space="preserve">a </w:t>
      </w:r>
      <w:r w:rsidRPr="009F7F30">
        <w:t xml:space="preserve">position to maximally </w:t>
      </w:r>
      <w:proofErr w:type="spellStart"/>
      <w:r>
        <w:t>utilise</w:t>
      </w:r>
      <w:proofErr w:type="spellEnd"/>
      <w:r w:rsidRPr="009F7F30">
        <w:t xml:space="preserve"> its </w:t>
      </w:r>
      <w:r>
        <w:t>assets</w:t>
      </w:r>
      <w:r w:rsidRPr="009F7F30">
        <w:t xml:space="preserve"> regardless of low margins and unstable operating cash flows. </w:t>
      </w:r>
    </w:p>
    <w:p w14:paraId="25A595B3" w14:textId="505FA2C8" w:rsidR="00E26288" w:rsidRPr="009F7F30" w:rsidRDefault="00E26288" w:rsidP="00E26288">
      <w:pPr>
        <w:spacing w:before="240" w:after="240"/>
      </w:pPr>
      <w:r w:rsidRPr="009F7F30">
        <w:t xml:space="preserve">After evaluation of </w:t>
      </w:r>
      <w:r>
        <w:t xml:space="preserve">the </w:t>
      </w:r>
      <w:r w:rsidRPr="009F7F30">
        <w:t xml:space="preserve">financial health of the company, it was found that there is a steady declining tendency in net sales and profitability. </w:t>
      </w:r>
      <w:r>
        <w:t>C</w:t>
      </w:r>
      <w:r w:rsidRPr="009F7F30">
        <w:t xml:space="preserve">urrent and quick ratios were maintained at above </w:t>
      </w:r>
      <w:r>
        <w:t>one</w:t>
      </w:r>
      <w:r w:rsidRPr="009F7F30">
        <w:t xml:space="preserve"> during the period</w:t>
      </w:r>
      <w:r>
        <w:t>,</w:t>
      </w:r>
      <w:r w:rsidRPr="009F7F30">
        <w:t xml:space="preserve"> which means that it has sufficient coverage in the short-term. </w:t>
      </w:r>
      <w:r>
        <w:t>T</w:t>
      </w:r>
      <w:r w:rsidRPr="009F7F30">
        <w:t xml:space="preserve">he low cash ratio that continued to decrease indicated a low short-term liquidity. </w:t>
      </w:r>
    </w:p>
    <w:p w14:paraId="5C6CC373" w14:textId="77777777" w:rsidR="00E26288" w:rsidRPr="009F7F30" w:rsidRDefault="00E26288" w:rsidP="00E26288">
      <w:pPr>
        <w:spacing w:before="240" w:after="240"/>
      </w:pPr>
      <w:r>
        <w:t>T</w:t>
      </w:r>
      <w:r w:rsidRPr="009F7F30">
        <w:t>he Altman Z-score was employed to gauge the risk of default of the firm</w:t>
      </w:r>
      <w:r>
        <w:t>,</w:t>
      </w:r>
      <w:r w:rsidRPr="009F7F30">
        <w:t xml:space="preserve"> and the scores put the company in the grey zone, indicating moderate distress in the company. It foreshadowed the necessity of the active corrective action. This </w:t>
      </w:r>
      <w:r>
        <w:t>is</w:t>
      </w:r>
      <w:r w:rsidRPr="009F7F30">
        <w:t xml:space="preserve"> followed by a strategic financial restructuring plan that is meant to make it more liquid, </w:t>
      </w:r>
      <w:r>
        <w:t xml:space="preserve">reduce </w:t>
      </w:r>
      <w:r w:rsidRPr="009F7F30">
        <w:t xml:space="preserve">financial risk, preserve its core efficient assets, and make it more flexible in its operations. During the development of these plans, International and ethical factors such as currency risk, taxation, and corporate social responsibility were </w:t>
      </w:r>
      <w:r>
        <w:t>taken</w:t>
      </w:r>
      <w:r w:rsidRPr="009F7F30">
        <w:t xml:space="preserve"> into consideration in order to have a sustainable and responsible growth.</w:t>
      </w:r>
    </w:p>
    <w:p w14:paraId="5393014C" w14:textId="77777777" w:rsidR="00E26288" w:rsidRDefault="00E26288" w:rsidP="00E26288">
      <w:pPr>
        <w:spacing w:before="240" w:after="240"/>
      </w:pPr>
      <w:r>
        <w:t>T</w:t>
      </w:r>
      <w:r w:rsidRPr="009F7F30">
        <w:t xml:space="preserve">hree mutually exclusive investment projects are evaluated by the report in terms of payback period, ARR, NPV, PI and IRR. The discounted rate is 10%. Capital budgeting methods always demonstrate that Project C provides the best value creation, even though it requires more investments in the </w:t>
      </w:r>
      <w:r>
        <w:t>short run</w:t>
      </w:r>
      <w:r w:rsidRPr="009F7F30">
        <w:t xml:space="preserve">. </w:t>
      </w:r>
      <w:r>
        <w:t>Whereas</w:t>
      </w:r>
      <w:r w:rsidRPr="009F7F30">
        <w:t xml:space="preserve"> Project A is quicker to </w:t>
      </w:r>
      <w:r>
        <w:t>pay back</w:t>
      </w:r>
      <w:r w:rsidRPr="009F7F30">
        <w:t xml:space="preserve"> and less valuable in the </w:t>
      </w:r>
      <w:r>
        <w:t>long run</w:t>
      </w:r>
      <w:r w:rsidRPr="009F7F30">
        <w:t>. Project B is not doing so well on all parameters and must be discarded. Project C is the best investment project according to the analysis.</w:t>
      </w:r>
    </w:p>
    <w:p w14:paraId="4F08C6E6" w14:textId="77777777" w:rsidR="00C150CA" w:rsidRDefault="00C150CA"/>
    <w:p w14:paraId="1EC335F5" w14:textId="77777777" w:rsidR="00C150CA" w:rsidRDefault="00C150CA"/>
    <w:p w14:paraId="41F9A7A9" w14:textId="77777777" w:rsidR="00A6088E" w:rsidRDefault="00C150CA" w:rsidP="00A6088E">
      <w:r>
        <w:br w:type="page"/>
      </w:r>
    </w:p>
    <w:bookmarkStart w:id="5" w:name="OLE_LINK17" w:displacedByCustomXml="next"/>
    <w:bookmarkStart w:id="6" w:name="OLE_LINK16" w:displacedByCustomXml="next"/>
    <w:sdt>
      <w:sdtPr>
        <w:id w:val="-37437910"/>
        <w:docPartObj>
          <w:docPartGallery w:val="Table of Contents"/>
          <w:docPartUnique/>
        </w:docPartObj>
      </w:sdtPr>
      <w:sdtEndPr>
        <w:rPr>
          <w:b/>
          <w:bCs/>
          <w:noProof/>
        </w:rPr>
      </w:sdtEndPr>
      <w:sdtContent>
        <w:p w14:paraId="21A1C5F4" w14:textId="77777777" w:rsidR="00A6088E" w:rsidRPr="00343930" w:rsidRDefault="00A6088E" w:rsidP="00343930">
          <w:pPr>
            <w:jc w:val="center"/>
            <w:rPr>
              <w:b/>
              <w:bCs/>
              <w:sz w:val="32"/>
              <w:szCs w:val="32"/>
            </w:rPr>
          </w:pPr>
          <w:r w:rsidRPr="00343930">
            <w:rPr>
              <w:b/>
              <w:bCs/>
              <w:sz w:val="32"/>
              <w:szCs w:val="32"/>
            </w:rPr>
            <w:t>Table of Contents</w:t>
          </w:r>
        </w:p>
        <w:p w14:paraId="726E868C" w14:textId="4999D960" w:rsidR="00343930" w:rsidRPr="00343930" w:rsidRDefault="00A6088E">
          <w:pPr>
            <w:pStyle w:val="TOC1"/>
            <w:tabs>
              <w:tab w:val="right" w:leader="dot" w:pos="9350"/>
            </w:tabs>
            <w:rPr>
              <w:rFonts w:ascii="Arial" w:eastAsiaTheme="minorEastAsia" w:hAnsi="Arial"/>
              <w:b w:val="0"/>
              <w:bCs w:val="0"/>
              <w:i w:val="0"/>
              <w:iCs w:val="0"/>
              <w:noProof/>
              <w:lang w:val="en-US"/>
            </w:rPr>
          </w:pPr>
          <w:r w:rsidRPr="00343930">
            <w:rPr>
              <w:rFonts w:ascii="Arial" w:hAnsi="Arial"/>
              <w:b w:val="0"/>
              <w:bCs w:val="0"/>
            </w:rPr>
            <w:fldChar w:fldCharType="begin"/>
          </w:r>
          <w:r w:rsidRPr="00343930">
            <w:rPr>
              <w:rFonts w:ascii="Arial" w:hAnsi="Arial"/>
            </w:rPr>
            <w:instrText xml:space="preserve"> TOC \o "1-3" \h \z \u </w:instrText>
          </w:r>
          <w:r w:rsidRPr="00343930">
            <w:rPr>
              <w:rFonts w:ascii="Arial" w:hAnsi="Arial"/>
              <w:b w:val="0"/>
              <w:bCs w:val="0"/>
            </w:rPr>
            <w:fldChar w:fldCharType="separate"/>
          </w:r>
          <w:hyperlink w:anchor="_Toc217146055" w:history="1">
            <w:r w:rsidR="00343930" w:rsidRPr="00343930">
              <w:rPr>
                <w:rStyle w:val="Hyperlink"/>
                <w:rFonts w:ascii="Arial" w:hAnsi="Arial"/>
                <w:b w:val="0"/>
                <w:bCs w:val="0"/>
                <w:i w:val="0"/>
                <w:iCs w:val="0"/>
                <w:noProof/>
              </w:rPr>
              <w:t>Executive Summary</w:t>
            </w:r>
            <w:r w:rsidR="00343930" w:rsidRPr="00343930">
              <w:rPr>
                <w:rFonts w:ascii="Arial" w:hAnsi="Arial"/>
                <w:b w:val="0"/>
                <w:bCs w:val="0"/>
                <w:i w:val="0"/>
                <w:iCs w:val="0"/>
                <w:noProof/>
                <w:webHidden/>
              </w:rPr>
              <w:tab/>
            </w:r>
            <w:r w:rsidR="00343930" w:rsidRPr="00343930">
              <w:rPr>
                <w:rFonts w:ascii="Arial" w:hAnsi="Arial"/>
                <w:b w:val="0"/>
                <w:bCs w:val="0"/>
                <w:i w:val="0"/>
                <w:iCs w:val="0"/>
                <w:noProof/>
                <w:webHidden/>
              </w:rPr>
              <w:fldChar w:fldCharType="begin"/>
            </w:r>
            <w:r w:rsidR="00343930" w:rsidRPr="00343930">
              <w:rPr>
                <w:rFonts w:ascii="Arial" w:hAnsi="Arial"/>
                <w:b w:val="0"/>
                <w:bCs w:val="0"/>
                <w:i w:val="0"/>
                <w:iCs w:val="0"/>
                <w:noProof/>
                <w:webHidden/>
              </w:rPr>
              <w:instrText xml:space="preserve"> PAGEREF _Toc217146055 \h </w:instrText>
            </w:r>
            <w:r w:rsidR="00343930" w:rsidRPr="00343930">
              <w:rPr>
                <w:rFonts w:ascii="Arial" w:hAnsi="Arial"/>
                <w:b w:val="0"/>
                <w:bCs w:val="0"/>
                <w:i w:val="0"/>
                <w:iCs w:val="0"/>
                <w:noProof/>
                <w:webHidden/>
              </w:rPr>
            </w:r>
            <w:r w:rsidR="00343930" w:rsidRPr="00343930">
              <w:rPr>
                <w:rFonts w:ascii="Arial" w:hAnsi="Arial"/>
                <w:b w:val="0"/>
                <w:bCs w:val="0"/>
                <w:i w:val="0"/>
                <w:iCs w:val="0"/>
                <w:noProof/>
                <w:webHidden/>
              </w:rPr>
              <w:fldChar w:fldCharType="separate"/>
            </w:r>
            <w:r w:rsidR="00343930" w:rsidRPr="00343930">
              <w:rPr>
                <w:rFonts w:ascii="Arial" w:hAnsi="Arial"/>
                <w:b w:val="0"/>
                <w:bCs w:val="0"/>
                <w:i w:val="0"/>
                <w:iCs w:val="0"/>
                <w:noProof/>
                <w:webHidden/>
              </w:rPr>
              <w:t>ii</w:t>
            </w:r>
            <w:r w:rsidR="00343930" w:rsidRPr="00343930">
              <w:rPr>
                <w:rFonts w:ascii="Arial" w:hAnsi="Arial"/>
                <w:b w:val="0"/>
                <w:bCs w:val="0"/>
                <w:i w:val="0"/>
                <w:iCs w:val="0"/>
                <w:noProof/>
                <w:webHidden/>
              </w:rPr>
              <w:fldChar w:fldCharType="end"/>
            </w:r>
          </w:hyperlink>
        </w:p>
        <w:p w14:paraId="152C9B21" w14:textId="6C6CE6F9" w:rsidR="00343930" w:rsidRPr="00343930" w:rsidRDefault="00343930">
          <w:pPr>
            <w:pStyle w:val="TOC1"/>
            <w:tabs>
              <w:tab w:val="right" w:leader="dot" w:pos="9350"/>
            </w:tabs>
            <w:rPr>
              <w:rFonts w:ascii="Arial" w:eastAsiaTheme="minorEastAsia" w:hAnsi="Arial"/>
              <w:b w:val="0"/>
              <w:bCs w:val="0"/>
              <w:i w:val="0"/>
              <w:iCs w:val="0"/>
              <w:noProof/>
              <w:lang w:val="en-US"/>
            </w:rPr>
          </w:pPr>
          <w:hyperlink w:anchor="_Toc217146056" w:history="1">
            <w:r w:rsidRPr="00343930">
              <w:rPr>
                <w:rStyle w:val="Hyperlink"/>
                <w:rFonts w:ascii="Arial" w:hAnsi="Arial"/>
                <w:b w:val="0"/>
                <w:bCs w:val="0"/>
                <w:i w:val="0"/>
                <w:iCs w:val="0"/>
                <w:noProof/>
              </w:rPr>
              <w:t>1.0 Introduction</w:t>
            </w:r>
            <w:r w:rsidRPr="00343930">
              <w:rPr>
                <w:rFonts w:ascii="Arial" w:hAnsi="Arial"/>
                <w:b w:val="0"/>
                <w:bCs w:val="0"/>
                <w:i w:val="0"/>
                <w:iCs w:val="0"/>
                <w:noProof/>
                <w:webHidden/>
              </w:rPr>
              <w:tab/>
            </w:r>
            <w:r w:rsidRPr="00343930">
              <w:rPr>
                <w:rFonts w:ascii="Arial" w:hAnsi="Arial"/>
                <w:b w:val="0"/>
                <w:bCs w:val="0"/>
                <w:i w:val="0"/>
                <w:iCs w:val="0"/>
                <w:noProof/>
                <w:webHidden/>
              </w:rPr>
              <w:fldChar w:fldCharType="begin"/>
            </w:r>
            <w:r w:rsidRPr="00343930">
              <w:rPr>
                <w:rFonts w:ascii="Arial" w:hAnsi="Arial"/>
                <w:b w:val="0"/>
                <w:bCs w:val="0"/>
                <w:i w:val="0"/>
                <w:iCs w:val="0"/>
                <w:noProof/>
                <w:webHidden/>
              </w:rPr>
              <w:instrText xml:space="preserve"> PAGEREF _Toc217146056 \h </w:instrText>
            </w:r>
            <w:r w:rsidRPr="00343930">
              <w:rPr>
                <w:rFonts w:ascii="Arial" w:hAnsi="Arial"/>
                <w:b w:val="0"/>
                <w:bCs w:val="0"/>
                <w:i w:val="0"/>
                <w:iCs w:val="0"/>
                <w:noProof/>
                <w:webHidden/>
              </w:rPr>
            </w:r>
            <w:r w:rsidRPr="00343930">
              <w:rPr>
                <w:rFonts w:ascii="Arial" w:hAnsi="Arial"/>
                <w:b w:val="0"/>
                <w:bCs w:val="0"/>
                <w:i w:val="0"/>
                <w:iCs w:val="0"/>
                <w:noProof/>
                <w:webHidden/>
              </w:rPr>
              <w:fldChar w:fldCharType="separate"/>
            </w:r>
            <w:r w:rsidRPr="00343930">
              <w:rPr>
                <w:rFonts w:ascii="Arial" w:hAnsi="Arial"/>
                <w:b w:val="0"/>
                <w:bCs w:val="0"/>
                <w:i w:val="0"/>
                <w:iCs w:val="0"/>
                <w:noProof/>
                <w:webHidden/>
              </w:rPr>
              <w:t>2</w:t>
            </w:r>
            <w:r w:rsidRPr="00343930">
              <w:rPr>
                <w:rFonts w:ascii="Arial" w:hAnsi="Arial"/>
                <w:b w:val="0"/>
                <w:bCs w:val="0"/>
                <w:i w:val="0"/>
                <w:iCs w:val="0"/>
                <w:noProof/>
                <w:webHidden/>
              </w:rPr>
              <w:fldChar w:fldCharType="end"/>
            </w:r>
          </w:hyperlink>
        </w:p>
        <w:p w14:paraId="6B47F49D" w14:textId="43041A63" w:rsidR="00343930" w:rsidRPr="00343930" w:rsidRDefault="00343930">
          <w:pPr>
            <w:pStyle w:val="TOC1"/>
            <w:tabs>
              <w:tab w:val="right" w:leader="dot" w:pos="9350"/>
            </w:tabs>
            <w:rPr>
              <w:rFonts w:ascii="Arial" w:eastAsiaTheme="minorEastAsia" w:hAnsi="Arial"/>
              <w:b w:val="0"/>
              <w:bCs w:val="0"/>
              <w:i w:val="0"/>
              <w:iCs w:val="0"/>
              <w:noProof/>
              <w:lang w:val="en-US"/>
            </w:rPr>
          </w:pPr>
          <w:hyperlink w:anchor="_Toc217146057" w:history="1">
            <w:r w:rsidRPr="00343930">
              <w:rPr>
                <w:rStyle w:val="Hyperlink"/>
                <w:rFonts w:ascii="Arial" w:hAnsi="Arial"/>
                <w:b w:val="0"/>
                <w:bCs w:val="0"/>
                <w:i w:val="0"/>
                <w:iCs w:val="0"/>
                <w:noProof/>
              </w:rPr>
              <w:t>2.0 Financial Health Check</w:t>
            </w:r>
            <w:r w:rsidRPr="00343930">
              <w:rPr>
                <w:rFonts w:ascii="Arial" w:hAnsi="Arial"/>
                <w:b w:val="0"/>
                <w:bCs w:val="0"/>
                <w:i w:val="0"/>
                <w:iCs w:val="0"/>
                <w:noProof/>
                <w:webHidden/>
              </w:rPr>
              <w:tab/>
            </w:r>
            <w:r w:rsidRPr="00343930">
              <w:rPr>
                <w:rFonts w:ascii="Arial" w:hAnsi="Arial"/>
                <w:b w:val="0"/>
                <w:bCs w:val="0"/>
                <w:i w:val="0"/>
                <w:iCs w:val="0"/>
                <w:noProof/>
                <w:webHidden/>
              </w:rPr>
              <w:fldChar w:fldCharType="begin"/>
            </w:r>
            <w:r w:rsidRPr="00343930">
              <w:rPr>
                <w:rFonts w:ascii="Arial" w:hAnsi="Arial"/>
                <w:b w:val="0"/>
                <w:bCs w:val="0"/>
                <w:i w:val="0"/>
                <w:iCs w:val="0"/>
                <w:noProof/>
                <w:webHidden/>
              </w:rPr>
              <w:instrText xml:space="preserve"> PAGEREF _Toc217146057 \h </w:instrText>
            </w:r>
            <w:r w:rsidRPr="00343930">
              <w:rPr>
                <w:rFonts w:ascii="Arial" w:hAnsi="Arial"/>
                <w:b w:val="0"/>
                <w:bCs w:val="0"/>
                <w:i w:val="0"/>
                <w:iCs w:val="0"/>
                <w:noProof/>
                <w:webHidden/>
              </w:rPr>
            </w:r>
            <w:r w:rsidRPr="00343930">
              <w:rPr>
                <w:rFonts w:ascii="Arial" w:hAnsi="Arial"/>
                <w:b w:val="0"/>
                <w:bCs w:val="0"/>
                <w:i w:val="0"/>
                <w:iCs w:val="0"/>
                <w:noProof/>
                <w:webHidden/>
              </w:rPr>
              <w:fldChar w:fldCharType="separate"/>
            </w:r>
            <w:r w:rsidRPr="00343930">
              <w:rPr>
                <w:rFonts w:ascii="Arial" w:hAnsi="Arial"/>
                <w:b w:val="0"/>
                <w:bCs w:val="0"/>
                <w:i w:val="0"/>
                <w:iCs w:val="0"/>
                <w:noProof/>
                <w:webHidden/>
              </w:rPr>
              <w:t>3</w:t>
            </w:r>
            <w:r w:rsidRPr="00343930">
              <w:rPr>
                <w:rFonts w:ascii="Arial" w:hAnsi="Arial"/>
                <w:b w:val="0"/>
                <w:bCs w:val="0"/>
                <w:i w:val="0"/>
                <w:iCs w:val="0"/>
                <w:noProof/>
                <w:webHidden/>
              </w:rPr>
              <w:fldChar w:fldCharType="end"/>
            </w:r>
          </w:hyperlink>
        </w:p>
        <w:p w14:paraId="42800AA5" w14:textId="7860AC78"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58" w:history="1">
            <w:r w:rsidRPr="00343930">
              <w:rPr>
                <w:rStyle w:val="Hyperlink"/>
                <w:rFonts w:ascii="Arial" w:hAnsi="Arial"/>
                <w:b w:val="0"/>
                <w:bCs w:val="0"/>
                <w:noProof/>
                <w:sz w:val="24"/>
                <w:szCs w:val="24"/>
              </w:rPr>
              <w:t>2.1 Trend Analysis: Revenue and Profitability</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_Toc217146058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3</w:t>
            </w:r>
            <w:r w:rsidRPr="00343930">
              <w:rPr>
                <w:rFonts w:ascii="Arial" w:hAnsi="Arial"/>
                <w:b w:val="0"/>
                <w:bCs w:val="0"/>
                <w:noProof/>
                <w:webHidden/>
                <w:sz w:val="24"/>
                <w:szCs w:val="24"/>
              </w:rPr>
              <w:fldChar w:fldCharType="end"/>
            </w:r>
          </w:hyperlink>
        </w:p>
        <w:p w14:paraId="45252D17" w14:textId="15E5A40A"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59" w:history="1">
            <w:r w:rsidRPr="00343930">
              <w:rPr>
                <w:rStyle w:val="Hyperlink"/>
                <w:rFonts w:ascii="Arial" w:hAnsi="Arial"/>
                <w:b w:val="0"/>
                <w:bCs w:val="0"/>
                <w:noProof/>
                <w:sz w:val="24"/>
                <w:szCs w:val="24"/>
              </w:rPr>
              <w:t>2.2 Ratio Analysis</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_Toc217146059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9</w:t>
            </w:r>
            <w:r w:rsidRPr="00343930">
              <w:rPr>
                <w:rFonts w:ascii="Arial" w:hAnsi="Arial"/>
                <w:b w:val="0"/>
                <w:bCs w:val="0"/>
                <w:noProof/>
                <w:webHidden/>
                <w:sz w:val="24"/>
                <w:szCs w:val="24"/>
              </w:rPr>
              <w:fldChar w:fldCharType="end"/>
            </w:r>
          </w:hyperlink>
        </w:p>
        <w:p w14:paraId="3E3F9A55" w14:textId="6A26C751"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60" w:history="1">
            <w:r w:rsidRPr="00343930">
              <w:rPr>
                <w:rStyle w:val="Hyperlink"/>
                <w:rFonts w:ascii="Arial" w:hAnsi="Arial"/>
                <w:b w:val="0"/>
                <w:bCs w:val="0"/>
                <w:noProof/>
                <w:sz w:val="24"/>
                <w:szCs w:val="24"/>
              </w:rPr>
              <w:t>2.2.1 Profitability Ratios</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_Toc217146060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9</w:t>
            </w:r>
            <w:r w:rsidRPr="00343930">
              <w:rPr>
                <w:rFonts w:ascii="Arial" w:hAnsi="Arial"/>
                <w:b w:val="0"/>
                <w:bCs w:val="0"/>
                <w:noProof/>
                <w:webHidden/>
                <w:sz w:val="24"/>
                <w:szCs w:val="24"/>
              </w:rPr>
              <w:fldChar w:fldCharType="end"/>
            </w:r>
          </w:hyperlink>
        </w:p>
        <w:p w14:paraId="29107397" w14:textId="74148A40" w:rsidR="00343930" w:rsidRPr="00343930" w:rsidRDefault="00343930">
          <w:pPr>
            <w:pStyle w:val="TOC3"/>
            <w:tabs>
              <w:tab w:val="right" w:leader="dot" w:pos="9350"/>
            </w:tabs>
            <w:rPr>
              <w:rFonts w:ascii="Arial" w:eastAsiaTheme="minorEastAsia" w:hAnsi="Arial"/>
              <w:noProof/>
              <w:sz w:val="24"/>
              <w:szCs w:val="24"/>
              <w:lang w:val="en-US"/>
            </w:rPr>
          </w:pPr>
          <w:hyperlink w:anchor="_Toc217146061" w:history="1">
            <w:r w:rsidRPr="00343930">
              <w:rPr>
                <w:rStyle w:val="Hyperlink"/>
                <w:rFonts w:ascii="Arial" w:hAnsi="Arial"/>
                <w:noProof/>
                <w:sz w:val="24"/>
                <w:szCs w:val="24"/>
              </w:rPr>
              <w:t>2.2.2 Liquidity Ratio</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_Toc217146061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13</w:t>
            </w:r>
            <w:r w:rsidRPr="00343930">
              <w:rPr>
                <w:rFonts w:ascii="Arial" w:hAnsi="Arial"/>
                <w:noProof/>
                <w:webHidden/>
                <w:sz w:val="24"/>
                <w:szCs w:val="24"/>
              </w:rPr>
              <w:fldChar w:fldCharType="end"/>
            </w:r>
          </w:hyperlink>
        </w:p>
        <w:p w14:paraId="772F30FC" w14:textId="1F3BEBEF" w:rsidR="00343930" w:rsidRPr="00343930" w:rsidRDefault="00343930">
          <w:pPr>
            <w:pStyle w:val="TOC3"/>
            <w:tabs>
              <w:tab w:val="right" w:leader="dot" w:pos="9350"/>
            </w:tabs>
            <w:rPr>
              <w:rFonts w:ascii="Arial" w:eastAsiaTheme="minorEastAsia" w:hAnsi="Arial"/>
              <w:noProof/>
              <w:sz w:val="24"/>
              <w:szCs w:val="24"/>
              <w:lang w:val="en-US"/>
            </w:rPr>
          </w:pPr>
          <w:hyperlink w:anchor="_Toc217146062" w:history="1">
            <w:r w:rsidRPr="00343930">
              <w:rPr>
                <w:rStyle w:val="Hyperlink"/>
                <w:rFonts w:ascii="Arial" w:hAnsi="Arial"/>
                <w:noProof/>
                <w:sz w:val="24"/>
                <w:szCs w:val="24"/>
              </w:rPr>
              <w:t>2.2.3 Asset Efficiency</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_Toc217146062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14</w:t>
            </w:r>
            <w:r w:rsidRPr="00343930">
              <w:rPr>
                <w:rFonts w:ascii="Arial" w:hAnsi="Arial"/>
                <w:noProof/>
                <w:webHidden/>
                <w:sz w:val="24"/>
                <w:szCs w:val="24"/>
              </w:rPr>
              <w:fldChar w:fldCharType="end"/>
            </w:r>
          </w:hyperlink>
        </w:p>
        <w:p w14:paraId="6877182C" w14:textId="13001D5D" w:rsidR="00343930" w:rsidRPr="00343930" w:rsidRDefault="00343930">
          <w:pPr>
            <w:pStyle w:val="TOC3"/>
            <w:tabs>
              <w:tab w:val="right" w:leader="dot" w:pos="9350"/>
            </w:tabs>
            <w:rPr>
              <w:rFonts w:ascii="Arial" w:eastAsiaTheme="minorEastAsia" w:hAnsi="Arial"/>
              <w:noProof/>
              <w:sz w:val="24"/>
              <w:szCs w:val="24"/>
              <w:lang w:val="en-US"/>
            </w:rPr>
          </w:pPr>
          <w:hyperlink w:anchor="_Toc217146063" w:history="1">
            <w:r w:rsidRPr="00343930">
              <w:rPr>
                <w:rStyle w:val="Hyperlink"/>
                <w:rFonts w:ascii="Arial" w:hAnsi="Arial"/>
                <w:noProof/>
                <w:sz w:val="24"/>
                <w:szCs w:val="24"/>
              </w:rPr>
              <w:t>2.2.4 Gearing (Leverage) Ratio</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_Toc217146063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14</w:t>
            </w:r>
            <w:r w:rsidRPr="00343930">
              <w:rPr>
                <w:rFonts w:ascii="Arial" w:hAnsi="Arial"/>
                <w:noProof/>
                <w:webHidden/>
                <w:sz w:val="24"/>
                <w:szCs w:val="24"/>
              </w:rPr>
              <w:fldChar w:fldCharType="end"/>
            </w:r>
          </w:hyperlink>
        </w:p>
        <w:p w14:paraId="3BE74E17" w14:textId="13689FBB"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64" w:history="1">
            <w:r w:rsidRPr="00343930">
              <w:rPr>
                <w:rStyle w:val="Hyperlink"/>
                <w:rFonts w:ascii="Arial" w:hAnsi="Arial"/>
                <w:b w:val="0"/>
                <w:bCs w:val="0"/>
                <w:noProof/>
                <w:sz w:val="24"/>
                <w:szCs w:val="24"/>
              </w:rPr>
              <w:t>2.3 Trends, Strengths, and Weaknesses</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_Toc217146064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16</w:t>
            </w:r>
            <w:r w:rsidRPr="00343930">
              <w:rPr>
                <w:rFonts w:ascii="Arial" w:hAnsi="Arial"/>
                <w:b w:val="0"/>
                <w:bCs w:val="0"/>
                <w:noProof/>
                <w:webHidden/>
                <w:sz w:val="24"/>
                <w:szCs w:val="24"/>
              </w:rPr>
              <w:fldChar w:fldCharType="end"/>
            </w:r>
          </w:hyperlink>
        </w:p>
        <w:p w14:paraId="33AB96BB" w14:textId="76E9AFD1" w:rsidR="00343930" w:rsidRPr="00343930" w:rsidRDefault="00343930">
          <w:pPr>
            <w:pStyle w:val="TOC3"/>
            <w:tabs>
              <w:tab w:val="right" w:leader="dot" w:pos="9350"/>
            </w:tabs>
            <w:rPr>
              <w:rFonts w:ascii="Arial" w:eastAsiaTheme="minorEastAsia" w:hAnsi="Arial"/>
              <w:noProof/>
              <w:sz w:val="24"/>
              <w:szCs w:val="24"/>
              <w:lang w:val="en-US"/>
            </w:rPr>
          </w:pPr>
          <w:hyperlink w:anchor="_Toc217146065" w:history="1">
            <w:r w:rsidRPr="00343930">
              <w:rPr>
                <w:rStyle w:val="Hyperlink"/>
                <w:rFonts w:ascii="Arial" w:hAnsi="Arial"/>
                <w:noProof/>
                <w:sz w:val="24"/>
                <w:szCs w:val="24"/>
              </w:rPr>
              <w:t>2.3.1 Trends</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_Toc217146065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16</w:t>
            </w:r>
            <w:r w:rsidRPr="00343930">
              <w:rPr>
                <w:rFonts w:ascii="Arial" w:hAnsi="Arial"/>
                <w:noProof/>
                <w:webHidden/>
                <w:sz w:val="24"/>
                <w:szCs w:val="24"/>
              </w:rPr>
              <w:fldChar w:fldCharType="end"/>
            </w:r>
          </w:hyperlink>
        </w:p>
        <w:p w14:paraId="58C25D9F" w14:textId="38774371" w:rsidR="00343930" w:rsidRPr="00343930" w:rsidRDefault="00343930">
          <w:pPr>
            <w:pStyle w:val="TOC3"/>
            <w:tabs>
              <w:tab w:val="left" w:pos="1200"/>
              <w:tab w:val="right" w:leader="dot" w:pos="9350"/>
            </w:tabs>
            <w:rPr>
              <w:rFonts w:ascii="Arial" w:eastAsiaTheme="minorEastAsia" w:hAnsi="Arial"/>
              <w:noProof/>
              <w:sz w:val="24"/>
              <w:szCs w:val="24"/>
              <w:lang w:val="en-US"/>
            </w:rPr>
          </w:pPr>
          <w:hyperlink w:anchor="_Toc217146066" w:history="1">
            <w:r w:rsidRPr="00343930">
              <w:rPr>
                <w:rStyle w:val="Hyperlink"/>
                <w:rFonts w:ascii="Arial" w:hAnsi="Arial"/>
                <w:noProof/>
                <w:sz w:val="24"/>
                <w:szCs w:val="24"/>
              </w:rPr>
              <w:t>2.3.2</w:t>
            </w:r>
            <w:r w:rsidRPr="00343930">
              <w:rPr>
                <w:rFonts w:ascii="Arial" w:eastAsiaTheme="minorEastAsia" w:hAnsi="Arial"/>
                <w:noProof/>
                <w:sz w:val="24"/>
                <w:szCs w:val="24"/>
                <w:lang w:val="en-US"/>
              </w:rPr>
              <w:tab/>
            </w:r>
            <w:r w:rsidRPr="00343930">
              <w:rPr>
                <w:rStyle w:val="Hyperlink"/>
                <w:rFonts w:ascii="Arial" w:hAnsi="Arial"/>
                <w:noProof/>
                <w:sz w:val="24"/>
                <w:szCs w:val="24"/>
              </w:rPr>
              <w:t>Strengths</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_Toc217146066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16</w:t>
            </w:r>
            <w:r w:rsidRPr="00343930">
              <w:rPr>
                <w:rFonts w:ascii="Arial" w:hAnsi="Arial"/>
                <w:noProof/>
                <w:webHidden/>
                <w:sz w:val="24"/>
                <w:szCs w:val="24"/>
              </w:rPr>
              <w:fldChar w:fldCharType="end"/>
            </w:r>
          </w:hyperlink>
        </w:p>
        <w:p w14:paraId="338E86DC" w14:textId="235891F8" w:rsidR="00343930" w:rsidRPr="00343930" w:rsidRDefault="00343930">
          <w:pPr>
            <w:pStyle w:val="TOC3"/>
            <w:tabs>
              <w:tab w:val="left" w:pos="1200"/>
              <w:tab w:val="right" w:leader="dot" w:pos="9350"/>
            </w:tabs>
            <w:rPr>
              <w:rFonts w:ascii="Arial" w:eastAsiaTheme="minorEastAsia" w:hAnsi="Arial"/>
              <w:noProof/>
              <w:sz w:val="24"/>
              <w:szCs w:val="24"/>
              <w:lang w:val="en-US"/>
            </w:rPr>
          </w:pPr>
          <w:hyperlink w:anchor="_Toc217146067" w:history="1">
            <w:r w:rsidRPr="00343930">
              <w:rPr>
                <w:rStyle w:val="Hyperlink"/>
                <w:rFonts w:ascii="Arial" w:hAnsi="Arial"/>
                <w:noProof/>
                <w:sz w:val="24"/>
                <w:szCs w:val="24"/>
              </w:rPr>
              <w:t>2.3.3</w:t>
            </w:r>
            <w:r w:rsidRPr="00343930">
              <w:rPr>
                <w:rFonts w:ascii="Arial" w:eastAsiaTheme="minorEastAsia" w:hAnsi="Arial"/>
                <w:noProof/>
                <w:sz w:val="24"/>
                <w:szCs w:val="24"/>
                <w:lang w:val="en-US"/>
              </w:rPr>
              <w:tab/>
            </w:r>
            <w:r w:rsidRPr="00343930">
              <w:rPr>
                <w:rStyle w:val="Hyperlink"/>
                <w:rFonts w:ascii="Arial" w:hAnsi="Arial"/>
                <w:noProof/>
                <w:sz w:val="24"/>
                <w:szCs w:val="24"/>
              </w:rPr>
              <w:t>Threats</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_Toc217146067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17</w:t>
            </w:r>
            <w:r w:rsidRPr="00343930">
              <w:rPr>
                <w:rFonts w:ascii="Arial" w:hAnsi="Arial"/>
                <w:noProof/>
                <w:webHidden/>
                <w:sz w:val="24"/>
                <w:szCs w:val="24"/>
              </w:rPr>
              <w:fldChar w:fldCharType="end"/>
            </w:r>
          </w:hyperlink>
        </w:p>
        <w:p w14:paraId="7DD8878D" w14:textId="0F740680" w:rsidR="00343930" w:rsidRPr="00343930" w:rsidRDefault="00343930">
          <w:pPr>
            <w:pStyle w:val="TOC2"/>
            <w:tabs>
              <w:tab w:val="left" w:pos="960"/>
              <w:tab w:val="right" w:leader="dot" w:pos="9350"/>
            </w:tabs>
            <w:rPr>
              <w:rFonts w:ascii="Arial" w:eastAsiaTheme="minorEastAsia" w:hAnsi="Arial"/>
              <w:b w:val="0"/>
              <w:bCs w:val="0"/>
              <w:noProof/>
              <w:sz w:val="24"/>
              <w:szCs w:val="24"/>
              <w:lang w:val="en-US"/>
            </w:rPr>
          </w:pPr>
          <w:hyperlink w:anchor="_Toc217146068" w:history="1">
            <w:r w:rsidRPr="00343930">
              <w:rPr>
                <w:rStyle w:val="Hyperlink"/>
                <w:rFonts w:ascii="Arial" w:hAnsi="Arial"/>
                <w:b w:val="0"/>
                <w:bCs w:val="0"/>
                <w:noProof/>
                <w:sz w:val="24"/>
                <w:szCs w:val="24"/>
              </w:rPr>
              <w:t>2.4</w:t>
            </w:r>
            <w:r w:rsidRPr="00343930">
              <w:rPr>
                <w:rFonts w:ascii="Arial" w:eastAsiaTheme="minorEastAsia" w:hAnsi="Arial"/>
                <w:b w:val="0"/>
                <w:bCs w:val="0"/>
                <w:noProof/>
                <w:sz w:val="24"/>
                <w:szCs w:val="24"/>
                <w:lang w:val="en-US"/>
              </w:rPr>
              <w:tab/>
            </w:r>
            <w:r w:rsidRPr="00343930">
              <w:rPr>
                <w:rStyle w:val="Hyperlink"/>
                <w:rFonts w:ascii="Arial" w:hAnsi="Arial"/>
                <w:b w:val="0"/>
                <w:bCs w:val="0"/>
                <w:noProof/>
                <w:sz w:val="24"/>
                <w:szCs w:val="24"/>
              </w:rPr>
              <w:t>Default Risk Assessment</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_Toc217146068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17</w:t>
            </w:r>
            <w:r w:rsidRPr="00343930">
              <w:rPr>
                <w:rFonts w:ascii="Arial" w:hAnsi="Arial"/>
                <w:b w:val="0"/>
                <w:bCs w:val="0"/>
                <w:noProof/>
                <w:webHidden/>
                <w:sz w:val="24"/>
                <w:szCs w:val="24"/>
              </w:rPr>
              <w:fldChar w:fldCharType="end"/>
            </w:r>
          </w:hyperlink>
        </w:p>
        <w:p w14:paraId="76D5200F" w14:textId="15439F38" w:rsidR="00343930" w:rsidRPr="00343930" w:rsidRDefault="00343930">
          <w:pPr>
            <w:pStyle w:val="TOC1"/>
            <w:tabs>
              <w:tab w:val="right" w:leader="dot" w:pos="9350"/>
            </w:tabs>
            <w:rPr>
              <w:rFonts w:ascii="Arial" w:eastAsiaTheme="minorEastAsia" w:hAnsi="Arial"/>
              <w:b w:val="0"/>
              <w:bCs w:val="0"/>
              <w:i w:val="0"/>
              <w:iCs w:val="0"/>
              <w:noProof/>
              <w:lang w:val="en-US"/>
            </w:rPr>
          </w:pPr>
          <w:hyperlink w:anchor="_Toc217146069" w:history="1">
            <w:r w:rsidRPr="00343930">
              <w:rPr>
                <w:rStyle w:val="Hyperlink"/>
                <w:rFonts w:ascii="Arial" w:hAnsi="Arial"/>
                <w:b w:val="0"/>
                <w:bCs w:val="0"/>
                <w:i w:val="0"/>
                <w:iCs w:val="0"/>
                <w:noProof/>
              </w:rPr>
              <w:t>3.0 Working Capital Management Analysis</w:t>
            </w:r>
            <w:r w:rsidRPr="00343930">
              <w:rPr>
                <w:rFonts w:ascii="Arial" w:hAnsi="Arial"/>
                <w:b w:val="0"/>
                <w:bCs w:val="0"/>
                <w:i w:val="0"/>
                <w:iCs w:val="0"/>
                <w:noProof/>
                <w:webHidden/>
              </w:rPr>
              <w:tab/>
            </w:r>
            <w:r w:rsidRPr="00343930">
              <w:rPr>
                <w:rFonts w:ascii="Arial" w:hAnsi="Arial"/>
                <w:b w:val="0"/>
                <w:bCs w:val="0"/>
                <w:i w:val="0"/>
                <w:iCs w:val="0"/>
                <w:noProof/>
                <w:webHidden/>
              </w:rPr>
              <w:fldChar w:fldCharType="begin"/>
            </w:r>
            <w:r w:rsidRPr="00343930">
              <w:rPr>
                <w:rFonts w:ascii="Arial" w:hAnsi="Arial"/>
                <w:b w:val="0"/>
                <w:bCs w:val="0"/>
                <w:i w:val="0"/>
                <w:iCs w:val="0"/>
                <w:noProof/>
                <w:webHidden/>
              </w:rPr>
              <w:instrText xml:space="preserve"> PAGEREF _Toc217146069 \h </w:instrText>
            </w:r>
            <w:r w:rsidRPr="00343930">
              <w:rPr>
                <w:rFonts w:ascii="Arial" w:hAnsi="Arial"/>
                <w:b w:val="0"/>
                <w:bCs w:val="0"/>
                <w:i w:val="0"/>
                <w:iCs w:val="0"/>
                <w:noProof/>
                <w:webHidden/>
              </w:rPr>
            </w:r>
            <w:r w:rsidRPr="00343930">
              <w:rPr>
                <w:rFonts w:ascii="Arial" w:hAnsi="Arial"/>
                <w:b w:val="0"/>
                <w:bCs w:val="0"/>
                <w:i w:val="0"/>
                <w:iCs w:val="0"/>
                <w:noProof/>
                <w:webHidden/>
              </w:rPr>
              <w:fldChar w:fldCharType="separate"/>
            </w:r>
            <w:r w:rsidRPr="00343930">
              <w:rPr>
                <w:rFonts w:ascii="Arial" w:hAnsi="Arial"/>
                <w:b w:val="0"/>
                <w:bCs w:val="0"/>
                <w:i w:val="0"/>
                <w:iCs w:val="0"/>
                <w:noProof/>
                <w:webHidden/>
              </w:rPr>
              <w:t>17</w:t>
            </w:r>
            <w:r w:rsidRPr="00343930">
              <w:rPr>
                <w:rFonts w:ascii="Arial" w:hAnsi="Arial"/>
                <w:b w:val="0"/>
                <w:bCs w:val="0"/>
                <w:i w:val="0"/>
                <w:iCs w:val="0"/>
                <w:noProof/>
                <w:webHidden/>
              </w:rPr>
              <w:fldChar w:fldCharType="end"/>
            </w:r>
          </w:hyperlink>
        </w:p>
        <w:p w14:paraId="693BD8C2" w14:textId="25CF86D5"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70" w:history="1">
            <w:r w:rsidRPr="00343930">
              <w:rPr>
                <w:rStyle w:val="Hyperlink"/>
                <w:rFonts w:ascii="Arial" w:hAnsi="Arial"/>
                <w:b w:val="0"/>
                <w:bCs w:val="0"/>
                <w:noProof/>
                <w:sz w:val="24"/>
                <w:szCs w:val="24"/>
              </w:rPr>
              <w:t>3.1 Cash Operating Cycle Assessment</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_Toc217146070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18</w:t>
            </w:r>
            <w:r w:rsidRPr="00343930">
              <w:rPr>
                <w:rFonts w:ascii="Arial" w:hAnsi="Arial"/>
                <w:b w:val="0"/>
                <w:bCs w:val="0"/>
                <w:noProof/>
                <w:webHidden/>
                <w:sz w:val="24"/>
                <w:szCs w:val="24"/>
              </w:rPr>
              <w:fldChar w:fldCharType="end"/>
            </w:r>
          </w:hyperlink>
        </w:p>
        <w:p w14:paraId="37F76750" w14:textId="1517A925"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71" w:history="1">
            <w:r w:rsidRPr="00343930">
              <w:rPr>
                <w:rStyle w:val="Hyperlink"/>
                <w:rFonts w:ascii="Arial" w:hAnsi="Arial"/>
                <w:b w:val="0"/>
                <w:bCs w:val="0"/>
                <w:noProof/>
                <w:sz w:val="24"/>
                <w:szCs w:val="24"/>
              </w:rPr>
              <w:t>3.2 Strategies to Improve Liquidity through Working Capital Reforms</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_Toc217146071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19</w:t>
            </w:r>
            <w:r w:rsidRPr="00343930">
              <w:rPr>
                <w:rFonts w:ascii="Arial" w:hAnsi="Arial"/>
                <w:b w:val="0"/>
                <w:bCs w:val="0"/>
                <w:noProof/>
                <w:webHidden/>
                <w:sz w:val="24"/>
                <w:szCs w:val="24"/>
              </w:rPr>
              <w:fldChar w:fldCharType="end"/>
            </w:r>
          </w:hyperlink>
        </w:p>
        <w:p w14:paraId="294343ED" w14:textId="223FF0D9"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72" w:history="1">
            <w:r w:rsidRPr="00343930">
              <w:rPr>
                <w:rStyle w:val="Hyperlink"/>
                <w:rFonts w:ascii="Arial" w:hAnsi="Arial"/>
                <w:b w:val="0"/>
                <w:bCs w:val="0"/>
                <w:noProof/>
                <w:sz w:val="24"/>
                <w:szCs w:val="24"/>
              </w:rPr>
              <w:t>3.3 Comparison of Short-Term and Long-Term Financing Options</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_Toc217146072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20</w:t>
            </w:r>
            <w:r w:rsidRPr="00343930">
              <w:rPr>
                <w:rFonts w:ascii="Arial" w:hAnsi="Arial"/>
                <w:b w:val="0"/>
                <w:bCs w:val="0"/>
                <w:noProof/>
                <w:webHidden/>
                <w:sz w:val="24"/>
                <w:szCs w:val="24"/>
              </w:rPr>
              <w:fldChar w:fldCharType="end"/>
            </w:r>
          </w:hyperlink>
        </w:p>
        <w:p w14:paraId="1491A91A" w14:textId="10C14969" w:rsidR="00343930" w:rsidRPr="00343930" w:rsidRDefault="00343930">
          <w:pPr>
            <w:pStyle w:val="TOC1"/>
            <w:tabs>
              <w:tab w:val="right" w:leader="dot" w:pos="9350"/>
            </w:tabs>
            <w:rPr>
              <w:rFonts w:ascii="Arial" w:eastAsiaTheme="minorEastAsia" w:hAnsi="Arial"/>
              <w:b w:val="0"/>
              <w:bCs w:val="0"/>
              <w:i w:val="0"/>
              <w:iCs w:val="0"/>
              <w:noProof/>
              <w:lang w:val="en-US"/>
            </w:rPr>
          </w:pPr>
          <w:hyperlink w:anchor="_Toc217146073" w:history="1">
            <w:r w:rsidRPr="00343930">
              <w:rPr>
                <w:rStyle w:val="Hyperlink"/>
                <w:rFonts w:ascii="Arial" w:hAnsi="Arial"/>
                <w:b w:val="0"/>
                <w:bCs w:val="0"/>
                <w:i w:val="0"/>
                <w:iCs w:val="0"/>
                <w:noProof/>
              </w:rPr>
              <w:t>4.0 Strategic Financial Restructuring Plan</w:t>
            </w:r>
            <w:r w:rsidRPr="00343930">
              <w:rPr>
                <w:rFonts w:ascii="Arial" w:hAnsi="Arial"/>
                <w:b w:val="0"/>
                <w:bCs w:val="0"/>
                <w:i w:val="0"/>
                <w:iCs w:val="0"/>
                <w:noProof/>
                <w:webHidden/>
              </w:rPr>
              <w:tab/>
            </w:r>
            <w:r w:rsidRPr="00343930">
              <w:rPr>
                <w:rFonts w:ascii="Arial" w:hAnsi="Arial"/>
                <w:b w:val="0"/>
                <w:bCs w:val="0"/>
                <w:i w:val="0"/>
                <w:iCs w:val="0"/>
                <w:noProof/>
                <w:webHidden/>
              </w:rPr>
              <w:fldChar w:fldCharType="begin"/>
            </w:r>
            <w:r w:rsidRPr="00343930">
              <w:rPr>
                <w:rFonts w:ascii="Arial" w:hAnsi="Arial"/>
                <w:b w:val="0"/>
                <w:bCs w:val="0"/>
                <w:i w:val="0"/>
                <w:iCs w:val="0"/>
                <w:noProof/>
                <w:webHidden/>
              </w:rPr>
              <w:instrText xml:space="preserve"> PAGEREF _Toc217146073 \h </w:instrText>
            </w:r>
            <w:r w:rsidRPr="00343930">
              <w:rPr>
                <w:rFonts w:ascii="Arial" w:hAnsi="Arial"/>
                <w:b w:val="0"/>
                <w:bCs w:val="0"/>
                <w:i w:val="0"/>
                <w:iCs w:val="0"/>
                <w:noProof/>
                <w:webHidden/>
              </w:rPr>
            </w:r>
            <w:r w:rsidRPr="00343930">
              <w:rPr>
                <w:rFonts w:ascii="Arial" w:hAnsi="Arial"/>
                <w:b w:val="0"/>
                <w:bCs w:val="0"/>
                <w:i w:val="0"/>
                <w:iCs w:val="0"/>
                <w:noProof/>
                <w:webHidden/>
              </w:rPr>
              <w:fldChar w:fldCharType="separate"/>
            </w:r>
            <w:r w:rsidRPr="00343930">
              <w:rPr>
                <w:rFonts w:ascii="Arial" w:hAnsi="Arial"/>
                <w:b w:val="0"/>
                <w:bCs w:val="0"/>
                <w:i w:val="0"/>
                <w:iCs w:val="0"/>
                <w:noProof/>
                <w:webHidden/>
              </w:rPr>
              <w:t>21</w:t>
            </w:r>
            <w:r w:rsidRPr="00343930">
              <w:rPr>
                <w:rFonts w:ascii="Arial" w:hAnsi="Arial"/>
                <w:b w:val="0"/>
                <w:bCs w:val="0"/>
                <w:i w:val="0"/>
                <w:iCs w:val="0"/>
                <w:noProof/>
                <w:webHidden/>
              </w:rPr>
              <w:fldChar w:fldCharType="end"/>
            </w:r>
          </w:hyperlink>
        </w:p>
        <w:p w14:paraId="3311014B" w14:textId="14274AE3"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74" w:history="1">
            <w:r w:rsidRPr="00343930">
              <w:rPr>
                <w:rStyle w:val="Hyperlink"/>
                <w:rFonts w:ascii="Arial" w:hAnsi="Arial"/>
                <w:b w:val="0"/>
                <w:bCs w:val="0"/>
                <w:noProof/>
                <w:sz w:val="24"/>
                <w:szCs w:val="24"/>
              </w:rPr>
              <w:t>4.1 Raising New Equity</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_Toc217146074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22</w:t>
            </w:r>
            <w:r w:rsidRPr="00343930">
              <w:rPr>
                <w:rFonts w:ascii="Arial" w:hAnsi="Arial"/>
                <w:b w:val="0"/>
                <w:bCs w:val="0"/>
                <w:noProof/>
                <w:webHidden/>
                <w:sz w:val="24"/>
                <w:szCs w:val="24"/>
              </w:rPr>
              <w:fldChar w:fldCharType="end"/>
            </w:r>
          </w:hyperlink>
        </w:p>
        <w:p w14:paraId="2E6B7297" w14:textId="149D6EE3"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75" w:history="1">
            <w:r w:rsidRPr="00343930">
              <w:rPr>
                <w:rStyle w:val="Hyperlink"/>
                <w:rFonts w:ascii="Arial" w:hAnsi="Arial"/>
                <w:b w:val="0"/>
                <w:bCs w:val="0"/>
                <w:noProof/>
                <w:sz w:val="24"/>
                <w:szCs w:val="24"/>
              </w:rPr>
              <w:t>4.2 Selling Non-Core Assets</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_Toc217146075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22</w:t>
            </w:r>
            <w:r w:rsidRPr="00343930">
              <w:rPr>
                <w:rFonts w:ascii="Arial" w:hAnsi="Arial"/>
                <w:b w:val="0"/>
                <w:bCs w:val="0"/>
                <w:noProof/>
                <w:webHidden/>
                <w:sz w:val="24"/>
                <w:szCs w:val="24"/>
              </w:rPr>
              <w:fldChar w:fldCharType="end"/>
            </w:r>
          </w:hyperlink>
        </w:p>
        <w:p w14:paraId="6B17C440" w14:textId="43E97177"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76" w:history="1">
            <w:r w:rsidRPr="00343930">
              <w:rPr>
                <w:rStyle w:val="Hyperlink"/>
                <w:rFonts w:ascii="Arial" w:hAnsi="Arial"/>
                <w:b w:val="0"/>
                <w:bCs w:val="0"/>
                <w:noProof/>
                <w:sz w:val="24"/>
                <w:szCs w:val="24"/>
              </w:rPr>
              <w:t>4.3 Strategic Partnerships or Mergers</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_Toc217146076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23</w:t>
            </w:r>
            <w:r w:rsidRPr="00343930">
              <w:rPr>
                <w:rFonts w:ascii="Arial" w:hAnsi="Arial"/>
                <w:b w:val="0"/>
                <w:bCs w:val="0"/>
                <w:noProof/>
                <w:webHidden/>
                <w:sz w:val="24"/>
                <w:szCs w:val="24"/>
              </w:rPr>
              <w:fldChar w:fldCharType="end"/>
            </w:r>
          </w:hyperlink>
        </w:p>
        <w:p w14:paraId="09D0AA56" w14:textId="64EAF834"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77" w:history="1">
            <w:r w:rsidRPr="00343930">
              <w:rPr>
                <w:rStyle w:val="Hyperlink"/>
                <w:rFonts w:ascii="Arial" w:hAnsi="Arial"/>
                <w:b w:val="0"/>
                <w:bCs w:val="0"/>
                <w:noProof/>
                <w:sz w:val="24"/>
                <w:szCs w:val="24"/>
              </w:rPr>
              <w:t>4.4 Strategic Joint Ventures</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_Toc217146077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23</w:t>
            </w:r>
            <w:r w:rsidRPr="00343930">
              <w:rPr>
                <w:rFonts w:ascii="Arial" w:hAnsi="Arial"/>
                <w:b w:val="0"/>
                <w:bCs w:val="0"/>
                <w:noProof/>
                <w:webHidden/>
                <w:sz w:val="24"/>
                <w:szCs w:val="24"/>
              </w:rPr>
              <w:fldChar w:fldCharType="end"/>
            </w:r>
          </w:hyperlink>
        </w:p>
        <w:p w14:paraId="25236C0D" w14:textId="5B293FA4"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78" w:history="1">
            <w:r w:rsidRPr="00343930">
              <w:rPr>
                <w:rStyle w:val="Hyperlink"/>
                <w:rFonts w:ascii="Arial" w:hAnsi="Arial"/>
                <w:b w:val="0"/>
                <w:bCs w:val="0"/>
                <w:noProof/>
                <w:sz w:val="24"/>
                <w:szCs w:val="24"/>
              </w:rPr>
              <w:t>4.5 Evaluating Impact on Shareholder Value, Debt Structure, and Operational Flexibility</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_Toc217146078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23</w:t>
            </w:r>
            <w:r w:rsidRPr="00343930">
              <w:rPr>
                <w:rFonts w:ascii="Arial" w:hAnsi="Arial"/>
                <w:b w:val="0"/>
                <w:bCs w:val="0"/>
                <w:noProof/>
                <w:webHidden/>
                <w:sz w:val="24"/>
                <w:szCs w:val="24"/>
              </w:rPr>
              <w:fldChar w:fldCharType="end"/>
            </w:r>
          </w:hyperlink>
        </w:p>
        <w:p w14:paraId="5AF4FB26" w14:textId="2D3974F8" w:rsidR="00343930" w:rsidRPr="00343930" w:rsidRDefault="00343930">
          <w:pPr>
            <w:pStyle w:val="TOC2"/>
            <w:tabs>
              <w:tab w:val="right" w:leader="dot" w:pos="9350"/>
            </w:tabs>
            <w:rPr>
              <w:rFonts w:ascii="Arial" w:eastAsiaTheme="minorEastAsia" w:hAnsi="Arial"/>
              <w:b w:val="0"/>
              <w:bCs w:val="0"/>
              <w:noProof/>
              <w:sz w:val="24"/>
              <w:szCs w:val="24"/>
              <w:lang w:val="en-US"/>
            </w:rPr>
          </w:pPr>
          <w:hyperlink w:anchor="_Toc217146079" w:history="1">
            <w:r w:rsidRPr="00343930">
              <w:rPr>
                <w:rStyle w:val="Hyperlink"/>
                <w:rFonts w:ascii="Arial" w:hAnsi="Arial"/>
                <w:b w:val="0"/>
                <w:bCs w:val="0"/>
                <w:noProof/>
                <w:sz w:val="24"/>
                <w:szCs w:val="24"/>
              </w:rPr>
              <w:t>4.6 International and Ethical Considerations</w:t>
            </w:r>
            <w:r w:rsidRPr="00343930">
              <w:rPr>
                <w:rFonts w:ascii="Arial" w:hAnsi="Arial"/>
                <w:b w:val="0"/>
                <w:bCs w:val="0"/>
                <w:noProof/>
                <w:webHidden/>
                <w:sz w:val="24"/>
                <w:szCs w:val="24"/>
              </w:rPr>
              <w:tab/>
            </w:r>
            <w:r w:rsidRPr="00343930">
              <w:rPr>
                <w:rFonts w:ascii="Arial" w:hAnsi="Arial"/>
                <w:b w:val="0"/>
                <w:bCs w:val="0"/>
                <w:noProof/>
                <w:webHidden/>
                <w:sz w:val="24"/>
                <w:szCs w:val="24"/>
              </w:rPr>
              <w:fldChar w:fldCharType="begin"/>
            </w:r>
            <w:r w:rsidRPr="00343930">
              <w:rPr>
                <w:rFonts w:ascii="Arial" w:hAnsi="Arial"/>
                <w:b w:val="0"/>
                <w:bCs w:val="0"/>
                <w:noProof/>
                <w:webHidden/>
                <w:sz w:val="24"/>
                <w:szCs w:val="24"/>
              </w:rPr>
              <w:instrText xml:space="preserve"> PAGEREF _Toc217146079 \h </w:instrText>
            </w:r>
            <w:r w:rsidRPr="00343930">
              <w:rPr>
                <w:rFonts w:ascii="Arial" w:hAnsi="Arial"/>
                <w:b w:val="0"/>
                <w:bCs w:val="0"/>
                <w:noProof/>
                <w:webHidden/>
                <w:sz w:val="24"/>
                <w:szCs w:val="24"/>
              </w:rPr>
            </w:r>
            <w:r w:rsidRPr="00343930">
              <w:rPr>
                <w:rFonts w:ascii="Arial" w:hAnsi="Arial"/>
                <w:b w:val="0"/>
                <w:bCs w:val="0"/>
                <w:noProof/>
                <w:webHidden/>
                <w:sz w:val="24"/>
                <w:szCs w:val="24"/>
              </w:rPr>
              <w:fldChar w:fldCharType="separate"/>
            </w:r>
            <w:r w:rsidRPr="00343930">
              <w:rPr>
                <w:rFonts w:ascii="Arial" w:hAnsi="Arial"/>
                <w:b w:val="0"/>
                <w:bCs w:val="0"/>
                <w:noProof/>
                <w:webHidden/>
                <w:sz w:val="24"/>
                <w:szCs w:val="24"/>
              </w:rPr>
              <w:t>24</w:t>
            </w:r>
            <w:r w:rsidRPr="00343930">
              <w:rPr>
                <w:rFonts w:ascii="Arial" w:hAnsi="Arial"/>
                <w:b w:val="0"/>
                <w:bCs w:val="0"/>
                <w:noProof/>
                <w:webHidden/>
                <w:sz w:val="24"/>
                <w:szCs w:val="24"/>
              </w:rPr>
              <w:fldChar w:fldCharType="end"/>
            </w:r>
          </w:hyperlink>
        </w:p>
        <w:p w14:paraId="0353C523" w14:textId="18FA1590" w:rsidR="00343930" w:rsidRPr="00343930" w:rsidRDefault="00343930">
          <w:pPr>
            <w:pStyle w:val="TOC1"/>
            <w:tabs>
              <w:tab w:val="right" w:leader="dot" w:pos="9350"/>
            </w:tabs>
            <w:rPr>
              <w:rFonts w:ascii="Arial" w:eastAsiaTheme="minorEastAsia" w:hAnsi="Arial"/>
              <w:b w:val="0"/>
              <w:bCs w:val="0"/>
              <w:i w:val="0"/>
              <w:iCs w:val="0"/>
              <w:noProof/>
              <w:lang w:val="en-US"/>
            </w:rPr>
          </w:pPr>
          <w:hyperlink w:anchor="_Toc217146080" w:history="1">
            <w:r w:rsidRPr="00343930">
              <w:rPr>
                <w:rStyle w:val="Hyperlink"/>
                <w:rFonts w:ascii="Arial" w:hAnsi="Arial"/>
                <w:b w:val="0"/>
                <w:bCs w:val="0"/>
                <w:i w:val="0"/>
                <w:iCs w:val="0"/>
                <w:noProof/>
              </w:rPr>
              <w:t>5.0 Investment Appraisal and Capital Budgeting</w:t>
            </w:r>
            <w:r w:rsidRPr="00343930">
              <w:rPr>
                <w:rFonts w:ascii="Arial" w:hAnsi="Arial"/>
                <w:b w:val="0"/>
                <w:bCs w:val="0"/>
                <w:i w:val="0"/>
                <w:iCs w:val="0"/>
                <w:noProof/>
                <w:webHidden/>
              </w:rPr>
              <w:tab/>
            </w:r>
            <w:r w:rsidRPr="00343930">
              <w:rPr>
                <w:rFonts w:ascii="Arial" w:hAnsi="Arial"/>
                <w:b w:val="0"/>
                <w:bCs w:val="0"/>
                <w:i w:val="0"/>
                <w:iCs w:val="0"/>
                <w:noProof/>
                <w:webHidden/>
              </w:rPr>
              <w:fldChar w:fldCharType="begin"/>
            </w:r>
            <w:r w:rsidRPr="00343930">
              <w:rPr>
                <w:rFonts w:ascii="Arial" w:hAnsi="Arial"/>
                <w:b w:val="0"/>
                <w:bCs w:val="0"/>
                <w:i w:val="0"/>
                <w:iCs w:val="0"/>
                <w:noProof/>
                <w:webHidden/>
              </w:rPr>
              <w:instrText xml:space="preserve"> PAGEREF _Toc217146080 \h </w:instrText>
            </w:r>
            <w:r w:rsidRPr="00343930">
              <w:rPr>
                <w:rFonts w:ascii="Arial" w:hAnsi="Arial"/>
                <w:b w:val="0"/>
                <w:bCs w:val="0"/>
                <w:i w:val="0"/>
                <w:iCs w:val="0"/>
                <w:noProof/>
                <w:webHidden/>
              </w:rPr>
            </w:r>
            <w:r w:rsidRPr="00343930">
              <w:rPr>
                <w:rFonts w:ascii="Arial" w:hAnsi="Arial"/>
                <w:b w:val="0"/>
                <w:bCs w:val="0"/>
                <w:i w:val="0"/>
                <w:iCs w:val="0"/>
                <w:noProof/>
                <w:webHidden/>
              </w:rPr>
              <w:fldChar w:fldCharType="separate"/>
            </w:r>
            <w:r w:rsidRPr="00343930">
              <w:rPr>
                <w:rFonts w:ascii="Arial" w:hAnsi="Arial"/>
                <w:b w:val="0"/>
                <w:bCs w:val="0"/>
                <w:i w:val="0"/>
                <w:iCs w:val="0"/>
                <w:noProof/>
                <w:webHidden/>
              </w:rPr>
              <w:t>25</w:t>
            </w:r>
            <w:r w:rsidRPr="00343930">
              <w:rPr>
                <w:rFonts w:ascii="Arial" w:hAnsi="Arial"/>
                <w:b w:val="0"/>
                <w:bCs w:val="0"/>
                <w:i w:val="0"/>
                <w:iCs w:val="0"/>
                <w:noProof/>
                <w:webHidden/>
              </w:rPr>
              <w:fldChar w:fldCharType="end"/>
            </w:r>
          </w:hyperlink>
        </w:p>
        <w:p w14:paraId="3FBE8B82" w14:textId="76AFFD34" w:rsidR="00343930" w:rsidRPr="00343930" w:rsidRDefault="00343930">
          <w:pPr>
            <w:pStyle w:val="TOC3"/>
            <w:tabs>
              <w:tab w:val="right" w:leader="dot" w:pos="9350"/>
            </w:tabs>
            <w:rPr>
              <w:rFonts w:ascii="Arial" w:eastAsiaTheme="minorEastAsia" w:hAnsi="Arial"/>
              <w:noProof/>
              <w:sz w:val="24"/>
              <w:szCs w:val="24"/>
              <w:lang w:val="en-US"/>
            </w:rPr>
          </w:pPr>
          <w:hyperlink w:anchor="_Toc217146081" w:history="1">
            <w:r w:rsidRPr="00343930">
              <w:rPr>
                <w:rStyle w:val="Hyperlink"/>
                <w:rFonts w:ascii="Arial" w:hAnsi="Arial"/>
                <w:noProof/>
                <w:sz w:val="24"/>
                <w:szCs w:val="24"/>
              </w:rPr>
              <w:t>5.1 Payback Period</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_Toc217146081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25</w:t>
            </w:r>
            <w:r w:rsidRPr="00343930">
              <w:rPr>
                <w:rFonts w:ascii="Arial" w:hAnsi="Arial"/>
                <w:noProof/>
                <w:webHidden/>
                <w:sz w:val="24"/>
                <w:szCs w:val="24"/>
              </w:rPr>
              <w:fldChar w:fldCharType="end"/>
            </w:r>
          </w:hyperlink>
        </w:p>
        <w:p w14:paraId="0BFAD220" w14:textId="734D9C03" w:rsidR="00343930" w:rsidRPr="00343930" w:rsidRDefault="00343930">
          <w:pPr>
            <w:pStyle w:val="TOC3"/>
            <w:tabs>
              <w:tab w:val="left" w:pos="960"/>
              <w:tab w:val="right" w:leader="dot" w:pos="9350"/>
            </w:tabs>
            <w:rPr>
              <w:rFonts w:ascii="Arial" w:eastAsiaTheme="minorEastAsia" w:hAnsi="Arial"/>
              <w:noProof/>
              <w:sz w:val="24"/>
              <w:szCs w:val="24"/>
              <w:lang w:val="en-US"/>
            </w:rPr>
          </w:pPr>
          <w:hyperlink w:anchor="_Toc217146082" w:history="1">
            <w:r w:rsidRPr="00343930">
              <w:rPr>
                <w:rStyle w:val="Hyperlink"/>
                <w:rFonts w:ascii="Arial" w:hAnsi="Arial"/>
                <w:noProof/>
                <w:sz w:val="24"/>
                <w:szCs w:val="24"/>
              </w:rPr>
              <w:t>5.2</w:t>
            </w:r>
            <w:r w:rsidRPr="00343930">
              <w:rPr>
                <w:rFonts w:ascii="Arial" w:eastAsiaTheme="minorEastAsia" w:hAnsi="Arial"/>
                <w:noProof/>
                <w:sz w:val="24"/>
                <w:szCs w:val="24"/>
                <w:lang w:val="en-US"/>
              </w:rPr>
              <w:tab/>
            </w:r>
            <w:r w:rsidRPr="00343930">
              <w:rPr>
                <w:rStyle w:val="Hyperlink"/>
                <w:rFonts w:ascii="Arial" w:hAnsi="Arial"/>
                <w:noProof/>
                <w:sz w:val="24"/>
                <w:szCs w:val="24"/>
              </w:rPr>
              <w:t>Annual Rate of Return (ARR)</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_Toc217146082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26</w:t>
            </w:r>
            <w:r w:rsidRPr="00343930">
              <w:rPr>
                <w:rFonts w:ascii="Arial" w:hAnsi="Arial"/>
                <w:noProof/>
                <w:webHidden/>
                <w:sz w:val="24"/>
                <w:szCs w:val="24"/>
              </w:rPr>
              <w:fldChar w:fldCharType="end"/>
            </w:r>
          </w:hyperlink>
        </w:p>
        <w:p w14:paraId="305BBC37" w14:textId="6792A06D" w:rsidR="00343930" w:rsidRPr="00343930" w:rsidRDefault="00343930">
          <w:pPr>
            <w:pStyle w:val="TOC3"/>
            <w:tabs>
              <w:tab w:val="left" w:pos="960"/>
              <w:tab w:val="right" w:leader="dot" w:pos="9350"/>
            </w:tabs>
            <w:rPr>
              <w:rFonts w:ascii="Arial" w:eastAsiaTheme="minorEastAsia" w:hAnsi="Arial"/>
              <w:noProof/>
              <w:sz w:val="24"/>
              <w:szCs w:val="24"/>
              <w:lang w:val="en-US"/>
            </w:rPr>
          </w:pPr>
          <w:hyperlink w:anchor="_Toc217146083" w:history="1">
            <w:r w:rsidRPr="00343930">
              <w:rPr>
                <w:rStyle w:val="Hyperlink"/>
                <w:rFonts w:ascii="Arial" w:hAnsi="Arial"/>
                <w:noProof/>
                <w:sz w:val="24"/>
                <w:szCs w:val="24"/>
              </w:rPr>
              <w:t>5.3</w:t>
            </w:r>
            <w:r w:rsidRPr="00343930">
              <w:rPr>
                <w:rFonts w:ascii="Arial" w:eastAsiaTheme="minorEastAsia" w:hAnsi="Arial"/>
                <w:noProof/>
                <w:sz w:val="24"/>
                <w:szCs w:val="24"/>
                <w:lang w:val="en-US"/>
              </w:rPr>
              <w:tab/>
            </w:r>
            <w:r w:rsidRPr="00343930">
              <w:rPr>
                <w:rStyle w:val="Hyperlink"/>
                <w:rFonts w:ascii="Arial" w:hAnsi="Arial"/>
                <w:noProof/>
                <w:sz w:val="24"/>
                <w:szCs w:val="24"/>
              </w:rPr>
              <w:t>Net Present Value</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_Toc217146083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27</w:t>
            </w:r>
            <w:r w:rsidRPr="00343930">
              <w:rPr>
                <w:rFonts w:ascii="Arial" w:hAnsi="Arial"/>
                <w:noProof/>
                <w:webHidden/>
                <w:sz w:val="24"/>
                <w:szCs w:val="24"/>
              </w:rPr>
              <w:fldChar w:fldCharType="end"/>
            </w:r>
          </w:hyperlink>
        </w:p>
        <w:p w14:paraId="4A50525C" w14:textId="48FB5730" w:rsidR="00343930" w:rsidRPr="00343930" w:rsidRDefault="00343930">
          <w:pPr>
            <w:pStyle w:val="TOC3"/>
            <w:tabs>
              <w:tab w:val="right" w:leader="dot" w:pos="9350"/>
            </w:tabs>
            <w:rPr>
              <w:rFonts w:ascii="Arial" w:eastAsiaTheme="minorEastAsia" w:hAnsi="Arial"/>
              <w:noProof/>
              <w:sz w:val="24"/>
              <w:szCs w:val="24"/>
              <w:lang w:val="en-US"/>
            </w:rPr>
          </w:pPr>
          <w:hyperlink w:anchor="_Toc217146084" w:history="1">
            <w:r w:rsidRPr="00343930">
              <w:rPr>
                <w:rStyle w:val="Hyperlink"/>
                <w:rFonts w:ascii="Arial" w:hAnsi="Arial"/>
                <w:noProof/>
                <w:sz w:val="24"/>
                <w:szCs w:val="24"/>
              </w:rPr>
              <w:t>5.4 Profitability Index</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_Toc217146084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28</w:t>
            </w:r>
            <w:r w:rsidRPr="00343930">
              <w:rPr>
                <w:rFonts w:ascii="Arial" w:hAnsi="Arial"/>
                <w:noProof/>
                <w:webHidden/>
                <w:sz w:val="24"/>
                <w:szCs w:val="24"/>
              </w:rPr>
              <w:fldChar w:fldCharType="end"/>
            </w:r>
          </w:hyperlink>
        </w:p>
        <w:p w14:paraId="06747F19" w14:textId="52086B05" w:rsidR="00343930" w:rsidRPr="00343930" w:rsidRDefault="00343930">
          <w:pPr>
            <w:pStyle w:val="TOC3"/>
            <w:tabs>
              <w:tab w:val="right" w:leader="dot" w:pos="9350"/>
            </w:tabs>
            <w:rPr>
              <w:rFonts w:ascii="Arial" w:eastAsiaTheme="minorEastAsia" w:hAnsi="Arial"/>
              <w:noProof/>
              <w:sz w:val="24"/>
              <w:szCs w:val="24"/>
              <w:lang w:val="en-US"/>
            </w:rPr>
          </w:pPr>
          <w:hyperlink w:anchor="_Toc217146085" w:history="1">
            <w:r w:rsidRPr="00343930">
              <w:rPr>
                <w:rStyle w:val="Hyperlink"/>
                <w:rFonts w:ascii="Arial" w:hAnsi="Arial"/>
                <w:noProof/>
                <w:sz w:val="24"/>
                <w:szCs w:val="24"/>
              </w:rPr>
              <w:t>5.5 Internal Rate of Return (IRR) Analysis</w:t>
            </w:r>
            <w:r w:rsidRPr="00343930">
              <w:rPr>
                <w:rFonts w:ascii="Arial" w:hAnsi="Arial"/>
                <w:noProof/>
                <w:webHidden/>
                <w:sz w:val="24"/>
                <w:szCs w:val="24"/>
              </w:rPr>
              <w:tab/>
            </w:r>
            <w:r w:rsidRPr="00343930">
              <w:rPr>
                <w:rFonts w:ascii="Arial" w:hAnsi="Arial"/>
                <w:noProof/>
                <w:webHidden/>
                <w:sz w:val="24"/>
                <w:szCs w:val="24"/>
              </w:rPr>
              <w:fldChar w:fldCharType="begin"/>
            </w:r>
            <w:r w:rsidRPr="00343930">
              <w:rPr>
                <w:rFonts w:ascii="Arial" w:hAnsi="Arial"/>
                <w:noProof/>
                <w:webHidden/>
                <w:sz w:val="24"/>
                <w:szCs w:val="24"/>
              </w:rPr>
              <w:instrText xml:space="preserve"> PAGEREF _Toc217146085 \h </w:instrText>
            </w:r>
            <w:r w:rsidRPr="00343930">
              <w:rPr>
                <w:rFonts w:ascii="Arial" w:hAnsi="Arial"/>
                <w:noProof/>
                <w:webHidden/>
                <w:sz w:val="24"/>
                <w:szCs w:val="24"/>
              </w:rPr>
            </w:r>
            <w:r w:rsidRPr="00343930">
              <w:rPr>
                <w:rFonts w:ascii="Arial" w:hAnsi="Arial"/>
                <w:noProof/>
                <w:webHidden/>
                <w:sz w:val="24"/>
                <w:szCs w:val="24"/>
              </w:rPr>
              <w:fldChar w:fldCharType="separate"/>
            </w:r>
            <w:r w:rsidRPr="00343930">
              <w:rPr>
                <w:rFonts w:ascii="Arial" w:hAnsi="Arial"/>
                <w:noProof/>
                <w:webHidden/>
                <w:sz w:val="24"/>
                <w:szCs w:val="24"/>
              </w:rPr>
              <w:t>29</w:t>
            </w:r>
            <w:r w:rsidRPr="00343930">
              <w:rPr>
                <w:rFonts w:ascii="Arial" w:hAnsi="Arial"/>
                <w:noProof/>
                <w:webHidden/>
                <w:sz w:val="24"/>
                <w:szCs w:val="24"/>
              </w:rPr>
              <w:fldChar w:fldCharType="end"/>
            </w:r>
          </w:hyperlink>
        </w:p>
        <w:p w14:paraId="3E3C963C" w14:textId="69C15F22" w:rsidR="00343930" w:rsidRPr="00343930" w:rsidRDefault="00343930">
          <w:pPr>
            <w:pStyle w:val="TOC1"/>
            <w:tabs>
              <w:tab w:val="right" w:leader="dot" w:pos="9350"/>
            </w:tabs>
            <w:rPr>
              <w:rFonts w:ascii="Arial" w:eastAsiaTheme="minorEastAsia" w:hAnsi="Arial"/>
              <w:b w:val="0"/>
              <w:bCs w:val="0"/>
              <w:i w:val="0"/>
              <w:iCs w:val="0"/>
              <w:noProof/>
              <w:lang w:val="en-US"/>
            </w:rPr>
          </w:pPr>
          <w:hyperlink w:anchor="_Toc217146086" w:history="1">
            <w:r w:rsidRPr="00343930">
              <w:rPr>
                <w:rStyle w:val="Hyperlink"/>
                <w:rFonts w:ascii="Arial" w:hAnsi="Arial"/>
                <w:b w:val="0"/>
                <w:bCs w:val="0"/>
                <w:i w:val="0"/>
                <w:iCs w:val="0"/>
                <w:noProof/>
              </w:rPr>
              <w:t>Conclusion</w:t>
            </w:r>
            <w:r w:rsidRPr="00343930">
              <w:rPr>
                <w:rFonts w:ascii="Arial" w:hAnsi="Arial"/>
                <w:b w:val="0"/>
                <w:bCs w:val="0"/>
                <w:i w:val="0"/>
                <w:iCs w:val="0"/>
                <w:noProof/>
                <w:webHidden/>
              </w:rPr>
              <w:tab/>
            </w:r>
            <w:r w:rsidRPr="00343930">
              <w:rPr>
                <w:rFonts w:ascii="Arial" w:hAnsi="Arial"/>
                <w:b w:val="0"/>
                <w:bCs w:val="0"/>
                <w:i w:val="0"/>
                <w:iCs w:val="0"/>
                <w:noProof/>
                <w:webHidden/>
              </w:rPr>
              <w:fldChar w:fldCharType="begin"/>
            </w:r>
            <w:r w:rsidRPr="00343930">
              <w:rPr>
                <w:rFonts w:ascii="Arial" w:hAnsi="Arial"/>
                <w:b w:val="0"/>
                <w:bCs w:val="0"/>
                <w:i w:val="0"/>
                <w:iCs w:val="0"/>
                <w:noProof/>
                <w:webHidden/>
              </w:rPr>
              <w:instrText xml:space="preserve"> PAGEREF _Toc217146086 \h </w:instrText>
            </w:r>
            <w:r w:rsidRPr="00343930">
              <w:rPr>
                <w:rFonts w:ascii="Arial" w:hAnsi="Arial"/>
                <w:b w:val="0"/>
                <w:bCs w:val="0"/>
                <w:i w:val="0"/>
                <w:iCs w:val="0"/>
                <w:noProof/>
                <w:webHidden/>
              </w:rPr>
            </w:r>
            <w:r w:rsidRPr="00343930">
              <w:rPr>
                <w:rFonts w:ascii="Arial" w:hAnsi="Arial"/>
                <w:b w:val="0"/>
                <w:bCs w:val="0"/>
                <w:i w:val="0"/>
                <w:iCs w:val="0"/>
                <w:noProof/>
                <w:webHidden/>
              </w:rPr>
              <w:fldChar w:fldCharType="separate"/>
            </w:r>
            <w:r w:rsidRPr="00343930">
              <w:rPr>
                <w:rFonts w:ascii="Arial" w:hAnsi="Arial"/>
                <w:b w:val="0"/>
                <w:bCs w:val="0"/>
                <w:i w:val="0"/>
                <w:iCs w:val="0"/>
                <w:noProof/>
                <w:webHidden/>
              </w:rPr>
              <w:t>31</w:t>
            </w:r>
            <w:r w:rsidRPr="00343930">
              <w:rPr>
                <w:rFonts w:ascii="Arial" w:hAnsi="Arial"/>
                <w:b w:val="0"/>
                <w:bCs w:val="0"/>
                <w:i w:val="0"/>
                <w:iCs w:val="0"/>
                <w:noProof/>
                <w:webHidden/>
              </w:rPr>
              <w:fldChar w:fldCharType="end"/>
            </w:r>
          </w:hyperlink>
        </w:p>
        <w:p w14:paraId="355C3F75" w14:textId="3B9562EC" w:rsidR="00343930" w:rsidRPr="00343930" w:rsidRDefault="00343930">
          <w:pPr>
            <w:pStyle w:val="TOC1"/>
            <w:tabs>
              <w:tab w:val="right" w:leader="dot" w:pos="9350"/>
            </w:tabs>
            <w:rPr>
              <w:rFonts w:ascii="Arial" w:eastAsiaTheme="minorEastAsia" w:hAnsi="Arial"/>
              <w:b w:val="0"/>
              <w:bCs w:val="0"/>
              <w:i w:val="0"/>
              <w:iCs w:val="0"/>
              <w:noProof/>
              <w:lang w:val="en-US"/>
            </w:rPr>
          </w:pPr>
          <w:hyperlink w:anchor="_Toc217146087" w:history="1">
            <w:r w:rsidRPr="00343930">
              <w:rPr>
                <w:rStyle w:val="Hyperlink"/>
                <w:rFonts w:ascii="Arial" w:hAnsi="Arial"/>
                <w:b w:val="0"/>
                <w:bCs w:val="0"/>
                <w:i w:val="0"/>
                <w:iCs w:val="0"/>
                <w:noProof/>
              </w:rPr>
              <w:t>References</w:t>
            </w:r>
            <w:r w:rsidRPr="00343930">
              <w:rPr>
                <w:rFonts w:ascii="Arial" w:hAnsi="Arial"/>
                <w:b w:val="0"/>
                <w:bCs w:val="0"/>
                <w:i w:val="0"/>
                <w:iCs w:val="0"/>
                <w:noProof/>
                <w:webHidden/>
              </w:rPr>
              <w:tab/>
            </w:r>
            <w:r w:rsidRPr="00343930">
              <w:rPr>
                <w:rFonts w:ascii="Arial" w:hAnsi="Arial"/>
                <w:b w:val="0"/>
                <w:bCs w:val="0"/>
                <w:i w:val="0"/>
                <w:iCs w:val="0"/>
                <w:noProof/>
                <w:webHidden/>
              </w:rPr>
              <w:fldChar w:fldCharType="begin"/>
            </w:r>
            <w:r w:rsidRPr="00343930">
              <w:rPr>
                <w:rFonts w:ascii="Arial" w:hAnsi="Arial"/>
                <w:b w:val="0"/>
                <w:bCs w:val="0"/>
                <w:i w:val="0"/>
                <w:iCs w:val="0"/>
                <w:noProof/>
                <w:webHidden/>
              </w:rPr>
              <w:instrText xml:space="preserve"> PAGEREF _Toc217146087 \h </w:instrText>
            </w:r>
            <w:r w:rsidRPr="00343930">
              <w:rPr>
                <w:rFonts w:ascii="Arial" w:hAnsi="Arial"/>
                <w:b w:val="0"/>
                <w:bCs w:val="0"/>
                <w:i w:val="0"/>
                <w:iCs w:val="0"/>
                <w:noProof/>
                <w:webHidden/>
              </w:rPr>
            </w:r>
            <w:r w:rsidRPr="00343930">
              <w:rPr>
                <w:rFonts w:ascii="Arial" w:hAnsi="Arial"/>
                <w:b w:val="0"/>
                <w:bCs w:val="0"/>
                <w:i w:val="0"/>
                <w:iCs w:val="0"/>
                <w:noProof/>
                <w:webHidden/>
              </w:rPr>
              <w:fldChar w:fldCharType="separate"/>
            </w:r>
            <w:r w:rsidRPr="00343930">
              <w:rPr>
                <w:rFonts w:ascii="Arial" w:hAnsi="Arial"/>
                <w:b w:val="0"/>
                <w:bCs w:val="0"/>
                <w:i w:val="0"/>
                <w:iCs w:val="0"/>
                <w:noProof/>
                <w:webHidden/>
              </w:rPr>
              <w:t>32</w:t>
            </w:r>
            <w:r w:rsidRPr="00343930">
              <w:rPr>
                <w:rFonts w:ascii="Arial" w:hAnsi="Arial"/>
                <w:b w:val="0"/>
                <w:bCs w:val="0"/>
                <w:i w:val="0"/>
                <w:iCs w:val="0"/>
                <w:noProof/>
                <w:webHidden/>
              </w:rPr>
              <w:fldChar w:fldCharType="end"/>
            </w:r>
          </w:hyperlink>
        </w:p>
        <w:p w14:paraId="2EFB462B" w14:textId="01909427" w:rsidR="00343930" w:rsidRPr="00343930" w:rsidRDefault="00343930">
          <w:pPr>
            <w:pStyle w:val="TOC1"/>
            <w:tabs>
              <w:tab w:val="right" w:leader="dot" w:pos="9350"/>
            </w:tabs>
            <w:rPr>
              <w:rFonts w:ascii="Arial" w:eastAsiaTheme="minorEastAsia" w:hAnsi="Arial"/>
              <w:b w:val="0"/>
              <w:bCs w:val="0"/>
              <w:i w:val="0"/>
              <w:iCs w:val="0"/>
              <w:noProof/>
              <w:lang w:val="en-US"/>
            </w:rPr>
          </w:pPr>
          <w:hyperlink w:anchor="_Toc217146088" w:history="1">
            <w:r w:rsidRPr="00343930">
              <w:rPr>
                <w:rStyle w:val="Hyperlink"/>
                <w:rFonts w:ascii="Arial" w:hAnsi="Arial"/>
                <w:b w:val="0"/>
                <w:bCs w:val="0"/>
                <w:i w:val="0"/>
                <w:iCs w:val="0"/>
                <w:noProof/>
              </w:rPr>
              <w:t>Appendix</w:t>
            </w:r>
            <w:r w:rsidRPr="00343930">
              <w:rPr>
                <w:rFonts w:ascii="Arial" w:hAnsi="Arial"/>
                <w:b w:val="0"/>
                <w:bCs w:val="0"/>
                <w:i w:val="0"/>
                <w:iCs w:val="0"/>
                <w:noProof/>
                <w:webHidden/>
              </w:rPr>
              <w:tab/>
            </w:r>
            <w:r w:rsidRPr="00343930">
              <w:rPr>
                <w:rFonts w:ascii="Arial" w:hAnsi="Arial"/>
                <w:b w:val="0"/>
                <w:bCs w:val="0"/>
                <w:i w:val="0"/>
                <w:iCs w:val="0"/>
                <w:noProof/>
                <w:webHidden/>
              </w:rPr>
              <w:fldChar w:fldCharType="begin"/>
            </w:r>
            <w:r w:rsidRPr="00343930">
              <w:rPr>
                <w:rFonts w:ascii="Arial" w:hAnsi="Arial"/>
                <w:b w:val="0"/>
                <w:bCs w:val="0"/>
                <w:i w:val="0"/>
                <w:iCs w:val="0"/>
                <w:noProof/>
                <w:webHidden/>
              </w:rPr>
              <w:instrText xml:space="preserve"> PAGEREF _Toc217146088 \h </w:instrText>
            </w:r>
            <w:r w:rsidRPr="00343930">
              <w:rPr>
                <w:rFonts w:ascii="Arial" w:hAnsi="Arial"/>
                <w:b w:val="0"/>
                <w:bCs w:val="0"/>
                <w:i w:val="0"/>
                <w:iCs w:val="0"/>
                <w:noProof/>
                <w:webHidden/>
              </w:rPr>
            </w:r>
            <w:r w:rsidRPr="00343930">
              <w:rPr>
                <w:rFonts w:ascii="Arial" w:hAnsi="Arial"/>
                <w:b w:val="0"/>
                <w:bCs w:val="0"/>
                <w:i w:val="0"/>
                <w:iCs w:val="0"/>
                <w:noProof/>
                <w:webHidden/>
              </w:rPr>
              <w:fldChar w:fldCharType="separate"/>
            </w:r>
            <w:r w:rsidRPr="00343930">
              <w:rPr>
                <w:rFonts w:ascii="Arial" w:hAnsi="Arial"/>
                <w:b w:val="0"/>
                <w:bCs w:val="0"/>
                <w:i w:val="0"/>
                <w:iCs w:val="0"/>
                <w:noProof/>
                <w:webHidden/>
              </w:rPr>
              <w:t>34</w:t>
            </w:r>
            <w:r w:rsidRPr="00343930">
              <w:rPr>
                <w:rFonts w:ascii="Arial" w:hAnsi="Arial"/>
                <w:b w:val="0"/>
                <w:bCs w:val="0"/>
                <w:i w:val="0"/>
                <w:iCs w:val="0"/>
                <w:noProof/>
                <w:webHidden/>
              </w:rPr>
              <w:fldChar w:fldCharType="end"/>
            </w:r>
          </w:hyperlink>
        </w:p>
        <w:p w14:paraId="103262B7" w14:textId="78BFB137" w:rsidR="00A6088E" w:rsidRDefault="00A6088E">
          <w:pPr>
            <w:sectPr w:rsidR="00A6088E" w:rsidSect="00C150CA">
              <w:footerReference w:type="default" r:id="rId9"/>
              <w:pgSz w:w="12240" w:h="15840"/>
              <w:pgMar w:top="1440" w:right="1440" w:bottom="1440" w:left="1440" w:header="720" w:footer="720" w:gutter="0"/>
              <w:pgNumType w:fmt="lowerRoman" w:start="1"/>
              <w:cols w:space="720"/>
              <w:titlePg/>
            </w:sectPr>
          </w:pPr>
          <w:r w:rsidRPr="00343930">
            <w:rPr>
              <w:b/>
              <w:bCs/>
              <w:noProof/>
            </w:rPr>
            <w:fldChar w:fldCharType="end"/>
          </w:r>
        </w:p>
      </w:sdtContent>
    </w:sdt>
    <w:p w14:paraId="7801BCA7" w14:textId="77777777" w:rsidR="00A6088E" w:rsidRDefault="00A6088E" w:rsidP="00A6088E">
      <w:pPr>
        <w:pStyle w:val="Heading1"/>
      </w:pPr>
      <w:bookmarkStart w:id="7" w:name="_pvo0ztvjbby2" w:colFirst="0" w:colLast="0"/>
      <w:bookmarkStart w:id="8" w:name="OLE_LINK14"/>
      <w:bookmarkStart w:id="9" w:name="OLE_LINK15"/>
      <w:bookmarkStart w:id="10" w:name="OLE_LINK10"/>
      <w:bookmarkStart w:id="11" w:name="OLE_LINK11"/>
      <w:bookmarkStart w:id="12" w:name="_Toc217146056"/>
      <w:bookmarkEnd w:id="7"/>
      <w:r>
        <w:lastRenderedPageBreak/>
        <w:t>1.0 Introduction</w:t>
      </w:r>
      <w:bookmarkEnd w:id="12"/>
    </w:p>
    <w:p w14:paraId="2F633CC7" w14:textId="051BD197" w:rsidR="00E26288" w:rsidRPr="009D2FBC" w:rsidRDefault="00E26288" w:rsidP="00E26288">
      <w:pPr>
        <w:spacing w:before="240" w:after="240"/>
      </w:pPr>
      <w:bookmarkStart w:id="13" w:name="_vxsxn4ri1xlc" w:colFirst="0" w:colLast="0"/>
      <w:bookmarkStart w:id="14" w:name="OLE_LINK2"/>
      <w:bookmarkStart w:id="15" w:name="OLE_LINK3"/>
      <w:bookmarkStart w:id="16" w:name="OLE_LINK6"/>
      <w:bookmarkStart w:id="17" w:name="OLE_LINK7"/>
      <w:bookmarkStart w:id="18" w:name="OLE_LINK8"/>
      <w:bookmarkStart w:id="19" w:name="OLE_LINK9"/>
      <w:bookmarkEnd w:id="13"/>
      <w:r w:rsidRPr="009D2FBC">
        <w:t xml:space="preserve">General Electronics has been working in a very demanding financial </w:t>
      </w:r>
      <w:r w:rsidR="00055938">
        <w:t>environment</w:t>
      </w:r>
      <w:r w:rsidRPr="009D2FBC">
        <w:t>. It has been encountering dwindling revenues, incessant profitability stress, and restraining cash positions. The financial picture is quite clear</w:t>
      </w:r>
      <w:r w:rsidR="00055938">
        <w:t>;</w:t>
      </w:r>
      <w:r w:rsidRPr="009D2FBC">
        <w:t xml:space="preserve"> the entire financial entities show increasing strain of liquidity, declining returns to shareholders and uncertainty about long-term sustainability. These pointers are good indicators of a close and planned reevaluation of the financial strategy of the firm.</w:t>
      </w:r>
    </w:p>
    <w:p w14:paraId="0D1F5F7C" w14:textId="32268DA1" w:rsidR="00E26288" w:rsidRPr="009D2FBC" w:rsidRDefault="00E26288" w:rsidP="00E26288">
      <w:pPr>
        <w:spacing w:before="240" w:after="240"/>
      </w:pPr>
      <w:r w:rsidRPr="009D2FBC">
        <w:t xml:space="preserve">The paper will provide a detailed financial analysis of General Electronics with consolidated financial information </w:t>
      </w:r>
      <w:r w:rsidR="00055938">
        <w:t>for</w:t>
      </w:r>
      <w:r w:rsidRPr="009D2FBC">
        <w:t xml:space="preserve"> 2021-2024. The analysis will start with </w:t>
      </w:r>
      <w:proofErr w:type="spellStart"/>
      <w:r w:rsidR="00055938">
        <w:t>analysing</w:t>
      </w:r>
      <w:proofErr w:type="spellEnd"/>
      <w:r w:rsidRPr="009D2FBC">
        <w:t xml:space="preserve"> the trends in profitability, liquidity, efficiency and solvency in order to determine the underlying sources of financial stress. This is then </w:t>
      </w:r>
      <w:proofErr w:type="spellStart"/>
      <w:r w:rsidR="00055938">
        <w:t>analysed</w:t>
      </w:r>
      <w:proofErr w:type="spellEnd"/>
      <w:r w:rsidRPr="009D2FBC">
        <w:t xml:space="preserve"> so as to separate the inflexibility into operational weaknesses and the areas of latent strength. Emphasis was laid on working capital dynamics since variations in the cash operating cycle and low cash reserves were found to be the bottlenecks</w:t>
      </w:r>
      <w:r w:rsidR="00055938">
        <w:t>,</w:t>
      </w:r>
      <w:r w:rsidRPr="009D2FBC">
        <w:t xml:space="preserve"> even after the current ratios appeared to be good.</w:t>
      </w:r>
    </w:p>
    <w:p w14:paraId="079ECC93" w14:textId="7F7DFB4B" w:rsidR="00E26288" w:rsidRDefault="00E26288" w:rsidP="00E26288">
      <w:pPr>
        <w:spacing w:before="240" w:after="240"/>
        <w:rPr>
          <w:b/>
          <w:bCs/>
        </w:rPr>
      </w:pPr>
      <w:r w:rsidRPr="009D2FBC">
        <w:t xml:space="preserve">The three mutually exclusive projects are evaluated by choosing various methods of capital budgeting. Therefore, it is important to make sure that any new investment would not only contribute to the financial discipline in the short term but also </w:t>
      </w:r>
      <w:r w:rsidR="00055938">
        <w:t>to</w:t>
      </w:r>
      <w:r w:rsidRPr="009D2FBC">
        <w:t xml:space="preserve"> the long-term value creation objective.  </w:t>
      </w:r>
    </w:p>
    <w:p w14:paraId="1A51D151" w14:textId="77777777" w:rsidR="00E26288" w:rsidRDefault="00E26288">
      <w:pPr>
        <w:rPr>
          <w:b/>
          <w:bCs/>
          <w:sz w:val="32"/>
          <w:szCs w:val="32"/>
        </w:rPr>
      </w:pPr>
      <w:r>
        <w:br w:type="page"/>
      </w:r>
    </w:p>
    <w:p w14:paraId="02D745AD" w14:textId="18980057" w:rsidR="00087739" w:rsidRPr="00BD57AC" w:rsidRDefault="00E4354C" w:rsidP="00A6088E">
      <w:pPr>
        <w:pStyle w:val="Heading1"/>
      </w:pPr>
      <w:bookmarkStart w:id="20" w:name="_Hlk216911867"/>
      <w:bookmarkStart w:id="21" w:name="_Toc217146057"/>
      <w:r w:rsidRPr="00BD57AC">
        <w:lastRenderedPageBreak/>
        <w:t>2.</w:t>
      </w:r>
      <w:r w:rsidR="00BD57AC">
        <w:t>0</w:t>
      </w:r>
      <w:r w:rsidRPr="00BD57AC">
        <w:t xml:space="preserve"> Financial Health Check</w:t>
      </w:r>
      <w:bookmarkEnd w:id="21"/>
    </w:p>
    <w:p w14:paraId="58D48372" w14:textId="271B624C" w:rsidR="00087739" w:rsidRPr="00BD57AC" w:rsidRDefault="00E4354C" w:rsidP="00BD57AC">
      <w:pPr>
        <w:pStyle w:val="Heading2"/>
      </w:pPr>
      <w:bookmarkStart w:id="22" w:name="_prgy8vkef89p" w:colFirst="0" w:colLast="0"/>
      <w:bookmarkStart w:id="23" w:name="_Toc217146058"/>
      <w:bookmarkEnd w:id="22"/>
      <w:r w:rsidRPr="00BD57AC">
        <w:t>2.1 Trend Analysis: Revenue and Profitability</w:t>
      </w:r>
      <w:bookmarkEnd w:id="23"/>
    </w:p>
    <w:p w14:paraId="47C8945D" w14:textId="111C3F15" w:rsidR="00720ADD" w:rsidRDefault="00720ADD" w:rsidP="00377D91">
      <w:pPr>
        <w:spacing w:before="240" w:after="240"/>
      </w:pPr>
      <w:bookmarkStart w:id="24" w:name="_4zi49h4pzcrx" w:colFirst="0" w:colLast="0"/>
      <w:bookmarkStart w:id="25" w:name="OLE_LINK4"/>
      <w:bookmarkStart w:id="26" w:name="OLE_LINK5"/>
      <w:bookmarkEnd w:id="24"/>
      <w:r>
        <w:t xml:space="preserve">The table below presents the major concerns or subjects of discussion for this </w:t>
      </w:r>
      <w:r w:rsidR="0060631D">
        <w:t>section</w:t>
      </w:r>
      <w:r>
        <w:t>.</w:t>
      </w:r>
    </w:p>
    <w:p w14:paraId="74F07D70" w14:textId="77777777" w:rsidR="00720ADD" w:rsidRPr="00720ADD" w:rsidRDefault="00720ADD" w:rsidP="00720ADD">
      <w:pPr>
        <w:pStyle w:val="Caption"/>
        <w:jc w:val="center"/>
        <w:rPr>
          <w:b/>
          <w:bCs/>
          <w:i w:val="0"/>
          <w:iCs w:val="0"/>
          <w:color w:val="000000" w:themeColor="text1"/>
          <w:sz w:val="24"/>
          <w:szCs w:val="24"/>
        </w:rPr>
      </w:pPr>
      <w:r w:rsidRPr="00720ADD">
        <w:rPr>
          <w:b/>
          <w:bCs/>
          <w:i w:val="0"/>
          <w:iCs w:val="0"/>
          <w:color w:val="000000" w:themeColor="text1"/>
          <w:sz w:val="24"/>
          <w:szCs w:val="24"/>
        </w:rPr>
        <w:t xml:space="preserve">Table </w:t>
      </w:r>
      <w:r w:rsidRPr="00720ADD">
        <w:rPr>
          <w:b/>
          <w:bCs/>
          <w:i w:val="0"/>
          <w:iCs w:val="0"/>
          <w:color w:val="000000" w:themeColor="text1"/>
          <w:sz w:val="24"/>
          <w:szCs w:val="24"/>
        </w:rPr>
        <w:fldChar w:fldCharType="begin"/>
      </w:r>
      <w:r w:rsidRPr="00720ADD">
        <w:rPr>
          <w:b/>
          <w:bCs/>
          <w:i w:val="0"/>
          <w:iCs w:val="0"/>
          <w:color w:val="000000" w:themeColor="text1"/>
          <w:sz w:val="24"/>
          <w:szCs w:val="24"/>
        </w:rPr>
        <w:instrText xml:space="preserve"> SEQ Table \* ARABIC </w:instrText>
      </w:r>
      <w:r w:rsidRPr="00720ADD">
        <w:rPr>
          <w:b/>
          <w:bCs/>
          <w:i w:val="0"/>
          <w:iCs w:val="0"/>
          <w:color w:val="000000" w:themeColor="text1"/>
          <w:sz w:val="24"/>
          <w:szCs w:val="24"/>
        </w:rPr>
        <w:fldChar w:fldCharType="separate"/>
      </w:r>
      <w:r w:rsidR="00B14E4A">
        <w:rPr>
          <w:b/>
          <w:bCs/>
          <w:i w:val="0"/>
          <w:iCs w:val="0"/>
          <w:noProof/>
          <w:color w:val="000000" w:themeColor="text1"/>
          <w:sz w:val="24"/>
          <w:szCs w:val="24"/>
        </w:rPr>
        <w:t>1</w:t>
      </w:r>
      <w:r w:rsidRPr="00720ADD">
        <w:rPr>
          <w:b/>
          <w:bCs/>
          <w:i w:val="0"/>
          <w:iCs w:val="0"/>
          <w:color w:val="000000" w:themeColor="text1"/>
          <w:sz w:val="24"/>
          <w:szCs w:val="24"/>
        </w:rPr>
        <w:fldChar w:fldCharType="end"/>
      </w:r>
      <w:r w:rsidRPr="00720ADD">
        <w:rPr>
          <w:b/>
          <w:bCs/>
          <w:i w:val="0"/>
          <w:iCs w:val="0"/>
          <w:color w:val="000000" w:themeColor="text1"/>
          <w:sz w:val="24"/>
          <w:szCs w:val="24"/>
        </w:rPr>
        <w:t>: Key Financial Indicators (2021-2024)</w:t>
      </w:r>
    </w:p>
    <w:tbl>
      <w:tblPr>
        <w:tblStyle w:val="GridTable1Light-Accent1"/>
        <w:tblW w:w="929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482"/>
        <w:gridCol w:w="1452"/>
        <w:gridCol w:w="1452"/>
        <w:gridCol w:w="1452"/>
        <w:gridCol w:w="1452"/>
      </w:tblGrid>
      <w:tr w:rsidR="00720ADD" w:rsidRPr="00720ADD" w14:paraId="2ECF4BAA" w14:textId="77777777" w:rsidTr="00720ADD">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vAlign w:val="center"/>
            <w:hideMark/>
          </w:tcPr>
          <w:p w14:paraId="490920BB" w14:textId="77777777" w:rsidR="00720ADD" w:rsidRPr="00720ADD" w:rsidRDefault="00720ADD" w:rsidP="00720ADD">
            <w:pPr>
              <w:jc w:val="center"/>
              <w:rPr>
                <w:rFonts w:eastAsia="Times New Roman"/>
                <w:lang w:val="en-US"/>
              </w:rPr>
            </w:pPr>
            <w:bookmarkStart w:id="27" w:name="OLE_LINK1"/>
            <w:r w:rsidRPr="00720ADD">
              <w:rPr>
                <w:rFonts w:eastAsia="Times New Roman"/>
                <w:lang w:val="en-US"/>
              </w:rPr>
              <w:t>Financial Measure</w:t>
            </w:r>
          </w:p>
        </w:tc>
        <w:tc>
          <w:tcPr>
            <w:tcW w:w="0" w:type="auto"/>
            <w:tcBorders>
              <w:bottom w:val="none" w:sz="0" w:space="0" w:color="auto"/>
            </w:tcBorders>
            <w:vAlign w:val="center"/>
            <w:hideMark/>
          </w:tcPr>
          <w:p w14:paraId="7E398743" w14:textId="77777777" w:rsidR="00720ADD" w:rsidRPr="00720ADD" w:rsidRDefault="00720ADD" w:rsidP="00720ADD">
            <w:pPr>
              <w:jc w:val="center"/>
              <w:cnfStyle w:val="100000000000" w:firstRow="1"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2021 (£m)</w:t>
            </w:r>
          </w:p>
        </w:tc>
        <w:tc>
          <w:tcPr>
            <w:tcW w:w="0" w:type="auto"/>
            <w:tcBorders>
              <w:bottom w:val="none" w:sz="0" w:space="0" w:color="auto"/>
            </w:tcBorders>
            <w:vAlign w:val="center"/>
            <w:hideMark/>
          </w:tcPr>
          <w:p w14:paraId="000713AC" w14:textId="77777777" w:rsidR="00720ADD" w:rsidRPr="00720ADD" w:rsidRDefault="00720ADD" w:rsidP="00720ADD">
            <w:pPr>
              <w:jc w:val="center"/>
              <w:cnfStyle w:val="100000000000" w:firstRow="1"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2022 (£m)</w:t>
            </w:r>
          </w:p>
        </w:tc>
        <w:tc>
          <w:tcPr>
            <w:tcW w:w="0" w:type="auto"/>
            <w:tcBorders>
              <w:bottom w:val="none" w:sz="0" w:space="0" w:color="auto"/>
            </w:tcBorders>
            <w:vAlign w:val="center"/>
            <w:hideMark/>
          </w:tcPr>
          <w:p w14:paraId="2A8A6A8D" w14:textId="77777777" w:rsidR="00720ADD" w:rsidRPr="00720ADD" w:rsidRDefault="00720ADD" w:rsidP="00720ADD">
            <w:pPr>
              <w:jc w:val="center"/>
              <w:cnfStyle w:val="100000000000" w:firstRow="1"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2023 (£m)</w:t>
            </w:r>
          </w:p>
        </w:tc>
        <w:tc>
          <w:tcPr>
            <w:tcW w:w="0" w:type="auto"/>
            <w:tcBorders>
              <w:bottom w:val="none" w:sz="0" w:space="0" w:color="auto"/>
            </w:tcBorders>
            <w:vAlign w:val="center"/>
            <w:hideMark/>
          </w:tcPr>
          <w:p w14:paraId="1B267E7D" w14:textId="77777777" w:rsidR="00720ADD" w:rsidRPr="00720ADD" w:rsidRDefault="00720ADD" w:rsidP="00720ADD">
            <w:pPr>
              <w:jc w:val="center"/>
              <w:cnfStyle w:val="100000000000" w:firstRow="1"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2024 (£m)</w:t>
            </w:r>
          </w:p>
        </w:tc>
      </w:tr>
      <w:tr w:rsidR="00720ADD" w:rsidRPr="00720ADD" w14:paraId="1F9AD15F" w14:textId="77777777" w:rsidTr="00720ADD">
        <w:trPr>
          <w:trHeight w:val="42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9692D2" w14:textId="77777777" w:rsidR="00720ADD" w:rsidRPr="00720ADD" w:rsidRDefault="00720ADD" w:rsidP="00720ADD">
            <w:pPr>
              <w:jc w:val="left"/>
              <w:rPr>
                <w:rFonts w:eastAsia="Times New Roman"/>
                <w:b w:val="0"/>
                <w:bCs w:val="0"/>
                <w:lang w:val="en-US"/>
              </w:rPr>
            </w:pPr>
            <w:r w:rsidRPr="00720ADD">
              <w:rPr>
                <w:rFonts w:eastAsia="Times New Roman"/>
                <w:b w:val="0"/>
                <w:bCs w:val="0"/>
                <w:lang w:val="en-US"/>
              </w:rPr>
              <w:t>Net Sales</w:t>
            </w:r>
          </w:p>
        </w:tc>
        <w:tc>
          <w:tcPr>
            <w:tcW w:w="0" w:type="auto"/>
            <w:vAlign w:val="center"/>
            <w:hideMark/>
          </w:tcPr>
          <w:p w14:paraId="688B68DD"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601,602</w:t>
            </w:r>
          </w:p>
        </w:tc>
        <w:tc>
          <w:tcPr>
            <w:tcW w:w="0" w:type="auto"/>
            <w:vAlign w:val="center"/>
            <w:hideMark/>
          </w:tcPr>
          <w:p w14:paraId="4742D9AD"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542,751</w:t>
            </w:r>
          </w:p>
        </w:tc>
        <w:tc>
          <w:tcPr>
            <w:tcW w:w="0" w:type="auto"/>
            <w:vAlign w:val="center"/>
            <w:hideMark/>
          </w:tcPr>
          <w:p w14:paraId="6AA59132"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420,457</w:t>
            </w:r>
          </w:p>
        </w:tc>
        <w:tc>
          <w:tcPr>
            <w:tcW w:w="0" w:type="auto"/>
            <w:vAlign w:val="center"/>
            <w:hideMark/>
          </w:tcPr>
          <w:p w14:paraId="6CC012B6"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394,879</w:t>
            </w:r>
          </w:p>
        </w:tc>
      </w:tr>
      <w:tr w:rsidR="00720ADD" w:rsidRPr="00720ADD" w14:paraId="23100196" w14:textId="77777777" w:rsidTr="00720ADD">
        <w:trPr>
          <w:trHeight w:val="42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EE9BA" w14:textId="77777777" w:rsidR="00720ADD" w:rsidRPr="00720ADD" w:rsidRDefault="00720ADD" w:rsidP="00720ADD">
            <w:pPr>
              <w:jc w:val="left"/>
              <w:rPr>
                <w:rFonts w:eastAsia="Times New Roman"/>
                <w:lang w:val="en-US"/>
              </w:rPr>
            </w:pPr>
            <w:r w:rsidRPr="00720ADD">
              <w:rPr>
                <w:rFonts w:eastAsia="Times New Roman"/>
                <w:lang w:val="en-US"/>
              </w:rPr>
              <w:t>Gross Profit</w:t>
            </w:r>
          </w:p>
        </w:tc>
        <w:tc>
          <w:tcPr>
            <w:tcW w:w="0" w:type="auto"/>
            <w:vAlign w:val="center"/>
            <w:hideMark/>
          </w:tcPr>
          <w:p w14:paraId="0139519A"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173,016</w:t>
            </w:r>
          </w:p>
        </w:tc>
        <w:tc>
          <w:tcPr>
            <w:tcW w:w="0" w:type="auto"/>
            <w:vAlign w:val="center"/>
            <w:hideMark/>
          </w:tcPr>
          <w:p w14:paraId="0EFC29EF"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152,292</w:t>
            </w:r>
          </w:p>
        </w:tc>
        <w:tc>
          <w:tcPr>
            <w:tcW w:w="0" w:type="auto"/>
            <w:vAlign w:val="center"/>
            <w:hideMark/>
          </w:tcPr>
          <w:p w14:paraId="7AE17702"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97,560</w:t>
            </w:r>
          </w:p>
        </w:tc>
        <w:tc>
          <w:tcPr>
            <w:tcW w:w="0" w:type="auto"/>
            <w:vAlign w:val="center"/>
            <w:hideMark/>
          </w:tcPr>
          <w:p w14:paraId="369F947B"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113,994</w:t>
            </w:r>
          </w:p>
        </w:tc>
      </w:tr>
      <w:tr w:rsidR="00720ADD" w:rsidRPr="00720ADD" w14:paraId="3A598AC8" w14:textId="77777777" w:rsidTr="00720ADD">
        <w:trPr>
          <w:trHeight w:val="42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19953C" w14:textId="77777777" w:rsidR="00720ADD" w:rsidRPr="00720ADD" w:rsidRDefault="00720ADD" w:rsidP="00720ADD">
            <w:pPr>
              <w:jc w:val="left"/>
              <w:rPr>
                <w:rFonts w:eastAsia="Times New Roman"/>
                <w:lang w:val="en-US"/>
              </w:rPr>
            </w:pPr>
            <w:r w:rsidRPr="00720ADD">
              <w:rPr>
                <w:rFonts w:eastAsia="Times New Roman"/>
                <w:lang w:val="en-US"/>
              </w:rPr>
              <w:t>Operating Income / (Loss)</w:t>
            </w:r>
          </w:p>
        </w:tc>
        <w:tc>
          <w:tcPr>
            <w:tcW w:w="0" w:type="auto"/>
            <w:vAlign w:val="center"/>
            <w:hideMark/>
          </w:tcPr>
          <w:p w14:paraId="487EEC0C"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23,253</w:t>
            </w:r>
          </w:p>
        </w:tc>
        <w:tc>
          <w:tcPr>
            <w:tcW w:w="0" w:type="auto"/>
            <w:vAlign w:val="center"/>
            <w:hideMark/>
          </w:tcPr>
          <w:p w14:paraId="48326C9D"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14,548</w:t>
            </w:r>
          </w:p>
        </w:tc>
        <w:tc>
          <w:tcPr>
            <w:tcW w:w="0" w:type="auto"/>
            <w:vAlign w:val="center"/>
            <w:hideMark/>
          </w:tcPr>
          <w:p w14:paraId="517D9E39"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(85,301)</w:t>
            </w:r>
          </w:p>
        </w:tc>
        <w:tc>
          <w:tcPr>
            <w:tcW w:w="0" w:type="auto"/>
            <w:vAlign w:val="center"/>
            <w:hideMark/>
          </w:tcPr>
          <w:p w14:paraId="5B2BCCB8"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(15,297)</w:t>
            </w:r>
          </w:p>
        </w:tc>
      </w:tr>
      <w:tr w:rsidR="00720ADD" w:rsidRPr="00720ADD" w14:paraId="0ACF95AA" w14:textId="77777777" w:rsidTr="00720ADD">
        <w:trPr>
          <w:trHeight w:val="42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2DEFA1" w14:textId="77777777" w:rsidR="00720ADD" w:rsidRPr="00720ADD" w:rsidRDefault="00720ADD" w:rsidP="00720ADD">
            <w:pPr>
              <w:jc w:val="left"/>
              <w:rPr>
                <w:rFonts w:eastAsia="Times New Roman"/>
                <w:lang w:val="en-US"/>
              </w:rPr>
            </w:pPr>
            <w:r w:rsidRPr="00720ADD">
              <w:rPr>
                <w:rFonts w:eastAsia="Times New Roman"/>
                <w:lang w:val="en-US"/>
              </w:rPr>
              <w:t>Net Income / (Loss)</w:t>
            </w:r>
          </w:p>
        </w:tc>
        <w:tc>
          <w:tcPr>
            <w:tcW w:w="0" w:type="auto"/>
            <w:vAlign w:val="center"/>
            <w:hideMark/>
          </w:tcPr>
          <w:p w14:paraId="354EA637"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5,301</w:t>
            </w:r>
          </w:p>
        </w:tc>
        <w:tc>
          <w:tcPr>
            <w:tcW w:w="0" w:type="auto"/>
            <w:vAlign w:val="center"/>
            <w:hideMark/>
          </w:tcPr>
          <w:p w14:paraId="254B64B3"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407</w:t>
            </w:r>
          </w:p>
        </w:tc>
        <w:tc>
          <w:tcPr>
            <w:tcW w:w="0" w:type="auto"/>
            <w:vAlign w:val="center"/>
            <w:hideMark/>
          </w:tcPr>
          <w:p w14:paraId="5862DCE6"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(98,238)</w:t>
            </w:r>
          </w:p>
        </w:tc>
        <w:tc>
          <w:tcPr>
            <w:tcW w:w="0" w:type="auto"/>
            <w:vAlign w:val="center"/>
            <w:hideMark/>
          </w:tcPr>
          <w:p w14:paraId="63C15465"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(24,029)</w:t>
            </w:r>
          </w:p>
        </w:tc>
      </w:tr>
      <w:tr w:rsidR="00720ADD" w:rsidRPr="00720ADD" w14:paraId="0E08C116" w14:textId="77777777" w:rsidTr="00720ADD">
        <w:trPr>
          <w:trHeight w:val="42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AD4E9B" w14:textId="77777777" w:rsidR="00720ADD" w:rsidRPr="00720ADD" w:rsidRDefault="00720ADD" w:rsidP="00720ADD">
            <w:pPr>
              <w:jc w:val="left"/>
              <w:rPr>
                <w:rFonts w:eastAsia="Times New Roman"/>
                <w:lang w:val="en-US"/>
              </w:rPr>
            </w:pPr>
            <w:r w:rsidRPr="00720ADD">
              <w:rPr>
                <w:rFonts w:eastAsia="Times New Roman"/>
                <w:lang w:val="en-US"/>
              </w:rPr>
              <w:t>Total Liabilities</w:t>
            </w:r>
          </w:p>
        </w:tc>
        <w:tc>
          <w:tcPr>
            <w:tcW w:w="0" w:type="auto"/>
            <w:vAlign w:val="center"/>
            <w:hideMark/>
          </w:tcPr>
          <w:p w14:paraId="0BAD84D3"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234,399</w:t>
            </w:r>
          </w:p>
        </w:tc>
        <w:tc>
          <w:tcPr>
            <w:tcW w:w="0" w:type="auto"/>
            <w:vAlign w:val="center"/>
            <w:hideMark/>
          </w:tcPr>
          <w:p w14:paraId="1ACD5770"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232,034</w:t>
            </w:r>
          </w:p>
        </w:tc>
        <w:tc>
          <w:tcPr>
            <w:tcW w:w="0" w:type="auto"/>
            <w:vAlign w:val="center"/>
            <w:hideMark/>
          </w:tcPr>
          <w:p w14:paraId="52A033C9"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196,678</w:t>
            </w:r>
          </w:p>
        </w:tc>
        <w:tc>
          <w:tcPr>
            <w:tcW w:w="0" w:type="auto"/>
            <w:vAlign w:val="center"/>
            <w:hideMark/>
          </w:tcPr>
          <w:p w14:paraId="66EF8686"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170,249</w:t>
            </w:r>
          </w:p>
        </w:tc>
      </w:tr>
      <w:tr w:rsidR="00720ADD" w:rsidRPr="00720ADD" w14:paraId="5E92F5F4" w14:textId="77777777" w:rsidTr="00720ADD">
        <w:trPr>
          <w:trHeight w:val="42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42CE2" w14:textId="77777777" w:rsidR="00720ADD" w:rsidRPr="00720ADD" w:rsidRDefault="00720ADD" w:rsidP="00720ADD">
            <w:pPr>
              <w:jc w:val="left"/>
              <w:rPr>
                <w:rFonts w:eastAsia="Times New Roman"/>
                <w:lang w:val="en-US"/>
              </w:rPr>
            </w:pPr>
            <w:r w:rsidRPr="00720ADD">
              <w:rPr>
                <w:rFonts w:eastAsia="Times New Roman"/>
                <w:lang w:val="en-US"/>
              </w:rPr>
              <w:t>Current Assets</w:t>
            </w:r>
          </w:p>
        </w:tc>
        <w:tc>
          <w:tcPr>
            <w:tcW w:w="0" w:type="auto"/>
            <w:vAlign w:val="center"/>
            <w:hideMark/>
          </w:tcPr>
          <w:p w14:paraId="4C9A7CF1"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283,483</w:t>
            </w:r>
          </w:p>
        </w:tc>
        <w:tc>
          <w:tcPr>
            <w:tcW w:w="0" w:type="auto"/>
            <w:vAlign w:val="center"/>
            <w:hideMark/>
          </w:tcPr>
          <w:p w14:paraId="5DB81526"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272,621</w:t>
            </w:r>
          </w:p>
        </w:tc>
        <w:tc>
          <w:tcPr>
            <w:tcW w:w="0" w:type="auto"/>
            <w:vAlign w:val="center"/>
            <w:hideMark/>
          </w:tcPr>
          <w:p w14:paraId="7A1031CF"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247,021</w:t>
            </w:r>
          </w:p>
        </w:tc>
        <w:tc>
          <w:tcPr>
            <w:tcW w:w="0" w:type="auto"/>
            <w:vAlign w:val="center"/>
            <w:hideMark/>
          </w:tcPr>
          <w:p w14:paraId="5A53DEB0"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242,494</w:t>
            </w:r>
          </w:p>
        </w:tc>
      </w:tr>
      <w:tr w:rsidR="00720ADD" w:rsidRPr="00720ADD" w14:paraId="645DD766" w14:textId="77777777" w:rsidTr="00720ADD">
        <w:trPr>
          <w:trHeight w:val="42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F280AF" w14:textId="77777777" w:rsidR="00720ADD" w:rsidRPr="00720ADD" w:rsidRDefault="00720ADD" w:rsidP="00720ADD">
            <w:pPr>
              <w:jc w:val="left"/>
              <w:rPr>
                <w:rFonts w:eastAsia="Times New Roman"/>
                <w:lang w:val="en-US"/>
              </w:rPr>
            </w:pPr>
            <w:r w:rsidRPr="00720ADD">
              <w:rPr>
                <w:rFonts w:eastAsia="Times New Roman"/>
                <w:lang w:val="en-US"/>
              </w:rPr>
              <w:t>Cash &amp; Cash Equivalents</w:t>
            </w:r>
          </w:p>
        </w:tc>
        <w:tc>
          <w:tcPr>
            <w:tcW w:w="0" w:type="auto"/>
            <w:vAlign w:val="center"/>
            <w:hideMark/>
          </w:tcPr>
          <w:p w14:paraId="603F9AC1"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60,813</w:t>
            </w:r>
          </w:p>
        </w:tc>
        <w:tc>
          <w:tcPr>
            <w:tcW w:w="0" w:type="auto"/>
            <w:vAlign w:val="center"/>
            <w:hideMark/>
          </w:tcPr>
          <w:p w14:paraId="0320CE82"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34,383</w:t>
            </w:r>
          </w:p>
        </w:tc>
        <w:tc>
          <w:tcPr>
            <w:tcW w:w="0" w:type="auto"/>
            <w:vAlign w:val="center"/>
            <w:hideMark/>
          </w:tcPr>
          <w:p w14:paraId="1C9F1663"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42,789</w:t>
            </w:r>
          </w:p>
        </w:tc>
        <w:tc>
          <w:tcPr>
            <w:tcW w:w="0" w:type="auto"/>
            <w:vAlign w:val="center"/>
            <w:hideMark/>
          </w:tcPr>
          <w:p w14:paraId="1E2AA08C"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26,783</w:t>
            </w:r>
          </w:p>
        </w:tc>
      </w:tr>
      <w:tr w:rsidR="00720ADD" w:rsidRPr="00720ADD" w14:paraId="1EB781D1" w14:textId="77777777" w:rsidTr="00720ADD">
        <w:trPr>
          <w:trHeight w:val="42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1D5B43" w14:textId="77777777" w:rsidR="00720ADD" w:rsidRPr="00720ADD" w:rsidRDefault="00720ADD" w:rsidP="00720ADD">
            <w:pPr>
              <w:jc w:val="left"/>
              <w:rPr>
                <w:rFonts w:eastAsia="Times New Roman"/>
                <w:lang w:val="en-US"/>
              </w:rPr>
            </w:pPr>
            <w:r w:rsidRPr="00720ADD">
              <w:rPr>
                <w:rFonts w:eastAsia="Times New Roman"/>
                <w:lang w:val="en-US"/>
              </w:rPr>
              <w:t>Operating Cash Flow</w:t>
            </w:r>
          </w:p>
        </w:tc>
        <w:tc>
          <w:tcPr>
            <w:tcW w:w="0" w:type="auto"/>
            <w:vAlign w:val="center"/>
            <w:hideMark/>
          </w:tcPr>
          <w:p w14:paraId="2443192B"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40,283</w:t>
            </w:r>
          </w:p>
        </w:tc>
        <w:tc>
          <w:tcPr>
            <w:tcW w:w="0" w:type="auto"/>
            <w:vAlign w:val="center"/>
            <w:hideMark/>
          </w:tcPr>
          <w:p w14:paraId="3D295BF7"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10,926</w:t>
            </w:r>
          </w:p>
        </w:tc>
        <w:tc>
          <w:tcPr>
            <w:tcW w:w="0" w:type="auto"/>
            <w:vAlign w:val="center"/>
            <w:hideMark/>
          </w:tcPr>
          <w:p w14:paraId="76B9E84C"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25,190</w:t>
            </w:r>
          </w:p>
        </w:tc>
        <w:tc>
          <w:tcPr>
            <w:tcW w:w="0" w:type="auto"/>
            <w:vAlign w:val="center"/>
            <w:hideMark/>
          </w:tcPr>
          <w:p w14:paraId="55119615" w14:textId="77777777" w:rsidR="00720ADD" w:rsidRPr="00720ADD" w:rsidRDefault="00720ADD" w:rsidP="00720ADD">
            <w:pPr>
              <w:jc w:val="cente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720ADD">
              <w:rPr>
                <w:rFonts w:eastAsia="Times New Roman"/>
                <w:lang w:val="en-US"/>
              </w:rPr>
              <w:t>14,822</w:t>
            </w:r>
          </w:p>
        </w:tc>
      </w:tr>
      <w:bookmarkEnd w:id="27"/>
    </w:tbl>
    <w:p w14:paraId="00FBEEC5" w14:textId="77777777" w:rsidR="00720ADD" w:rsidRDefault="00720ADD" w:rsidP="00401F23"/>
    <w:p w14:paraId="5C03A5C0" w14:textId="77777777" w:rsidR="00BD57AC" w:rsidRPr="0046405A" w:rsidRDefault="00BD57AC" w:rsidP="0046405A">
      <w:pPr>
        <w:spacing w:before="240" w:after="240"/>
        <w:rPr>
          <w:b/>
          <w:bCs/>
        </w:rPr>
      </w:pPr>
      <w:r w:rsidRPr="0046405A">
        <w:rPr>
          <w:b/>
          <w:bCs/>
        </w:rPr>
        <w:t>Net Sales:</w:t>
      </w:r>
    </w:p>
    <w:p w14:paraId="35D231E3" w14:textId="447781FB" w:rsidR="0060631D" w:rsidRDefault="00B76658" w:rsidP="000B3DD4">
      <w:pPr>
        <w:spacing w:before="240" w:after="240"/>
      </w:pPr>
      <w:r w:rsidRPr="00B76658">
        <w:t xml:space="preserve">Based on the financial statements of the business, net sales appear to have decreased continuously between the years 2021 and 2022 </w:t>
      </w:r>
      <w:r w:rsidR="006B22D1">
        <w:t>compared</w:t>
      </w:r>
      <w:r w:rsidRPr="00B76658">
        <w:t xml:space="preserve"> with the sales of 2021</w:t>
      </w:r>
      <w:r w:rsidR="006B22D1">
        <w:t>,</w:t>
      </w:r>
      <w:r w:rsidRPr="00B76658">
        <w:t xml:space="preserve"> which </w:t>
      </w:r>
      <w:r w:rsidR="006B22D1">
        <w:t>were</w:t>
      </w:r>
      <w:r w:rsidRPr="00B76658">
        <w:t xml:space="preserve"> at £601,602m and the 2022 at 542,751m. It was then precipitated with a much bigger decline to £420,457m in 2023, then to decrease to even less in 2024. </w:t>
      </w:r>
    </w:p>
    <w:p w14:paraId="5BD09B31" w14:textId="77777777" w:rsidR="00712EF3" w:rsidRDefault="00DE5DF4" w:rsidP="00DE5DF4">
      <w:pPr>
        <w:jc w:val="center"/>
      </w:pPr>
      <w:r>
        <w:t xml:space="preserve">Figure </w:t>
      </w:r>
      <w:r w:rsidR="00E4354C">
        <w:fldChar w:fldCharType="begin"/>
      </w:r>
      <w:r w:rsidR="00E4354C">
        <w:instrText xml:space="preserve"> SEQ Figure \* ARABIC </w:instrText>
      </w:r>
      <w:r w:rsidR="00E4354C">
        <w:fldChar w:fldCharType="separate"/>
      </w:r>
      <w:r w:rsidR="00A37FF8">
        <w:rPr>
          <w:noProof/>
        </w:rPr>
        <w:t>1</w:t>
      </w:r>
      <w:r w:rsidR="00E4354C">
        <w:rPr>
          <w:noProof/>
        </w:rPr>
        <w:fldChar w:fldCharType="end"/>
      </w:r>
      <w:r>
        <w:t>: Trend of Net Sales</w:t>
      </w:r>
    </w:p>
    <w:p w14:paraId="6CDE9CCF" w14:textId="77777777" w:rsidR="00DE5DF4" w:rsidRDefault="007E29C9" w:rsidP="00401F23">
      <w:r>
        <w:rPr>
          <w:noProof/>
        </w:rPr>
        <w:lastRenderedPageBreak/>
        <w:drawing>
          <wp:anchor distT="0" distB="0" distL="114300" distR="114300" simplePos="0" relativeHeight="251658240" behindDoc="0" locked="0" layoutInCell="1" allowOverlap="1" wp14:anchorId="1482FA03" wp14:editId="1F05C62A">
            <wp:simplePos x="0" y="0"/>
            <wp:positionH relativeFrom="column">
              <wp:posOffset>941872</wp:posOffset>
            </wp:positionH>
            <wp:positionV relativeFrom="paragraph">
              <wp:posOffset>73999</wp:posOffset>
            </wp:positionV>
            <wp:extent cx="4076700" cy="2474595"/>
            <wp:effectExtent l="0" t="0" r="12700" b="14605"/>
            <wp:wrapSquare wrapText="bothSides"/>
            <wp:docPr id="307183510" name="Chart 1">
              <a:extLst xmlns:a="http://schemas.openxmlformats.org/drawingml/2006/main">
                <a:ext uri="{FF2B5EF4-FFF2-40B4-BE49-F238E27FC236}">
                  <a16:creationId xmlns:a16="http://schemas.microsoft.com/office/drawing/2014/main" id="{A8DB2CCC-2B16-E6D3-C216-3723D81A97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3332B4A0" w14:textId="77777777" w:rsidR="00DE5DF4" w:rsidRDefault="00DE5DF4" w:rsidP="00401F23"/>
    <w:p w14:paraId="3B4828AE" w14:textId="77777777" w:rsidR="00DE5DF4" w:rsidRDefault="00DE5DF4" w:rsidP="00401F23"/>
    <w:p w14:paraId="5A4D6AC9" w14:textId="77777777" w:rsidR="00DE5DF4" w:rsidRDefault="00DE5DF4" w:rsidP="00401F23"/>
    <w:p w14:paraId="6706771C" w14:textId="77777777" w:rsidR="00DE5DF4" w:rsidRDefault="00DE5DF4" w:rsidP="00401F23"/>
    <w:p w14:paraId="7E14620E" w14:textId="77777777" w:rsidR="00DE5DF4" w:rsidRDefault="00DE5DF4" w:rsidP="00401F23"/>
    <w:p w14:paraId="6F02C113" w14:textId="77777777" w:rsidR="00DE5DF4" w:rsidRDefault="00DE5DF4" w:rsidP="00401F23"/>
    <w:p w14:paraId="57B5D7D5" w14:textId="77777777" w:rsidR="00DE5DF4" w:rsidRDefault="00DE5DF4" w:rsidP="00401F23"/>
    <w:p w14:paraId="7625EFCD" w14:textId="77777777" w:rsidR="00DE5DF4" w:rsidRDefault="00DE5DF4" w:rsidP="00401F23"/>
    <w:p w14:paraId="286D7B1E" w14:textId="77777777" w:rsidR="00DE5DF4" w:rsidRDefault="00DE5DF4" w:rsidP="00401F23"/>
    <w:p w14:paraId="0B18FA41" w14:textId="77777777" w:rsidR="007E29C9" w:rsidRDefault="007E29C9" w:rsidP="00401F23"/>
    <w:p w14:paraId="5845469C" w14:textId="77777777" w:rsidR="00BD57AC" w:rsidRPr="001C4018" w:rsidRDefault="00BD57AC" w:rsidP="00B76658">
      <w:pPr>
        <w:spacing w:before="240" w:after="240"/>
        <w:rPr>
          <w:b/>
          <w:bCs/>
        </w:rPr>
      </w:pPr>
      <w:r w:rsidRPr="001C4018">
        <w:rPr>
          <w:b/>
          <w:bCs/>
        </w:rPr>
        <w:t>Gross Profit:</w:t>
      </w:r>
    </w:p>
    <w:p w14:paraId="74B2B4F2" w14:textId="579C2F1A" w:rsidR="001E5952" w:rsidRPr="00BD57AC" w:rsidRDefault="001C4018" w:rsidP="00B76658">
      <w:pPr>
        <w:spacing w:before="240" w:after="240"/>
      </w:pPr>
      <w:r w:rsidRPr="001C4018">
        <w:t>Gross profit also saw a drop together with the decrease in sales, as in 2021 it was at £173,016 million</w:t>
      </w:r>
      <w:r w:rsidR="006B22D1">
        <w:t>,</w:t>
      </w:r>
      <w:r w:rsidRPr="001C4018">
        <w:t xml:space="preserve"> then in 2022 it was at the lowest of 152</w:t>
      </w:r>
      <w:r w:rsidR="006B22D1">
        <w:t xml:space="preserve"> £</w:t>
      </w:r>
      <w:r w:rsidRPr="001C4018">
        <w:t xml:space="preserve"> 292 million, and such a decrease broadly reflects the decline in total sales in 2021. This trend has gone further to 2023</w:t>
      </w:r>
      <w:r w:rsidR="006B22D1">
        <w:t>,</w:t>
      </w:r>
      <w:r w:rsidRPr="001C4018">
        <w:t xml:space="preserve"> where it is observed that the gross profit has significantly decreased and now stands at 97560 million. It was because of a considerable drop of 36 </w:t>
      </w:r>
      <w:r w:rsidR="006B22D1">
        <w:t>per cent</w:t>
      </w:r>
      <w:r w:rsidRPr="001C4018">
        <w:t xml:space="preserve"> compared to 2022. It recorded </w:t>
      </w:r>
      <w:r w:rsidR="006B22D1">
        <w:t xml:space="preserve">a </w:t>
      </w:r>
      <w:r w:rsidRPr="001C4018">
        <w:t>significant recovery and grew 17</w:t>
      </w:r>
      <w:r w:rsidR="000B3DD4">
        <w:t xml:space="preserve">% </w:t>
      </w:r>
      <w:r w:rsidRPr="001C4018">
        <w:t xml:space="preserve">to hit the figure of 113,994 million. </w:t>
      </w:r>
    </w:p>
    <w:bookmarkEnd w:id="8"/>
    <w:bookmarkEnd w:id="9"/>
    <w:p w14:paraId="06D4A5CC" w14:textId="77777777" w:rsidR="00D2043F" w:rsidRDefault="00D2043F" w:rsidP="00401F23"/>
    <w:p w14:paraId="26E93C95" w14:textId="77777777" w:rsidR="003B3B5A" w:rsidRDefault="003B3B5A" w:rsidP="00401F23"/>
    <w:p w14:paraId="5CC5DFD1" w14:textId="77777777" w:rsidR="003B3B5A" w:rsidRDefault="003B3B5A" w:rsidP="00401F23"/>
    <w:p w14:paraId="2E283DE7" w14:textId="77777777" w:rsidR="00D2043F" w:rsidRDefault="00D2043F" w:rsidP="00401F23"/>
    <w:p w14:paraId="58DB8CC0" w14:textId="77777777" w:rsidR="00B10E9D" w:rsidRDefault="00B10E9D" w:rsidP="00401F23"/>
    <w:p w14:paraId="79B386AD" w14:textId="77777777" w:rsidR="00B10E9D" w:rsidRDefault="00B10E9D" w:rsidP="00401F23"/>
    <w:p w14:paraId="77428E62" w14:textId="77777777" w:rsidR="00D2043F" w:rsidRDefault="00D2043F" w:rsidP="00401F23"/>
    <w:p w14:paraId="4F5D4966" w14:textId="77777777" w:rsidR="00087739" w:rsidRDefault="00087739" w:rsidP="00401F23"/>
    <w:p w14:paraId="48D5BB60" w14:textId="77777777" w:rsidR="00D2043F" w:rsidRDefault="003B3B5A" w:rsidP="00401F23">
      <w:r>
        <w:rPr>
          <w:noProof/>
        </w:rPr>
        <w:lastRenderedPageBreak/>
        <mc:AlternateContent>
          <mc:Choice Requires="wps">
            <w:drawing>
              <wp:anchor distT="0" distB="0" distL="114300" distR="114300" simplePos="0" relativeHeight="251657215" behindDoc="0" locked="0" layoutInCell="1" allowOverlap="1" wp14:anchorId="35602B13" wp14:editId="4561418F">
                <wp:simplePos x="0" y="0"/>
                <wp:positionH relativeFrom="column">
                  <wp:posOffset>755993</wp:posOffset>
                </wp:positionH>
                <wp:positionV relativeFrom="paragraph">
                  <wp:posOffset>549</wp:posOffset>
                </wp:positionV>
                <wp:extent cx="4572000" cy="635"/>
                <wp:effectExtent l="0" t="0" r="0" b="12065"/>
                <wp:wrapSquare wrapText="bothSides"/>
                <wp:docPr id="1999964354"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618A1A7" w14:textId="77777777" w:rsidR="003B3B5A" w:rsidRPr="00810196" w:rsidRDefault="003B3B5A" w:rsidP="003B3B5A">
                            <w:pPr>
                              <w:jc w:val="center"/>
                              <w:rPr>
                                <w:noProof/>
                              </w:rPr>
                            </w:pPr>
                            <w:r>
                              <w:t xml:space="preserve">Figure </w:t>
                            </w:r>
                            <w:r w:rsidR="00E4354C">
                              <w:fldChar w:fldCharType="begin"/>
                            </w:r>
                            <w:r w:rsidR="00E4354C">
                              <w:instrText xml:space="preserve"> SEQ Figure \* ARABIC </w:instrText>
                            </w:r>
                            <w:r w:rsidR="00E4354C">
                              <w:fldChar w:fldCharType="separate"/>
                            </w:r>
                            <w:r>
                              <w:rPr>
                                <w:noProof/>
                              </w:rPr>
                              <w:t>2</w:t>
                            </w:r>
                            <w:r w:rsidR="00E4354C">
                              <w:rPr>
                                <w:noProof/>
                              </w:rPr>
                              <w:fldChar w:fldCharType="end"/>
                            </w:r>
                            <w:r>
                              <w:t>: Gross Profit Trend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5602B13" id="_x0000_t202" coordsize="21600,21600" o:spt="202" path="m,l,21600r21600,l21600,xe">
                <v:stroke joinstyle="miter"/>
                <v:path gradientshapeok="t" o:connecttype="rect"/>
              </v:shapetype>
              <v:shape id="Text Box 1" o:spid="_x0000_s1026" type="#_x0000_t202" style="position:absolute;left:0;text-align:left;margin-left:59.55pt;margin-top:.05pt;width:5in;height:.05pt;z-index:2516572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" stroked="f">
                <v:textbox style="mso-fit-shape-to-text:t" inset="0,0,0,0">
                  <w:txbxContent>
                    <w:p w14:paraId="0618A1A7" w14:textId="77777777" w:rsidR="003B3B5A" w:rsidRPr="00810196" w:rsidRDefault="003B3B5A" w:rsidP="003B3B5A">
                      <w:pPr>
                        <w:jc w:val="center"/>
                        <w:rPr>
                          <w:noProof/>
                        </w:rPr>
                      </w:pPr>
                      <w:r>
                        <w:t xml:space="preserve">Figure </w:t>
                      </w:r>
                      <w:r w:rsidR="00E4354C">
                        <w:fldChar w:fldCharType="begin"/>
                      </w:r>
                      <w:r w:rsidR="00E4354C">
                        <w:instrText xml:space="preserve"> SEQ Figure \* ARABIC </w:instrText>
                      </w:r>
                      <w:r w:rsidR="00E4354C">
                        <w:fldChar w:fldCharType="separate"/>
                      </w:r>
                      <w:r>
                        <w:rPr>
                          <w:noProof/>
                        </w:rPr>
                        <w:t>2</w:t>
                      </w:r>
                      <w:r w:rsidR="00E4354C">
                        <w:rPr>
                          <w:noProof/>
                        </w:rPr>
                        <w:fldChar w:fldCharType="end"/>
                      </w:r>
                      <w:r>
                        <w:t>: Gross Profit Trend</w:t>
                      </w:r>
                    </w:p>
                  </w:txbxContent>
                </v:textbox>
                <w10:wrap type="square"/>
              </v:shape>
            </w:pict>
          </mc:Fallback>
        </mc:AlternateContent>
      </w:r>
      <w:r>
        <w:rPr>
          <w:noProof/>
        </w:rPr>
        <w:drawing>
          <wp:anchor distT="0" distB="0" distL="114300" distR="114300" simplePos="0" relativeHeight="251699200" behindDoc="0" locked="0" layoutInCell="1" allowOverlap="1" wp14:anchorId="3F1CD3A1" wp14:editId="4FEFA8AB">
            <wp:simplePos x="0" y="0"/>
            <wp:positionH relativeFrom="column">
              <wp:posOffset>1243330</wp:posOffset>
            </wp:positionH>
            <wp:positionV relativeFrom="paragraph">
              <wp:posOffset>247984</wp:posOffset>
            </wp:positionV>
            <wp:extent cx="3746500" cy="2082800"/>
            <wp:effectExtent l="0" t="0" r="12700" b="12700"/>
            <wp:wrapSquare wrapText="bothSides"/>
            <wp:docPr id="278903511" name="Chart 1">
              <a:extLst xmlns:a="http://schemas.openxmlformats.org/drawingml/2006/main">
                <a:ext uri="{FF2B5EF4-FFF2-40B4-BE49-F238E27FC236}">
                  <a16:creationId xmlns:a16="http://schemas.microsoft.com/office/drawing/2014/main" id="{478CF215-9CED-491B-8F69-E9D95ED73E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4A822C3D" w14:textId="77777777" w:rsidR="00D2043F" w:rsidRDefault="00D2043F" w:rsidP="00401F23"/>
    <w:p w14:paraId="7EE7FC3E" w14:textId="77777777" w:rsidR="00D2043F" w:rsidRDefault="00D2043F" w:rsidP="00401F23"/>
    <w:p w14:paraId="24C4DFCB" w14:textId="77777777" w:rsidR="003B3B5A" w:rsidRDefault="003B3B5A" w:rsidP="00401F23"/>
    <w:p w14:paraId="2FCA3F98" w14:textId="77777777" w:rsidR="003B3B5A" w:rsidRDefault="003B3B5A" w:rsidP="00401F23"/>
    <w:p w14:paraId="7CF683AE" w14:textId="77777777" w:rsidR="003B3B5A" w:rsidRDefault="003B3B5A" w:rsidP="00401F23"/>
    <w:p w14:paraId="1826A5C5" w14:textId="77777777" w:rsidR="003B3B5A" w:rsidRDefault="003B3B5A" w:rsidP="00401F23"/>
    <w:p w14:paraId="1DB23E46" w14:textId="77777777" w:rsidR="003B3B5A" w:rsidRDefault="003B3B5A" w:rsidP="00401F23"/>
    <w:p w14:paraId="5A0BD6C0" w14:textId="77777777" w:rsidR="00E23F5E" w:rsidRDefault="00E23F5E" w:rsidP="00401F23"/>
    <w:p w14:paraId="133A5CFE" w14:textId="77777777" w:rsidR="003B3B5A" w:rsidRDefault="003B3B5A" w:rsidP="00401F23"/>
    <w:p w14:paraId="410E3C90" w14:textId="77777777" w:rsidR="00BD57AC" w:rsidRPr="001C4018" w:rsidRDefault="00BD57AC" w:rsidP="001C4018">
      <w:pPr>
        <w:spacing w:before="240" w:after="240"/>
        <w:rPr>
          <w:b/>
          <w:bCs/>
        </w:rPr>
      </w:pPr>
      <w:r w:rsidRPr="001C4018">
        <w:rPr>
          <w:b/>
          <w:bCs/>
        </w:rPr>
        <w:t>Operating Income:</w:t>
      </w:r>
    </w:p>
    <w:p w14:paraId="6C8185ED" w14:textId="4DA9D64C" w:rsidR="00E23F5E" w:rsidRDefault="001C4018" w:rsidP="00377D91">
      <w:pPr>
        <w:spacing w:before="240" w:after="240"/>
      </w:pPr>
      <w:r w:rsidRPr="001C4018">
        <w:t xml:space="preserve">Based on Figure 3, it is apparent that the operating income of the company had reduced drastically between the year 2021 and 2022. Table 2 indicates that it went down by approximately 37% Chinese. This has had a great impact on the core profitability of the company. </w:t>
      </w:r>
      <w:r w:rsidR="000B3DD4">
        <w:t>T</w:t>
      </w:r>
      <w:r w:rsidRPr="001C4018">
        <w:t>he company will also recover in the year 2024</w:t>
      </w:r>
      <w:r w:rsidR="006B22D1">
        <w:t>,</w:t>
      </w:r>
      <w:r w:rsidRPr="001C4018">
        <w:t xml:space="preserve"> where its operating income will once again show a solid recovery of 82% which not just represented a significant illegal growth in the operating performance of the company</w:t>
      </w:r>
      <w:r w:rsidR="000B3DD4">
        <w:t>.</w:t>
      </w:r>
    </w:p>
    <w:p w14:paraId="3FFBBD06" w14:textId="77777777" w:rsidR="00367D0D" w:rsidRDefault="00367D0D" w:rsidP="00367D0D">
      <w:pPr>
        <w:jc w:val="center"/>
      </w:pPr>
      <w:r>
        <w:t xml:space="preserve">Table </w:t>
      </w:r>
      <w:r w:rsidR="00E4354C">
        <w:fldChar w:fldCharType="begin"/>
      </w:r>
      <w:r w:rsidR="00E4354C">
        <w:instrText xml:space="preserve"> SEQ Table \* ARABIC </w:instrText>
      </w:r>
      <w:r w:rsidR="00E4354C">
        <w:fldChar w:fldCharType="separate"/>
      </w:r>
      <w:r w:rsidR="00B14E4A">
        <w:rPr>
          <w:noProof/>
        </w:rPr>
        <w:t>2</w:t>
      </w:r>
      <w:r w:rsidR="00E4354C">
        <w:rPr>
          <w:noProof/>
        </w:rPr>
        <w:fldChar w:fldCharType="end"/>
      </w:r>
      <w:r>
        <w:t>: Change in Annual Operating Income</w:t>
      </w:r>
    </w:p>
    <w:tbl>
      <w:tblPr>
        <w:tblStyle w:val="GridTable1Light"/>
        <w:tblW w:w="6434" w:type="dxa"/>
        <w:tblInd w:w="143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116"/>
        <w:gridCol w:w="1106"/>
        <w:gridCol w:w="1106"/>
        <w:gridCol w:w="1106"/>
      </w:tblGrid>
      <w:tr w:rsidR="00367D0D" w:rsidRPr="00367D0D" w14:paraId="76AF22F8" w14:textId="77777777" w:rsidTr="00367D0D">
        <w:trPr>
          <w:cnfStyle w:val="100000000000" w:firstRow="1" w:lastRow="0" w:firstColumn="0" w:lastColumn="0" w:oddVBand="0" w:evenVBand="0" w:oddHBand="0"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3116" w:type="dxa"/>
            <w:noWrap/>
            <w:hideMark/>
          </w:tcPr>
          <w:p w14:paraId="378F669F" w14:textId="77777777" w:rsidR="00367D0D" w:rsidRPr="00367D0D" w:rsidRDefault="00367D0D" w:rsidP="00367D0D">
            <w:pPr>
              <w:jc w:val="left"/>
              <w:rPr>
                <w:rFonts w:ascii="Times New Roman" w:eastAsia="Times New Roman" w:hAnsi="Times New Roman" w:cs="Times New Roman"/>
                <w:lang w:val="en-US"/>
              </w:rPr>
            </w:pPr>
          </w:p>
        </w:tc>
        <w:tc>
          <w:tcPr>
            <w:tcW w:w="1106" w:type="dxa"/>
            <w:noWrap/>
            <w:hideMark/>
          </w:tcPr>
          <w:p w14:paraId="1360BAA1" w14:textId="77777777" w:rsidR="00367D0D" w:rsidRPr="00367D0D" w:rsidRDefault="00367D0D" w:rsidP="00367D0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367D0D">
              <w:rPr>
                <w:rFonts w:ascii="Calibri" w:eastAsia="Times New Roman" w:hAnsi="Calibri" w:cs="Calibri"/>
                <w:color w:val="000000"/>
                <w:lang w:val="en-US"/>
              </w:rPr>
              <w:t>2022</w:t>
            </w:r>
          </w:p>
        </w:tc>
        <w:tc>
          <w:tcPr>
            <w:tcW w:w="1106" w:type="dxa"/>
            <w:noWrap/>
            <w:hideMark/>
          </w:tcPr>
          <w:p w14:paraId="00E4764D" w14:textId="77777777" w:rsidR="00367D0D" w:rsidRPr="00367D0D" w:rsidRDefault="00367D0D" w:rsidP="00367D0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367D0D">
              <w:rPr>
                <w:rFonts w:ascii="Calibri" w:eastAsia="Times New Roman" w:hAnsi="Calibri" w:cs="Calibri"/>
                <w:color w:val="000000"/>
                <w:lang w:val="en-US"/>
              </w:rPr>
              <w:t>2023</w:t>
            </w:r>
          </w:p>
        </w:tc>
        <w:tc>
          <w:tcPr>
            <w:tcW w:w="1106" w:type="dxa"/>
            <w:noWrap/>
            <w:hideMark/>
          </w:tcPr>
          <w:p w14:paraId="579B2A35" w14:textId="77777777" w:rsidR="00367D0D" w:rsidRPr="00367D0D" w:rsidRDefault="00367D0D" w:rsidP="00367D0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367D0D">
              <w:rPr>
                <w:rFonts w:ascii="Calibri" w:eastAsia="Times New Roman" w:hAnsi="Calibri" w:cs="Calibri"/>
                <w:color w:val="000000"/>
                <w:lang w:val="en-US"/>
              </w:rPr>
              <w:t>2024</w:t>
            </w:r>
          </w:p>
        </w:tc>
      </w:tr>
      <w:tr w:rsidR="00367D0D" w:rsidRPr="00367D0D" w14:paraId="576A0CA3" w14:textId="77777777" w:rsidTr="00367D0D">
        <w:trPr>
          <w:trHeight w:val="420"/>
        </w:trPr>
        <w:tc>
          <w:tcPr>
            <w:cnfStyle w:val="001000000000" w:firstRow="0" w:lastRow="0" w:firstColumn="1" w:lastColumn="0" w:oddVBand="0" w:evenVBand="0" w:oddHBand="0" w:evenHBand="0" w:firstRowFirstColumn="0" w:firstRowLastColumn="0" w:lastRowFirstColumn="0" w:lastRowLastColumn="0"/>
            <w:tcW w:w="3116" w:type="dxa"/>
            <w:noWrap/>
            <w:hideMark/>
          </w:tcPr>
          <w:p w14:paraId="37DD8918" w14:textId="77777777" w:rsidR="00367D0D" w:rsidRPr="00367D0D" w:rsidRDefault="00367D0D" w:rsidP="00367D0D">
            <w:pPr>
              <w:jc w:val="left"/>
              <w:rPr>
                <w:rFonts w:ascii="Calibri" w:eastAsia="Times New Roman" w:hAnsi="Calibri" w:cs="Calibri"/>
                <w:b w:val="0"/>
                <w:bCs w:val="0"/>
                <w:color w:val="000000"/>
                <w:lang w:val="en-US"/>
              </w:rPr>
            </w:pPr>
            <w:r w:rsidRPr="00367D0D">
              <w:rPr>
                <w:rFonts w:ascii="Calibri" w:eastAsia="Times New Roman" w:hAnsi="Calibri" w:cs="Calibri"/>
                <w:b w:val="0"/>
                <w:bCs w:val="0"/>
                <w:color w:val="000000"/>
                <w:lang w:val="en-US"/>
              </w:rPr>
              <w:t xml:space="preserve">Operating Income / (Loss) </w:t>
            </w:r>
          </w:p>
        </w:tc>
        <w:tc>
          <w:tcPr>
            <w:tcW w:w="1106" w:type="dxa"/>
            <w:noWrap/>
            <w:hideMark/>
          </w:tcPr>
          <w:p w14:paraId="48E12114" w14:textId="77777777" w:rsidR="00367D0D" w:rsidRPr="00367D0D" w:rsidRDefault="00367D0D" w:rsidP="00367D0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367D0D">
              <w:rPr>
                <w:rFonts w:ascii="Calibri" w:eastAsia="Times New Roman" w:hAnsi="Calibri" w:cs="Calibri"/>
                <w:color w:val="000000"/>
                <w:lang w:val="en-US"/>
              </w:rPr>
              <w:t>-37%</w:t>
            </w:r>
          </w:p>
        </w:tc>
        <w:tc>
          <w:tcPr>
            <w:tcW w:w="1106" w:type="dxa"/>
            <w:noWrap/>
            <w:hideMark/>
          </w:tcPr>
          <w:p w14:paraId="7FBEE16A" w14:textId="77777777" w:rsidR="00367D0D" w:rsidRPr="00367D0D" w:rsidRDefault="00367D0D" w:rsidP="00367D0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367D0D">
              <w:rPr>
                <w:rFonts w:ascii="Calibri" w:eastAsia="Times New Roman" w:hAnsi="Calibri" w:cs="Calibri"/>
                <w:color w:val="000000"/>
                <w:lang w:val="en-US"/>
              </w:rPr>
              <w:t>-686%</w:t>
            </w:r>
          </w:p>
        </w:tc>
        <w:tc>
          <w:tcPr>
            <w:tcW w:w="1106" w:type="dxa"/>
            <w:noWrap/>
            <w:hideMark/>
          </w:tcPr>
          <w:p w14:paraId="58DAA7F3" w14:textId="77777777" w:rsidR="00367D0D" w:rsidRPr="00367D0D" w:rsidRDefault="00367D0D" w:rsidP="00367D0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367D0D">
              <w:rPr>
                <w:rFonts w:ascii="Calibri" w:eastAsia="Times New Roman" w:hAnsi="Calibri" w:cs="Calibri"/>
                <w:color w:val="000000"/>
                <w:lang w:val="en-US"/>
              </w:rPr>
              <w:t>82%</w:t>
            </w:r>
          </w:p>
        </w:tc>
      </w:tr>
    </w:tbl>
    <w:p w14:paraId="1A73B09E" w14:textId="77777777" w:rsidR="00E23F5E" w:rsidRDefault="00E23F5E" w:rsidP="00401F23"/>
    <w:p w14:paraId="634B6A59" w14:textId="77777777" w:rsidR="00D2043F" w:rsidRDefault="007E29C9" w:rsidP="00401F23">
      <w:r>
        <w:rPr>
          <w:noProof/>
        </w:rPr>
        <mc:AlternateContent>
          <mc:Choice Requires="wps">
            <w:drawing>
              <wp:anchor distT="0" distB="0" distL="114300" distR="114300" simplePos="0" relativeHeight="251666432" behindDoc="0" locked="0" layoutInCell="1" allowOverlap="1" wp14:anchorId="38269884" wp14:editId="3BB5C51D">
                <wp:simplePos x="0" y="0"/>
                <wp:positionH relativeFrom="column">
                  <wp:posOffset>1141095</wp:posOffset>
                </wp:positionH>
                <wp:positionV relativeFrom="paragraph">
                  <wp:posOffset>177</wp:posOffset>
                </wp:positionV>
                <wp:extent cx="4049395" cy="635"/>
                <wp:effectExtent l="0" t="0" r="1905" b="12065"/>
                <wp:wrapSquare wrapText="bothSides"/>
                <wp:docPr id="2007884940" name="Text Box 1"/>
                <wp:cNvGraphicFramePr/>
                <a:graphic xmlns:a="http://schemas.openxmlformats.org/drawingml/2006/main">
                  <a:graphicData uri="http://schemas.microsoft.com/office/word/2010/wordprocessingShape">
                    <wps:wsp>
                      <wps:cNvSpPr txBox="1"/>
                      <wps:spPr>
                        <a:xfrm>
                          <a:off x="0" y="0"/>
                          <a:ext cx="4049395" cy="635"/>
                        </a:xfrm>
                        <a:prstGeom prst="rect">
                          <a:avLst/>
                        </a:prstGeom>
                        <a:solidFill>
                          <a:prstClr val="white"/>
                        </a:solidFill>
                        <a:ln>
                          <a:noFill/>
                        </a:ln>
                      </wps:spPr>
                      <wps:txbx>
                        <w:txbxContent>
                          <w:p w14:paraId="29D849A1" w14:textId="77777777" w:rsidR="007E29C9" w:rsidRPr="007E29C9" w:rsidRDefault="007E29C9" w:rsidP="007E29C9">
                            <w:pPr>
                              <w:jc w:val="center"/>
                              <w:rPr>
                                <w:noProof/>
                              </w:rPr>
                            </w:pPr>
                            <w:r w:rsidRPr="007E29C9">
                              <w:t xml:space="preserve">Figure </w:t>
                            </w:r>
                            <w:r w:rsidR="00E4354C">
                              <w:fldChar w:fldCharType="begin"/>
                            </w:r>
                            <w:r w:rsidR="00E4354C">
                              <w:instrText xml:space="preserve"> SEQ Figure \* ARABIC </w:instrText>
                            </w:r>
                            <w:r w:rsidR="00E4354C">
                              <w:fldChar w:fldCharType="separate"/>
                            </w:r>
                            <w:r w:rsidR="00A37FF8">
                              <w:rPr>
                                <w:noProof/>
                              </w:rPr>
                              <w:t>3</w:t>
                            </w:r>
                            <w:r w:rsidR="00E4354C">
                              <w:rPr>
                                <w:noProof/>
                              </w:rPr>
                              <w:fldChar w:fldCharType="end"/>
                            </w:r>
                            <w:r w:rsidRPr="007E29C9">
                              <w:t>: Operating Income Trend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269884" id="_x0000_s1027" type="#_x0000_t202" style="position:absolute;left:0;text-align:left;margin-left:89.85pt;margin-top:0;width:318.8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" stroked="f">
                <v:textbox style="mso-fit-shape-to-text:t" inset="0,0,0,0">
                  <w:txbxContent>
                    <w:p w14:paraId="29D849A1" w14:textId="77777777" w:rsidR="007E29C9" w:rsidRPr="007E29C9" w:rsidRDefault="007E29C9" w:rsidP="007E29C9">
                      <w:pPr>
                        <w:jc w:val="center"/>
                        <w:rPr>
                          <w:noProof/>
                        </w:rPr>
                      </w:pPr>
                      <w:r w:rsidRPr="007E29C9">
                        <w:t xml:space="preserve">Figure </w:t>
                      </w:r>
                      <w:r w:rsidR="00E4354C">
                        <w:fldChar w:fldCharType="begin"/>
                      </w:r>
                      <w:r w:rsidR="00E4354C">
                        <w:instrText xml:space="preserve"> SEQ Figure \* ARABIC </w:instrText>
                      </w:r>
                      <w:r w:rsidR="00E4354C">
                        <w:fldChar w:fldCharType="separate"/>
                      </w:r>
                      <w:r w:rsidR="00A37FF8">
                        <w:rPr>
                          <w:noProof/>
                        </w:rPr>
                        <w:t>3</w:t>
                      </w:r>
                      <w:r w:rsidR="00E4354C">
                        <w:rPr>
                          <w:noProof/>
                        </w:rPr>
                        <w:fldChar w:fldCharType="end"/>
                      </w:r>
                      <w:r w:rsidRPr="007E29C9">
                        <w:t>: Operating Income Trend</w:t>
                      </w:r>
                    </w:p>
                  </w:txbxContent>
                </v:textbox>
                <w10:wrap type="square"/>
              </v:shape>
            </w:pict>
          </mc:Fallback>
        </mc:AlternateContent>
      </w:r>
    </w:p>
    <w:p w14:paraId="5F3BC713" w14:textId="77777777" w:rsidR="007E29C9" w:rsidRDefault="007E29C9" w:rsidP="00401F23">
      <w:r>
        <w:rPr>
          <w:noProof/>
        </w:rPr>
        <w:lastRenderedPageBreak/>
        <w:drawing>
          <wp:anchor distT="0" distB="0" distL="114300" distR="114300" simplePos="0" relativeHeight="251664384" behindDoc="1" locked="0" layoutInCell="1" allowOverlap="1" wp14:anchorId="4757B61D" wp14:editId="0AF24271">
            <wp:simplePos x="0" y="0"/>
            <wp:positionH relativeFrom="column">
              <wp:posOffset>1216493</wp:posOffset>
            </wp:positionH>
            <wp:positionV relativeFrom="paragraph">
              <wp:posOffset>107707</wp:posOffset>
            </wp:positionV>
            <wp:extent cx="4049395" cy="2708275"/>
            <wp:effectExtent l="0" t="0" r="14605" b="9525"/>
            <wp:wrapSquare wrapText="bothSides"/>
            <wp:docPr id="124988218" name="Chart 1">
              <a:extLst xmlns:a="http://schemas.openxmlformats.org/drawingml/2006/main">
                <a:ext uri="{FF2B5EF4-FFF2-40B4-BE49-F238E27FC236}">
                  <a16:creationId xmlns:a16="http://schemas.microsoft.com/office/drawing/2014/main" id="{7C1750EF-6C23-35E0-D059-BD7B5D731C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13510F94" w14:textId="77777777" w:rsidR="00D2043F" w:rsidRDefault="00D2043F" w:rsidP="00401F23"/>
    <w:p w14:paraId="27CF54EB" w14:textId="77777777" w:rsidR="00D2043F" w:rsidRDefault="00D2043F" w:rsidP="00401F23"/>
    <w:p w14:paraId="57F97F08" w14:textId="77777777" w:rsidR="00D2043F" w:rsidRDefault="00D2043F" w:rsidP="00401F23"/>
    <w:p w14:paraId="198B3092" w14:textId="77777777" w:rsidR="00D2043F" w:rsidRDefault="00D2043F" w:rsidP="00401F23"/>
    <w:p w14:paraId="0BD322A4" w14:textId="77777777" w:rsidR="00D2043F" w:rsidRDefault="00D2043F" w:rsidP="00401F23"/>
    <w:p w14:paraId="3DE499A3" w14:textId="77777777" w:rsidR="00D2043F" w:rsidRDefault="00D2043F" w:rsidP="00401F23"/>
    <w:p w14:paraId="05E6D491" w14:textId="77777777" w:rsidR="00D2043F" w:rsidRDefault="00D2043F" w:rsidP="00401F23"/>
    <w:p w14:paraId="037563B2" w14:textId="77777777" w:rsidR="00D2043F" w:rsidRDefault="00D2043F" w:rsidP="00401F23"/>
    <w:p w14:paraId="497E4CCD" w14:textId="77777777" w:rsidR="00D2043F" w:rsidRDefault="00D2043F" w:rsidP="00401F23"/>
    <w:p w14:paraId="0D55239A" w14:textId="77777777" w:rsidR="00D2043F" w:rsidRDefault="00D2043F" w:rsidP="00401F23"/>
    <w:p w14:paraId="1643773B" w14:textId="77777777" w:rsidR="00367D0D" w:rsidRDefault="00367D0D" w:rsidP="00401F23"/>
    <w:p w14:paraId="3541D353" w14:textId="4511BED6" w:rsidR="00BD57AC" w:rsidRPr="001C4018" w:rsidRDefault="00BD57AC" w:rsidP="001C4018">
      <w:pPr>
        <w:spacing w:before="240" w:after="240"/>
        <w:rPr>
          <w:b/>
          <w:bCs/>
        </w:rPr>
      </w:pPr>
      <w:r w:rsidRPr="001C4018">
        <w:rPr>
          <w:b/>
          <w:bCs/>
        </w:rPr>
        <w:t xml:space="preserve">Total Liabilities, Current </w:t>
      </w:r>
      <w:r w:rsidR="00055938" w:rsidRPr="001C4018">
        <w:rPr>
          <w:b/>
          <w:bCs/>
        </w:rPr>
        <w:t>Assets</w:t>
      </w:r>
      <w:r w:rsidRPr="001C4018">
        <w:rPr>
          <w:b/>
          <w:bCs/>
        </w:rPr>
        <w:t>, Cash and Cash Equivalents:</w:t>
      </w:r>
    </w:p>
    <w:p w14:paraId="06A9003F" w14:textId="60032AAE" w:rsidR="00E23F5E" w:rsidRDefault="00600421" w:rsidP="00377D91">
      <w:pPr>
        <w:spacing w:before="240" w:after="240"/>
      </w:pPr>
      <w:r w:rsidRPr="00600421">
        <w:t xml:space="preserve">Table 3 reflects the percentage change in the annual current assets, total liabilities and cash and cash equivalents of the company. </w:t>
      </w:r>
      <w:r w:rsidR="000B3DD4">
        <w:t>A</w:t>
      </w:r>
      <w:r w:rsidRPr="00600421">
        <w:t xml:space="preserve">s in the trend of other financial measures mentioned above, an overall </w:t>
      </w:r>
      <w:r w:rsidR="006B22D1">
        <w:t>downward</w:t>
      </w:r>
      <w:r w:rsidRPr="00600421">
        <w:t xml:space="preserve"> trend was noticeable here. </w:t>
      </w:r>
      <w:r w:rsidR="0006276D">
        <w:t>O</w:t>
      </w:r>
      <w:r w:rsidRPr="00600421">
        <w:t xml:space="preserve">ne can say that the liquidity situation of the company was </w:t>
      </w:r>
      <w:r w:rsidR="00731DFB">
        <w:t>also</w:t>
      </w:r>
      <w:r w:rsidRPr="00600421">
        <w:t xml:space="preserve"> deteriorating over time</w:t>
      </w:r>
      <w:r w:rsidR="00E23F5E">
        <w:t>.</w:t>
      </w:r>
    </w:p>
    <w:p w14:paraId="1C7B3573" w14:textId="532C55CD" w:rsidR="00B05073" w:rsidRDefault="00B05073" w:rsidP="00B05073">
      <w:pPr>
        <w:jc w:val="center"/>
      </w:pPr>
      <w:r>
        <w:t xml:space="preserve">Table </w:t>
      </w:r>
      <w:r w:rsidR="00E4354C">
        <w:fldChar w:fldCharType="begin"/>
      </w:r>
      <w:r w:rsidR="00E4354C">
        <w:instrText xml:space="preserve"> SEQ Table \* ARABIC </w:instrText>
      </w:r>
      <w:r w:rsidR="00E4354C">
        <w:fldChar w:fldCharType="separate"/>
      </w:r>
      <w:r w:rsidR="00B14E4A">
        <w:rPr>
          <w:noProof/>
        </w:rPr>
        <w:t>3</w:t>
      </w:r>
      <w:r w:rsidR="00E4354C">
        <w:rPr>
          <w:noProof/>
        </w:rPr>
        <w:fldChar w:fldCharType="end"/>
      </w:r>
      <w:r>
        <w:t>% Change in CA, CL, and Cash and Cash Equivalents</w:t>
      </w:r>
    </w:p>
    <w:tbl>
      <w:tblPr>
        <w:tblW w:w="6175" w:type="dxa"/>
        <w:tblInd w:w="157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791"/>
        <w:gridCol w:w="1128"/>
        <w:gridCol w:w="1128"/>
        <w:gridCol w:w="1128"/>
      </w:tblGrid>
      <w:tr w:rsidR="00B05073" w:rsidRPr="00B05073" w14:paraId="795A81C5" w14:textId="77777777" w:rsidTr="00AA2B3D">
        <w:trPr>
          <w:trHeight w:val="432"/>
        </w:trPr>
        <w:tc>
          <w:tcPr>
            <w:tcW w:w="2791" w:type="dxa"/>
            <w:noWrap/>
            <w:vAlign w:val="center"/>
            <w:hideMark/>
          </w:tcPr>
          <w:p w14:paraId="3DBE37F9" w14:textId="77777777" w:rsidR="00B05073" w:rsidRPr="00B05073" w:rsidRDefault="00B05073" w:rsidP="00DA40D7">
            <w:pPr>
              <w:spacing w:line="240" w:lineRule="auto"/>
              <w:jc w:val="center"/>
              <w:rPr>
                <w:rFonts w:ascii="Times New Roman" w:eastAsia="Times New Roman" w:hAnsi="Times New Roman" w:cs="Times New Roman"/>
                <w:lang w:val="en-US"/>
              </w:rPr>
            </w:pPr>
          </w:p>
        </w:tc>
        <w:tc>
          <w:tcPr>
            <w:tcW w:w="1128" w:type="dxa"/>
            <w:noWrap/>
            <w:vAlign w:val="center"/>
            <w:hideMark/>
          </w:tcPr>
          <w:p w14:paraId="457611F7" w14:textId="77777777" w:rsidR="00B05073" w:rsidRPr="00B05073" w:rsidRDefault="00B05073" w:rsidP="00DA40D7">
            <w:pPr>
              <w:spacing w:line="240" w:lineRule="auto"/>
              <w:jc w:val="center"/>
              <w:rPr>
                <w:rFonts w:ascii="Calibri" w:eastAsia="Times New Roman" w:hAnsi="Calibri" w:cs="Calibri"/>
                <w:b/>
                <w:bCs/>
                <w:color w:val="000000"/>
                <w:lang w:val="en-US"/>
              </w:rPr>
            </w:pPr>
            <w:r w:rsidRPr="00B05073">
              <w:rPr>
                <w:rFonts w:ascii="Calibri" w:eastAsia="Times New Roman" w:hAnsi="Calibri" w:cs="Calibri"/>
                <w:b/>
                <w:bCs/>
                <w:color w:val="000000"/>
                <w:lang w:val="en-US"/>
              </w:rPr>
              <w:t>2022</w:t>
            </w:r>
          </w:p>
        </w:tc>
        <w:tc>
          <w:tcPr>
            <w:tcW w:w="1128" w:type="dxa"/>
            <w:noWrap/>
            <w:vAlign w:val="center"/>
            <w:hideMark/>
          </w:tcPr>
          <w:p w14:paraId="5D9C07A5" w14:textId="77777777" w:rsidR="00B05073" w:rsidRPr="00B05073" w:rsidRDefault="00B05073" w:rsidP="00DA40D7">
            <w:pPr>
              <w:spacing w:line="240" w:lineRule="auto"/>
              <w:jc w:val="center"/>
              <w:rPr>
                <w:rFonts w:ascii="Calibri" w:eastAsia="Times New Roman" w:hAnsi="Calibri" w:cs="Calibri"/>
                <w:b/>
                <w:bCs/>
                <w:color w:val="000000"/>
                <w:lang w:val="en-US"/>
              </w:rPr>
            </w:pPr>
            <w:r w:rsidRPr="00B05073">
              <w:rPr>
                <w:rFonts w:ascii="Calibri" w:eastAsia="Times New Roman" w:hAnsi="Calibri" w:cs="Calibri"/>
                <w:b/>
                <w:bCs/>
                <w:color w:val="000000"/>
                <w:lang w:val="en-US"/>
              </w:rPr>
              <w:t>2023</w:t>
            </w:r>
          </w:p>
        </w:tc>
        <w:tc>
          <w:tcPr>
            <w:tcW w:w="1128" w:type="dxa"/>
            <w:noWrap/>
            <w:vAlign w:val="center"/>
            <w:hideMark/>
          </w:tcPr>
          <w:p w14:paraId="45DE39C1" w14:textId="77777777" w:rsidR="00B05073" w:rsidRPr="00B05073" w:rsidRDefault="00B05073" w:rsidP="00DA40D7">
            <w:pPr>
              <w:spacing w:line="240" w:lineRule="auto"/>
              <w:jc w:val="center"/>
              <w:rPr>
                <w:rFonts w:ascii="Calibri" w:eastAsia="Times New Roman" w:hAnsi="Calibri" w:cs="Calibri"/>
                <w:b/>
                <w:bCs/>
                <w:color w:val="000000"/>
                <w:lang w:val="en-US"/>
              </w:rPr>
            </w:pPr>
            <w:r w:rsidRPr="00B05073">
              <w:rPr>
                <w:rFonts w:ascii="Calibri" w:eastAsia="Times New Roman" w:hAnsi="Calibri" w:cs="Calibri"/>
                <w:b/>
                <w:bCs/>
                <w:color w:val="000000"/>
                <w:lang w:val="en-US"/>
              </w:rPr>
              <w:t>2024</w:t>
            </w:r>
          </w:p>
        </w:tc>
      </w:tr>
      <w:tr w:rsidR="00B05073" w:rsidRPr="00B05073" w14:paraId="6DE91195" w14:textId="77777777" w:rsidTr="00AA2B3D">
        <w:trPr>
          <w:trHeight w:val="432"/>
        </w:trPr>
        <w:tc>
          <w:tcPr>
            <w:tcW w:w="2791" w:type="dxa"/>
            <w:noWrap/>
            <w:vAlign w:val="center"/>
            <w:hideMark/>
          </w:tcPr>
          <w:p w14:paraId="2031488C" w14:textId="77777777" w:rsidR="00B05073" w:rsidRPr="00B05073" w:rsidRDefault="00B05073" w:rsidP="00DA40D7">
            <w:pPr>
              <w:spacing w:line="240" w:lineRule="auto"/>
              <w:jc w:val="left"/>
              <w:rPr>
                <w:rFonts w:ascii="Calibri" w:eastAsia="Times New Roman" w:hAnsi="Calibri" w:cs="Calibri"/>
                <w:color w:val="000000"/>
                <w:lang w:val="en-US"/>
              </w:rPr>
            </w:pPr>
            <w:r w:rsidRPr="00B05073">
              <w:rPr>
                <w:rFonts w:ascii="Calibri" w:eastAsia="Times New Roman" w:hAnsi="Calibri" w:cs="Calibri"/>
                <w:color w:val="000000"/>
                <w:lang w:val="en-US"/>
              </w:rPr>
              <w:t>Total Liabilities</w:t>
            </w:r>
          </w:p>
        </w:tc>
        <w:tc>
          <w:tcPr>
            <w:tcW w:w="1128" w:type="dxa"/>
            <w:noWrap/>
            <w:vAlign w:val="center"/>
            <w:hideMark/>
          </w:tcPr>
          <w:p w14:paraId="1DB8DE94" w14:textId="77777777" w:rsidR="00B05073" w:rsidRPr="00B05073" w:rsidRDefault="00B05073" w:rsidP="00DA40D7">
            <w:pPr>
              <w:spacing w:line="240" w:lineRule="auto"/>
              <w:jc w:val="center"/>
              <w:rPr>
                <w:rFonts w:ascii="Calibri" w:eastAsia="Times New Roman" w:hAnsi="Calibri" w:cs="Calibri"/>
                <w:color w:val="000000"/>
                <w:lang w:val="en-US"/>
              </w:rPr>
            </w:pPr>
            <w:r w:rsidRPr="00B05073">
              <w:rPr>
                <w:rFonts w:ascii="Calibri" w:eastAsia="Times New Roman" w:hAnsi="Calibri" w:cs="Calibri"/>
                <w:color w:val="000000"/>
                <w:lang w:val="en-US"/>
              </w:rPr>
              <w:t>-1.01%</w:t>
            </w:r>
          </w:p>
        </w:tc>
        <w:tc>
          <w:tcPr>
            <w:tcW w:w="1128" w:type="dxa"/>
            <w:noWrap/>
            <w:vAlign w:val="center"/>
            <w:hideMark/>
          </w:tcPr>
          <w:p w14:paraId="583FA4B0" w14:textId="77777777" w:rsidR="00B05073" w:rsidRPr="00B05073" w:rsidRDefault="00B05073" w:rsidP="00DA40D7">
            <w:pPr>
              <w:spacing w:line="240" w:lineRule="auto"/>
              <w:jc w:val="center"/>
              <w:rPr>
                <w:rFonts w:ascii="Calibri" w:eastAsia="Times New Roman" w:hAnsi="Calibri" w:cs="Calibri"/>
                <w:color w:val="000000"/>
                <w:lang w:val="en-US"/>
              </w:rPr>
            </w:pPr>
            <w:r w:rsidRPr="00B05073">
              <w:rPr>
                <w:rFonts w:ascii="Calibri" w:eastAsia="Times New Roman" w:hAnsi="Calibri" w:cs="Calibri"/>
                <w:color w:val="000000"/>
                <w:lang w:val="en-US"/>
              </w:rPr>
              <w:t>-15.24%</w:t>
            </w:r>
          </w:p>
        </w:tc>
        <w:tc>
          <w:tcPr>
            <w:tcW w:w="1128" w:type="dxa"/>
            <w:noWrap/>
            <w:vAlign w:val="center"/>
            <w:hideMark/>
          </w:tcPr>
          <w:p w14:paraId="1C9DD45F" w14:textId="77777777" w:rsidR="00B05073" w:rsidRPr="00B05073" w:rsidRDefault="00B05073" w:rsidP="00DA40D7">
            <w:pPr>
              <w:spacing w:line="240" w:lineRule="auto"/>
              <w:jc w:val="center"/>
              <w:rPr>
                <w:rFonts w:ascii="Calibri" w:eastAsia="Times New Roman" w:hAnsi="Calibri" w:cs="Calibri"/>
                <w:color w:val="000000"/>
                <w:lang w:val="en-US"/>
              </w:rPr>
            </w:pPr>
            <w:r w:rsidRPr="00B05073">
              <w:rPr>
                <w:rFonts w:ascii="Calibri" w:eastAsia="Times New Roman" w:hAnsi="Calibri" w:cs="Calibri"/>
                <w:color w:val="000000"/>
                <w:lang w:val="en-US"/>
              </w:rPr>
              <w:t>-13.44%</w:t>
            </w:r>
          </w:p>
        </w:tc>
      </w:tr>
      <w:tr w:rsidR="00B05073" w:rsidRPr="00B05073" w14:paraId="7D3F2E79" w14:textId="77777777" w:rsidTr="00AA2B3D">
        <w:trPr>
          <w:trHeight w:val="432"/>
        </w:trPr>
        <w:tc>
          <w:tcPr>
            <w:tcW w:w="2791" w:type="dxa"/>
            <w:noWrap/>
            <w:vAlign w:val="center"/>
            <w:hideMark/>
          </w:tcPr>
          <w:p w14:paraId="21546F80" w14:textId="77777777" w:rsidR="00B05073" w:rsidRPr="00B05073" w:rsidRDefault="00B05073" w:rsidP="00DA40D7">
            <w:pPr>
              <w:spacing w:line="240" w:lineRule="auto"/>
              <w:jc w:val="left"/>
              <w:rPr>
                <w:rFonts w:ascii="Calibri" w:eastAsia="Times New Roman" w:hAnsi="Calibri" w:cs="Calibri"/>
                <w:color w:val="000000"/>
                <w:lang w:val="en-US"/>
              </w:rPr>
            </w:pPr>
            <w:r w:rsidRPr="00B05073">
              <w:rPr>
                <w:rFonts w:ascii="Calibri" w:eastAsia="Times New Roman" w:hAnsi="Calibri" w:cs="Calibri"/>
                <w:color w:val="000000"/>
                <w:lang w:val="en-US"/>
              </w:rPr>
              <w:t>Current Assets</w:t>
            </w:r>
          </w:p>
        </w:tc>
        <w:tc>
          <w:tcPr>
            <w:tcW w:w="1128" w:type="dxa"/>
            <w:noWrap/>
            <w:vAlign w:val="center"/>
            <w:hideMark/>
          </w:tcPr>
          <w:p w14:paraId="3F464A68" w14:textId="77777777" w:rsidR="00B05073" w:rsidRPr="00B05073" w:rsidRDefault="00B05073" w:rsidP="00DA40D7">
            <w:pPr>
              <w:spacing w:line="240" w:lineRule="auto"/>
              <w:jc w:val="center"/>
              <w:rPr>
                <w:rFonts w:ascii="Calibri" w:eastAsia="Times New Roman" w:hAnsi="Calibri" w:cs="Calibri"/>
                <w:color w:val="000000"/>
                <w:lang w:val="en-US"/>
              </w:rPr>
            </w:pPr>
            <w:r w:rsidRPr="00B05073">
              <w:rPr>
                <w:rFonts w:ascii="Calibri" w:eastAsia="Times New Roman" w:hAnsi="Calibri" w:cs="Calibri"/>
                <w:color w:val="000000"/>
                <w:lang w:val="en-US"/>
              </w:rPr>
              <w:t>-3.83%</w:t>
            </w:r>
          </w:p>
        </w:tc>
        <w:tc>
          <w:tcPr>
            <w:tcW w:w="1128" w:type="dxa"/>
            <w:noWrap/>
            <w:vAlign w:val="center"/>
            <w:hideMark/>
          </w:tcPr>
          <w:p w14:paraId="06A14782" w14:textId="77777777" w:rsidR="00B05073" w:rsidRPr="00B05073" w:rsidRDefault="00B05073" w:rsidP="00DA40D7">
            <w:pPr>
              <w:spacing w:line="240" w:lineRule="auto"/>
              <w:jc w:val="center"/>
              <w:rPr>
                <w:rFonts w:ascii="Calibri" w:eastAsia="Times New Roman" w:hAnsi="Calibri" w:cs="Calibri"/>
                <w:color w:val="000000"/>
                <w:lang w:val="en-US"/>
              </w:rPr>
            </w:pPr>
            <w:r w:rsidRPr="00B05073">
              <w:rPr>
                <w:rFonts w:ascii="Calibri" w:eastAsia="Times New Roman" w:hAnsi="Calibri" w:cs="Calibri"/>
                <w:color w:val="000000"/>
                <w:lang w:val="en-US"/>
              </w:rPr>
              <w:t>-9.39%</w:t>
            </w:r>
          </w:p>
        </w:tc>
        <w:tc>
          <w:tcPr>
            <w:tcW w:w="1128" w:type="dxa"/>
            <w:noWrap/>
            <w:vAlign w:val="center"/>
            <w:hideMark/>
          </w:tcPr>
          <w:p w14:paraId="744103E4" w14:textId="77777777" w:rsidR="00B05073" w:rsidRPr="00B05073" w:rsidRDefault="00B05073" w:rsidP="00DA40D7">
            <w:pPr>
              <w:spacing w:line="240" w:lineRule="auto"/>
              <w:jc w:val="center"/>
              <w:rPr>
                <w:rFonts w:ascii="Calibri" w:eastAsia="Times New Roman" w:hAnsi="Calibri" w:cs="Calibri"/>
                <w:color w:val="000000"/>
                <w:lang w:val="en-US"/>
              </w:rPr>
            </w:pPr>
            <w:r w:rsidRPr="00B05073">
              <w:rPr>
                <w:rFonts w:ascii="Calibri" w:eastAsia="Times New Roman" w:hAnsi="Calibri" w:cs="Calibri"/>
                <w:color w:val="000000"/>
                <w:lang w:val="en-US"/>
              </w:rPr>
              <w:t>-1.83%</w:t>
            </w:r>
          </w:p>
        </w:tc>
      </w:tr>
      <w:tr w:rsidR="00B05073" w:rsidRPr="00B05073" w14:paraId="5D6C28A9" w14:textId="77777777" w:rsidTr="00AA2B3D">
        <w:trPr>
          <w:trHeight w:val="432"/>
        </w:trPr>
        <w:tc>
          <w:tcPr>
            <w:tcW w:w="2791" w:type="dxa"/>
            <w:noWrap/>
            <w:vAlign w:val="center"/>
            <w:hideMark/>
          </w:tcPr>
          <w:p w14:paraId="7BE6C07B" w14:textId="77777777" w:rsidR="00B05073" w:rsidRPr="00B05073" w:rsidRDefault="00B05073" w:rsidP="00DA40D7">
            <w:pPr>
              <w:spacing w:line="240" w:lineRule="auto"/>
              <w:jc w:val="left"/>
              <w:rPr>
                <w:rFonts w:ascii="Calibri" w:eastAsia="Times New Roman" w:hAnsi="Calibri" w:cs="Calibri"/>
                <w:color w:val="000000"/>
                <w:lang w:val="en-US"/>
              </w:rPr>
            </w:pPr>
            <w:r w:rsidRPr="00B05073">
              <w:rPr>
                <w:rFonts w:ascii="Calibri" w:eastAsia="Times New Roman" w:hAnsi="Calibri" w:cs="Calibri"/>
                <w:color w:val="000000"/>
                <w:lang w:val="en-US"/>
              </w:rPr>
              <w:t>Cash &amp; Cash Equivalents</w:t>
            </w:r>
          </w:p>
        </w:tc>
        <w:tc>
          <w:tcPr>
            <w:tcW w:w="1128" w:type="dxa"/>
            <w:noWrap/>
            <w:vAlign w:val="center"/>
            <w:hideMark/>
          </w:tcPr>
          <w:p w14:paraId="5E731782" w14:textId="77777777" w:rsidR="00B05073" w:rsidRPr="00B05073" w:rsidRDefault="00B05073" w:rsidP="00DA40D7">
            <w:pPr>
              <w:spacing w:line="240" w:lineRule="auto"/>
              <w:jc w:val="center"/>
              <w:rPr>
                <w:rFonts w:ascii="Calibri" w:eastAsia="Times New Roman" w:hAnsi="Calibri" w:cs="Calibri"/>
                <w:color w:val="000000"/>
                <w:lang w:val="en-US"/>
              </w:rPr>
            </w:pPr>
            <w:r w:rsidRPr="00B05073">
              <w:rPr>
                <w:rFonts w:ascii="Calibri" w:eastAsia="Times New Roman" w:hAnsi="Calibri" w:cs="Calibri"/>
                <w:color w:val="000000"/>
                <w:lang w:val="en-US"/>
              </w:rPr>
              <w:t>-43.46%</w:t>
            </w:r>
          </w:p>
        </w:tc>
        <w:tc>
          <w:tcPr>
            <w:tcW w:w="1128" w:type="dxa"/>
            <w:noWrap/>
            <w:vAlign w:val="center"/>
            <w:hideMark/>
          </w:tcPr>
          <w:p w14:paraId="0059B491" w14:textId="77777777" w:rsidR="00B05073" w:rsidRPr="00B05073" w:rsidRDefault="00B05073" w:rsidP="00DA40D7">
            <w:pPr>
              <w:spacing w:line="240" w:lineRule="auto"/>
              <w:jc w:val="center"/>
              <w:rPr>
                <w:rFonts w:ascii="Calibri" w:eastAsia="Times New Roman" w:hAnsi="Calibri" w:cs="Calibri"/>
                <w:color w:val="000000"/>
                <w:lang w:val="en-US"/>
              </w:rPr>
            </w:pPr>
            <w:r w:rsidRPr="00B05073">
              <w:rPr>
                <w:rFonts w:ascii="Calibri" w:eastAsia="Times New Roman" w:hAnsi="Calibri" w:cs="Calibri"/>
                <w:color w:val="000000"/>
                <w:lang w:val="en-US"/>
              </w:rPr>
              <w:t>24.45%</w:t>
            </w:r>
          </w:p>
        </w:tc>
        <w:tc>
          <w:tcPr>
            <w:tcW w:w="1128" w:type="dxa"/>
            <w:noWrap/>
            <w:vAlign w:val="center"/>
            <w:hideMark/>
          </w:tcPr>
          <w:p w14:paraId="0C70C617" w14:textId="77777777" w:rsidR="00AA2B3D" w:rsidRPr="00B05073" w:rsidRDefault="00B05073" w:rsidP="00AA2B3D">
            <w:pPr>
              <w:spacing w:line="240" w:lineRule="auto"/>
              <w:jc w:val="center"/>
              <w:rPr>
                <w:rFonts w:ascii="Calibri" w:eastAsia="Times New Roman" w:hAnsi="Calibri" w:cs="Calibri"/>
                <w:color w:val="000000"/>
                <w:lang w:val="en-US"/>
              </w:rPr>
            </w:pPr>
            <w:r w:rsidRPr="00B05073">
              <w:rPr>
                <w:rFonts w:ascii="Calibri" w:eastAsia="Times New Roman" w:hAnsi="Calibri" w:cs="Calibri"/>
                <w:color w:val="000000"/>
                <w:lang w:val="en-US"/>
              </w:rPr>
              <w:t>-37.41%</w:t>
            </w:r>
          </w:p>
        </w:tc>
      </w:tr>
    </w:tbl>
    <w:p w14:paraId="31DDE8E0" w14:textId="6A417489" w:rsidR="00367D0D" w:rsidRDefault="00B05073" w:rsidP="00343930">
      <w:bookmarkStart w:id="28" w:name="_9ey1bau6mwui" w:colFirst="0" w:colLast="0"/>
      <w:bookmarkStart w:id="29" w:name="_Toc216810214"/>
      <w:bookmarkEnd w:id="14"/>
      <w:bookmarkEnd w:id="15"/>
      <w:bookmarkEnd w:id="28"/>
      <w:r>
        <w:rPr>
          <w:noProof/>
        </w:rPr>
        <w:lastRenderedPageBreak/>
        <mc:AlternateContent>
          <mc:Choice Requires="wps">
            <w:drawing>
              <wp:anchor distT="0" distB="0" distL="114300" distR="114300" simplePos="0" relativeHeight="251669504" behindDoc="0" locked="0" layoutInCell="1" allowOverlap="1" wp14:anchorId="0AEB9C9B" wp14:editId="0BE39897">
                <wp:simplePos x="0" y="0"/>
                <wp:positionH relativeFrom="column">
                  <wp:posOffset>1078865</wp:posOffset>
                </wp:positionH>
                <wp:positionV relativeFrom="paragraph">
                  <wp:posOffset>274826</wp:posOffset>
                </wp:positionV>
                <wp:extent cx="4055110" cy="635"/>
                <wp:effectExtent l="0" t="0" r="0" b="0"/>
                <wp:wrapSquare wrapText="bothSides"/>
                <wp:docPr id="1969860747" name="Text Box 1"/>
                <wp:cNvGraphicFramePr/>
                <a:graphic xmlns:a="http://schemas.openxmlformats.org/drawingml/2006/main">
                  <a:graphicData uri="http://schemas.microsoft.com/office/word/2010/wordprocessingShape">
                    <wps:wsp>
                      <wps:cNvSpPr txBox="1"/>
                      <wps:spPr>
                        <a:xfrm>
                          <a:off x="0" y="0"/>
                          <a:ext cx="4055110" cy="635"/>
                        </a:xfrm>
                        <a:prstGeom prst="rect">
                          <a:avLst/>
                        </a:prstGeom>
                        <a:solidFill>
                          <a:prstClr val="white"/>
                        </a:solidFill>
                        <a:ln>
                          <a:noFill/>
                        </a:ln>
                      </wps:spPr>
                      <wps:txbx>
                        <w:txbxContent>
                          <w:p w14:paraId="74210DC5" w14:textId="77777777" w:rsidR="00B05073" w:rsidRPr="00F20DF2" w:rsidRDefault="00B05073" w:rsidP="00B05073">
                            <w:pPr>
                              <w:jc w:val="center"/>
                              <w:rPr>
                                <w:noProof/>
                                <w:sz w:val="32"/>
                                <w:szCs w:val="32"/>
                              </w:rPr>
                            </w:pPr>
                            <w:r>
                              <w:t xml:space="preserve">Figure </w:t>
                            </w:r>
                            <w:r w:rsidR="00E4354C">
                              <w:fldChar w:fldCharType="begin"/>
                            </w:r>
                            <w:r w:rsidR="00E4354C">
                              <w:instrText xml:space="preserve"> SEQ Figure \* ARABIC </w:instrText>
                            </w:r>
                            <w:r w:rsidR="00E4354C">
                              <w:fldChar w:fldCharType="separate"/>
                            </w:r>
                            <w:r w:rsidR="00A37FF8">
                              <w:rPr>
                                <w:noProof/>
                              </w:rPr>
                              <w:t>4</w:t>
                            </w:r>
                            <w:r w:rsidR="00E4354C">
                              <w:rPr>
                                <w:noProof/>
                              </w:rPr>
                              <w:fldChar w:fldCharType="end"/>
                            </w:r>
                            <w:r>
                              <w:t>: Trend in Current Asset, Current Liability, and Cash and Cash Equivalents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EB9C9B" id="_x0000_s1028" type="#_x0000_t202" style="position:absolute;left:0;text-align:left;margin-left:84.95pt;margin-top:21.65pt;width:319.3pt;height:.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" stroked="f">
                <v:textbox style="mso-fit-shape-to-text:t" inset="0,0,0,0">
                  <w:txbxContent>
                    <w:p w14:paraId="74210DC5" w14:textId="77777777" w:rsidR="00B05073" w:rsidRPr="00F20DF2" w:rsidRDefault="00B05073" w:rsidP="00B05073">
                      <w:pPr>
                        <w:jc w:val="center"/>
                        <w:rPr>
                          <w:noProof/>
                          <w:sz w:val="32"/>
                          <w:szCs w:val="32"/>
                        </w:rPr>
                      </w:pPr>
                      <w:r>
                        <w:t xml:space="preserve">Figure </w:t>
                      </w:r>
                      <w:r w:rsidR="00E4354C">
                        <w:fldChar w:fldCharType="begin"/>
                      </w:r>
                      <w:r w:rsidR="00E4354C">
                        <w:instrText xml:space="preserve"> SEQ Figure \* ARABIC </w:instrText>
                      </w:r>
                      <w:r w:rsidR="00E4354C">
                        <w:fldChar w:fldCharType="separate"/>
                      </w:r>
                      <w:r w:rsidR="00A37FF8">
                        <w:rPr>
                          <w:noProof/>
                        </w:rPr>
                        <w:t>4</w:t>
                      </w:r>
                      <w:r w:rsidR="00E4354C">
                        <w:rPr>
                          <w:noProof/>
                        </w:rPr>
                        <w:fldChar w:fldCharType="end"/>
                      </w:r>
                      <w:r>
                        <w:t>: Trend in Current Asset, Current Liability, and Cash and Cash Equivalents</w:t>
                      </w:r>
                    </w:p>
                  </w:txbxContent>
                </v:textbox>
                <w10:wrap type="square"/>
              </v:shape>
            </w:pict>
          </mc:Fallback>
        </mc:AlternateContent>
      </w:r>
      <w:bookmarkStart w:id="30" w:name="_Toc216810215"/>
      <w:bookmarkEnd w:id="29"/>
      <w:r>
        <w:rPr>
          <w:noProof/>
        </w:rPr>
        <w:drawing>
          <wp:anchor distT="0" distB="0" distL="114300" distR="114300" simplePos="0" relativeHeight="251667456" behindDoc="0" locked="0" layoutInCell="1" allowOverlap="1" wp14:anchorId="356187C3" wp14:editId="79A21270">
            <wp:simplePos x="0" y="0"/>
            <wp:positionH relativeFrom="column">
              <wp:posOffset>1078865</wp:posOffset>
            </wp:positionH>
            <wp:positionV relativeFrom="paragraph">
              <wp:posOffset>500824</wp:posOffset>
            </wp:positionV>
            <wp:extent cx="4145280" cy="2488565"/>
            <wp:effectExtent l="0" t="0" r="7620" b="13335"/>
            <wp:wrapSquare wrapText="bothSides"/>
            <wp:docPr id="1678561763" name="Chart 1">
              <a:extLst xmlns:a="http://schemas.openxmlformats.org/drawingml/2006/main">
                <a:ext uri="{FF2B5EF4-FFF2-40B4-BE49-F238E27FC236}">
                  <a16:creationId xmlns:a16="http://schemas.microsoft.com/office/drawing/2014/main" id="{5E77FAD4-5E72-0A4B-FDED-23F0501F9B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bookmarkEnd w:id="30"/>
    </w:p>
    <w:p w14:paraId="293BA8F3" w14:textId="77777777" w:rsidR="00367D0D" w:rsidRDefault="00367D0D" w:rsidP="00BD57AC">
      <w:pPr>
        <w:pStyle w:val="Heading2"/>
      </w:pPr>
    </w:p>
    <w:p w14:paraId="70CD485E" w14:textId="77777777" w:rsidR="00367D0D" w:rsidRDefault="00367D0D" w:rsidP="00BD57AC">
      <w:pPr>
        <w:pStyle w:val="Heading2"/>
      </w:pPr>
    </w:p>
    <w:p w14:paraId="0E5E330A" w14:textId="77777777" w:rsidR="00367D0D" w:rsidRDefault="00367D0D" w:rsidP="00BD57AC">
      <w:pPr>
        <w:pStyle w:val="Heading2"/>
      </w:pPr>
    </w:p>
    <w:p w14:paraId="4ED8C7E5" w14:textId="77777777" w:rsidR="00367D0D" w:rsidRDefault="00367D0D" w:rsidP="00367D0D"/>
    <w:p w14:paraId="6D797E0C" w14:textId="77777777" w:rsidR="00B05073" w:rsidRDefault="00B05073" w:rsidP="00367D0D"/>
    <w:p w14:paraId="68E574BD" w14:textId="77777777" w:rsidR="00AA2B3D" w:rsidRDefault="00AA2B3D" w:rsidP="00E23F5E"/>
    <w:p w14:paraId="45BC6388" w14:textId="77777777" w:rsidR="003C54F0" w:rsidRDefault="003C54F0" w:rsidP="003C54F0">
      <w:pPr>
        <w:pStyle w:val="ListParagraph"/>
        <w:rPr>
          <w:b/>
          <w:bCs/>
          <w:u w:val="single"/>
        </w:rPr>
      </w:pPr>
    </w:p>
    <w:p w14:paraId="67432F52" w14:textId="77777777" w:rsidR="00AA2B3D" w:rsidRPr="00600421" w:rsidRDefault="00AA2B3D" w:rsidP="00600421">
      <w:pPr>
        <w:spacing w:before="240" w:after="240"/>
        <w:rPr>
          <w:b/>
          <w:bCs/>
        </w:rPr>
      </w:pPr>
      <w:r w:rsidRPr="00600421">
        <w:rPr>
          <w:b/>
          <w:bCs/>
        </w:rPr>
        <w:t>Net Income:</w:t>
      </w:r>
    </w:p>
    <w:p w14:paraId="570E4443" w14:textId="3C840342" w:rsidR="00CB40D4" w:rsidRDefault="00600421" w:rsidP="00377D91">
      <w:pPr>
        <w:spacing w:before="240" w:after="240"/>
      </w:pPr>
      <w:r w:rsidRPr="00600421">
        <w:t xml:space="preserve">The graph below </w:t>
      </w:r>
      <w:r w:rsidR="006B22D1">
        <w:t>shows</w:t>
      </w:r>
      <w:r w:rsidRPr="00600421">
        <w:t xml:space="preserve"> the net income of the company between 2021 and 2024. It did not decrease sharply, although it was positive. This implies that the company has been in a position to make profits in the same time frame. But the 2023 situation was pathetic, as the net income declined precipitously and disturbingly. The outcome was a huge loss of about £ 100,000. </w:t>
      </w:r>
    </w:p>
    <w:p w14:paraId="595DB5D9" w14:textId="77777777" w:rsidR="00411D0E" w:rsidRDefault="00411D0E" w:rsidP="00A92A0B">
      <w:r>
        <w:rPr>
          <w:noProof/>
        </w:rPr>
        <mc:AlternateContent>
          <mc:Choice Requires="wps">
            <w:drawing>
              <wp:anchor distT="0" distB="0" distL="114300" distR="114300" simplePos="0" relativeHeight="251673600" behindDoc="0" locked="0" layoutInCell="1" allowOverlap="1" wp14:anchorId="59AA4148" wp14:editId="739744E4">
                <wp:simplePos x="0" y="0"/>
                <wp:positionH relativeFrom="column">
                  <wp:posOffset>913779</wp:posOffset>
                </wp:positionH>
                <wp:positionV relativeFrom="paragraph">
                  <wp:posOffset>157963</wp:posOffset>
                </wp:positionV>
                <wp:extent cx="4572000" cy="635"/>
                <wp:effectExtent l="0" t="0" r="0" b="12065"/>
                <wp:wrapSquare wrapText="bothSides"/>
                <wp:docPr id="343577165"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1B01443" w14:textId="77777777" w:rsidR="00411D0E" w:rsidRPr="00E73877" w:rsidRDefault="00411D0E" w:rsidP="00411D0E">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5</w:t>
                            </w:r>
                            <w:r w:rsidR="00E4354C">
                              <w:rPr>
                                <w:noProof/>
                              </w:rPr>
                              <w:fldChar w:fldCharType="end"/>
                            </w:r>
                            <w:r>
                              <w:t>: Trend of Net Income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AA4148" id="_x0000_s1029" type="#_x0000_t202" style="position:absolute;left:0;text-align:left;margin-left:71.95pt;margin-top:12.45pt;width:5in;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" stroked="f">
                <v:textbox style="mso-fit-shape-to-text:t" inset="0,0,0,0">
                  <w:txbxContent>
                    <w:p w14:paraId="11B01443" w14:textId="77777777" w:rsidR="00411D0E" w:rsidRPr="00E73877" w:rsidRDefault="00411D0E" w:rsidP="00411D0E">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5</w:t>
                      </w:r>
                      <w:r w:rsidR="00E4354C">
                        <w:rPr>
                          <w:noProof/>
                        </w:rPr>
                        <w:fldChar w:fldCharType="end"/>
                      </w:r>
                      <w:r>
                        <w:t>: Trend of Net Income</w:t>
                      </w:r>
                    </w:p>
                  </w:txbxContent>
                </v:textbox>
                <w10:wrap type="square"/>
              </v:shape>
            </w:pict>
          </mc:Fallback>
        </mc:AlternateContent>
      </w:r>
    </w:p>
    <w:p w14:paraId="7B163B2B" w14:textId="77777777" w:rsidR="00A92A0B" w:rsidRDefault="00A92A0B" w:rsidP="00A92A0B">
      <w:r>
        <w:rPr>
          <w:noProof/>
        </w:rPr>
        <w:lastRenderedPageBreak/>
        <w:drawing>
          <wp:anchor distT="0" distB="0" distL="114300" distR="114300" simplePos="0" relativeHeight="251671552" behindDoc="0" locked="0" layoutInCell="1" allowOverlap="1" wp14:anchorId="0D3AC196" wp14:editId="22215A8E">
            <wp:simplePos x="0" y="0"/>
            <wp:positionH relativeFrom="column">
              <wp:posOffset>914400</wp:posOffset>
            </wp:positionH>
            <wp:positionV relativeFrom="paragraph">
              <wp:posOffset>229239</wp:posOffset>
            </wp:positionV>
            <wp:extent cx="4572000" cy="2743200"/>
            <wp:effectExtent l="0" t="0" r="12700" b="12700"/>
            <wp:wrapSquare wrapText="bothSides"/>
            <wp:docPr id="1728408132" name="Chart 1">
              <a:extLst xmlns:a="http://schemas.openxmlformats.org/drawingml/2006/main">
                <a:ext uri="{FF2B5EF4-FFF2-40B4-BE49-F238E27FC236}">
                  <a16:creationId xmlns:a16="http://schemas.microsoft.com/office/drawing/2014/main" id="{B82D2CD8-10DB-3605-D98E-357E64BBBD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1EE8CBB2" w14:textId="77777777" w:rsidR="00A92A0B" w:rsidRDefault="00A92A0B" w:rsidP="00A92A0B"/>
    <w:p w14:paraId="63DB34DE" w14:textId="77777777" w:rsidR="00A92A0B" w:rsidRDefault="00A92A0B" w:rsidP="00A92A0B"/>
    <w:p w14:paraId="6B88143E" w14:textId="77777777" w:rsidR="00A92A0B" w:rsidRDefault="00A92A0B" w:rsidP="00A92A0B"/>
    <w:p w14:paraId="5E7D886E" w14:textId="77777777" w:rsidR="00A92A0B" w:rsidRDefault="00A92A0B" w:rsidP="00A92A0B"/>
    <w:p w14:paraId="10E7D22F" w14:textId="77777777" w:rsidR="00A92A0B" w:rsidRDefault="00A92A0B" w:rsidP="00A92A0B"/>
    <w:p w14:paraId="28770FF8" w14:textId="77777777" w:rsidR="00A92A0B" w:rsidRDefault="00A92A0B" w:rsidP="00A92A0B"/>
    <w:p w14:paraId="7AAC6E17" w14:textId="77777777" w:rsidR="00A92A0B" w:rsidRDefault="00A92A0B" w:rsidP="00A92A0B"/>
    <w:p w14:paraId="44084FC2" w14:textId="77777777" w:rsidR="00A92A0B" w:rsidRDefault="00A92A0B" w:rsidP="00A92A0B"/>
    <w:p w14:paraId="0DE8926E" w14:textId="77777777" w:rsidR="00CB40D4" w:rsidRDefault="00CB40D4" w:rsidP="00A92A0B"/>
    <w:p w14:paraId="2E464E58" w14:textId="77777777" w:rsidR="00CB40D4" w:rsidRDefault="00CB40D4" w:rsidP="00A92A0B"/>
    <w:p w14:paraId="3CACBD4F" w14:textId="77777777" w:rsidR="00A92A0B" w:rsidRDefault="00A92A0B" w:rsidP="00A92A0B"/>
    <w:p w14:paraId="49E7435C" w14:textId="77777777" w:rsidR="00A92A0B" w:rsidRPr="00600421" w:rsidRDefault="00CB40D4" w:rsidP="00600421">
      <w:pPr>
        <w:spacing w:before="240" w:after="240"/>
        <w:rPr>
          <w:b/>
          <w:bCs/>
        </w:rPr>
      </w:pPr>
      <w:r w:rsidRPr="00600421">
        <w:rPr>
          <w:b/>
          <w:bCs/>
        </w:rPr>
        <w:t>Operating Cash Flow</w:t>
      </w:r>
    </w:p>
    <w:p w14:paraId="4AF32042" w14:textId="5407B77F" w:rsidR="00216A69" w:rsidRDefault="00600421" w:rsidP="00377D91">
      <w:pPr>
        <w:spacing w:before="240" w:after="240"/>
      </w:pPr>
      <w:r w:rsidRPr="00600421">
        <w:t xml:space="preserve">Figure 6 indicates this trend </w:t>
      </w:r>
      <w:r w:rsidR="006B22D1">
        <w:t>in</w:t>
      </w:r>
      <w:r w:rsidRPr="00600421">
        <w:t xml:space="preserve"> the operating cash flow. This trend indicates that </w:t>
      </w:r>
      <w:r w:rsidR="006B22D1">
        <w:t xml:space="preserve">the </w:t>
      </w:r>
      <w:r w:rsidRPr="00600421">
        <w:t xml:space="preserve">operating cash flow of the company was very fluctuating in the last four years. </w:t>
      </w:r>
      <w:r w:rsidR="0006276D">
        <w:t>O</w:t>
      </w:r>
      <w:r w:rsidRPr="00600421">
        <w:t xml:space="preserve">perating cash flow was high (40,283 million). </w:t>
      </w:r>
      <w:r w:rsidR="0006276D">
        <w:t>T</w:t>
      </w:r>
      <w:r w:rsidRPr="00600421">
        <w:t xml:space="preserve">here was a drastic reduction in the cash flow to £10,926 million in 2022. The operating cash flow increased to £25,190 million </w:t>
      </w:r>
      <w:r w:rsidR="006B22D1">
        <w:t>in</w:t>
      </w:r>
      <w:r w:rsidRPr="00600421">
        <w:t xml:space="preserve"> the same year. </w:t>
      </w:r>
      <w:bookmarkEnd w:id="6"/>
      <w:bookmarkEnd w:id="5"/>
      <w:bookmarkEnd w:id="10"/>
      <w:bookmarkEnd w:id="11"/>
      <w:bookmarkEnd w:id="25"/>
      <w:bookmarkEnd w:id="26"/>
    </w:p>
    <w:p w14:paraId="6C2967B4" w14:textId="77777777" w:rsidR="00CB40D4" w:rsidRDefault="00CB40D4" w:rsidP="0034617A">
      <w:pPr>
        <w:jc w:val="center"/>
      </w:pPr>
    </w:p>
    <w:p w14:paraId="0B7C5B88" w14:textId="77777777" w:rsidR="0034617A" w:rsidRDefault="0034617A" w:rsidP="0034617A">
      <w:pPr>
        <w:jc w:val="center"/>
      </w:pPr>
      <w:r>
        <w:t xml:space="preserve">Figure </w:t>
      </w:r>
      <w:r w:rsidR="00E4354C">
        <w:fldChar w:fldCharType="begin"/>
      </w:r>
      <w:r w:rsidR="00E4354C">
        <w:instrText xml:space="preserve"> SEQ Figure \* ARABIC </w:instrText>
      </w:r>
      <w:r w:rsidR="00E4354C">
        <w:fldChar w:fldCharType="separate"/>
      </w:r>
      <w:r w:rsidR="00A37FF8">
        <w:rPr>
          <w:noProof/>
        </w:rPr>
        <w:t>6</w:t>
      </w:r>
      <w:r w:rsidR="00E4354C">
        <w:rPr>
          <w:noProof/>
        </w:rPr>
        <w:fldChar w:fldCharType="end"/>
      </w:r>
      <w:r>
        <w:t>: Tre</w:t>
      </w:r>
      <w:r w:rsidRPr="0034617A">
        <w:t>nd of Operating Cash Flow</w:t>
      </w:r>
    </w:p>
    <w:p w14:paraId="3CD01CB0" w14:textId="77777777" w:rsidR="0034617A" w:rsidRDefault="00216A69" w:rsidP="00A92A0B">
      <w:r>
        <w:rPr>
          <w:noProof/>
        </w:rPr>
        <w:drawing>
          <wp:anchor distT="0" distB="0" distL="114300" distR="114300" simplePos="0" relativeHeight="251701248" behindDoc="0" locked="0" layoutInCell="1" allowOverlap="1" wp14:anchorId="749BC2DD" wp14:editId="168F8ADA">
            <wp:simplePos x="0" y="0"/>
            <wp:positionH relativeFrom="column">
              <wp:posOffset>1415912</wp:posOffset>
            </wp:positionH>
            <wp:positionV relativeFrom="paragraph">
              <wp:posOffset>171</wp:posOffset>
            </wp:positionV>
            <wp:extent cx="3313430" cy="1910715"/>
            <wp:effectExtent l="0" t="0" r="13970" b="6985"/>
            <wp:wrapSquare wrapText="bothSides"/>
            <wp:docPr id="146343699" name="Chart 1">
              <a:extLst xmlns:a="http://schemas.openxmlformats.org/drawingml/2006/main">
                <a:ext uri="{FF2B5EF4-FFF2-40B4-BE49-F238E27FC236}">
                  <a16:creationId xmlns:a16="http://schemas.microsoft.com/office/drawing/2014/main" id="{60312DC1-DC44-47CA-A83C-0C747EB01A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16E97331" w14:textId="77777777" w:rsidR="00A92A0B" w:rsidRDefault="00A92A0B" w:rsidP="00BD57AC">
      <w:pPr>
        <w:pStyle w:val="Heading2"/>
      </w:pPr>
    </w:p>
    <w:p w14:paraId="14F4DDD2" w14:textId="77777777" w:rsidR="00216A69" w:rsidRDefault="00216A69" w:rsidP="00216A69"/>
    <w:p w14:paraId="10EE6B8D" w14:textId="77777777" w:rsidR="00216A69" w:rsidRDefault="00216A69" w:rsidP="00216A69"/>
    <w:p w14:paraId="25A0C4C9" w14:textId="77777777" w:rsidR="00216A69" w:rsidRDefault="00216A69" w:rsidP="00216A69"/>
    <w:p w14:paraId="23AA0E37" w14:textId="77777777" w:rsidR="00216A69" w:rsidRPr="00216A69" w:rsidRDefault="00216A69" w:rsidP="00216A69"/>
    <w:p w14:paraId="4DF01A7D" w14:textId="77777777" w:rsidR="00087739" w:rsidRDefault="00E4354C" w:rsidP="00BD57AC">
      <w:pPr>
        <w:pStyle w:val="Heading2"/>
      </w:pPr>
      <w:bookmarkStart w:id="31" w:name="_Toc217146059"/>
      <w:bookmarkEnd w:id="16"/>
      <w:bookmarkEnd w:id="17"/>
      <w:r>
        <w:lastRenderedPageBreak/>
        <w:t>2.2 Ratio Analysis</w:t>
      </w:r>
      <w:bookmarkEnd w:id="31"/>
      <w:r>
        <w:t xml:space="preserve"> </w:t>
      </w:r>
    </w:p>
    <w:p w14:paraId="269D5B9A" w14:textId="77777777" w:rsidR="00725C60" w:rsidRDefault="00725C60" w:rsidP="00725C60">
      <w:pPr>
        <w:pStyle w:val="Heading2"/>
      </w:pPr>
      <w:bookmarkStart w:id="32" w:name="_Toc217146060"/>
      <w:r>
        <w:t>2.2.1 Profitability Ratios</w:t>
      </w:r>
      <w:bookmarkEnd w:id="32"/>
    </w:p>
    <w:p w14:paraId="48D75C63" w14:textId="62C9F758" w:rsidR="009B259B" w:rsidRDefault="00725C60" w:rsidP="00725C60">
      <w:pPr>
        <w:spacing w:before="240" w:after="240"/>
      </w:pPr>
      <w:r>
        <w:t xml:space="preserve">Profitability ratios are used to evaluate the </w:t>
      </w:r>
      <w:proofErr w:type="spellStart"/>
      <w:r w:rsidR="006B22D1">
        <w:t>utilisation</w:t>
      </w:r>
      <w:proofErr w:type="spellEnd"/>
      <w:r>
        <w:t xml:space="preserve"> of </w:t>
      </w:r>
      <w:r w:rsidR="006B22D1">
        <w:t>resources</w:t>
      </w:r>
      <w:r>
        <w:t xml:space="preserve"> and </w:t>
      </w:r>
      <w:r w:rsidR="006B22D1">
        <w:t>operational</w:t>
      </w:r>
      <w:r>
        <w:t xml:space="preserve"> profits </w:t>
      </w:r>
      <w:r w:rsidR="006B22D1">
        <w:t>in</w:t>
      </w:r>
      <w:r>
        <w:t xml:space="preserve"> the business (Vipond, 2025). They evaluate the ability of the company to convert sales, assets and equity of shareholders to profitability</w:t>
      </w:r>
      <w:r w:rsidR="006B22D1">
        <w:t>,</w:t>
      </w:r>
      <w:r>
        <w:t xml:space="preserve"> and this is an evaluation of good management and the overall good performance of the business activities (</w:t>
      </w:r>
      <w:proofErr w:type="spellStart"/>
      <w:r>
        <w:t>Baltova</w:t>
      </w:r>
      <w:proofErr w:type="spellEnd"/>
      <w:r>
        <w:t xml:space="preserve">, 2023). The ratios are value-added by helping the stakeholders to identify whether the strategies of the company are generating sustainable profits or simply </w:t>
      </w:r>
      <w:r w:rsidR="006B22D1">
        <w:t>expanding</w:t>
      </w:r>
      <w:r>
        <w:t xml:space="preserve"> revenues (Hayes, 2025)</w:t>
      </w:r>
      <w:r w:rsidR="009B259B" w:rsidRPr="009B259B">
        <w:t xml:space="preserve">. </w:t>
      </w:r>
    </w:p>
    <w:p w14:paraId="09002819" w14:textId="77777777" w:rsidR="00091078" w:rsidRPr="00615B64" w:rsidRDefault="00091078" w:rsidP="00615B64">
      <w:pPr>
        <w:rPr>
          <w:b/>
          <w:bCs/>
          <w:lang w:val="en-US"/>
        </w:rPr>
      </w:pPr>
      <w:r w:rsidRPr="00615B64">
        <w:rPr>
          <w:b/>
          <w:bCs/>
          <w:lang w:val="en-US"/>
        </w:rPr>
        <w:t>Gross Margin</w:t>
      </w:r>
    </w:p>
    <w:p w14:paraId="660EEA4C" w14:textId="77777777" w:rsidR="00091078" w:rsidRDefault="00091078" w:rsidP="00091078">
      <w:pPr>
        <w:pStyle w:val="ListParagraph"/>
        <w:spacing w:line="240" w:lineRule="auto"/>
        <w:rPr>
          <w:rFonts w:ascii="Calibri" w:eastAsia="Times New Roman" w:hAnsi="Calibri" w:cs="Calibri"/>
          <w:b/>
          <w:bCs/>
          <w:color w:val="000000"/>
          <w:u w:val="single"/>
          <w:lang w:val="en-US"/>
        </w:rPr>
      </w:pPr>
    </w:p>
    <w:p w14:paraId="653F4DAF" w14:textId="77777777" w:rsidR="000305B4" w:rsidRDefault="000305B4" w:rsidP="000305B4">
      <w:pPr>
        <w:jc w:val="center"/>
      </w:pPr>
      <w:r>
        <w:t xml:space="preserve">Table </w:t>
      </w:r>
      <w:r w:rsidR="00E4354C">
        <w:fldChar w:fldCharType="begin"/>
      </w:r>
      <w:r w:rsidR="00E4354C">
        <w:instrText xml:space="preserve"> SEQ Table \* ARABIC </w:instrText>
      </w:r>
      <w:r w:rsidR="00E4354C">
        <w:fldChar w:fldCharType="separate"/>
      </w:r>
      <w:r w:rsidR="00B14E4A">
        <w:rPr>
          <w:noProof/>
        </w:rPr>
        <w:t>4</w:t>
      </w:r>
      <w:r w:rsidR="00E4354C">
        <w:rPr>
          <w:noProof/>
        </w:rPr>
        <w:fldChar w:fldCharType="end"/>
      </w:r>
      <w:r>
        <w:t>: Gross Margin</w:t>
      </w:r>
    </w:p>
    <w:tbl>
      <w:tblPr>
        <w:tblStyle w:val="GridTable1Light"/>
        <w:tblW w:w="5978" w:type="dxa"/>
        <w:tblInd w:w="2117" w:type="dxa"/>
        <w:tblLook w:val="04A0" w:firstRow="1" w:lastRow="0" w:firstColumn="1" w:lastColumn="0" w:noHBand="0" w:noVBand="1"/>
      </w:tblPr>
      <w:tblGrid>
        <w:gridCol w:w="1880"/>
        <w:gridCol w:w="4098"/>
      </w:tblGrid>
      <w:tr w:rsidR="00091078" w:rsidRPr="00091078" w14:paraId="5C67D75F" w14:textId="77777777" w:rsidTr="00091078">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80" w:type="dxa"/>
            <w:noWrap/>
            <w:hideMark/>
          </w:tcPr>
          <w:p w14:paraId="489417E1" w14:textId="77777777" w:rsidR="00091078" w:rsidRPr="00091078" w:rsidRDefault="00091078" w:rsidP="00091078">
            <w:pPr>
              <w:jc w:val="center"/>
              <w:rPr>
                <w:lang w:val="en-US"/>
              </w:rPr>
            </w:pPr>
          </w:p>
        </w:tc>
        <w:tc>
          <w:tcPr>
            <w:tcW w:w="4098" w:type="dxa"/>
            <w:noWrap/>
            <w:hideMark/>
          </w:tcPr>
          <w:p w14:paraId="7464DC64" w14:textId="77777777" w:rsidR="00091078" w:rsidRPr="00091078" w:rsidRDefault="00091078" w:rsidP="00091078">
            <w:pPr>
              <w:jc w:val="center"/>
              <w:cnfStyle w:val="100000000000" w:firstRow="1" w:lastRow="0" w:firstColumn="0" w:lastColumn="0" w:oddVBand="0" w:evenVBand="0" w:oddHBand="0" w:evenHBand="0" w:firstRowFirstColumn="0" w:firstRowLastColumn="0" w:lastRowFirstColumn="0" w:lastRowLastColumn="0"/>
              <w:rPr>
                <w:color w:val="000000"/>
                <w:lang w:val="en-US"/>
              </w:rPr>
            </w:pPr>
            <w:r w:rsidRPr="00091078">
              <w:rPr>
                <w:color w:val="000000"/>
                <w:lang w:val="en-US"/>
              </w:rPr>
              <w:t>Gross Margin</w:t>
            </w:r>
          </w:p>
        </w:tc>
      </w:tr>
      <w:tr w:rsidR="00091078" w:rsidRPr="00091078" w14:paraId="43401B9B" w14:textId="77777777" w:rsidTr="00091078">
        <w:trPr>
          <w:trHeight w:val="432"/>
        </w:trPr>
        <w:tc>
          <w:tcPr>
            <w:cnfStyle w:val="001000000000" w:firstRow="0" w:lastRow="0" w:firstColumn="1" w:lastColumn="0" w:oddVBand="0" w:evenVBand="0" w:oddHBand="0" w:evenHBand="0" w:firstRowFirstColumn="0" w:firstRowLastColumn="0" w:lastRowFirstColumn="0" w:lastRowLastColumn="0"/>
            <w:tcW w:w="1880" w:type="dxa"/>
            <w:noWrap/>
            <w:hideMark/>
          </w:tcPr>
          <w:p w14:paraId="16BE38D9" w14:textId="77777777" w:rsidR="00091078" w:rsidRPr="00091078" w:rsidRDefault="00091078" w:rsidP="00091078">
            <w:pPr>
              <w:jc w:val="center"/>
              <w:rPr>
                <w:color w:val="000000"/>
                <w:lang w:val="en-US"/>
              </w:rPr>
            </w:pPr>
            <w:r w:rsidRPr="00091078">
              <w:rPr>
                <w:color w:val="000000"/>
                <w:lang w:val="en-US"/>
              </w:rPr>
              <w:t>2024</w:t>
            </w:r>
          </w:p>
        </w:tc>
        <w:tc>
          <w:tcPr>
            <w:tcW w:w="4098" w:type="dxa"/>
            <w:noWrap/>
            <w:hideMark/>
          </w:tcPr>
          <w:p w14:paraId="1A978E70" w14:textId="77777777" w:rsidR="00091078" w:rsidRPr="00091078" w:rsidRDefault="00091078" w:rsidP="00091078">
            <w:pPr>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091078">
              <w:rPr>
                <w:color w:val="000000"/>
                <w:lang w:val="en-US"/>
              </w:rPr>
              <w:t>28.87%</w:t>
            </w:r>
          </w:p>
        </w:tc>
      </w:tr>
      <w:tr w:rsidR="00091078" w:rsidRPr="00091078" w14:paraId="44CBDFF8" w14:textId="77777777" w:rsidTr="00091078">
        <w:trPr>
          <w:trHeight w:val="432"/>
        </w:trPr>
        <w:tc>
          <w:tcPr>
            <w:cnfStyle w:val="001000000000" w:firstRow="0" w:lastRow="0" w:firstColumn="1" w:lastColumn="0" w:oddVBand="0" w:evenVBand="0" w:oddHBand="0" w:evenHBand="0" w:firstRowFirstColumn="0" w:firstRowLastColumn="0" w:lastRowFirstColumn="0" w:lastRowLastColumn="0"/>
            <w:tcW w:w="1880" w:type="dxa"/>
            <w:noWrap/>
            <w:hideMark/>
          </w:tcPr>
          <w:p w14:paraId="0D6FD6A3" w14:textId="77777777" w:rsidR="00091078" w:rsidRPr="00091078" w:rsidRDefault="00091078" w:rsidP="00091078">
            <w:pPr>
              <w:jc w:val="center"/>
              <w:rPr>
                <w:color w:val="000000"/>
                <w:lang w:val="en-US"/>
              </w:rPr>
            </w:pPr>
            <w:r w:rsidRPr="00091078">
              <w:rPr>
                <w:color w:val="000000"/>
                <w:lang w:val="en-US"/>
              </w:rPr>
              <w:t>2023</w:t>
            </w:r>
          </w:p>
        </w:tc>
        <w:tc>
          <w:tcPr>
            <w:tcW w:w="4098" w:type="dxa"/>
            <w:noWrap/>
            <w:hideMark/>
          </w:tcPr>
          <w:p w14:paraId="1689F014" w14:textId="77777777" w:rsidR="00091078" w:rsidRPr="00091078" w:rsidRDefault="00091078" w:rsidP="00091078">
            <w:pPr>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091078">
              <w:rPr>
                <w:color w:val="000000"/>
                <w:lang w:val="en-US"/>
              </w:rPr>
              <w:t>23.20%</w:t>
            </w:r>
          </w:p>
        </w:tc>
      </w:tr>
      <w:tr w:rsidR="00091078" w:rsidRPr="00091078" w14:paraId="47DF81CF" w14:textId="77777777" w:rsidTr="00091078">
        <w:trPr>
          <w:trHeight w:val="432"/>
        </w:trPr>
        <w:tc>
          <w:tcPr>
            <w:cnfStyle w:val="001000000000" w:firstRow="0" w:lastRow="0" w:firstColumn="1" w:lastColumn="0" w:oddVBand="0" w:evenVBand="0" w:oddHBand="0" w:evenHBand="0" w:firstRowFirstColumn="0" w:firstRowLastColumn="0" w:lastRowFirstColumn="0" w:lastRowLastColumn="0"/>
            <w:tcW w:w="1880" w:type="dxa"/>
            <w:noWrap/>
            <w:hideMark/>
          </w:tcPr>
          <w:p w14:paraId="5C5C097B" w14:textId="77777777" w:rsidR="00091078" w:rsidRPr="00091078" w:rsidRDefault="00091078" w:rsidP="00091078">
            <w:pPr>
              <w:jc w:val="center"/>
              <w:rPr>
                <w:color w:val="000000"/>
                <w:lang w:val="en-US"/>
              </w:rPr>
            </w:pPr>
            <w:r w:rsidRPr="00091078">
              <w:rPr>
                <w:color w:val="000000"/>
                <w:lang w:val="en-US"/>
              </w:rPr>
              <w:t>2022</w:t>
            </w:r>
          </w:p>
        </w:tc>
        <w:tc>
          <w:tcPr>
            <w:tcW w:w="4098" w:type="dxa"/>
            <w:noWrap/>
            <w:hideMark/>
          </w:tcPr>
          <w:p w14:paraId="51E48C19" w14:textId="77777777" w:rsidR="00091078" w:rsidRPr="00091078" w:rsidRDefault="00091078" w:rsidP="00091078">
            <w:pPr>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091078">
              <w:rPr>
                <w:color w:val="000000"/>
                <w:lang w:val="en-US"/>
              </w:rPr>
              <w:t>28.06%</w:t>
            </w:r>
          </w:p>
        </w:tc>
      </w:tr>
      <w:tr w:rsidR="00091078" w:rsidRPr="00091078" w14:paraId="76ACC715" w14:textId="77777777" w:rsidTr="00091078">
        <w:trPr>
          <w:trHeight w:val="432"/>
        </w:trPr>
        <w:tc>
          <w:tcPr>
            <w:cnfStyle w:val="001000000000" w:firstRow="0" w:lastRow="0" w:firstColumn="1" w:lastColumn="0" w:oddVBand="0" w:evenVBand="0" w:oddHBand="0" w:evenHBand="0" w:firstRowFirstColumn="0" w:firstRowLastColumn="0" w:lastRowFirstColumn="0" w:lastRowLastColumn="0"/>
            <w:tcW w:w="1880" w:type="dxa"/>
            <w:noWrap/>
            <w:hideMark/>
          </w:tcPr>
          <w:p w14:paraId="6483BD29" w14:textId="77777777" w:rsidR="00091078" w:rsidRPr="00091078" w:rsidRDefault="00091078" w:rsidP="00091078">
            <w:pPr>
              <w:jc w:val="center"/>
              <w:rPr>
                <w:color w:val="000000"/>
                <w:lang w:val="en-US"/>
              </w:rPr>
            </w:pPr>
            <w:r w:rsidRPr="00091078">
              <w:rPr>
                <w:color w:val="000000"/>
                <w:lang w:val="en-US"/>
              </w:rPr>
              <w:t>2021</w:t>
            </w:r>
          </w:p>
        </w:tc>
        <w:tc>
          <w:tcPr>
            <w:tcW w:w="4098" w:type="dxa"/>
            <w:noWrap/>
            <w:hideMark/>
          </w:tcPr>
          <w:p w14:paraId="2CFCBB5E" w14:textId="77777777" w:rsidR="00091078" w:rsidRPr="00091078" w:rsidRDefault="00091078" w:rsidP="00091078">
            <w:pPr>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091078">
              <w:rPr>
                <w:color w:val="000000"/>
                <w:lang w:val="en-US"/>
              </w:rPr>
              <w:t>28.76%</w:t>
            </w:r>
          </w:p>
        </w:tc>
      </w:tr>
    </w:tbl>
    <w:p w14:paraId="5D5E6AD6" w14:textId="77777777" w:rsidR="00091078" w:rsidRPr="00091078" w:rsidRDefault="00091078" w:rsidP="00091078">
      <w:pPr>
        <w:pStyle w:val="ListParagraph"/>
        <w:spacing w:line="240" w:lineRule="auto"/>
        <w:rPr>
          <w:rFonts w:ascii="Calibri" w:eastAsia="Times New Roman" w:hAnsi="Calibri" w:cs="Calibri"/>
          <w:b/>
          <w:bCs/>
          <w:color w:val="000000"/>
          <w:u w:val="single"/>
          <w:lang w:val="en-US"/>
        </w:rPr>
      </w:pPr>
    </w:p>
    <w:p w14:paraId="736C04C5" w14:textId="77777777" w:rsidR="00FC2CB3" w:rsidRDefault="00725C60" w:rsidP="00377D91">
      <w:pPr>
        <w:ind w:left="360"/>
        <w:rPr>
          <w:color w:val="EE0000"/>
        </w:rPr>
      </w:pPr>
      <w:r w:rsidRPr="00725C60">
        <w:t xml:space="preserve">As </w:t>
      </w:r>
      <w:r w:rsidR="006B22D1">
        <w:t>can</w:t>
      </w:r>
      <w:r w:rsidRPr="00725C60">
        <w:t xml:space="preserve"> be seen </w:t>
      </w:r>
      <w:r w:rsidR="006B22D1">
        <w:t>from</w:t>
      </w:r>
      <w:r w:rsidRPr="00725C60">
        <w:t xml:space="preserve"> the table above, gross margin remained relatively stable in 2021 and 2022</w:t>
      </w:r>
      <w:r w:rsidR="006B22D1">
        <w:t>,</w:t>
      </w:r>
      <w:r w:rsidRPr="00725C60">
        <w:t xml:space="preserve"> as it remained approximately 28. The margin, however, dropped to 23.20% </w:t>
      </w:r>
      <w:r w:rsidR="006B22D1">
        <w:t>afterwards,</w:t>
      </w:r>
      <w:r w:rsidRPr="00725C60">
        <w:t xml:space="preserve"> indicating a likely severe drop in cost-effectiveness. </w:t>
      </w:r>
    </w:p>
    <w:p w14:paraId="40352DBB" w14:textId="1C794580" w:rsidR="00AA2B3D" w:rsidRDefault="000305B4" w:rsidP="00377D91">
      <w:pPr>
        <w:ind w:left="360"/>
      </w:pPr>
      <w:r>
        <w:rPr>
          <w:noProof/>
        </w:rPr>
        <mc:AlternateContent>
          <mc:Choice Requires="wps">
            <w:drawing>
              <wp:anchor distT="0" distB="0" distL="114300" distR="114300" simplePos="0" relativeHeight="251677696" behindDoc="0" locked="0" layoutInCell="1" allowOverlap="1" wp14:anchorId="1BCE9CB2" wp14:editId="605E27C9">
                <wp:simplePos x="0" y="0"/>
                <wp:positionH relativeFrom="column">
                  <wp:posOffset>1134406</wp:posOffset>
                </wp:positionH>
                <wp:positionV relativeFrom="paragraph">
                  <wp:posOffset>260985</wp:posOffset>
                </wp:positionV>
                <wp:extent cx="3587750" cy="635"/>
                <wp:effectExtent l="0" t="0" r="6350" b="12065"/>
                <wp:wrapSquare wrapText="bothSides"/>
                <wp:docPr id="723822735" name="Text Box 1"/>
                <wp:cNvGraphicFramePr/>
                <a:graphic xmlns:a="http://schemas.openxmlformats.org/drawingml/2006/main">
                  <a:graphicData uri="http://schemas.microsoft.com/office/word/2010/wordprocessingShape">
                    <wps:wsp>
                      <wps:cNvSpPr txBox="1"/>
                      <wps:spPr>
                        <a:xfrm>
                          <a:off x="0" y="0"/>
                          <a:ext cx="3587750" cy="635"/>
                        </a:xfrm>
                        <a:prstGeom prst="rect">
                          <a:avLst/>
                        </a:prstGeom>
                        <a:solidFill>
                          <a:prstClr val="white"/>
                        </a:solidFill>
                        <a:ln>
                          <a:noFill/>
                        </a:ln>
                      </wps:spPr>
                      <wps:txbx>
                        <w:txbxContent>
                          <w:p w14:paraId="243DB589" w14:textId="77777777" w:rsidR="000305B4" w:rsidRPr="00C35E30" w:rsidRDefault="000305B4" w:rsidP="000305B4">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7</w:t>
                            </w:r>
                            <w:r w:rsidR="00E4354C">
                              <w:rPr>
                                <w:noProof/>
                              </w:rPr>
                              <w:fldChar w:fldCharType="end"/>
                            </w:r>
                            <w:r>
                              <w:t>: Gross Margin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CE9CB2" id="_x0000_s1030" type="#_x0000_t202" style="position:absolute;left:0;text-align:left;margin-left:89.3pt;margin-top:20.55pt;width:282.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" stroked="f">
                <v:textbox style="mso-fit-shape-to-text:t" inset="0,0,0,0">
                  <w:txbxContent>
                    <w:p w14:paraId="243DB589" w14:textId="77777777" w:rsidR="000305B4" w:rsidRPr="00C35E30" w:rsidRDefault="000305B4" w:rsidP="000305B4">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7</w:t>
                      </w:r>
                      <w:r w:rsidR="00E4354C">
                        <w:rPr>
                          <w:noProof/>
                        </w:rPr>
                        <w:fldChar w:fldCharType="end"/>
                      </w:r>
                      <w:r>
                        <w:t>: Gross Margin</w:t>
                      </w:r>
                    </w:p>
                  </w:txbxContent>
                </v:textbox>
                <w10:wrap type="square"/>
              </v:shape>
            </w:pict>
          </mc:Fallback>
        </mc:AlternateContent>
      </w:r>
    </w:p>
    <w:p w14:paraId="5328316E" w14:textId="77777777" w:rsidR="00AA2B3D" w:rsidRDefault="00AA2B3D"/>
    <w:p w14:paraId="47FD2246" w14:textId="77777777" w:rsidR="00AA2B3D" w:rsidRDefault="000305B4">
      <w:r>
        <w:rPr>
          <w:noProof/>
        </w:rPr>
        <w:lastRenderedPageBreak/>
        <w:drawing>
          <wp:anchor distT="0" distB="0" distL="114300" distR="114300" simplePos="0" relativeHeight="251675648" behindDoc="0" locked="0" layoutInCell="1" allowOverlap="1" wp14:anchorId="17294308" wp14:editId="24FD4ACC">
            <wp:simplePos x="0" y="0"/>
            <wp:positionH relativeFrom="column">
              <wp:posOffset>1374990</wp:posOffset>
            </wp:positionH>
            <wp:positionV relativeFrom="paragraph">
              <wp:posOffset>89406</wp:posOffset>
            </wp:positionV>
            <wp:extent cx="3112770" cy="1924685"/>
            <wp:effectExtent l="0" t="0" r="11430" b="18415"/>
            <wp:wrapSquare wrapText="bothSides"/>
            <wp:docPr id="1974098627" name="Chart 1">
              <a:extLst xmlns:a="http://schemas.openxmlformats.org/drawingml/2006/main">
                <a:ext uri="{FF2B5EF4-FFF2-40B4-BE49-F238E27FC236}">
                  <a16:creationId xmlns:a16="http://schemas.microsoft.com/office/drawing/2014/main" id="{9D511DBD-177E-C726-67E4-441493DA55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5518C50C" w14:textId="77777777" w:rsidR="00AA2B3D" w:rsidRDefault="00AA2B3D"/>
    <w:p w14:paraId="324C5399" w14:textId="77777777" w:rsidR="00AA2B3D" w:rsidRDefault="00AA2B3D"/>
    <w:p w14:paraId="352FE030" w14:textId="77777777" w:rsidR="00AA2B3D" w:rsidRDefault="00AA2B3D"/>
    <w:p w14:paraId="08B84F7B" w14:textId="77777777" w:rsidR="00AA2B3D" w:rsidRDefault="00AA2B3D"/>
    <w:p w14:paraId="21CDE472" w14:textId="77777777" w:rsidR="00AA2B3D" w:rsidRDefault="00AA2B3D"/>
    <w:p w14:paraId="72C1BD2E" w14:textId="77777777" w:rsidR="00AA2B3D" w:rsidRDefault="00AA2B3D"/>
    <w:p w14:paraId="0D8390C4" w14:textId="77777777" w:rsidR="00AA2B3D" w:rsidRDefault="00AA2B3D"/>
    <w:p w14:paraId="0B5556D8" w14:textId="77777777" w:rsidR="000305B4" w:rsidRPr="00725C60" w:rsidRDefault="000305B4" w:rsidP="00725C60">
      <w:pPr>
        <w:rPr>
          <w:b/>
          <w:bCs/>
        </w:rPr>
      </w:pPr>
      <w:r w:rsidRPr="00725C60">
        <w:rPr>
          <w:b/>
          <w:bCs/>
        </w:rPr>
        <w:t>Operating Margin</w:t>
      </w:r>
    </w:p>
    <w:p w14:paraId="63F15350" w14:textId="77777777" w:rsidR="000305B4" w:rsidRDefault="000305B4" w:rsidP="000305B4">
      <w:pPr>
        <w:pStyle w:val="ListParagraph"/>
        <w:rPr>
          <w:b/>
          <w:bCs/>
          <w:u w:val="single"/>
        </w:rPr>
      </w:pPr>
    </w:p>
    <w:p w14:paraId="3C1622C4" w14:textId="77777777" w:rsidR="000305B4" w:rsidRDefault="000305B4" w:rsidP="000305B4">
      <w:pPr>
        <w:jc w:val="center"/>
      </w:pPr>
      <w:r>
        <w:t xml:space="preserve">Table </w:t>
      </w:r>
      <w:r w:rsidR="00E4354C">
        <w:fldChar w:fldCharType="begin"/>
      </w:r>
      <w:r w:rsidR="00E4354C">
        <w:instrText xml:space="preserve"> SEQ Table \* ARABIC </w:instrText>
      </w:r>
      <w:r w:rsidR="00E4354C">
        <w:fldChar w:fldCharType="separate"/>
      </w:r>
      <w:r w:rsidR="00B14E4A">
        <w:rPr>
          <w:noProof/>
        </w:rPr>
        <w:t>5</w:t>
      </w:r>
      <w:r w:rsidR="00E4354C">
        <w:rPr>
          <w:noProof/>
        </w:rPr>
        <w:fldChar w:fldCharType="end"/>
      </w:r>
      <w:r>
        <w:t>: Operating Margin</w:t>
      </w:r>
    </w:p>
    <w:tbl>
      <w:tblPr>
        <w:tblW w:w="5385" w:type="dxa"/>
        <w:tblInd w:w="196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80"/>
        <w:gridCol w:w="3505"/>
      </w:tblGrid>
      <w:tr w:rsidR="000305B4" w:rsidRPr="000305B4" w14:paraId="2106CCE0" w14:textId="77777777" w:rsidTr="000305B4">
        <w:trPr>
          <w:trHeight w:val="432"/>
        </w:trPr>
        <w:tc>
          <w:tcPr>
            <w:tcW w:w="1880" w:type="dxa"/>
            <w:noWrap/>
            <w:vAlign w:val="bottom"/>
            <w:hideMark/>
          </w:tcPr>
          <w:p w14:paraId="384098F6" w14:textId="77777777" w:rsidR="000305B4" w:rsidRPr="000305B4" w:rsidRDefault="000305B4" w:rsidP="000305B4">
            <w:pPr>
              <w:spacing w:line="240" w:lineRule="auto"/>
              <w:jc w:val="left"/>
              <w:rPr>
                <w:rFonts w:ascii="Times New Roman" w:eastAsia="Times New Roman" w:hAnsi="Times New Roman" w:cs="Times New Roman"/>
                <w:lang w:val="en-US"/>
              </w:rPr>
            </w:pPr>
          </w:p>
        </w:tc>
        <w:tc>
          <w:tcPr>
            <w:tcW w:w="3505" w:type="dxa"/>
            <w:noWrap/>
            <w:vAlign w:val="center"/>
            <w:hideMark/>
          </w:tcPr>
          <w:p w14:paraId="2138F474" w14:textId="77777777" w:rsidR="000305B4" w:rsidRPr="000305B4" w:rsidRDefault="000305B4" w:rsidP="000305B4">
            <w:pPr>
              <w:spacing w:line="240" w:lineRule="auto"/>
              <w:jc w:val="center"/>
              <w:rPr>
                <w:rFonts w:ascii="Calibri" w:eastAsia="Times New Roman" w:hAnsi="Calibri" w:cs="Calibri"/>
                <w:color w:val="000000"/>
                <w:lang w:val="en-US"/>
              </w:rPr>
            </w:pPr>
            <w:r w:rsidRPr="000305B4">
              <w:rPr>
                <w:rFonts w:ascii="Calibri" w:eastAsia="Times New Roman" w:hAnsi="Calibri" w:cs="Calibri"/>
                <w:color w:val="000000"/>
                <w:lang w:val="en-US"/>
              </w:rPr>
              <w:t>Operating Margin</w:t>
            </w:r>
          </w:p>
        </w:tc>
      </w:tr>
      <w:tr w:rsidR="000305B4" w:rsidRPr="000305B4" w14:paraId="7128CFCB" w14:textId="77777777" w:rsidTr="000305B4">
        <w:trPr>
          <w:trHeight w:val="432"/>
        </w:trPr>
        <w:tc>
          <w:tcPr>
            <w:tcW w:w="1880" w:type="dxa"/>
            <w:noWrap/>
            <w:vAlign w:val="center"/>
            <w:hideMark/>
          </w:tcPr>
          <w:p w14:paraId="1CEE72D6" w14:textId="77777777" w:rsidR="000305B4" w:rsidRPr="000305B4" w:rsidRDefault="000305B4" w:rsidP="000305B4">
            <w:pPr>
              <w:spacing w:line="240" w:lineRule="auto"/>
              <w:jc w:val="center"/>
              <w:rPr>
                <w:rFonts w:ascii="Calibri" w:eastAsia="Times New Roman" w:hAnsi="Calibri" w:cs="Calibri"/>
                <w:color w:val="000000"/>
                <w:lang w:val="en-US"/>
              </w:rPr>
            </w:pPr>
            <w:r w:rsidRPr="000305B4">
              <w:rPr>
                <w:rFonts w:ascii="Calibri" w:eastAsia="Times New Roman" w:hAnsi="Calibri" w:cs="Calibri"/>
                <w:color w:val="000000"/>
                <w:lang w:val="en-US"/>
              </w:rPr>
              <w:t>2024</w:t>
            </w:r>
          </w:p>
        </w:tc>
        <w:tc>
          <w:tcPr>
            <w:tcW w:w="3505" w:type="dxa"/>
            <w:noWrap/>
            <w:vAlign w:val="center"/>
            <w:hideMark/>
          </w:tcPr>
          <w:p w14:paraId="02B83DD5" w14:textId="77777777" w:rsidR="000305B4" w:rsidRPr="000305B4" w:rsidRDefault="000305B4" w:rsidP="000305B4">
            <w:pPr>
              <w:spacing w:line="240" w:lineRule="auto"/>
              <w:jc w:val="center"/>
              <w:rPr>
                <w:rFonts w:ascii="Calibri" w:eastAsia="Times New Roman" w:hAnsi="Calibri" w:cs="Calibri"/>
                <w:color w:val="000000"/>
                <w:lang w:val="en-US"/>
              </w:rPr>
            </w:pPr>
            <w:r w:rsidRPr="000305B4">
              <w:rPr>
                <w:rFonts w:ascii="Calibri" w:eastAsia="Times New Roman" w:hAnsi="Calibri" w:cs="Calibri"/>
                <w:color w:val="000000"/>
                <w:lang w:val="en-US"/>
              </w:rPr>
              <w:t>-3.87%</w:t>
            </w:r>
          </w:p>
        </w:tc>
      </w:tr>
      <w:tr w:rsidR="000305B4" w:rsidRPr="000305B4" w14:paraId="46ABC88A" w14:textId="77777777" w:rsidTr="000305B4">
        <w:trPr>
          <w:trHeight w:val="432"/>
        </w:trPr>
        <w:tc>
          <w:tcPr>
            <w:tcW w:w="1880" w:type="dxa"/>
            <w:noWrap/>
            <w:vAlign w:val="center"/>
            <w:hideMark/>
          </w:tcPr>
          <w:p w14:paraId="45B8A086" w14:textId="77777777" w:rsidR="000305B4" w:rsidRPr="000305B4" w:rsidRDefault="000305B4" w:rsidP="000305B4">
            <w:pPr>
              <w:spacing w:line="240" w:lineRule="auto"/>
              <w:jc w:val="center"/>
              <w:rPr>
                <w:rFonts w:ascii="Calibri" w:eastAsia="Times New Roman" w:hAnsi="Calibri" w:cs="Calibri"/>
                <w:color w:val="000000"/>
                <w:lang w:val="en-US"/>
              </w:rPr>
            </w:pPr>
            <w:r w:rsidRPr="000305B4">
              <w:rPr>
                <w:rFonts w:ascii="Calibri" w:eastAsia="Times New Roman" w:hAnsi="Calibri" w:cs="Calibri"/>
                <w:color w:val="000000"/>
                <w:lang w:val="en-US"/>
              </w:rPr>
              <w:t>2023</w:t>
            </w:r>
          </w:p>
        </w:tc>
        <w:tc>
          <w:tcPr>
            <w:tcW w:w="3505" w:type="dxa"/>
            <w:noWrap/>
            <w:vAlign w:val="center"/>
            <w:hideMark/>
          </w:tcPr>
          <w:p w14:paraId="56F3164F" w14:textId="77777777" w:rsidR="000305B4" w:rsidRPr="000305B4" w:rsidRDefault="000305B4" w:rsidP="000305B4">
            <w:pPr>
              <w:spacing w:line="240" w:lineRule="auto"/>
              <w:jc w:val="center"/>
              <w:rPr>
                <w:rFonts w:ascii="Calibri" w:eastAsia="Times New Roman" w:hAnsi="Calibri" w:cs="Calibri"/>
                <w:color w:val="000000"/>
                <w:lang w:val="en-US"/>
              </w:rPr>
            </w:pPr>
            <w:r w:rsidRPr="000305B4">
              <w:rPr>
                <w:rFonts w:ascii="Calibri" w:eastAsia="Times New Roman" w:hAnsi="Calibri" w:cs="Calibri"/>
                <w:color w:val="000000"/>
                <w:lang w:val="en-US"/>
              </w:rPr>
              <w:t>-20.29%</w:t>
            </w:r>
          </w:p>
        </w:tc>
      </w:tr>
      <w:tr w:rsidR="000305B4" w:rsidRPr="000305B4" w14:paraId="24122AA8" w14:textId="77777777" w:rsidTr="000305B4">
        <w:trPr>
          <w:trHeight w:val="432"/>
        </w:trPr>
        <w:tc>
          <w:tcPr>
            <w:tcW w:w="1880" w:type="dxa"/>
            <w:noWrap/>
            <w:vAlign w:val="center"/>
            <w:hideMark/>
          </w:tcPr>
          <w:p w14:paraId="473928EE" w14:textId="77777777" w:rsidR="000305B4" w:rsidRPr="000305B4" w:rsidRDefault="000305B4" w:rsidP="000305B4">
            <w:pPr>
              <w:spacing w:line="240" w:lineRule="auto"/>
              <w:jc w:val="center"/>
              <w:rPr>
                <w:rFonts w:ascii="Calibri" w:eastAsia="Times New Roman" w:hAnsi="Calibri" w:cs="Calibri"/>
                <w:color w:val="000000"/>
                <w:lang w:val="en-US"/>
              </w:rPr>
            </w:pPr>
            <w:r w:rsidRPr="000305B4">
              <w:rPr>
                <w:rFonts w:ascii="Calibri" w:eastAsia="Times New Roman" w:hAnsi="Calibri" w:cs="Calibri"/>
                <w:color w:val="000000"/>
                <w:lang w:val="en-US"/>
              </w:rPr>
              <w:t>2022</w:t>
            </w:r>
          </w:p>
        </w:tc>
        <w:tc>
          <w:tcPr>
            <w:tcW w:w="3505" w:type="dxa"/>
            <w:noWrap/>
            <w:vAlign w:val="center"/>
            <w:hideMark/>
          </w:tcPr>
          <w:p w14:paraId="76E40148" w14:textId="77777777" w:rsidR="000305B4" w:rsidRPr="000305B4" w:rsidRDefault="000305B4" w:rsidP="000305B4">
            <w:pPr>
              <w:spacing w:line="240" w:lineRule="auto"/>
              <w:jc w:val="center"/>
              <w:rPr>
                <w:rFonts w:ascii="Calibri" w:eastAsia="Times New Roman" w:hAnsi="Calibri" w:cs="Calibri"/>
                <w:color w:val="000000"/>
                <w:lang w:val="en-US"/>
              </w:rPr>
            </w:pPr>
            <w:r w:rsidRPr="000305B4">
              <w:rPr>
                <w:rFonts w:ascii="Calibri" w:eastAsia="Times New Roman" w:hAnsi="Calibri" w:cs="Calibri"/>
                <w:color w:val="000000"/>
                <w:lang w:val="en-US"/>
              </w:rPr>
              <w:t>2.68%</w:t>
            </w:r>
          </w:p>
        </w:tc>
      </w:tr>
      <w:tr w:rsidR="000305B4" w:rsidRPr="000305B4" w14:paraId="79801335" w14:textId="77777777" w:rsidTr="000305B4">
        <w:trPr>
          <w:trHeight w:val="432"/>
        </w:trPr>
        <w:tc>
          <w:tcPr>
            <w:tcW w:w="1880" w:type="dxa"/>
            <w:noWrap/>
            <w:vAlign w:val="center"/>
            <w:hideMark/>
          </w:tcPr>
          <w:p w14:paraId="67FB407A" w14:textId="77777777" w:rsidR="000305B4" w:rsidRPr="000305B4" w:rsidRDefault="000305B4" w:rsidP="000305B4">
            <w:pPr>
              <w:spacing w:line="240" w:lineRule="auto"/>
              <w:jc w:val="center"/>
              <w:rPr>
                <w:rFonts w:ascii="Calibri" w:eastAsia="Times New Roman" w:hAnsi="Calibri" w:cs="Calibri"/>
                <w:color w:val="000000"/>
                <w:lang w:val="en-US"/>
              </w:rPr>
            </w:pPr>
            <w:r w:rsidRPr="000305B4">
              <w:rPr>
                <w:rFonts w:ascii="Calibri" w:eastAsia="Times New Roman" w:hAnsi="Calibri" w:cs="Calibri"/>
                <w:color w:val="000000"/>
                <w:lang w:val="en-US"/>
              </w:rPr>
              <w:t>2021</w:t>
            </w:r>
          </w:p>
        </w:tc>
        <w:tc>
          <w:tcPr>
            <w:tcW w:w="3505" w:type="dxa"/>
            <w:noWrap/>
            <w:vAlign w:val="center"/>
            <w:hideMark/>
          </w:tcPr>
          <w:p w14:paraId="2CE5732B" w14:textId="77777777" w:rsidR="000305B4" w:rsidRPr="000305B4" w:rsidRDefault="000305B4" w:rsidP="000305B4">
            <w:pPr>
              <w:spacing w:line="240" w:lineRule="auto"/>
              <w:jc w:val="center"/>
              <w:rPr>
                <w:rFonts w:ascii="Calibri" w:eastAsia="Times New Roman" w:hAnsi="Calibri" w:cs="Calibri"/>
                <w:color w:val="000000"/>
                <w:lang w:val="en-US"/>
              </w:rPr>
            </w:pPr>
            <w:r w:rsidRPr="000305B4">
              <w:rPr>
                <w:rFonts w:ascii="Calibri" w:eastAsia="Times New Roman" w:hAnsi="Calibri" w:cs="Calibri"/>
                <w:color w:val="000000"/>
                <w:lang w:val="en-US"/>
              </w:rPr>
              <w:t>3.87%</w:t>
            </w:r>
          </w:p>
        </w:tc>
      </w:tr>
    </w:tbl>
    <w:p w14:paraId="416DC93F" w14:textId="77777777" w:rsidR="00AA2B3D" w:rsidRDefault="00AA2B3D"/>
    <w:p w14:paraId="3CAE5150" w14:textId="608508B5" w:rsidR="00216A69" w:rsidRDefault="00725C60" w:rsidP="00377D91">
      <w:pPr>
        <w:spacing w:before="240" w:after="240"/>
      </w:pPr>
      <w:r w:rsidRPr="00725C60">
        <w:t>Based on the values as shown in the table above, it is clear that the company had an operating margin in 2021 and 2022</w:t>
      </w:r>
      <w:r w:rsidR="006B22D1">
        <w:t>,</w:t>
      </w:r>
      <w:r w:rsidRPr="00725C60">
        <w:t xml:space="preserve"> thus being able to meet the operating cost in addition to generating operating profits. This position</w:t>
      </w:r>
      <w:r w:rsidR="0006276D">
        <w:t xml:space="preserve"> </w:t>
      </w:r>
      <w:r w:rsidRPr="00725C60">
        <w:t xml:space="preserve">deteriorated greatly in 2023 when the margin was influenced to a negative margin of -20.29% showing a high level of operating losses and inefficiencies in the same year. </w:t>
      </w:r>
    </w:p>
    <w:p w14:paraId="06723751" w14:textId="77777777" w:rsidR="00536770" w:rsidRDefault="00536770">
      <w:r>
        <w:rPr>
          <w:noProof/>
        </w:rPr>
        <mc:AlternateContent>
          <mc:Choice Requires="wps">
            <w:drawing>
              <wp:anchor distT="0" distB="0" distL="114300" distR="114300" simplePos="0" relativeHeight="251680768" behindDoc="0" locked="0" layoutInCell="1" allowOverlap="1" wp14:anchorId="242B3320" wp14:editId="28552340">
                <wp:simplePos x="0" y="0"/>
                <wp:positionH relativeFrom="column">
                  <wp:posOffset>1154516</wp:posOffset>
                </wp:positionH>
                <wp:positionV relativeFrom="paragraph">
                  <wp:posOffset>21614</wp:posOffset>
                </wp:positionV>
                <wp:extent cx="3740150" cy="635"/>
                <wp:effectExtent l="0" t="0" r="6350" b="12065"/>
                <wp:wrapSquare wrapText="bothSides"/>
                <wp:docPr id="497590829" name="Text Box 1"/>
                <wp:cNvGraphicFramePr/>
                <a:graphic xmlns:a="http://schemas.openxmlformats.org/drawingml/2006/main">
                  <a:graphicData uri="http://schemas.microsoft.com/office/word/2010/wordprocessingShape">
                    <wps:wsp>
                      <wps:cNvSpPr txBox="1"/>
                      <wps:spPr>
                        <a:xfrm>
                          <a:off x="0" y="0"/>
                          <a:ext cx="3740150" cy="635"/>
                        </a:xfrm>
                        <a:prstGeom prst="rect">
                          <a:avLst/>
                        </a:prstGeom>
                        <a:solidFill>
                          <a:prstClr val="white"/>
                        </a:solidFill>
                        <a:ln>
                          <a:noFill/>
                        </a:ln>
                      </wps:spPr>
                      <wps:txbx>
                        <w:txbxContent>
                          <w:p w14:paraId="743DE033" w14:textId="77777777" w:rsidR="00536770" w:rsidRPr="00FB6B75" w:rsidRDefault="00536770" w:rsidP="00536770">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8</w:t>
                            </w:r>
                            <w:r w:rsidR="00E4354C">
                              <w:rPr>
                                <w:noProof/>
                              </w:rPr>
                              <w:fldChar w:fldCharType="end"/>
                            </w:r>
                            <w:r>
                              <w:t>: Operating Margin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2B3320" id="_x0000_s1031" type="#_x0000_t202" style="position:absolute;left:0;text-align:left;margin-left:90.9pt;margin-top:1.7pt;width:294.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" stroked="f">
                <v:textbox style="mso-fit-shape-to-text:t" inset="0,0,0,0">
                  <w:txbxContent>
                    <w:p w14:paraId="743DE033" w14:textId="77777777" w:rsidR="00536770" w:rsidRPr="00FB6B75" w:rsidRDefault="00536770" w:rsidP="00536770">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8</w:t>
                      </w:r>
                      <w:r w:rsidR="00E4354C">
                        <w:rPr>
                          <w:noProof/>
                        </w:rPr>
                        <w:fldChar w:fldCharType="end"/>
                      </w:r>
                      <w:r>
                        <w:t>: Operating Margin</w:t>
                      </w:r>
                    </w:p>
                  </w:txbxContent>
                </v:textbox>
                <w10:wrap type="square"/>
              </v:shape>
            </w:pict>
          </mc:Fallback>
        </mc:AlternateContent>
      </w:r>
    </w:p>
    <w:p w14:paraId="66C0DC51" w14:textId="77777777" w:rsidR="00536770" w:rsidRDefault="00536770">
      <w:r>
        <w:rPr>
          <w:noProof/>
        </w:rPr>
        <w:lastRenderedPageBreak/>
        <w:drawing>
          <wp:anchor distT="0" distB="0" distL="114300" distR="114300" simplePos="0" relativeHeight="251678720" behindDoc="0" locked="0" layoutInCell="1" allowOverlap="1" wp14:anchorId="653612CF" wp14:editId="667C70C1">
            <wp:simplePos x="0" y="0"/>
            <wp:positionH relativeFrom="column">
              <wp:posOffset>1120655</wp:posOffset>
            </wp:positionH>
            <wp:positionV relativeFrom="paragraph">
              <wp:posOffset>117514</wp:posOffset>
            </wp:positionV>
            <wp:extent cx="3740150" cy="2368550"/>
            <wp:effectExtent l="0" t="0" r="6350" b="6350"/>
            <wp:wrapSquare wrapText="bothSides"/>
            <wp:docPr id="1256216953" name="Chart 1">
              <a:extLst xmlns:a="http://schemas.openxmlformats.org/drawingml/2006/main">
                <a:ext uri="{FF2B5EF4-FFF2-40B4-BE49-F238E27FC236}">
                  <a16:creationId xmlns:a16="http://schemas.microsoft.com/office/drawing/2014/main" id="{CCB591D1-7DE1-2B06-8A07-7C892E1E86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0FD0EA9E" w14:textId="77777777" w:rsidR="000305B4" w:rsidRDefault="000305B4"/>
    <w:p w14:paraId="5CC5650C" w14:textId="77777777" w:rsidR="000305B4" w:rsidRDefault="000305B4"/>
    <w:p w14:paraId="1BC2594D" w14:textId="77777777" w:rsidR="000305B4" w:rsidRDefault="000305B4"/>
    <w:p w14:paraId="09E88D95" w14:textId="77777777" w:rsidR="000305B4" w:rsidRDefault="000305B4"/>
    <w:p w14:paraId="398C3FDB" w14:textId="77777777" w:rsidR="000305B4" w:rsidRDefault="000305B4"/>
    <w:p w14:paraId="547A8D46" w14:textId="77777777" w:rsidR="000305B4" w:rsidRDefault="000305B4"/>
    <w:p w14:paraId="7C8A92AA" w14:textId="77777777" w:rsidR="000305B4" w:rsidRDefault="000305B4"/>
    <w:p w14:paraId="6B297499" w14:textId="77777777" w:rsidR="000305B4" w:rsidRDefault="000305B4"/>
    <w:p w14:paraId="306B00B4" w14:textId="77777777" w:rsidR="000305B4" w:rsidRDefault="000305B4"/>
    <w:p w14:paraId="1406BB41" w14:textId="77777777" w:rsidR="000305B4" w:rsidRDefault="000305B4"/>
    <w:p w14:paraId="614A797D" w14:textId="77777777" w:rsidR="00536770" w:rsidRPr="00725C60" w:rsidRDefault="00536770" w:rsidP="00725C60">
      <w:pPr>
        <w:rPr>
          <w:b/>
          <w:bCs/>
        </w:rPr>
      </w:pPr>
      <w:r w:rsidRPr="00725C60">
        <w:rPr>
          <w:b/>
          <w:bCs/>
        </w:rPr>
        <w:t>Net Profit Margin</w:t>
      </w:r>
    </w:p>
    <w:p w14:paraId="01239831" w14:textId="77777777" w:rsidR="00536770" w:rsidRDefault="00536770" w:rsidP="00536770">
      <w:pPr>
        <w:rPr>
          <w:b/>
          <w:bCs/>
          <w:u w:val="single"/>
        </w:rPr>
      </w:pPr>
    </w:p>
    <w:p w14:paraId="4D9232DE" w14:textId="77777777" w:rsidR="00536770" w:rsidRDefault="00536770" w:rsidP="00536770">
      <w:pPr>
        <w:jc w:val="center"/>
        <w:rPr>
          <w:b/>
          <w:bCs/>
          <w:u w:val="single"/>
        </w:rPr>
      </w:pPr>
      <w:r>
        <w:t xml:space="preserve">Table </w:t>
      </w:r>
      <w:r w:rsidR="00E4354C">
        <w:fldChar w:fldCharType="begin"/>
      </w:r>
      <w:r w:rsidR="00E4354C">
        <w:instrText xml:space="preserve"> SEQ Table \* ARABIC </w:instrText>
      </w:r>
      <w:r w:rsidR="00E4354C">
        <w:fldChar w:fldCharType="separate"/>
      </w:r>
      <w:r w:rsidR="00B14E4A">
        <w:rPr>
          <w:noProof/>
        </w:rPr>
        <w:t>6</w:t>
      </w:r>
      <w:r w:rsidR="00E4354C">
        <w:rPr>
          <w:noProof/>
        </w:rPr>
        <w:fldChar w:fldCharType="end"/>
      </w:r>
      <w:r>
        <w:t>: Net Profit Margin</w:t>
      </w:r>
    </w:p>
    <w:tbl>
      <w:tblPr>
        <w:tblStyle w:val="GridTable1Light"/>
        <w:tblW w:w="4855" w:type="dxa"/>
        <w:tblInd w:w="2244" w:type="dxa"/>
        <w:tblLook w:val="04A0" w:firstRow="1" w:lastRow="0" w:firstColumn="1" w:lastColumn="0" w:noHBand="0" w:noVBand="1"/>
      </w:tblPr>
      <w:tblGrid>
        <w:gridCol w:w="1880"/>
        <w:gridCol w:w="2975"/>
      </w:tblGrid>
      <w:tr w:rsidR="00536770" w:rsidRPr="00536770" w14:paraId="158C33DF" w14:textId="77777777" w:rsidTr="00536770">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80" w:type="dxa"/>
            <w:noWrap/>
            <w:vAlign w:val="center"/>
            <w:hideMark/>
          </w:tcPr>
          <w:p w14:paraId="7CB648C9" w14:textId="77777777" w:rsidR="00536770" w:rsidRPr="00536770" w:rsidRDefault="00536770" w:rsidP="00536770">
            <w:pPr>
              <w:jc w:val="center"/>
              <w:rPr>
                <w:rFonts w:ascii="Times New Roman" w:eastAsia="Times New Roman" w:hAnsi="Times New Roman" w:cs="Times New Roman"/>
                <w:lang w:val="en-US"/>
              </w:rPr>
            </w:pPr>
          </w:p>
        </w:tc>
        <w:tc>
          <w:tcPr>
            <w:tcW w:w="2975" w:type="dxa"/>
            <w:noWrap/>
            <w:vAlign w:val="center"/>
            <w:hideMark/>
          </w:tcPr>
          <w:p w14:paraId="78134007" w14:textId="77777777" w:rsidR="00536770" w:rsidRPr="00536770" w:rsidRDefault="00536770" w:rsidP="0053677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536770">
              <w:rPr>
                <w:rFonts w:ascii="Calibri" w:eastAsia="Times New Roman" w:hAnsi="Calibri" w:cs="Calibri"/>
                <w:color w:val="000000"/>
                <w:lang w:val="en-US"/>
              </w:rPr>
              <w:t>Net Profit Margin</w:t>
            </w:r>
          </w:p>
        </w:tc>
      </w:tr>
      <w:tr w:rsidR="00536770" w:rsidRPr="00536770" w14:paraId="3A9B59E7" w14:textId="77777777" w:rsidTr="00536770">
        <w:trPr>
          <w:trHeight w:val="432"/>
        </w:trPr>
        <w:tc>
          <w:tcPr>
            <w:cnfStyle w:val="001000000000" w:firstRow="0" w:lastRow="0" w:firstColumn="1" w:lastColumn="0" w:oddVBand="0" w:evenVBand="0" w:oddHBand="0" w:evenHBand="0" w:firstRowFirstColumn="0" w:firstRowLastColumn="0" w:lastRowFirstColumn="0" w:lastRowLastColumn="0"/>
            <w:tcW w:w="1880" w:type="dxa"/>
            <w:noWrap/>
            <w:vAlign w:val="center"/>
            <w:hideMark/>
          </w:tcPr>
          <w:p w14:paraId="3EAEB812" w14:textId="77777777" w:rsidR="00536770" w:rsidRPr="00536770" w:rsidRDefault="00536770" w:rsidP="00536770">
            <w:pPr>
              <w:jc w:val="center"/>
              <w:rPr>
                <w:rFonts w:ascii="Calibri" w:eastAsia="Times New Roman" w:hAnsi="Calibri" w:cs="Calibri"/>
                <w:color w:val="000000"/>
                <w:lang w:val="en-US"/>
              </w:rPr>
            </w:pPr>
            <w:r w:rsidRPr="00536770">
              <w:rPr>
                <w:rFonts w:ascii="Calibri" w:eastAsia="Times New Roman" w:hAnsi="Calibri" w:cs="Calibri"/>
                <w:color w:val="000000"/>
                <w:lang w:val="en-US"/>
              </w:rPr>
              <w:t>2024</w:t>
            </w:r>
          </w:p>
        </w:tc>
        <w:tc>
          <w:tcPr>
            <w:tcW w:w="2975" w:type="dxa"/>
            <w:noWrap/>
            <w:vAlign w:val="center"/>
            <w:hideMark/>
          </w:tcPr>
          <w:p w14:paraId="4FD85E02" w14:textId="77777777" w:rsidR="00536770" w:rsidRPr="00536770" w:rsidRDefault="00536770" w:rsidP="005367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536770">
              <w:rPr>
                <w:rFonts w:ascii="Calibri" w:eastAsia="Times New Roman" w:hAnsi="Calibri" w:cs="Calibri"/>
                <w:color w:val="000000"/>
                <w:lang w:val="en-US"/>
              </w:rPr>
              <w:t>-6.09%</w:t>
            </w:r>
          </w:p>
        </w:tc>
      </w:tr>
      <w:tr w:rsidR="00536770" w:rsidRPr="00536770" w14:paraId="0199C69B" w14:textId="77777777" w:rsidTr="00536770">
        <w:trPr>
          <w:trHeight w:val="432"/>
        </w:trPr>
        <w:tc>
          <w:tcPr>
            <w:cnfStyle w:val="001000000000" w:firstRow="0" w:lastRow="0" w:firstColumn="1" w:lastColumn="0" w:oddVBand="0" w:evenVBand="0" w:oddHBand="0" w:evenHBand="0" w:firstRowFirstColumn="0" w:firstRowLastColumn="0" w:lastRowFirstColumn="0" w:lastRowLastColumn="0"/>
            <w:tcW w:w="1880" w:type="dxa"/>
            <w:noWrap/>
            <w:vAlign w:val="center"/>
            <w:hideMark/>
          </w:tcPr>
          <w:p w14:paraId="74D4D153" w14:textId="77777777" w:rsidR="00536770" w:rsidRPr="00536770" w:rsidRDefault="00536770" w:rsidP="00536770">
            <w:pPr>
              <w:jc w:val="center"/>
              <w:rPr>
                <w:rFonts w:ascii="Calibri" w:eastAsia="Times New Roman" w:hAnsi="Calibri" w:cs="Calibri"/>
                <w:color w:val="000000"/>
                <w:lang w:val="en-US"/>
              </w:rPr>
            </w:pPr>
            <w:r w:rsidRPr="00536770">
              <w:rPr>
                <w:rFonts w:ascii="Calibri" w:eastAsia="Times New Roman" w:hAnsi="Calibri" w:cs="Calibri"/>
                <w:color w:val="000000"/>
                <w:lang w:val="en-US"/>
              </w:rPr>
              <w:t>2023</w:t>
            </w:r>
          </w:p>
        </w:tc>
        <w:tc>
          <w:tcPr>
            <w:tcW w:w="2975" w:type="dxa"/>
            <w:noWrap/>
            <w:vAlign w:val="center"/>
            <w:hideMark/>
          </w:tcPr>
          <w:p w14:paraId="236F5843" w14:textId="77777777" w:rsidR="00536770" w:rsidRPr="00536770" w:rsidRDefault="00536770" w:rsidP="005367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536770">
              <w:rPr>
                <w:rFonts w:ascii="Calibri" w:eastAsia="Times New Roman" w:hAnsi="Calibri" w:cs="Calibri"/>
                <w:color w:val="000000"/>
                <w:lang w:val="en-US"/>
              </w:rPr>
              <w:t>-23.36%</w:t>
            </w:r>
          </w:p>
        </w:tc>
      </w:tr>
      <w:tr w:rsidR="00536770" w:rsidRPr="00536770" w14:paraId="7E424998" w14:textId="77777777" w:rsidTr="00536770">
        <w:trPr>
          <w:trHeight w:val="432"/>
        </w:trPr>
        <w:tc>
          <w:tcPr>
            <w:cnfStyle w:val="001000000000" w:firstRow="0" w:lastRow="0" w:firstColumn="1" w:lastColumn="0" w:oddVBand="0" w:evenVBand="0" w:oddHBand="0" w:evenHBand="0" w:firstRowFirstColumn="0" w:firstRowLastColumn="0" w:lastRowFirstColumn="0" w:lastRowLastColumn="0"/>
            <w:tcW w:w="1880" w:type="dxa"/>
            <w:noWrap/>
            <w:vAlign w:val="center"/>
            <w:hideMark/>
          </w:tcPr>
          <w:p w14:paraId="0364C7A2" w14:textId="77777777" w:rsidR="00536770" w:rsidRPr="00536770" w:rsidRDefault="00536770" w:rsidP="00536770">
            <w:pPr>
              <w:jc w:val="center"/>
              <w:rPr>
                <w:rFonts w:ascii="Calibri" w:eastAsia="Times New Roman" w:hAnsi="Calibri" w:cs="Calibri"/>
                <w:color w:val="000000"/>
                <w:lang w:val="en-US"/>
              </w:rPr>
            </w:pPr>
            <w:r w:rsidRPr="00536770">
              <w:rPr>
                <w:rFonts w:ascii="Calibri" w:eastAsia="Times New Roman" w:hAnsi="Calibri" w:cs="Calibri"/>
                <w:color w:val="000000"/>
                <w:lang w:val="en-US"/>
              </w:rPr>
              <w:t>2022</w:t>
            </w:r>
          </w:p>
        </w:tc>
        <w:tc>
          <w:tcPr>
            <w:tcW w:w="2975" w:type="dxa"/>
            <w:noWrap/>
            <w:vAlign w:val="center"/>
            <w:hideMark/>
          </w:tcPr>
          <w:p w14:paraId="4C4B427B" w14:textId="77777777" w:rsidR="00536770" w:rsidRPr="00536770" w:rsidRDefault="00536770" w:rsidP="005367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536770">
              <w:rPr>
                <w:rFonts w:ascii="Calibri" w:eastAsia="Times New Roman" w:hAnsi="Calibri" w:cs="Calibri"/>
                <w:color w:val="000000"/>
                <w:lang w:val="en-US"/>
              </w:rPr>
              <w:t>0.07%</w:t>
            </w:r>
          </w:p>
        </w:tc>
      </w:tr>
      <w:tr w:rsidR="00536770" w:rsidRPr="00536770" w14:paraId="5FD2EF53" w14:textId="77777777" w:rsidTr="00536770">
        <w:trPr>
          <w:trHeight w:val="432"/>
        </w:trPr>
        <w:tc>
          <w:tcPr>
            <w:cnfStyle w:val="001000000000" w:firstRow="0" w:lastRow="0" w:firstColumn="1" w:lastColumn="0" w:oddVBand="0" w:evenVBand="0" w:oddHBand="0" w:evenHBand="0" w:firstRowFirstColumn="0" w:firstRowLastColumn="0" w:lastRowFirstColumn="0" w:lastRowLastColumn="0"/>
            <w:tcW w:w="1880" w:type="dxa"/>
            <w:noWrap/>
            <w:vAlign w:val="center"/>
            <w:hideMark/>
          </w:tcPr>
          <w:p w14:paraId="500E5629" w14:textId="77777777" w:rsidR="00536770" w:rsidRPr="00536770" w:rsidRDefault="00536770" w:rsidP="00536770">
            <w:pPr>
              <w:jc w:val="center"/>
              <w:rPr>
                <w:rFonts w:ascii="Calibri" w:eastAsia="Times New Roman" w:hAnsi="Calibri" w:cs="Calibri"/>
                <w:color w:val="000000"/>
                <w:lang w:val="en-US"/>
              </w:rPr>
            </w:pPr>
            <w:r w:rsidRPr="00536770">
              <w:rPr>
                <w:rFonts w:ascii="Calibri" w:eastAsia="Times New Roman" w:hAnsi="Calibri" w:cs="Calibri"/>
                <w:color w:val="000000"/>
                <w:lang w:val="en-US"/>
              </w:rPr>
              <w:t>2021</w:t>
            </w:r>
          </w:p>
        </w:tc>
        <w:tc>
          <w:tcPr>
            <w:tcW w:w="2975" w:type="dxa"/>
            <w:noWrap/>
            <w:vAlign w:val="center"/>
            <w:hideMark/>
          </w:tcPr>
          <w:p w14:paraId="510C4C2B" w14:textId="77777777" w:rsidR="00536770" w:rsidRPr="00536770" w:rsidRDefault="00536770" w:rsidP="005367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536770">
              <w:rPr>
                <w:rFonts w:ascii="Calibri" w:eastAsia="Times New Roman" w:hAnsi="Calibri" w:cs="Calibri"/>
                <w:color w:val="000000"/>
                <w:lang w:val="en-US"/>
              </w:rPr>
              <w:t>0.88%</w:t>
            </w:r>
          </w:p>
        </w:tc>
      </w:tr>
    </w:tbl>
    <w:p w14:paraId="3A343DF6" w14:textId="77777777" w:rsidR="00536770" w:rsidRDefault="00536770"/>
    <w:p w14:paraId="22AED633" w14:textId="47175A81" w:rsidR="00216A69" w:rsidRDefault="006351BF">
      <w:r w:rsidRPr="006351BF">
        <w:t xml:space="preserve">The net profit margin trend above indicates that there is an apparent worsening of </w:t>
      </w:r>
      <w:r w:rsidR="006B22D1">
        <w:t xml:space="preserve">the </w:t>
      </w:r>
      <w:r w:rsidRPr="006351BF">
        <w:t xml:space="preserve">net profit margin </w:t>
      </w:r>
      <w:r w:rsidR="006B22D1">
        <w:t>during</w:t>
      </w:r>
      <w:r w:rsidRPr="006351BF">
        <w:t xml:space="preserve"> the period subjected to review. The margin in 2021 and 2022 was slightly positive, 0.88% and 0.07</w:t>
      </w:r>
      <w:r w:rsidR="006B22D1">
        <w:t>,</w:t>
      </w:r>
      <w:r w:rsidRPr="006351BF">
        <w:t xml:space="preserve"> </w:t>
      </w:r>
      <w:proofErr w:type="gramStart"/>
      <w:r w:rsidRPr="006351BF">
        <w:t>than</w:t>
      </w:r>
      <w:proofErr w:type="gramEnd"/>
      <w:r w:rsidRPr="006351BF">
        <w:t xml:space="preserve"> in previous years, which means that the company continued to make little profits, even though the performance had weakened. </w:t>
      </w:r>
    </w:p>
    <w:p w14:paraId="285C15C8" w14:textId="77777777" w:rsidR="00502120" w:rsidRDefault="00502120">
      <w:r>
        <w:rPr>
          <w:noProof/>
        </w:rPr>
        <mc:AlternateContent>
          <mc:Choice Requires="wps">
            <w:drawing>
              <wp:anchor distT="0" distB="0" distL="114300" distR="114300" simplePos="0" relativeHeight="251683840" behindDoc="0" locked="0" layoutInCell="1" allowOverlap="1" wp14:anchorId="4EFE88FC" wp14:editId="15DA0277">
                <wp:simplePos x="0" y="0"/>
                <wp:positionH relativeFrom="column">
                  <wp:posOffset>1140546</wp:posOffset>
                </wp:positionH>
                <wp:positionV relativeFrom="paragraph">
                  <wp:posOffset>240241</wp:posOffset>
                </wp:positionV>
                <wp:extent cx="4055745" cy="635"/>
                <wp:effectExtent l="0" t="0" r="0" b="12065"/>
                <wp:wrapSquare wrapText="bothSides"/>
                <wp:docPr id="542525659" name="Text Box 1"/>
                <wp:cNvGraphicFramePr/>
                <a:graphic xmlns:a="http://schemas.openxmlformats.org/drawingml/2006/main">
                  <a:graphicData uri="http://schemas.microsoft.com/office/word/2010/wordprocessingShape">
                    <wps:wsp>
                      <wps:cNvSpPr txBox="1"/>
                      <wps:spPr>
                        <a:xfrm>
                          <a:off x="0" y="0"/>
                          <a:ext cx="4055745" cy="635"/>
                        </a:xfrm>
                        <a:prstGeom prst="rect">
                          <a:avLst/>
                        </a:prstGeom>
                        <a:solidFill>
                          <a:prstClr val="white"/>
                        </a:solidFill>
                        <a:ln>
                          <a:noFill/>
                        </a:ln>
                      </wps:spPr>
                      <wps:txbx>
                        <w:txbxContent>
                          <w:p w14:paraId="15570749" w14:textId="77777777" w:rsidR="00502120" w:rsidRPr="00943001" w:rsidRDefault="00502120" w:rsidP="00502120">
                            <w:pPr>
                              <w:jc w:val="center"/>
                              <w:rPr>
                                <w:noProof/>
                              </w:rPr>
                            </w:pPr>
                            <w:r>
                              <w:t xml:space="preserve">Figure </w:t>
                            </w:r>
                            <w:r w:rsidR="00E4354C">
                              <w:fldChar w:fldCharType="begin"/>
                            </w:r>
                            <w:r w:rsidR="00E4354C">
                              <w:instrText xml:space="preserve"> SEQ Figure \*</w:instrText>
                            </w:r>
                            <w:r w:rsidR="00E4354C">
                              <w:instrText xml:space="preserve"> ARABIC </w:instrText>
                            </w:r>
                            <w:r w:rsidR="00E4354C">
                              <w:fldChar w:fldCharType="separate"/>
                            </w:r>
                            <w:r w:rsidR="00A37FF8">
                              <w:rPr>
                                <w:noProof/>
                              </w:rPr>
                              <w:t>9</w:t>
                            </w:r>
                            <w:r w:rsidR="00E4354C">
                              <w:rPr>
                                <w:noProof/>
                              </w:rPr>
                              <w:fldChar w:fldCharType="end"/>
                            </w:r>
                            <w:r>
                              <w:t>: ROA and ROE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FE88FC" id="_x0000_s1032" type="#_x0000_t202" style="position:absolute;left:0;text-align:left;margin-left:89.8pt;margin-top:18.9pt;width:319.3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" stroked="f">
                <v:textbox style="mso-fit-shape-to-text:t" inset="0,0,0,0">
                  <w:txbxContent>
                    <w:p w14:paraId="15570749" w14:textId="77777777" w:rsidR="00502120" w:rsidRPr="00943001" w:rsidRDefault="00502120" w:rsidP="00502120">
                      <w:pPr>
                        <w:jc w:val="center"/>
                        <w:rPr>
                          <w:noProof/>
                        </w:rPr>
                      </w:pPr>
                      <w:r>
                        <w:t xml:space="preserve">Figure </w:t>
                      </w:r>
                      <w:r w:rsidR="00E4354C">
                        <w:fldChar w:fldCharType="begin"/>
                      </w:r>
                      <w:r w:rsidR="00E4354C">
                        <w:instrText xml:space="preserve"> SEQ Figure \*</w:instrText>
                      </w:r>
                      <w:r w:rsidR="00E4354C">
                        <w:instrText xml:space="preserve"> ARABIC </w:instrText>
                      </w:r>
                      <w:r w:rsidR="00E4354C">
                        <w:fldChar w:fldCharType="separate"/>
                      </w:r>
                      <w:r w:rsidR="00A37FF8">
                        <w:rPr>
                          <w:noProof/>
                        </w:rPr>
                        <w:t>9</w:t>
                      </w:r>
                      <w:r w:rsidR="00E4354C">
                        <w:rPr>
                          <w:noProof/>
                        </w:rPr>
                        <w:fldChar w:fldCharType="end"/>
                      </w:r>
                      <w:r>
                        <w:t>: ROA and ROE</w:t>
                      </w:r>
                    </w:p>
                  </w:txbxContent>
                </v:textbox>
                <w10:wrap type="square"/>
              </v:shape>
            </w:pict>
          </mc:Fallback>
        </mc:AlternateContent>
      </w:r>
    </w:p>
    <w:p w14:paraId="6FBC61EC" w14:textId="77777777" w:rsidR="00216A69" w:rsidRDefault="00216A69"/>
    <w:p w14:paraId="29058F23" w14:textId="77777777" w:rsidR="00502120" w:rsidRDefault="00502120">
      <w:r>
        <w:rPr>
          <w:noProof/>
        </w:rPr>
        <w:lastRenderedPageBreak/>
        <w:drawing>
          <wp:anchor distT="0" distB="0" distL="114300" distR="114300" simplePos="0" relativeHeight="251681792" behindDoc="0" locked="0" layoutInCell="1" allowOverlap="1" wp14:anchorId="679D5DAE" wp14:editId="3829EDE2">
            <wp:simplePos x="0" y="0"/>
            <wp:positionH relativeFrom="column">
              <wp:posOffset>1141095</wp:posOffset>
            </wp:positionH>
            <wp:positionV relativeFrom="paragraph">
              <wp:posOffset>70757</wp:posOffset>
            </wp:positionV>
            <wp:extent cx="4055745" cy="2673985"/>
            <wp:effectExtent l="0" t="0" r="8255" b="18415"/>
            <wp:wrapSquare wrapText="bothSides"/>
            <wp:docPr id="1116899211" name="Chart 1">
              <a:extLst xmlns:a="http://schemas.openxmlformats.org/drawingml/2006/main">
                <a:ext uri="{FF2B5EF4-FFF2-40B4-BE49-F238E27FC236}">
                  <a16:creationId xmlns:a16="http://schemas.microsoft.com/office/drawing/2014/main" id="{5E75787E-BF43-623F-E48C-EDE8F3D4CB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5550FF44" w14:textId="77777777" w:rsidR="00502120" w:rsidRDefault="00502120"/>
    <w:p w14:paraId="1F5DAD78" w14:textId="77777777" w:rsidR="00502120" w:rsidRDefault="00502120"/>
    <w:p w14:paraId="67D49F4C" w14:textId="77777777" w:rsidR="00502120" w:rsidRDefault="00502120"/>
    <w:p w14:paraId="62F0041E" w14:textId="77777777" w:rsidR="00502120" w:rsidRDefault="00502120"/>
    <w:p w14:paraId="2CDAE71D" w14:textId="77777777" w:rsidR="00502120" w:rsidRDefault="00502120"/>
    <w:p w14:paraId="64E112CF" w14:textId="77777777" w:rsidR="00502120" w:rsidRDefault="00502120"/>
    <w:p w14:paraId="299B6FC9" w14:textId="77777777" w:rsidR="00502120" w:rsidRDefault="00502120"/>
    <w:p w14:paraId="4B1C2AAA" w14:textId="77777777" w:rsidR="00502120" w:rsidRDefault="00502120"/>
    <w:p w14:paraId="129DA1E3" w14:textId="77777777" w:rsidR="00502120" w:rsidRDefault="00502120"/>
    <w:p w14:paraId="44584B0B" w14:textId="77777777" w:rsidR="00502120" w:rsidRDefault="00502120"/>
    <w:p w14:paraId="0A43CD13" w14:textId="77777777" w:rsidR="00536770" w:rsidRPr="006351BF" w:rsidRDefault="00536770" w:rsidP="006351BF">
      <w:pPr>
        <w:rPr>
          <w:b/>
          <w:bCs/>
        </w:rPr>
      </w:pPr>
      <w:r w:rsidRPr="006351BF">
        <w:rPr>
          <w:b/>
          <w:bCs/>
        </w:rPr>
        <w:t>Return on Assets</w:t>
      </w:r>
    </w:p>
    <w:p w14:paraId="661F10D7" w14:textId="77777777" w:rsidR="00536770" w:rsidRDefault="00536770" w:rsidP="00536770">
      <w:pPr>
        <w:rPr>
          <w:b/>
          <w:bCs/>
          <w:u w:val="single"/>
        </w:rPr>
      </w:pPr>
    </w:p>
    <w:p w14:paraId="50D5F81F" w14:textId="77777777" w:rsidR="00502120" w:rsidRDefault="00502120" w:rsidP="00502120">
      <w:pPr>
        <w:jc w:val="center"/>
      </w:pPr>
      <w:r>
        <w:t xml:space="preserve">Table </w:t>
      </w:r>
      <w:r w:rsidR="00E4354C">
        <w:fldChar w:fldCharType="begin"/>
      </w:r>
      <w:r w:rsidR="00E4354C">
        <w:instrText xml:space="preserve"> SEQ Table \* ARABIC </w:instrText>
      </w:r>
      <w:r w:rsidR="00E4354C">
        <w:fldChar w:fldCharType="separate"/>
      </w:r>
      <w:r w:rsidR="00B14E4A">
        <w:rPr>
          <w:noProof/>
        </w:rPr>
        <w:t>7</w:t>
      </w:r>
      <w:r w:rsidR="00E4354C">
        <w:rPr>
          <w:noProof/>
        </w:rPr>
        <w:fldChar w:fldCharType="end"/>
      </w:r>
      <w:r>
        <w:t>: ROA and ROE</w:t>
      </w:r>
    </w:p>
    <w:tbl>
      <w:tblPr>
        <w:tblW w:w="5220" w:type="dxa"/>
        <w:tblInd w:w="246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80"/>
        <w:gridCol w:w="1460"/>
        <w:gridCol w:w="1880"/>
      </w:tblGrid>
      <w:tr w:rsidR="00502120" w:rsidRPr="00502120" w14:paraId="3E13287E" w14:textId="77777777" w:rsidTr="00502120">
        <w:trPr>
          <w:trHeight w:val="432"/>
        </w:trPr>
        <w:tc>
          <w:tcPr>
            <w:tcW w:w="1880" w:type="dxa"/>
            <w:noWrap/>
            <w:vAlign w:val="center"/>
            <w:hideMark/>
          </w:tcPr>
          <w:p w14:paraId="3B9CAC4E" w14:textId="77777777" w:rsidR="00502120" w:rsidRPr="00502120" w:rsidRDefault="00502120" w:rsidP="00502120">
            <w:pPr>
              <w:spacing w:line="240" w:lineRule="auto"/>
              <w:jc w:val="center"/>
              <w:rPr>
                <w:rFonts w:ascii="Times New Roman" w:eastAsia="Times New Roman" w:hAnsi="Times New Roman" w:cs="Times New Roman"/>
                <w:lang w:val="en-US"/>
              </w:rPr>
            </w:pPr>
          </w:p>
        </w:tc>
        <w:tc>
          <w:tcPr>
            <w:tcW w:w="1460" w:type="dxa"/>
            <w:noWrap/>
            <w:vAlign w:val="center"/>
            <w:hideMark/>
          </w:tcPr>
          <w:p w14:paraId="048B0D86"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ROA</w:t>
            </w:r>
          </w:p>
        </w:tc>
        <w:tc>
          <w:tcPr>
            <w:tcW w:w="1880" w:type="dxa"/>
            <w:noWrap/>
            <w:vAlign w:val="center"/>
            <w:hideMark/>
          </w:tcPr>
          <w:p w14:paraId="65927158"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ROE</w:t>
            </w:r>
          </w:p>
        </w:tc>
      </w:tr>
      <w:tr w:rsidR="00502120" w:rsidRPr="00502120" w14:paraId="41BDCFA4" w14:textId="77777777" w:rsidTr="00502120">
        <w:trPr>
          <w:trHeight w:val="432"/>
        </w:trPr>
        <w:tc>
          <w:tcPr>
            <w:tcW w:w="1880" w:type="dxa"/>
            <w:noWrap/>
            <w:vAlign w:val="center"/>
            <w:hideMark/>
          </w:tcPr>
          <w:p w14:paraId="0005365B"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2024</w:t>
            </w:r>
          </w:p>
        </w:tc>
        <w:tc>
          <w:tcPr>
            <w:tcW w:w="1460" w:type="dxa"/>
            <w:noWrap/>
            <w:vAlign w:val="center"/>
            <w:hideMark/>
          </w:tcPr>
          <w:p w14:paraId="6302E699"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-7.43%</w:t>
            </w:r>
          </w:p>
        </w:tc>
        <w:tc>
          <w:tcPr>
            <w:tcW w:w="1880" w:type="dxa"/>
            <w:noWrap/>
            <w:vAlign w:val="center"/>
            <w:hideMark/>
          </w:tcPr>
          <w:p w14:paraId="01555580"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-15.69%</w:t>
            </w:r>
          </w:p>
        </w:tc>
      </w:tr>
      <w:tr w:rsidR="00502120" w:rsidRPr="00502120" w14:paraId="3A36896F" w14:textId="77777777" w:rsidTr="00502120">
        <w:trPr>
          <w:trHeight w:val="432"/>
        </w:trPr>
        <w:tc>
          <w:tcPr>
            <w:tcW w:w="1880" w:type="dxa"/>
            <w:noWrap/>
            <w:vAlign w:val="center"/>
            <w:hideMark/>
          </w:tcPr>
          <w:p w14:paraId="29D38CA4"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2023</w:t>
            </w:r>
          </w:p>
        </w:tc>
        <w:tc>
          <w:tcPr>
            <w:tcW w:w="1460" w:type="dxa"/>
            <w:noWrap/>
            <w:vAlign w:val="center"/>
            <w:hideMark/>
          </w:tcPr>
          <w:p w14:paraId="33C72826"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-27.60%</w:t>
            </w:r>
          </w:p>
        </w:tc>
        <w:tc>
          <w:tcPr>
            <w:tcW w:w="1880" w:type="dxa"/>
            <w:noWrap/>
            <w:vAlign w:val="center"/>
            <w:hideMark/>
          </w:tcPr>
          <w:p w14:paraId="7A5C18F6"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-54.91%</w:t>
            </w:r>
          </w:p>
        </w:tc>
      </w:tr>
      <w:tr w:rsidR="00502120" w:rsidRPr="00502120" w14:paraId="19D62F53" w14:textId="77777777" w:rsidTr="00502120">
        <w:trPr>
          <w:trHeight w:val="432"/>
        </w:trPr>
        <w:tc>
          <w:tcPr>
            <w:tcW w:w="1880" w:type="dxa"/>
            <w:noWrap/>
            <w:vAlign w:val="center"/>
            <w:hideMark/>
          </w:tcPr>
          <w:p w14:paraId="594328BC"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2022</w:t>
            </w:r>
          </w:p>
        </w:tc>
        <w:tc>
          <w:tcPr>
            <w:tcW w:w="1460" w:type="dxa"/>
            <w:noWrap/>
            <w:vAlign w:val="center"/>
            <w:hideMark/>
          </w:tcPr>
          <w:p w14:paraId="007EA418"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0.08%</w:t>
            </w:r>
          </w:p>
        </w:tc>
        <w:tc>
          <w:tcPr>
            <w:tcW w:w="1880" w:type="dxa"/>
            <w:noWrap/>
            <w:vAlign w:val="center"/>
            <w:hideMark/>
          </w:tcPr>
          <w:p w14:paraId="1569E07F"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0.15%</w:t>
            </w:r>
          </w:p>
        </w:tc>
      </w:tr>
      <w:tr w:rsidR="00502120" w:rsidRPr="00502120" w14:paraId="60DAEE1B" w14:textId="77777777" w:rsidTr="00502120">
        <w:trPr>
          <w:trHeight w:val="432"/>
        </w:trPr>
        <w:tc>
          <w:tcPr>
            <w:tcW w:w="1880" w:type="dxa"/>
            <w:noWrap/>
            <w:vAlign w:val="center"/>
            <w:hideMark/>
          </w:tcPr>
          <w:p w14:paraId="48E23132"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2021</w:t>
            </w:r>
          </w:p>
        </w:tc>
        <w:tc>
          <w:tcPr>
            <w:tcW w:w="1460" w:type="dxa"/>
            <w:noWrap/>
            <w:vAlign w:val="center"/>
            <w:hideMark/>
          </w:tcPr>
          <w:p w14:paraId="2886298A"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1.04%</w:t>
            </w:r>
          </w:p>
        </w:tc>
        <w:tc>
          <w:tcPr>
            <w:tcW w:w="1880" w:type="dxa"/>
            <w:noWrap/>
            <w:vAlign w:val="center"/>
            <w:hideMark/>
          </w:tcPr>
          <w:p w14:paraId="3DF4512D" w14:textId="77777777" w:rsidR="00502120" w:rsidRPr="00502120" w:rsidRDefault="00502120" w:rsidP="00502120">
            <w:pPr>
              <w:spacing w:line="240" w:lineRule="auto"/>
              <w:jc w:val="center"/>
              <w:rPr>
                <w:rFonts w:ascii="Calibri" w:eastAsia="Times New Roman" w:hAnsi="Calibri" w:cs="Calibri"/>
                <w:color w:val="000000"/>
                <w:lang w:val="en-US"/>
              </w:rPr>
            </w:pPr>
            <w:r w:rsidRPr="00502120">
              <w:rPr>
                <w:rFonts w:ascii="Calibri" w:eastAsia="Times New Roman" w:hAnsi="Calibri" w:cs="Calibri"/>
                <w:color w:val="000000"/>
                <w:lang w:val="en-US"/>
              </w:rPr>
              <w:t>1.92%</w:t>
            </w:r>
          </w:p>
        </w:tc>
      </w:tr>
    </w:tbl>
    <w:p w14:paraId="49ED7BF1" w14:textId="77777777" w:rsidR="00536770" w:rsidRPr="00502120" w:rsidRDefault="00536770" w:rsidP="00502120">
      <w:pPr>
        <w:rPr>
          <w:b/>
          <w:bCs/>
          <w:u w:val="single"/>
        </w:rPr>
      </w:pPr>
    </w:p>
    <w:p w14:paraId="1FAFE2C1" w14:textId="704378C5" w:rsidR="00536770" w:rsidRDefault="006351BF" w:rsidP="00536770">
      <w:r w:rsidRPr="006351BF">
        <w:t xml:space="preserve">The analysis of the profitability of the company using the </w:t>
      </w:r>
      <w:r w:rsidR="00D94F73">
        <w:t>ratios</w:t>
      </w:r>
      <w:r w:rsidRPr="006351BF">
        <w:t xml:space="preserve"> of return on assets (ROA) and return on equity (ROE) shows that there is a steady trend in the performance of the </w:t>
      </w:r>
      <w:proofErr w:type="spellStart"/>
      <w:r w:rsidR="00D94F73">
        <w:t>organisation</w:t>
      </w:r>
      <w:proofErr w:type="spellEnd"/>
      <w:r w:rsidRPr="006351BF">
        <w:t xml:space="preserve"> regarding profitability. The ratios in 2021 and 2022 were also positive, which implies that the company could earn returns out of both its asset base and the equity of its shareholders</w:t>
      </w:r>
      <w:r w:rsidR="00731DFB">
        <w:t xml:space="preserve"> </w:t>
      </w:r>
      <w:r w:rsidRPr="006351BF">
        <w:t>(</w:t>
      </w:r>
      <w:proofErr w:type="spellStart"/>
      <w:r w:rsidRPr="006351BF">
        <w:t>Sinurat</w:t>
      </w:r>
      <w:proofErr w:type="spellEnd"/>
      <w:r w:rsidRPr="006351BF">
        <w:t xml:space="preserve"> et al., 2025). </w:t>
      </w:r>
    </w:p>
    <w:p w14:paraId="65415715" w14:textId="77777777" w:rsidR="00536770" w:rsidRPr="00536770" w:rsidRDefault="00536770" w:rsidP="00536770">
      <w:pPr>
        <w:pStyle w:val="ListParagraph"/>
        <w:rPr>
          <w:b/>
          <w:bCs/>
          <w:u w:val="single"/>
        </w:rPr>
      </w:pPr>
    </w:p>
    <w:p w14:paraId="16B6BD3D" w14:textId="77777777" w:rsidR="00536770" w:rsidRDefault="00502120">
      <w:r>
        <w:rPr>
          <w:noProof/>
        </w:rPr>
        <mc:AlternateContent>
          <mc:Choice Requires="wps">
            <w:drawing>
              <wp:anchor distT="0" distB="0" distL="114300" distR="114300" simplePos="0" relativeHeight="251687936" behindDoc="0" locked="0" layoutInCell="1" allowOverlap="1" wp14:anchorId="2B9D76A1" wp14:editId="52DCBA21">
                <wp:simplePos x="0" y="0"/>
                <wp:positionH relativeFrom="column">
                  <wp:posOffset>611505</wp:posOffset>
                </wp:positionH>
                <wp:positionV relativeFrom="paragraph">
                  <wp:posOffset>13431</wp:posOffset>
                </wp:positionV>
                <wp:extent cx="5323840" cy="635"/>
                <wp:effectExtent l="0" t="0" r="0" b="12065"/>
                <wp:wrapNone/>
                <wp:docPr id="1319534419" name="Text Box 1"/>
                <wp:cNvGraphicFramePr/>
                <a:graphic xmlns:a="http://schemas.openxmlformats.org/drawingml/2006/main">
                  <a:graphicData uri="http://schemas.microsoft.com/office/word/2010/wordprocessingShape">
                    <wps:wsp>
                      <wps:cNvSpPr txBox="1"/>
                      <wps:spPr>
                        <a:xfrm>
                          <a:off x="0" y="0"/>
                          <a:ext cx="5323840" cy="635"/>
                        </a:xfrm>
                        <a:prstGeom prst="rect">
                          <a:avLst/>
                        </a:prstGeom>
                        <a:solidFill>
                          <a:prstClr val="white"/>
                        </a:solidFill>
                        <a:ln>
                          <a:noFill/>
                        </a:ln>
                      </wps:spPr>
                      <wps:txbx>
                        <w:txbxContent>
                          <w:p w14:paraId="32747C0A" w14:textId="77777777" w:rsidR="00502120" w:rsidRPr="004969AC" w:rsidRDefault="00502120" w:rsidP="00502120">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10</w:t>
                            </w:r>
                            <w:r w:rsidR="00E4354C">
                              <w:rPr>
                                <w:noProof/>
                              </w:rPr>
                              <w:fldChar w:fldCharType="end"/>
                            </w:r>
                            <w:r>
                              <w:t>: ROA and ROE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9D76A1" id="_x0000_s1033" type="#_x0000_t202" style="position:absolute;left:0;text-align:left;margin-left:48.15pt;margin-top:1.05pt;width:419.2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" stroked="f">
                <v:textbox style="mso-fit-shape-to-text:t" inset="0,0,0,0">
                  <w:txbxContent>
                    <w:p w14:paraId="32747C0A" w14:textId="77777777" w:rsidR="00502120" w:rsidRPr="004969AC" w:rsidRDefault="00502120" w:rsidP="00502120">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10</w:t>
                      </w:r>
                      <w:r w:rsidR="00E4354C">
                        <w:rPr>
                          <w:noProof/>
                        </w:rPr>
                        <w:fldChar w:fldCharType="end"/>
                      </w:r>
                      <w:r>
                        <w:t>: ROA and ROE</w:t>
                      </w:r>
                    </w:p>
                  </w:txbxContent>
                </v:textbox>
              </v:shape>
            </w:pict>
          </mc:Fallback>
        </mc:AlternateContent>
      </w:r>
    </w:p>
    <w:p w14:paraId="7B868341" w14:textId="77777777" w:rsidR="00536770" w:rsidRDefault="00502120">
      <w:r>
        <w:rPr>
          <w:noProof/>
        </w:rPr>
        <mc:AlternateContent>
          <mc:Choice Requires="wpg">
            <w:drawing>
              <wp:anchor distT="0" distB="0" distL="114300" distR="114300" simplePos="0" relativeHeight="251685888" behindDoc="0" locked="0" layoutInCell="1" allowOverlap="1" wp14:anchorId="78DD744D" wp14:editId="62C3B8E3">
                <wp:simplePos x="0" y="0"/>
                <wp:positionH relativeFrom="column">
                  <wp:posOffset>611505</wp:posOffset>
                </wp:positionH>
                <wp:positionV relativeFrom="paragraph">
                  <wp:posOffset>140736</wp:posOffset>
                </wp:positionV>
                <wp:extent cx="5324284" cy="2158422"/>
                <wp:effectExtent l="0" t="0" r="10160" b="13335"/>
                <wp:wrapNone/>
                <wp:docPr id="9" name="Group 8">
                  <a:extLst xmlns:a="http://schemas.openxmlformats.org/drawingml/2006/main">
                    <a:ext uri="{FF2B5EF4-FFF2-40B4-BE49-F238E27FC236}">
                      <a16:creationId xmlns:a16="http://schemas.microsoft.com/office/drawing/2014/main" id="{8E09E7E0-0D9E-B690-F37D-A84EAC3ACF27}"/>
                    </a:ext>
                  </a:extLst>
                </wp:docPr>
                <wp:cNvGraphicFramePr/>
                <a:graphic xmlns:a="http://schemas.openxmlformats.org/drawingml/2006/main">
                  <a:graphicData uri="http://schemas.microsoft.com/office/word/2010/wordprocessingGroup">
                    <wpg:wgp>
                      <wpg:cNvGrpSpPr/>
                      <wpg:grpSpPr>
                        <a:xfrm>
                          <a:off x="0" y="0"/>
                          <a:ext cx="5324284" cy="2158422"/>
                          <a:chOff x="0" y="0"/>
                          <a:chExt cx="7778750" cy="2393950"/>
                        </a:xfrm>
                      </wpg:grpSpPr>
                      <wpg:graphicFrame>
                        <wpg:cNvPr id="1108932272" name="Chart 1108932272">
                          <a:extLst>
                            <a:ext uri="{FF2B5EF4-FFF2-40B4-BE49-F238E27FC236}">
                              <a16:creationId xmlns:a16="http://schemas.microsoft.com/office/drawing/2014/main" id="{0846A6B3-4384-47D4-FCC9-4A3CA2E41850}"/>
                            </a:ext>
                          </a:extLst>
                        </wpg:cNvPr>
                        <wpg:cNvFrPr/>
                        <wpg:xfrm>
                          <a:off x="0" y="0"/>
                          <a:ext cx="3968750" cy="2393950"/>
                        </wpg:xfrm>
                        <a:graphic>
                          <a:graphicData uri="http://schemas.openxmlformats.org/drawingml/2006/chart">
                            <c:chart xmlns:c="http://schemas.openxmlformats.org/drawingml/2006/chart" xmlns:r="http://schemas.openxmlformats.org/officeDocument/2006/relationships" r:id="rId19"/>
                          </a:graphicData>
                        </a:graphic>
                      </wpg:graphicFrame>
                      <wpg:graphicFrame>
                        <wpg:cNvPr id="1349170187" name="Chart 1349170187">
                          <a:extLst>
                            <a:ext uri="{FF2B5EF4-FFF2-40B4-BE49-F238E27FC236}">
                              <a16:creationId xmlns:a16="http://schemas.microsoft.com/office/drawing/2014/main" id="{B9015A30-0A45-3B3D-AD09-5967FFA2D25E}"/>
                            </a:ext>
                          </a:extLst>
                        </wpg:cNvPr>
                        <wpg:cNvFrPr/>
                        <wpg:xfrm>
                          <a:off x="4064000" y="0"/>
                          <a:ext cx="3714750" cy="2393950"/>
                        </wpg:xfrm>
                        <a:graphic>
                          <a:graphicData uri="http://schemas.openxmlformats.org/drawingml/2006/chart">
                            <c:chart xmlns:c="http://schemas.openxmlformats.org/drawingml/2006/chart" xmlns:r="http://schemas.openxmlformats.org/officeDocument/2006/relationships" r:id="rId20"/>
                          </a:graphicData>
                        </a:graphic>
                      </wpg:graphicFrame>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40E327A9" id="Group 8" o:spid="_x0000_s1026" style="position:absolute;margin-left:48.15pt;margin-top:11.1pt;width:419.25pt;height:169.95pt;z-index:251685888;mso-width-relative:margin;mso-height-relative:margin" coordsize="77787,23939" o:gfxdata="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108932272" o:spid="_x0000_s1027" type="#_x0000_t75" style="position:absolute;left:-185;top:-140;width:40077;height:242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">
                  <v:imagedata r:id="rId24" o:title=""/>
                  <o:lock v:ext="edit" aspectratio="f"/>
                </v:shape>
                <v:shape id="Chart 1349170187" o:spid="_x0000_s1028" type="#_x0000_t75" style="position:absolute;left:40449;top:-140;width:37480;height:242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">
                  <v:imagedata r:id="rId25" o:title=""/>
                  <o:lock v:ext="edit" aspectratio="f"/>
                </v:shape>
              </v:group>
            </w:pict>
          </mc:Fallback>
        </mc:AlternateContent>
      </w:r>
    </w:p>
    <w:p w14:paraId="72665A5C" w14:textId="77777777" w:rsidR="00536770" w:rsidRDefault="00536770"/>
    <w:p w14:paraId="5BA55E1A" w14:textId="77777777" w:rsidR="00536770" w:rsidRDefault="00536770"/>
    <w:p w14:paraId="7217EDD3" w14:textId="77777777" w:rsidR="00536770" w:rsidRDefault="00536770"/>
    <w:p w14:paraId="1B0BA473" w14:textId="77777777" w:rsidR="00536770" w:rsidRDefault="00536770"/>
    <w:p w14:paraId="28B09FBA" w14:textId="77777777" w:rsidR="00536770" w:rsidRDefault="00536770"/>
    <w:p w14:paraId="1AEC7525" w14:textId="77777777" w:rsidR="00536770" w:rsidRDefault="00536770"/>
    <w:p w14:paraId="7C56C65C" w14:textId="77777777" w:rsidR="00536770" w:rsidRDefault="00536770"/>
    <w:p w14:paraId="2804A0EC" w14:textId="77777777" w:rsidR="00536770" w:rsidRDefault="00536770"/>
    <w:p w14:paraId="549E4DFB" w14:textId="77777777" w:rsidR="00502120" w:rsidRDefault="00502120" w:rsidP="00216A69">
      <w:pPr>
        <w:pStyle w:val="Heading3"/>
      </w:pPr>
      <w:bookmarkStart w:id="33" w:name="_Toc217146061"/>
      <w:r w:rsidRPr="00502120">
        <w:t>2.2.2 Liquidity Ratio</w:t>
      </w:r>
      <w:bookmarkEnd w:id="33"/>
    </w:p>
    <w:p w14:paraId="582284A0" w14:textId="77777777" w:rsidR="00502120" w:rsidRPr="00502120" w:rsidRDefault="00502120" w:rsidP="00502120">
      <w:pPr>
        <w:jc w:val="center"/>
      </w:pPr>
      <w:r w:rsidRPr="00502120">
        <w:t xml:space="preserve">Table </w:t>
      </w:r>
      <w:r w:rsidR="00E4354C">
        <w:fldChar w:fldCharType="begin"/>
      </w:r>
      <w:r w:rsidR="00E4354C">
        <w:instrText xml:space="preserve"> SEQ Table \* ARABIC </w:instrText>
      </w:r>
      <w:r w:rsidR="00E4354C">
        <w:fldChar w:fldCharType="separate"/>
      </w:r>
      <w:r w:rsidR="00B14E4A">
        <w:rPr>
          <w:noProof/>
        </w:rPr>
        <w:t>8</w:t>
      </w:r>
      <w:r w:rsidR="00E4354C">
        <w:rPr>
          <w:noProof/>
        </w:rPr>
        <w:fldChar w:fldCharType="end"/>
      </w:r>
      <w:r w:rsidRPr="00502120">
        <w:t>: Liquidity Ratios</w:t>
      </w:r>
    </w:p>
    <w:tbl>
      <w:tblPr>
        <w:tblW w:w="6112" w:type="dxa"/>
        <w:tblInd w:w="160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00"/>
        <w:gridCol w:w="2140"/>
        <w:gridCol w:w="1300"/>
        <w:gridCol w:w="1484"/>
      </w:tblGrid>
      <w:tr w:rsidR="00502120" w:rsidRPr="00502120" w14:paraId="2F6FF1D5" w14:textId="77777777" w:rsidTr="00502120">
        <w:trPr>
          <w:trHeight w:val="432"/>
        </w:trPr>
        <w:tc>
          <w:tcPr>
            <w:tcW w:w="1300" w:type="dxa"/>
            <w:noWrap/>
            <w:vAlign w:val="center"/>
            <w:hideMark/>
          </w:tcPr>
          <w:p w14:paraId="3F46E44A" w14:textId="77777777" w:rsidR="00502120" w:rsidRPr="00502120" w:rsidRDefault="00502120" w:rsidP="00502120">
            <w:pPr>
              <w:spacing w:line="240" w:lineRule="auto"/>
              <w:jc w:val="left"/>
              <w:rPr>
                <w:rFonts w:eastAsia="Times New Roman"/>
                <w:lang w:val="en-US"/>
              </w:rPr>
            </w:pPr>
          </w:p>
        </w:tc>
        <w:tc>
          <w:tcPr>
            <w:tcW w:w="2140" w:type="dxa"/>
            <w:noWrap/>
            <w:vAlign w:val="center"/>
            <w:hideMark/>
          </w:tcPr>
          <w:p w14:paraId="1DB0AF85"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Current Ratio</w:t>
            </w:r>
          </w:p>
        </w:tc>
        <w:tc>
          <w:tcPr>
            <w:tcW w:w="1300" w:type="dxa"/>
            <w:noWrap/>
            <w:vAlign w:val="center"/>
            <w:hideMark/>
          </w:tcPr>
          <w:p w14:paraId="1E4A437B"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Quick Ratio</w:t>
            </w:r>
          </w:p>
        </w:tc>
        <w:tc>
          <w:tcPr>
            <w:tcW w:w="1372" w:type="dxa"/>
            <w:noWrap/>
            <w:vAlign w:val="center"/>
            <w:hideMark/>
          </w:tcPr>
          <w:p w14:paraId="220B8812"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Cash Ratio</w:t>
            </w:r>
          </w:p>
        </w:tc>
      </w:tr>
      <w:tr w:rsidR="00502120" w:rsidRPr="00502120" w14:paraId="0B17F5E1" w14:textId="77777777" w:rsidTr="00502120">
        <w:trPr>
          <w:trHeight w:val="432"/>
        </w:trPr>
        <w:tc>
          <w:tcPr>
            <w:tcW w:w="1300" w:type="dxa"/>
            <w:noWrap/>
            <w:vAlign w:val="center"/>
            <w:hideMark/>
          </w:tcPr>
          <w:p w14:paraId="749D434E"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2024</w:t>
            </w:r>
          </w:p>
        </w:tc>
        <w:tc>
          <w:tcPr>
            <w:tcW w:w="2140" w:type="dxa"/>
            <w:noWrap/>
            <w:vAlign w:val="center"/>
            <w:hideMark/>
          </w:tcPr>
          <w:p w14:paraId="502BF9C0"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1.532</w:t>
            </w:r>
          </w:p>
        </w:tc>
        <w:tc>
          <w:tcPr>
            <w:tcW w:w="1300" w:type="dxa"/>
            <w:noWrap/>
            <w:vAlign w:val="center"/>
            <w:hideMark/>
          </w:tcPr>
          <w:p w14:paraId="421922AD"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1.031</w:t>
            </w:r>
          </w:p>
        </w:tc>
        <w:tc>
          <w:tcPr>
            <w:tcW w:w="1372" w:type="dxa"/>
            <w:noWrap/>
            <w:vAlign w:val="center"/>
            <w:hideMark/>
          </w:tcPr>
          <w:p w14:paraId="59541E36"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0.16920103</w:t>
            </w:r>
          </w:p>
        </w:tc>
      </w:tr>
      <w:tr w:rsidR="00502120" w:rsidRPr="00502120" w14:paraId="1D5C746A" w14:textId="77777777" w:rsidTr="00502120">
        <w:trPr>
          <w:trHeight w:val="432"/>
        </w:trPr>
        <w:tc>
          <w:tcPr>
            <w:tcW w:w="1300" w:type="dxa"/>
            <w:noWrap/>
            <w:vAlign w:val="center"/>
            <w:hideMark/>
          </w:tcPr>
          <w:p w14:paraId="314080AC"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2023</w:t>
            </w:r>
          </w:p>
        </w:tc>
        <w:tc>
          <w:tcPr>
            <w:tcW w:w="2140" w:type="dxa"/>
            <w:noWrap/>
            <w:vAlign w:val="center"/>
            <w:hideMark/>
          </w:tcPr>
          <w:p w14:paraId="12950859"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1.606</w:t>
            </w:r>
          </w:p>
        </w:tc>
        <w:tc>
          <w:tcPr>
            <w:tcW w:w="1300" w:type="dxa"/>
            <w:noWrap/>
            <w:vAlign w:val="center"/>
            <w:hideMark/>
          </w:tcPr>
          <w:p w14:paraId="7A6E0B35"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1.059</w:t>
            </w:r>
          </w:p>
        </w:tc>
        <w:tc>
          <w:tcPr>
            <w:tcW w:w="1372" w:type="dxa"/>
            <w:noWrap/>
            <w:vAlign w:val="center"/>
            <w:hideMark/>
          </w:tcPr>
          <w:p w14:paraId="6AB0D807"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0.26529029</w:t>
            </w:r>
          </w:p>
        </w:tc>
      </w:tr>
      <w:tr w:rsidR="00502120" w:rsidRPr="00502120" w14:paraId="7D828E1D" w14:textId="77777777" w:rsidTr="00502120">
        <w:trPr>
          <w:trHeight w:val="432"/>
        </w:trPr>
        <w:tc>
          <w:tcPr>
            <w:tcW w:w="1300" w:type="dxa"/>
            <w:noWrap/>
            <w:vAlign w:val="center"/>
            <w:hideMark/>
          </w:tcPr>
          <w:p w14:paraId="7EEAC140"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2022</w:t>
            </w:r>
          </w:p>
        </w:tc>
        <w:tc>
          <w:tcPr>
            <w:tcW w:w="2140" w:type="dxa"/>
            <w:noWrap/>
            <w:vAlign w:val="center"/>
            <w:hideMark/>
          </w:tcPr>
          <w:p w14:paraId="0F049DAD"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1.562</w:t>
            </w:r>
          </w:p>
        </w:tc>
        <w:tc>
          <w:tcPr>
            <w:tcW w:w="1300" w:type="dxa"/>
            <w:noWrap/>
            <w:vAlign w:val="center"/>
            <w:hideMark/>
          </w:tcPr>
          <w:p w14:paraId="3F21BF34"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0.914</w:t>
            </w:r>
          </w:p>
        </w:tc>
        <w:tc>
          <w:tcPr>
            <w:tcW w:w="1372" w:type="dxa"/>
            <w:noWrap/>
            <w:vAlign w:val="center"/>
            <w:hideMark/>
          </w:tcPr>
          <w:p w14:paraId="0CB10111"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0.30830635</w:t>
            </w:r>
          </w:p>
        </w:tc>
      </w:tr>
      <w:tr w:rsidR="00502120" w:rsidRPr="00502120" w14:paraId="7D54EBC2" w14:textId="77777777" w:rsidTr="00502120">
        <w:trPr>
          <w:trHeight w:val="432"/>
        </w:trPr>
        <w:tc>
          <w:tcPr>
            <w:tcW w:w="1300" w:type="dxa"/>
            <w:noWrap/>
            <w:vAlign w:val="center"/>
            <w:hideMark/>
          </w:tcPr>
          <w:p w14:paraId="1492DD6F"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2021</w:t>
            </w:r>
          </w:p>
        </w:tc>
        <w:tc>
          <w:tcPr>
            <w:tcW w:w="2140" w:type="dxa"/>
            <w:noWrap/>
            <w:vAlign w:val="center"/>
            <w:hideMark/>
          </w:tcPr>
          <w:p w14:paraId="61459834"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1.555</w:t>
            </w:r>
          </w:p>
        </w:tc>
        <w:tc>
          <w:tcPr>
            <w:tcW w:w="1300" w:type="dxa"/>
            <w:noWrap/>
            <w:vAlign w:val="center"/>
            <w:hideMark/>
          </w:tcPr>
          <w:p w14:paraId="45ECFB86"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0.935</w:t>
            </w:r>
          </w:p>
        </w:tc>
        <w:tc>
          <w:tcPr>
            <w:tcW w:w="1372" w:type="dxa"/>
            <w:noWrap/>
            <w:vAlign w:val="center"/>
            <w:hideMark/>
          </w:tcPr>
          <w:p w14:paraId="2F7A2E74" w14:textId="77777777" w:rsidR="00502120" w:rsidRPr="00502120" w:rsidRDefault="00502120" w:rsidP="00502120">
            <w:pPr>
              <w:spacing w:line="240" w:lineRule="auto"/>
              <w:jc w:val="center"/>
              <w:rPr>
                <w:rFonts w:eastAsia="Times New Roman"/>
                <w:color w:val="000000"/>
                <w:lang w:val="en-US"/>
              </w:rPr>
            </w:pPr>
            <w:r w:rsidRPr="00502120">
              <w:rPr>
                <w:rFonts w:eastAsia="Times New Roman"/>
                <w:color w:val="000000"/>
                <w:lang w:val="en-US"/>
              </w:rPr>
              <w:t>0.28051959</w:t>
            </w:r>
          </w:p>
        </w:tc>
      </w:tr>
    </w:tbl>
    <w:p w14:paraId="3DE56697" w14:textId="77777777" w:rsidR="00502120" w:rsidRPr="00502120" w:rsidRDefault="00502120" w:rsidP="00502120"/>
    <w:p w14:paraId="77A67DCB" w14:textId="677D05CA" w:rsidR="00791846" w:rsidRDefault="006351BF">
      <w:r w:rsidRPr="006351BF">
        <w:t xml:space="preserve">As can be seen above, all the liquidity ratios show that the company was financially stable in the period, albeit not short term. All four years show </w:t>
      </w:r>
      <w:r w:rsidR="00D94F73">
        <w:t xml:space="preserve">a </w:t>
      </w:r>
      <w:r w:rsidRPr="006351BF">
        <w:t xml:space="preserve">current ratio above 1, with the highest and lowest being 1.532 and 1.606, respectively, which means that the company was always sufficient in current assets to meet its current </w:t>
      </w:r>
      <w:r w:rsidR="00D94F73">
        <w:t>liabilities</w:t>
      </w:r>
      <w:r w:rsidRPr="006351BF">
        <w:t xml:space="preserve">. Nevertheless, the cash ratio remained low and especially in 2024 (0.17), which indicated a lack of cash reserves in comparison to the temporary liabilities. </w:t>
      </w:r>
    </w:p>
    <w:p w14:paraId="2D0A6FE2" w14:textId="77777777" w:rsidR="00536770" w:rsidRDefault="00791846">
      <w:r>
        <w:rPr>
          <w:noProof/>
        </w:rPr>
        <mc:AlternateContent>
          <mc:Choice Requires="wps">
            <w:drawing>
              <wp:anchor distT="0" distB="0" distL="114300" distR="114300" simplePos="0" relativeHeight="251692032" behindDoc="0" locked="0" layoutInCell="1" allowOverlap="1" wp14:anchorId="0998D3AE" wp14:editId="46FD6D50">
                <wp:simplePos x="0" y="0"/>
                <wp:positionH relativeFrom="column">
                  <wp:posOffset>81915</wp:posOffset>
                </wp:positionH>
                <wp:positionV relativeFrom="paragraph">
                  <wp:posOffset>78163</wp:posOffset>
                </wp:positionV>
                <wp:extent cx="5974080" cy="635"/>
                <wp:effectExtent l="0" t="0" r="0" b="12065"/>
                <wp:wrapNone/>
                <wp:docPr id="4525985" name="Text Box 1"/>
                <wp:cNvGraphicFramePr/>
                <a:graphic xmlns:a="http://schemas.openxmlformats.org/drawingml/2006/main">
                  <a:graphicData uri="http://schemas.microsoft.com/office/word/2010/wordprocessingShape">
                    <wps:wsp>
                      <wps:cNvSpPr txBox="1"/>
                      <wps:spPr>
                        <a:xfrm>
                          <a:off x="0" y="0"/>
                          <a:ext cx="5974080" cy="635"/>
                        </a:xfrm>
                        <a:prstGeom prst="rect">
                          <a:avLst/>
                        </a:prstGeom>
                        <a:solidFill>
                          <a:prstClr val="white"/>
                        </a:solidFill>
                        <a:ln>
                          <a:noFill/>
                        </a:ln>
                      </wps:spPr>
                      <wps:txbx>
                        <w:txbxContent>
                          <w:p w14:paraId="2ECC6451" w14:textId="77777777" w:rsidR="00791846" w:rsidRPr="00EE5998" w:rsidRDefault="00791846" w:rsidP="00791846">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11</w:t>
                            </w:r>
                            <w:r w:rsidR="00E4354C">
                              <w:rPr>
                                <w:noProof/>
                              </w:rPr>
                              <w:fldChar w:fldCharType="end"/>
                            </w:r>
                            <w:r>
                              <w:t>: Liquidity Ratios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98D3AE" id="_x0000_s1034" type="#_x0000_t202" style="position:absolute;left:0;text-align:left;margin-left:6.45pt;margin-top:6.15pt;width:470.4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" stroked="f">
                <v:textbox style="mso-fit-shape-to-text:t" inset="0,0,0,0">
                  <w:txbxContent>
                    <w:p w14:paraId="2ECC6451" w14:textId="77777777" w:rsidR="00791846" w:rsidRPr="00EE5998" w:rsidRDefault="00791846" w:rsidP="00791846">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11</w:t>
                      </w:r>
                      <w:r w:rsidR="00E4354C">
                        <w:rPr>
                          <w:noProof/>
                        </w:rPr>
                        <w:fldChar w:fldCharType="end"/>
                      </w:r>
                      <w:r>
                        <w:t>: Liquidity Ratios</w:t>
                      </w:r>
                    </w:p>
                  </w:txbxContent>
                </v:textbox>
              </v:shape>
            </w:pict>
          </mc:Fallback>
        </mc:AlternateContent>
      </w:r>
    </w:p>
    <w:p w14:paraId="0472ED59" w14:textId="77777777" w:rsidR="00536770" w:rsidRDefault="00791846">
      <w:r>
        <w:rPr>
          <w:noProof/>
        </w:rPr>
        <mc:AlternateContent>
          <mc:Choice Requires="wpg">
            <w:drawing>
              <wp:anchor distT="0" distB="0" distL="114300" distR="114300" simplePos="0" relativeHeight="251689984" behindDoc="0" locked="0" layoutInCell="1" allowOverlap="1" wp14:anchorId="03576B43" wp14:editId="4BBA8A9C">
                <wp:simplePos x="0" y="0"/>
                <wp:positionH relativeFrom="column">
                  <wp:posOffset>81915</wp:posOffset>
                </wp:positionH>
                <wp:positionV relativeFrom="paragraph">
                  <wp:posOffset>171288</wp:posOffset>
                </wp:positionV>
                <wp:extent cx="5974539" cy="1698601"/>
                <wp:effectExtent l="0" t="0" r="7620" b="16510"/>
                <wp:wrapNone/>
                <wp:docPr id="5" name="Group 4">
                  <a:extLst xmlns:a="http://schemas.openxmlformats.org/drawingml/2006/main">
                    <a:ext uri="{FF2B5EF4-FFF2-40B4-BE49-F238E27FC236}">
                      <a16:creationId xmlns:a16="http://schemas.microsoft.com/office/drawing/2014/main" id="{F7187420-0BF6-8BD4-3E79-3F08684DC670}"/>
                    </a:ext>
                  </a:extLst>
                </wp:docPr>
                <wp:cNvGraphicFramePr/>
                <a:graphic xmlns:a="http://schemas.openxmlformats.org/drawingml/2006/main">
                  <a:graphicData uri="http://schemas.microsoft.com/office/word/2010/wordprocessingGroup">
                    <wpg:wgp>
                      <wpg:cNvGrpSpPr/>
                      <wpg:grpSpPr>
                        <a:xfrm>
                          <a:off x="0" y="0"/>
                          <a:ext cx="5974539" cy="1698601"/>
                          <a:chOff x="0" y="0"/>
                          <a:chExt cx="10687050" cy="2571750"/>
                        </a:xfrm>
                      </wpg:grpSpPr>
                      <wpg:graphicFrame>
                        <wpg:cNvPr id="689188365" name="Chart 689188365">
                          <a:extLst>
                            <a:ext uri="{FF2B5EF4-FFF2-40B4-BE49-F238E27FC236}">
                              <a16:creationId xmlns:a16="http://schemas.microsoft.com/office/drawing/2014/main" id="{094586E1-9AA5-8E1E-594C-E3093F2DB4A5}"/>
                            </a:ext>
                          </a:extLst>
                        </wpg:cNvPr>
                        <wpg:cNvFrPr/>
                        <wpg:xfrm>
                          <a:off x="0" y="0"/>
                          <a:ext cx="3524250" cy="2533650"/>
                        </wpg:xfrm>
                        <a:graphic>
                          <a:graphicData uri="http://schemas.openxmlformats.org/drawingml/2006/chart">
                            <c:chart xmlns:c="http://schemas.openxmlformats.org/drawingml/2006/chart" xmlns:r="http://schemas.openxmlformats.org/officeDocument/2006/relationships" r:id="rId26"/>
                          </a:graphicData>
                        </a:graphic>
                      </wpg:graphicFrame>
                      <wpg:graphicFrame>
                        <wpg:cNvPr id="1471835912" name="Chart 1471835912">
                          <a:extLst>
                            <a:ext uri="{FF2B5EF4-FFF2-40B4-BE49-F238E27FC236}">
                              <a16:creationId xmlns:a16="http://schemas.microsoft.com/office/drawing/2014/main" id="{7D2CACBD-62DB-5A00-7C47-B5A35BD0EFE8}"/>
                            </a:ext>
                          </a:extLst>
                        </wpg:cNvPr>
                        <wpg:cNvFrPr/>
                        <wpg:xfrm>
                          <a:off x="3594100" y="0"/>
                          <a:ext cx="3435350" cy="2546350"/>
                        </wpg:xfrm>
                        <a:graphic>
                          <a:graphicData uri="http://schemas.openxmlformats.org/drawingml/2006/chart">
                            <c:chart xmlns:c="http://schemas.openxmlformats.org/drawingml/2006/chart" xmlns:r="http://schemas.openxmlformats.org/officeDocument/2006/relationships" r:id="rId27"/>
                          </a:graphicData>
                        </a:graphic>
                      </wpg:graphicFrame>
                      <wpg:graphicFrame>
                        <wpg:cNvPr id="1767287042" name="Chart 1767287042">
                          <a:extLst>
                            <a:ext uri="{FF2B5EF4-FFF2-40B4-BE49-F238E27FC236}">
                              <a16:creationId xmlns:a16="http://schemas.microsoft.com/office/drawing/2014/main" id="{643DAADB-1680-EF79-B785-CEB45684A906}"/>
                            </a:ext>
                          </a:extLst>
                        </wpg:cNvPr>
                        <wpg:cNvFrPr/>
                        <wpg:xfrm>
                          <a:off x="7092950" y="12700"/>
                          <a:ext cx="3594100" cy="2559050"/>
                        </wpg:xfrm>
                        <a:graphic>
                          <a:graphicData uri="http://schemas.openxmlformats.org/drawingml/2006/chart">
                            <c:chart xmlns:c="http://schemas.openxmlformats.org/drawingml/2006/chart" xmlns:r="http://schemas.openxmlformats.org/officeDocument/2006/relationships" r:id="rId28"/>
                          </a:graphicData>
                        </a:graphic>
                      </wpg:graphicFrame>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7C4A27E0" id="Group 4" o:spid="_x0000_s1026" style="position:absolute;margin-left:6.45pt;margin-top:13.5pt;width:470.45pt;height:133.75pt;z-index:251689984;mso-width-relative:margin;mso-height-relative:margin" coordsize="106870,25717" o:gfxdata="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">
                <v:shape id="Chart 689188365" o:spid="_x0000_s1027" type="#_x0000_t75" style="position:absolute;left:-227;top:-192;width:35666;height:25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">
                  <v:imagedata r:id="rId29" o:title=""/>
                  <o:lock v:ext="edit" aspectratio="f"/>
                </v:shape>
                <v:shape id="Chart 1471835912" o:spid="_x0000_s1028" type="#_x0000_t75" style="position:absolute;left:35666;top:-192;width:34984;height:257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">
                  <v:imagedata r:id="rId30" o:title=""/>
                  <o:lock v:ext="edit" aspectratio="f"/>
                </v:shape>
                <v:shape id="Chart 1767287042" o:spid="_x0000_s1029" type="#_x0000_t75" style="position:absolute;left:70650;width:36348;height:259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">
                  <v:imagedata r:id="rId31" o:title=""/>
                  <o:lock v:ext="edit" aspectratio="f"/>
                </v:shape>
              </v:group>
            </w:pict>
          </mc:Fallback>
        </mc:AlternateContent>
      </w:r>
    </w:p>
    <w:p w14:paraId="4808244E" w14:textId="77777777" w:rsidR="00536770" w:rsidRDefault="00536770"/>
    <w:p w14:paraId="7B65AE48" w14:textId="77777777" w:rsidR="00536770" w:rsidRDefault="00536770"/>
    <w:p w14:paraId="06DBFA38" w14:textId="77777777" w:rsidR="00536770" w:rsidRDefault="00536770"/>
    <w:p w14:paraId="401AE5C6" w14:textId="77777777" w:rsidR="00536770" w:rsidRDefault="00536770"/>
    <w:p w14:paraId="7B5CF1C0" w14:textId="77777777" w:rsidR="00536770" w:rsidRDefault="00536770"/>
    <w:p w14:paraId="37B34338" w14:textId="77777777" w:rsidR="006C5724" w:rsidRPr="006C5724" w:rsidRDefault="006C5724" w:rsidP="00216A69">
      <w:pPr>
        <w:pStyle w:val="Heading3"/>
      </w:pPr>
      <w:bookmarkStart w:id="34" w:name="_Toc217146062"/>
      <w:r>
        <w:lastRenderedPageBreak/>
        <w:t>2.2.3 Asset Efficiency</w:t>
      </w:r>
      <w:bookmarkEnd w:id="34"/>
    </w:p>
    <w:p w14:paraId="7326878B" w14:textId="77777777" w:rsidR="006C5724" w:rsidRDefault="006C5724" w:rsidP="006C5724">
      <w:pPr>
        <w:jc w:val="center"/>
      </w:pPr>
      <w:r>
        <w:t xml:space="preserve">Table </w:t>
      </w:r>
      <w:r w:rsidR="00E4354C">
        <w:fldChar w:fldCharType="begin"/>
      </w:r>
      <w:r w:rsidR="00E4354C">
        <w:instrText xml:space="preserve"> SEQ Table \* ARABIC </w:instrText>
      </w:r>
      <w:r w:rsidR="00E4354C">
        <w:fldChar w:fldCharType="separate"/>
      </w:r>
      <w:r w:rsidR="00B14E4A">
        <w:rPr>
          <w:noProof/>
        </w:rPr>
        <w:t>9</w:t>
      </w:r>
      <w:r w:rsidR="00E4354C">
        <w:rPr>
          <w:noProof/>
        </w:rPr>
        <w:fldChar w:fldCharType="end"/>
      </w:r>
      <w:r>
        <w:t>: Asset Efficiency</w:t>
      </w:r>
    </w:p>
    <w:tbl>
      <w:tblPr>
        <w:tblStyle w:val="GridTable1Light"/>
        <w:tblW w:w="456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00"/>
        <w:gridCol w:w="3260"/>
      </w:tblGrid>
      <w:tr w:rsidR="006C5724" w:rsidRPr="006C5724" w14:paraId="0BF6D89E" w14:textId="77777777" w:rsidTr="006C5724">
        <w:trPr>
          <w:cnfStyle w:val="100000000000" w:firstRow="1" w:lastRow="0" w:firstColumn="0" w:lastColumn="0" w:oddVBand="0" w:evenVBand="0" w:oddHBand="0"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1300" w:type="dxa"/>
            <w:tcBorders>
              <w:bottom w:val="none" w:sz="0" w:space="0" w:color="auto"/>
            </w:tcBorders>
            <w:noWrap/>
            <w:vAlign w:val="center"/>
            <w:hideMark/>
          </w:tcPr>
          <w:p w14:paraId="282AD549" w14:textId="77777777" w:rsidR="006C5724" w:rsidRPr="006C5724" w:rsidRDefault="006C5724" w:rsidP="006C5724">
            <w:pPr>
              <w:jc w:val="center"/>
              <w:rPr>
                <w:lang w:val="en-US"/>
              </w:rPr>
            </w:pPr>
          </w:p>
        </w:tc>
        <w:tc>
          <w:tcPr>
            <w:tcW w:w="3260" w:type="dxa"/>
            <w:tcBorders>
              <w:bottom w:val="none" w:sz="0" w:space="0" w:color="auto"/>
            </w:tcBorders>
            <w:noWrap/>
            <w:vAlign w:val="center"/>
            <w:hideMark/>
          </w:tcPr>
          <w:p w14:paraId="0E4519AE" w14:textId="77777777" w:rsidR="006C5724" w:rsidRPr="006C5724" w:rsidRDefault="006C5724" w:rsidP="006C5724">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lang w:val="en-US"/>
              </w:rPr>
            </w:pPr>
            <w:r w:rsidRPr="006C5724">
              <w:rPr>
                <w:rFonts w:ascii="Calibri" w:hAnsi="Calibri" w:cs="Calibri"/>
                <w:color w:val="000000"/>
                <w:lang w:val="en-US"/>
              </w:rPr>
              <w:t>Fixed Asset Turnover</w:t>
            </w:r>
          </w:p>
        </w:tc>
      </w:tr>
      <w:tr w:rsidR="006C5724" w:rsidRPr="006C5724" w14:paraId="38782DBA" w14:textId="77777777" w:rsidTr="006C5724">
        <w:trPr>
          <w:trHeight w:val="432"/>
          <w:jc w:val="center"/>
        </w:trPr>
        <w:tc>
          <w:tcPr>
            <w:cnfStyle w:val="001000000000" w:firstRow="0" w:lastRow="0" w:firstColumn="1" w:lastColumn="0" w:oddVBand="0" w:evenVBand="0" w:oddHBand="0" w:evenHBand="0" w:firstRowFirstColumn="0" w:firstRowLastColumn="0" w:lastRowFirstColumn="0" w:lastRowLastColumn="0"/>
            <w:tcW w:w="1300" w:type="dxa"/>
            <w:noWrap/>
            <w:vAlign w:val="center"/>
            <w:hideMark/>
          </w:tcPr>
          <w:p w14:paraId="17E0E5EA" w14:textId="77777777" w:rsidR="006C5724" w:rsidRPr="006C5724" w:rsidRDefault="006C5724" w:rsidP="006C5724">
            <w:pPr>
              <w:jc w:val="center"/>
              <w:rPr>
                <w:rFonts w:ascii="Calibri" w:hAnsi="Calibri" w:cs="Calibri"/>
                <w:color w:val="000000"/>
                <w:lang w:val="en-US"/>
              </w:rPr>
            </w:pPr>
            <w:r w:rsidRPr="006C5724">
              <w:rPr>
                <w:rFonts w:ascii="Calibri" w:hAnsi="Calibri" w:cs="Calibri"/>
                <w:color w:val="000000"/>
                <w:lang w:val="en-US"/>
              </w:rPr>
              <w:t>2024</w:t>
            </w:r>
          </w:p>
        </w:tc>
        <w:tc>
          <w:tcPr>
            <w:tcW w:w="3260" w:type="dxa"/>
            <w:noWrap/>
            <w:vAlign w:val="center"/>
            <w:hideMark/>
          </w:tcPr>
          <w:p w14:paraId="29E1048C" w14:textId="77777777" w:rsidR="006C5724" w:rsidRPr="006C5724" w:rsidRDefault="006C5724" w:rsidP="006C572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US"/>
              </w:rPr>
            </w:pPr>
            <w:r w:rsidRPr="006C5724">
              <w:rPr>
                <w:rFonts w:ascii="Calibri" w:hAnsi="Calibri" w:cs="Calibri"/>
                <w:color w:val="000000"/>
                <w:lang w:val="en-US"/>
              </w:rPr>
              <w:t>5.44</w:t>
            </w:r>
          </w:p>
        </w:tc>
      </w:tr>
      <w:tr w:rsidR="006C5724" w:rsidRPr="006C5724" w14:paraId="158AB62E" w14:textId="77777777" w:rsidTr="006C5724">
        <w:trPr>
          <w:trHeight w:val="432"/>
          <w:jc w:val="center"/>
        </w:trPr>
        <w:tc>
          <w:tcPr>
            <w:cnfStyle w:val="001000000000" w:firstRow="0" w:lastRow="0" w:firstColumn="1" w:lastColumn="0" w:oddVBand="0" w:evenVBand="0" w:oddHBand="0" w:evenHBand="0" w:firstRowFirstColumn="0" w:firstRowLastColumn="0" w:lastRowFirstColumn="0" w:lastRowLastColumn="0"/>
            <w:tcW w:w="1300" w:type="dxa"/>
            <w:noWrap/>
            <w:vAlign w:val="center"/>
            <w:hideMark/>
          </w:tcPr>
          <w:p w14:paraId="757EFB41" w14:textId="77777777" w:rsidR="006C5724" w:rsidRPr="006C5724" w:rsidRDefault="006C5724" w:rsidP="006C5724">
            <w:pPr>
              <w:jc w:val="center"/>
              <w:rPr>
                <w:rFonts w:ascii="Calibri" w:hAnsi="Calibri" w:cs="Calibri"/>
                <w:b w:val="0"/>
                <w:bCs w:val="0"/>
                <w:color w:val="000000"/>
                <w:lang w:val="en-US"/>
              </w:rPr>
            </w:pPr>
            <w:r w:rsidRPr="006C5724">
              <w:rPr>
                <w:rFonts w:ascii="Calibri" w:hAnsi="Calibri" w:cs="Calibri"/>
                <w:b w:val="0"/>
                <w:bCs w:val="0"/>
                <w:color w:val="000000"/>
                <w:lang w:val="en-US"/>
              </w:rPr>
              <w:t>2023</w:t>
            </w:r>
          </w:p>
        </w:tc>
        <w:tc>
          <w:tcPr>
            <w:tcW w:w="3260" w:type="dxa"/>
            <w:noWrap/>
            <w:vAlign w:val="center"/>
            <w:hideMark/>
          </w:tcPr>
          <w:p w14:paraId="2379DFC8" w14:textId="77777777" w:rsidR="006C5724" w:rsidRPr="006C5724" w:rsidRDefault="006C5724" w:rsidP="006C572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US"/>
              </w:rPr>
            </w:pPr>
            <w:r w:rsidRPr="006C5724">
              <w:rPr>
                <w:rFonts w:ascii="Calibri" w:hAnsi="Calibri" w:cs="Calibri"/>
                <w:color w:val="000000"/>
                <w:lang w:val="en-US"/>
              </w:rPr>
              <w:t>4.74</w:t>
            </w:r>
          </w:p>
        </w:tc>
      </w:tr>
      <w:tr w:rsidR="006C5724" w:rsidRPr="006C5724" w14:paraId="41C0AA53" w14:textId="77777777" w:rsidTr="006C5724">
        <w:trPr>
          <w:trHeight w:val="432"/>
          <w:jc w:val="center"/>
        </w:trPr>
        <w:tc>
          <w:tcPr>
            <w:cnfStyle w:val="001000000000" w:firstRow="0" w:lastRow="0" w:firstColumn="1" w:lastColumn="0" w:oddVBand="0" w:evenVBand="0" w:oddHBand="0" w:evenHBand="0" w:firstRowFirstColumn="0" w:firstRowLastColumn="0" w:lastRowFirstColumn="0" w:lastRowLastColumn="0"/>
            <w:tcW w:w="1300" w:type="dxa"/>
            <w:noWrap/>
            <w:vAlign w:val="center"/>
            <w:hideMark/>
          </w:tcPr>
          <w:p w14:paraId="057BB0DF" w14:textId="77777777" w:rsidR="006C5724" w:rsidRPr="006C5724" w:rsidRDefault="006C5724" w:rsidP="006C5724">
            <w:pPr>
              <w:jc w:val="center"/>
              <w:rPr>
                <w:rFonts w:ascii="Calibri" w:hAnsi="Calibri" w:cs="Calibri"/>
                <w:b w:val="0"/>
                <w:bCs w:val="0"/>
                <w:color w:val="000000"/>
                <w:lang w:val="en-US"/>
              </w:rPr>
            </w:pPr>
            <w:r w:rsidRPr="006C5724">
              <w:rPr>
                <w:rFonts w:ascii="Calibri" w:hAnsi="Calibri" w:cs="Calibri"/>
                <w:b w:val="0"/>
                <w:bCs w:val="0"/>
                <w:color w:val="000000"/>
                <w:lang w:val="en-US"/>
              </w:rPr>
              <w:t>2022</w:t>
            </w:r>
          </w:p>
        </w:tc>
        <w:tc>
          <w:tcPr>
            <w:tcW w:w="3260" w:type="dxa"/>
            <w:noWrap/>
            <w:vAlign w:val="center"/>
            <w:hideMark/>
          </w:tcPr>
          <w:p w14:paraId="753D0A4A" w14:textId="77777777" w:rsidR="006C5724" w:rsidRPr="006C5724" w:rsidRDefault="006C5724" w:rsidP="006C572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US"/>
              </w:rPr>
            </w:pPr>
            <w:r w:rsidRPr="006C5724">
              <w:rPr>
                <w:rFonts w:ascii="Calibri" w:hAnsi="Calibri" w:cs="Calibri"/>
                <w:color w:val="000000"/>
                <w:lang w:val="en-US"/>
              </w:rPr>
              <w:t>4.99</w:t>
            </w:r>
          </w:p>
        </w:tc>
      </w:tr>
      <w:tr w:rsidR="006C5724" w:rsidRPr="006C5724" w14:paraId="177F24DE" w14:textId="77777777" w:rsidTr="006C5724">
        <w:trPr>
          <w:trHeight w:val="432"/>
          <w:jc w:val="center"/>
        </w:trPr>
        <w:tc>
          <w:tcPr>
            <w:cnfStyle w:val="001000000000" w:firstRow="0" w:lastRow="0" w:firstColumn="1" w:lastColumn="0" w:oddVBand="0" w:evenVBand="0" w:oddHBand="0" w:evenHBand="0" w:firstRowFirstColumn="0" w:firstRowLastColumn="0" w:lastRowFirstColumn="0" w:lastRowLastColumn="0"/>
            <w:tcW w:w="1300" w:type="dxa"/>
            <w:noWrap/>
            <w:vAlign w:val="center"/>
            <w:hideMark/>
          </w:tcPr>
          <w:p w14:paraId="17530C4B" w14:textId="77777777" w:rsidR="006C5724" w:rsidRPr="006C5724" w:rsidRDefault="006C5724" w:rsidP="006C5724">
            <w:pPr>
              <w:jc w:val="center"/>
              <w:rPr>
                <w:rFonts w:ascii="Calibri" w:hAnsi="Calibri" w:cs="Calibri"/>
                <w:b w:val="0"/>
                <w:bCs w:val="0"/>
                <w:color w:val="000000"/>
                <w:lang w:val="en-US"/>
              </w:rPr>
            </w:pPr>
            <w:r w:rsidRPr="006C5724">
              <w:rPr>
                <w:rFonts w:ascii="Calibri" w:hAnsi="Calibri" w:cs="Calibri"/>
                <w:b w:val="0"/>
                <w:bCs w:val="0"/>
                <w:color w:val="000000"/>
                <w:lang w:val="en-US"/>
              </w:rPr>
              <w:t>2021</w:t>
            </w:r>
          </w:p>
        </w:tc>
        <w:tc>
          <w:tcPr>
            <w:tcW w:w="3260" w:type="dxa"/>
            <w:noWrap/>
            <w:vAlign w:val="center"/>
            <w:hideMark/>
          </w:tcPr>
          <w:p w14:paraId="680B606D" w14:textId="77777777" w:rsidR="006C5724" w:rsidRPr="006C5724" w:rsidRDefault="006C5724" w:rsidP="006C572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US"/>
              </w:rPr>
            </w:pPr>
            <w:r w:rsidRPr="006C5724">
              <w:rPr>
                <w:rFonts w:ascii="Calibri" w:hAnsi="Calibri" w:cs="Calibri"/>
                <w:color w:val="000000"/>
                <w:lang w:val="en-US"/>
              </w:rPr>
              <w:t>5.25</w:t>
            </w:r>
          </w:p>
        </w:tc>
      </w:tr>
    </w:tbl>
    <w:p w14:paraId="03B62860" w14:textId="77777777" w:rsidR="006C5724" w:rsidRDefault="006C5724" w:rsidP="006C5724"/>
    <w:p w14:paraId="7E37A88A" w14:textId="7F284790" w:rsidR="006C5724" w:rsidRPr="006C5724" w:rsidRDefault="006351BF" w:rsidP="006C5724">
      <w:r w:rsidRPr="006351BF">
        <w:t xml:space="preserve">When we consider the fixed asset turnover ratios, the company has been registering high revenue compared to its fixed assets. The current ratio is 5.25 (2021) and therefore indicates that there </w:t>
      </w:r>
      <w:r w:rsidR="00D94F73">
        <w:t>are</w:t>
      </w:r>
      <w:r w:rsidRPr="006351BF">
        <w:t xml:space="preserve"> 5.25 sales per pound invested in fixed assets. Despite the decrease in the ratio to 4.99 and 4.74 in 2022 and 2023, respectively, the high efficiency in the </w:t>
      </w:r>
      <w:proofErr w:type="spellStart"/>
      <w:r w:rsidRPr="006351BF">
        <w:t>utilisation</w:t>
      </w:r>
      <w:proofErr w:type="spellEnd"/>
      <w:r w:rsidRPr="006351BF">
        <w:t xml:space="preserve"> of assets was attained by 2024</w:t>
      </w:r>
      <w:r w:rsidR="00D94F73">
        <w:t>,</w:t>
      </w:r>
      <w:r w:rsidRPr="006351BF">
        <w:t xml:space="preserve"> with the ratio standing at 5.44. </w:t>
      </w:r>
    </w:p>
    <w:p w14:paraId="3849A2C8" w14:textId="77777777" w:rsidR="00536770" w:rsidRDefault="00536770"/>
    <w:p w14:paraId="7BF694D1" w14:textId="77777777" w:rsidR="00536770" w:rsidRDefault="006C5724" w:rsidP="006C5724">
      <w:pPr>
        <w:jc w:val="center"/>
      </w:pPr>
      <w:r>
        <w:t xml:space="preserve">Figure </w:t>
      </w:r>
      <w:r w:rsidR="00E4354C">
        <w:fldChar w:fldCharType="begin"/>
      </w:r>
      <w:r w:rsidR="00E4354C">
        <w:instrText xml:space="preserve"> SEQ Figure \* ARABIC </w:instrText>
      </w:r>
      <w:r w:rsidR="00E4354C">
        <w:fldChar w:fldCharType="separate"/>
      </w:r>
      <w:r w:rsidR="00A37FF8">
        <w:rPr>
          <w:noProof/>
        </w:rPr>
        <w:t>12</w:t>
      </w:r>
      <w:r w:rsidR="00E4354C">
        <w:rPr>
          <w:noProof/>
        </w:rPr>
        <w:fldChar w:fldCharType="end"/>
      </w:r>
      <w:r>
        <w:t>: Asset Efficiency</w:t>
      </w:r>
    </w:p>
    <w:p w14:paraId="3DB7FEAD" w14:textId="77777777" w:rsidR="006C5724" w:rsidRDefault="006C5724">
      <w:r>
        <w:rPr>
          <w:noProof/>
        </w:rPr>
        <w:drawing>
          <wp:anchor distT="0" distB="0" distL="114300" distR="114300" simplePos="0" relativeHeight="251693056" behindDoc="0" locked="0" layoutInCell="1" allowOverlap="1" wp14:anchorId="4E644F06" wp14:editId="7938768A">
            <wp:simplePos x="0" y="0"/>
            <wp:positionH relativeFrom="column">
              <wp:posOffset>873149</wp:posOffset>
            </wp:positionH>
            <wp:positionV relativeFrom="paragraph">
              <wp:posOffset>103400</wp:posOffset>
            </wp:positionV>
            <wp:extent cx="4572000" cy="2743200"/>
            <wp:effectExtent l="0" t="0" r="12700" b="12700"/>
            <wp:wrapSquare wrapText="bothSides"/>
            <wp:docPr id="1276290772" name="Chart 1">
              <a:extLst xmlns:a="http://schemas.openxmlformats.org/drawingml/2006/main">
                <a:ext uri="{FF2B5EF4-FFF2-40B4-BE49-F238E27FC236}">
                  <a16:creationId xmlns:a16="http://schemas.microsoft.com/office/drawing/2014/main" id="{C72E7E64-CEF2-64F6-2E0D-0E726D64F8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p>
    <w:p w14:paraId="56B20A4A" w14:textId="77777777" w:rsidR="006C5724" w:rsidRDefault="006C5724"/>
    <w:p w14:paraId="074191C0" w14:textId="77777777" w:rsidR="006C5724" w:rsidRDefault="006C5724"/>
    <w:p w14:paraId="7981368F" w14:textId="77777777" w:rsidR="006C5724" w:rsidRDefault="006C5724"/>
    <w:p w14:paraId="6D16F48C" w14:textId="77777777" w:rsidR="006C5724" w:rsidRDefault="006C5724"/>
    <w:p w14:paraId="24B08E94" w14:textId="77777777" w:rsidR="006C5724" w:rsidRDefault="006C5724"/>
    <w:p w14:paraId="245A9703" w14:textId="77777777" w:rsidR="006C5724" w:rsidRDefault="006C5724"/>
    <w:p w14:paraId="4260205C" w14:textId="77777777" w:rsidR="006C5724" w:rsidRDefault="006C5724"/>
    <w:p w14:paraId="7CC65431" w14:textId="77777777" w:rsidR="006C5724" w:rsidRDefault="006C5724"/>
    <w:p w14:paraId="5F98D5C8" w14:textId="77777777" w:rsidR="006C5724" w:rsidRDefault="006C5724"/>
    <w:p w14:paraId="054E4EC6" w14:textId="77777777" w:rsidR="006C5724" w:rsidRDefault="006C5724"/>
    <w:p w14:paraId="2830B1BC" w14:textId="77777777" w:rsidR="00B60B58" w:rsidRDefault="006C5724" w:rsidP="00216A69">
      <w:pPr>
        <w:pStyle w:val="Heading3"/>
      </w:pPr>
      <w:bookmarkStart w:id="35" w:name="_Toc217146063"/>
      <w:r>
        <w:t>2.2.4 Gearing (Leverage) Ratio</w:t>
      </w:r>
      <w:bookmarkEnd w:id="35"/>
    </w:p>
    <w:p w14:paraId="6F1F4ECA" w14:textId="77777777" w:rsidR="0060631D" w:rsidRPr="0060631D" w:rsidRDefault="0060631D" w:rsidP="0060631D">
      <w:pPr>
        <w:jc w:val="center"/>
      </w:pPr>
      <w:r>
        <w:t xml:space="preserve">Table </w:t>
      </w:r>
      <w:r w:rsidR="00E4354C">
        <w:fldChar w:fldCharType="begin"/>
      </w:r>
      <w:r w:rsidR="00E4354C">
        <w:instrText xml:space="preserve"> SEQ Table \* ARABIC </w:instrText>
      </w:r>
      <w:r w:rsidR="00E4354C">
        <w:fldChar w:fldCharType="separate"/>
      </w:r>
      <w:r w:rsidR="00B14E4A">
        <w:rPr>
          <w:noProof/>
        </w:rPr>
        <w:t>10</w:t>
      </w:r>
      <w:r w:rsidR="00E4354C">
        <w:rPr>
          <w:noProof/>
        </w:rPr>
        <w:fldChar w:fldCharType="end"/>
      </w:r>
      <w:r>
        <w:t>: Leverage Ratios</w:t>
      </w:r>
    </w:p>
    <w:tbl>
      <w:tblPr>
        <w:tblW w:w="7800" w:type="dxa"/>
        <w:tblInd w:w="7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00"/>
        <w:gridCol w:w="1940"/>
        <w:gridCol w:w="1520"/>
        <w:gridCol w:w="1520"/>
        <w:gridCol w:w="1520"/>
      </w:tblGrid>
      <w:tr w:rsidR="0060631D" w:rsidRPr="0060631D" w14:paraId="0876E17D" w14:textId="77777777" w:rsidTr="0060631D">
        <w:trPr>
          <w:trHeight w:val="432"/>
        </w:trPr>
        <w:tc>
          <w:tcPr>
            <w:tcW w:w="1300" w:type="dxa"/>
            <w:noWrap/>
            <w:hideMark/>
          </w:tcPr>
          <w:p w14:paraId="1F1E7EE4" w14:textId="77777777" w:rsidR="0060631D" w:rsidRPr="0060631D" w:rsidRDefault="0060631D" w:rsidP="0060631D">
            <w:pPr>
              <w:spacing w:line="240" w:lineRule="auto"/>
              <w:jc w:val="center"/>
              <w:rPr>
                <w:rFonts w:eastAsia="Times New Roman"/>
                <w:lang w:val="en-US"/>
              </w:rPr>
            </w:pPr>
          </w:p>
        </w:tc>
        <w:tc>
          <w:tcPr>
            <w:tcW w:w="1940" w:type="dxa"/>
            <w:hideMark/>
          </w:tcPr>
          <w:p w14:paraId="6FF6ACB1"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Interest Coverage Ratio</w:t>
            </w:r>
          </w:p>
        </w:tc>
        <w:tc>
          <w:tcPr>
            <w:tcW w:w="1520" w:type="dxa"/>
            <w:hideMark/>
          </w:tcPr>
          <w:p w14:paraId="654C0785"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Debt-Equity Ratio</w:t>
            </w:r>
          </w:p>
        </w:tc>
        <w:tc>
          <w:tcPr>
            <w:tcW w:w="1520" w:type="dxa"/>
            <w:hideMark/>
          </w:tcPr>
          <w:p w14:paraId="30C97805"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Debt-to-Capital Ratio</w:t>
            </w:r>
          </w:p>
        </w:tc>
        <w:tc>
          <w:tcPr>
            <w:tcW w:w="1520" w:type="dxa"/>
            <w:hideMark/>
          </w:tcPr>
          <w:p w14:paraId="3C0E3793"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Equity Multiplier</w:t>
            </w:r>
          </w:p>
        </w:tc>
      </w:tr>
      <w:tr w:rsidR="0060631D" w:rsidRPr="0060631D" w14:paraId="6AD048E4" w14:textId="77777777" w:rsidTr="0060631D">
        <w:trPr>
          <w:trHeight w:val="432"/>
        </w:trPr>
        <w:tc>
          <w:tcPr>
            <w:tcW w:w="1300" w:type="dxa"/>
            <w:noWrap/>
            <w:hideMark/>
          </w:tcPr>
          <w:p w14:paraId="53B53F24"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2024</w:t>
            </w:r>
          </w:p>
        </w:tc>
        <w:tc>
          <w:tcPr>
            <w:tcW w:w="1940" w:type="dxa"/>
            <w:noWrap/>
            <w:hideMark/>
          </w:tcPr>
          <w:p w14:paraId="6B4433E6"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4.55</w:t>
            </w:r>
          </w:p>
        </w:tc>
        <w:tc>
          <w:tcPr>
            <w:tcW w:w="1520" w:type="dxa"/>
            <w:noWrap/>
            <w:hideMark/>
          </w:tcPr>
          <w:p w14:paraId="3287E702"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0.24</w:t>
            </w:r>
          </w:p>
        </w:tc>
        <w:tc>
          <w:tcPr>
            <w:tcW w:w="1520" w:type="dxa"/>
            <w:noWrap/>
            <w:hideMark/>
          </w:tcPr>
          <w:p w14:paraId="22B5F34C"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0.19</w:t>
            </w:r>
          </w:p>
        </w:tc>
        <w:tc>
          <w:tcPr>
            <w:tcW w:w="1520" w:type="dxa"/>
            <w:noWrap/>
            <w:hideMark/>
          </w:tcPr>
          <w:p w14:paraId="39436D99"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2.11</w:t>
            </w:r>
          </w:p>
        </w:tc>
      </w:tr>
      <w:tr w:rsidR="0060631D" w:rsidRPr="0060631D" w14:paraId="192C824C" w14:textId="77777777" w:rsidTr="0060631D">
        <w:trPr>
          <w:trHeight w:val="432"/>
        </w:trPr>
        <w:tc>
          <w:tcPr>
            <w:tcW w:w="1300" w:type="dxa"/>
            <w:noWrap/>
            <w:hideMark/>
          </w:tcPr>
          <w:p w14:paraId="53894983"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2023</w:t>
            </w:r>
          </w:p>
        </w:tc>
        <w:tc>
          <w:tcPr>
            <w:tcW w:w="1940" w:type="dxa"/>
            <w:noWrap/>
            <w:hideMark/>
          </w:tcPr>
          <w:p w14:paraId="54D61C00"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19.69</w:t>
            </w:r>
          </w:p>
        </w:tc>
        <w:tc>
          <w:tcPr>
            <w:tcW w:w="1520" w:type="dxa"/>
            <w:noWrap/>
            <w:hideMark/>
          </w:tcPr>
          <w:p w14:paraId="34FD1E0B"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0.31</w:t>
            </w:r>
          </w:p>
        </w:tc>
        <w:tc>
          <w:tcPr>
            <w:tcW w:w="1520" w:type="dxa"/>
            <w:noWrap/>
            <w:hideMark/>
          </w:tcPr>
          <w:p w14:paraId="6D765101"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0.24</w:t>
            </w:r>
          </w:p>
        </w:tc>
        <w:tc>
          <w:tcPr>
            <w:tcW w:w="1520" w:type="dxa"/>
            <w:noWrap/>
            <w:hideMark/>
          </w:tcPr>
          <w:p w14:paraId="6F0E785D"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1.99</w:t>
            </w:r>
          </w:p>
        </w:tc>
      </w:tr>
      <w:tr w:rsidR="0060631D" w:rsidRPr="0060631D" w14:paraId="5058171F" w14:textId="77777777" w:rsidTr="0060631D">
        <w:trPr>
          <w:trHeight w:val="432"/>
        </w:trPr>
        <w:tc>
          <w:tcPr>
            <w:tcW w:w="1300" w:type="dxa"/>
            <w:noWrap/>
            <w:hideMark/>
          </w:tcPr>
          <w:p w14:paraId="5B8F507C"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2022</w:t>
            </w:r>
          </w:p>
        </w:tc>
        <w:tc>
          <w:tcPr>
            <w:tcW w:w="1940" w:type="dxa"/>
            <w:noWrap/>
            <w:hideMark/>
          </w:tcPr>
          <w:p w14:paraId="240F8BB3"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-6.61</w:t>
            </w:r>
          </w:p>
        </w:tc>
        <w:tc>
          <w:tcPr>
            <w:tcW w:w="1520" w:type="dxa"/>
            <w:noWrap/>
            <w:hideMark/>
          </w:tcPr>
          <w:p w14:paraId="036F2607"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0.33</w:t>
            </w:r>
          </w:p>
        </w:tc>
        <w:tc>
          <w:tcPr>
            <w:tcW w:w="1520" w:type="dxa"/>
            <w:noWrap/>
            <w:hideMark/>
          </w:tcPr>
          <w:p w14:paraId="5A127F68"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0.25</w:t>
            </w:r>
          </w:p>
        </w:tc>
        <w:tc>
          <w:tcPr>
            <w:tcW w:w="1520" w:type="dxa"/>
            <w:noWrap/>
            <w:hideMark/>
          </w:tcPr>
          <w:p w14:paraId="12AEA0B6"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1.88</w:t>
            </w:r>
          </w:p>
        </w:tc>
      </w:tr>
      <w:tr w:rsidR="0060631D" w:rsidRPr="0060631D" w14:paraId="278442FE" w14:textId="77777777" w:rsidTr="0060631D">
        <w:trPr>
          <w:trHeight w:val="432"/>
        </w:trPr>
        <w:tc>
          <w:tcPr>
            <w:tcW w:w="1300" w:type="dxa"/>
            <w:noWrap/>
            <w:hideMark/>
          </w:tcPr>
          <w:p w14:paraId="5E7BD228"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2021</w:t>
            </w:r>
          </w:p>
        </w:tc>
        <w:tc>
          <w:tcPr>
            <w:tcW w:w="1940" w:type="dxa"/>
            <w:noWrap/>
            <w:hideMark/>
          </w:tcPr>
          <w:p w14:paraId="4F3A36D3"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-41.08</w:t>
            </w:r>
          </w:p>
        </w:tc>
        <w:tc>
          <w:tcPr>
            <w:tcW w:w="1520" w:type="dxa"/>
            <w:noWrap/>
            <w:hideMark/>
          </w:tcPr>
          <w:p w14:paraId="075624E2"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0.20</w:t>
            </w:r>
          </w:p>
        </w:tc>
        <w:tc>
          <w:tcPr>
            <w:tcW w:w="1520" w:type="dxa"/>
            <w:noWrap/>
            <w:hideMark/>
          </w:tcPr>
          <w:p w14:paraId="0ED1989E"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0.17</w:t>
            </w:r>
          </w:p>
        </w:tc>
        <w:tc>
          <w:tcPr>
            <w:tcW w:w="1520" w:type="dxa"/>
            <w:noWrap/>
            <w:hideMark/>
          </w:tcPr>
          <w:p w14:paraId="19D8A6D0" w14:textId="77777777" w:rsidR="0060631D" w:rsidRPr="0060631D" w:rsidRDefault="0060631D" w:rsidP="0060631D">
            <w:pPr>
              <w:spacing w:line="240" w:lineRule="auto"/>
              <w:jc w:val="center"/>
              <w:rPr>
                <w:rFonts w:eastAsia="Times New Roman"/>
                <w:color w:val="000000"/>
                <w:lang w:val="en-US"/>
              </w:rPr>
            </w:pPr>
            <w:r w:rsidRPr="0060631D">
              <w:rPr>
                <w:rFonts w:eastAsia="Times New Roman"/>
                <w:color w:val="000000"/>
                <w:lang w:val="en-US"/>
              </w:rPr>
              <w:t>1.85</w:t>
            </w:r>
          </w:p>
        </w:tc>
      </w:tr>
    </w:tbl>
    <w:p w14:paraId="180AE46A" w14:textId="77777777" w:rsidR="0060631D" w:rsidRPr="0060631D" w:rsidRDefault="0060631D" w:rsidP="0060631D"/>
    <w:p w14:paraId="36BF8762" w14:textId="232123E3" w:rsidR="004D2D4A" w:rsidRDefault="004D2D4A" w:rsidP="004D2D4A">
      <w:pPr>
        <w:spacing w:before="240" w:after="240"/>
      </w:pPr>
      <w:r>
        <w:t xml:space="preserve">The above leverage ratios illustrate some important points with </w:t>
      </w:r>
      <w:r w:rsidR="00D94F73">
        <w:t>regard</w:t>
      </w:r>
      <w:r>
        <w:t xml:space="preserve"> to the financial structure of this company. Interest coverage ratio is incredibly fluctuating, with the 2021 value being -41.08, and the 2023 value being 19.69, and it then </w:t>
      </w:r>
      <w:proofErr w:type="spellStart"/>
      <w:r w:rsidR="00D94F73">
        <w:t>stabilises</w:t>
      </w:r>
      <w:proofErr w:type="spellEnd"/>
      <w:r>
        <w:t xml:space="preserve"> at 4.55 in 2024. </w:t>
      </w:r>
    </w:p>
    <w:p w14:paraId="5820BB4B" w14:textId="168B36AA" w:rsidR="0060631D" w:rsidRDefault="004D2D4A" w:rsidP="00381AB1">
      <w:pPr>
        <w:spacing w:before="240" w:after="240"/>
      </w:pPr>
      <w:r>
        <w:t xml:space="preserve">The debt-equity ratio did not exceed the limits during the time, and the range of its indicators was 0.20 in 2021 and 0.33 in 2022, which is </w:t>
      </w:r>
      <w:proofErr w:type="spellStart"/>
      <w:r w:rsidR="00D94F73">
        <w:t>characterised</w:t>
      </w:r>
      <w:proofErr w:type="spellEnd"/>
      <w:r>
        <w:t xml:space="preserve"> by a low debt and a high equity base. Equity multiplier increased a few bars since 1.85 in 2021 by adding 2.11 in 2024</w:t>
      </w:r>
      <w:r w:rsidR="00B60B58" w:rsidRPr="00B60B58">
        <w:t>.</w:t>
      </w:r>
      <w:bookmarkEnd w:id="18"/>
      <w:bookmarkEnd w:id="19"/>
    </w:p>
    <w:p w14:paraId="07A672B9" w14:textId="77777777" w:rsidR="0060631D" w:rsidRDefault="0060631D" w:rsidP="00B60B58">
      <w:r>
        <w:rPr>
          <w:noProof/>
        </w:rPr>
        <mc:AlternateContent>
          <mc:Choice Requires="wps">
            <w:drawing>
              <wp:anchor distT="0" distB="0" distL="114300" distR="114300" simplePos="0" relativeHeight="251697152" behindDoc="0" locked="0" layoutInCell="1" allowOverlap="1" wp14:anchorId="0628726A" wp14:editId="58B9FDBC">
                <wp:simplePos x="0" y="0"/>
                <wp:positionH relativeFrom="column">
                  <wp:posOffset>327197</wp:posOffset>
                </wp:positionH>
                <wp:positionV relativeFrom="paragraph">
                  <wp:posOffset>117141</wp:posOffset>
                </wp:positionV>
                <wp:extent cx="5513705" cy="635"/>
                <wp:effectExtent l="0" t="0" r="0" b="12065"/>
                <wp:wrapNone/>
                <wp:docPr id="154606966" name="Text Box 1"/>
                <wp:cNvGraphicFramePr/>
                <a:graphic xmlns:a="http://schemas.openxmlformats.org/drawingml/2006/main">
                  <a:graphicData uri="http://schemas.microsoft.com/office/word/2010/wordprocessingShape">
                    <wps:wsp>
                      <wps:cNvSpPr txBox="1"/>
                      <wps:spPr>
                        <a:xfrm>
                          <a:off x="0" y="0"/>
                          <a:ext cx="5513705" cy="635"/>
                        </a:xfrm>
                        <a:prstGeom prst="rect">
                          <a:avLst/>
                        </a:prstGeom>
                        <a:solidFill>
                          <a:prstClr val="white"/>
                        </a:solidFill>
                        <a:ln>
                          <a:noFill/>
                        </a:ln>
                      </wps:spPr>
                      <wps:txbx>
                        <w:txbxContent>
                          <w:p w14:paraId="650AFD49" w14:textId="77777777" w:rsidR="0060631D" w:rsidRPr="005A7803" w:rsidRDefault="0060631D" w:rsidP="0060631D">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13</w:t>
                            </w:r>
                            <w:r w:rsidR="00E4354C">
                              <w:rPr>
                                <w:noProof/>
                              </w:rPr>
                              <w:fldChar w:fldCharType="end"/>
                            </w:r>
                            <w:r>
                              <w:t>: Leverage Ratio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28726A" id="_x0000_s1035" type="#_x0000_t202" style="position:absolute;left:0;text-align:left;margin-left:25.75pt;margin-top:9.2pt;width:434.1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" stroked="f">
                <v:textbox style="mso-fit-shape-to-text:t" inset="0,0,0,0">
                  <w:txbxContent>
                    <w:p w14:paraId="650AFD49" w14:textId="77777777" w:rsidR="0060631D" w:rsidRPr="005A7803" w:rsidRDefault="0060631D" w:rsidP="0060631D">
                      <w:pPr>
                        <w:jc w:val="center"/>
                        <w:rPr>
                          <w:noProof/>
                        </w:rPr>
                      </w:pPr>
                      <w:r>
                        <w:t xml:space="preserve">Figure </w:t>
                      </w:r>
                      <w:r w:rsidR="00E4354C">
                        <w:fldChar w:fldCharType="begin"/>
                      </w:r>
                      <w:r w:rsidR="00E4354C">
                        <w:instrText xml:space="preserve"> SEQ Figure \* ARABIC </w:instrText>
                      </w:r>
                      <w:r w:rsidR="00E4354C">
                        <w:fldChar w:fldCharType="separate"/>
                      </w:r>
                      <w:r w:rsidR="00A37FF8">
                        <w:rPr>
                          <w:noProof/>
                        </w:rPr>
                        <w:t>13</w:t>
                      </w:r>
                      <w:r w:rsidR="00E4354C">
                        <w:rPr>
                          <w:noProof/>
                        </w:rPr>
                        <w:fldChar w:fldCharType="end"/>
                      </w:r>
                      <w:r>
                        <w:t>: Leverage Ratio</w:t>
                      </w:r>
                    </w:p>
                  </w:txbxContent>
                </v:textbox>
              </v:shape>
            </w:pict>
          </mc:Fallback>
        </mc:AlternateContent>
      </w:r>
    </w:p>
    <w:p w14:paraId="178BE55F" w14:textId="77777777" w:rsidR="0060631D" w:rsidRDefault="0060631D" w:rsidP="00B60B58">
      <w:r>
        <w:rPr>
          <w:noProof/>
        </w:rPr>
        <mc:AlternateContent>
          <mc:Choice Requires="wpg">
            <w:drawing>
              <wp:anchor distT="0" distB="0" distL="114300" distR="114300" simplePos="0" relativeHeight="251695104" behindDoc="0" locked="0" layoutInCell="1" allowOverlap="1" wp14:anchorId="7247FC19" wp14:editId="4E9F2D03">
                <wp:simplePos x="0" y="0"/>
                <wp:positionH relativeFrom="column">
                  <wp:posOffset>281883</wp:posOffset>
                </wp:positionH>
                <wp:positionV relativeFrom="paragraph">
                  <wp:posOffset>191870</wp:posOffset>
                </wp:positionV>
                <wp:extent cx="5514240" cy="3738035"/>
                <wp:effectExtent l="0" t="0" r="10795" b="8890"/>
                <wp:wrapNone/>
                <wp:docPr id="7" name="Group 6">
                  <a:extLst xmlns:a="http://schemas.openxmlformats.org/drawingml/2006/main">
                    <a:ext uri="{FF2B5EF4-FFF2-40B4-BE49-F238E27FC236}">
                      <a16:creationId xmlns:a16="http://schemas.microsoft.com/office/drawing/2014/main" id="{B2BE3A4C-67DB-0C15-447B-BBAF4826D4C1}"/>
                    </a:ext>
                  </a:extLst>
                </wp:docPr>
                <wp:cNvGraphicFramePr/>
                <a:graphic xmlns:a="http://schemas.openxmlformats.org/drawingml/2006/main">
                  <a:graphicData uri="http://schemas.microsoft.com/office/word/2010/wordprocessingGroup">
                    <wpg:wgp>
                      <wpg:cNvGrpSpPr/>
                      <wpg:grpSpPr>
                        <a:xfrm>
                          <a:off x="0" y="0"/>
                          <a:ext cx="5514240" cy="3738035"/>
                          <a:chOff x="0" y="0"/>
                          <a:chExt cx="6134100" cy="4171950"/>
                        </a:xfrm>
                      </wpg:grpSpPr>
                      <wpg:graphicFrame>
                        <wpg:cNvPr id="28943082" name="Chart 28943082">
                          <a:extLst>
                            <a:ext uri="{FF2B5EF4-FFF2-40B4-BE49-F238E27FC236}">
                              <a16:creationId xmlns:a16="http://schemas.microsoft.com/office/drawing/2014/main" id="{94D02307-CFFF-5E8A-ED6B-85F69624EB91}"/>
                            </a:ext>
                          </a:extLst>
                        </wpg:cNvPr>
                        <wpg:cNvFrPr/>
                        <wpg:xfrm>
                          <a:off x="12700" y="0"/>
                          <a:ext cx="3009900" cy="2012950"/>
                        </wpg:xfrm>
                        <a:graphic>
                          <a:graphicData uri="http://schemas.openxmlformats.org/drawingml/2006/chart">
                            <c:chart xmlns:c="http://schemas.openxmlformats.org/drawingml/2006/chart" xmlns:r="http://schemas.openxmlformats.org/officeDocument/2006/relationships" r:id="rId33"/>
                          </a:graphicData>
                        </a:graphic>
                      </wpg:graphicFrame>
                      <wpg:graphicFrame>
                        <wpg:cNvPr id="920232561" name="Chart 920232561">
                          <a:extLst>
                            <a:ext uri="{FF2B5EF4-FFF2-40B4-BE49-F238E27FC236}">
                              <a16:creationId xmlns:a16="http://schemas.microsoft.com/office/drawing/2014/main" id="{79C9F7F2-F81B-9F33-E9D4-E941BDE92BEB}"/>
                            </a:ext>
                          </a:extLst>
                        </wpg:cNvPr>
                        <wpg:cNvFrPr/>
                        <wpg:xfrm>
                          <a:off x="3073400" y="6350"/>
                          <a:ext cx="3060700" cy="2019300"/>
                        </wpg:xfrm>
                        <a:graphic>
                          <a:graphicData uri="http://schemas.openxmlformats.org/drawingml/2006/chart">
                            <c:chart xmlns:c="http://schemas.openxmlformats.org/drawingml/2006/chart" xmlns:r="http://schemas.openxmlformats.org/officeDocument/2006/relationships" r:id="rId34"/>
                          </a:graphicData>
                        </a:graphic>
                      </wpg:graphicFrame>
                      <wpg:graphicFrame>
                        <wpg:cNvPr id="697943905" name="Chart 697943905">
                          <a:extLst>
                            <a:ext uri="{FF2B5EF4-FFF2-40B4-BE49-F238E27FC236}">
                              <a16:creationId xmlns:a16="http://schemas.microsoft.com/office/drawing/2014/main" id="{AA25A0DD-9D20-B8AD-C8BB-15A912C24D24}"/>
                            </a:ext>
                          </a:extLst>
                        </wpg:cNvPr>
                        <wpg:cNvFrPr/>
                        <wpg:xfrm>
                          <a:off x="0" y="2076450"/>
                          <a:ext cx="3028950" cy="2095500"/>
                        </wpg:xfrm>
                        <a:graphic>
                          <a:graphicData uri="http://schemas.openxmlformats.org/drawingml/2006/chart">
                            <c:chart xmlns:c="http://schemas.openxmlformats.org/drawingml/2006/chart" xmlns:r="http://schemas.openxmlformats.org/officeDocument/2006/relationships" r:id="rId35"/>
                          </a:graphicData>
                        </a:graphic>
                      </wpg:graphicFrame>
                      <wpg:graphicFrame>
                        <wpg:cNvPr id="2129338102" name="Chart 2129338102">
                          <a:extLst>
                            <a:ext uri="{FF2B5EF4-FFF2-40B4-BE49-F238E27FC236}">
                              <a16:creationId xmlns:a16="http://schemas.microsoft.com/office/drawing/2014/main" id="{EE3AF67A-27C6-4096-714F-9CEA677BBC35}"/>
                            </a:ext>
                          </a:extLst>
                        </wpg:cNvPr>
                        <wpg:cNvFrPr/>
                        <wpg:xfrm>
                          <a:off x="3079750" y="2070100"/>
                          <a:ext cx="3028950" cy="2076450"/>
                        </wpg:xfrm>
                        <a:graphic>
                          <a:graphicData uri="http://schemas.openxmlformats.org/drawingml/2006/chart">
                            <c:chart xmlns:c="http://schemas.openxmlformats.org/drawingml/2006/chart" xmlns:r="http://schemas.openxmlformats.org/officeDocument/2006/relationships" r:id="rId36"/>
                          </a:graphicData>
                        </a:graphic>
                      </wpg:graphicFrame>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3FE018D9" id="Group 6" o:spid="_x0000_s1026" style="position:absolute;margin-left:22.2pt;margin-top:15.1pt;width:434.2pt;height:294.35pt;z-index:251695104;mso-width-relative:margin;mso-height-relative:margin" coordsize="61341,41719" o:gfxdata="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">
                <v:shape id="Chart 28943082" o:spid="_x0000_s1027" type="#_x0000_t75" style="position:absolute;top:-141;width:30374;height:204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">
                  <v:imagedata r:id="rId37" o:title=""/>
                  <o:lock v:ext="edit" aspectratio="f"/>
                </v:shape>
                <v:shape id="Chart 920232561" o:spid="_x0000_s1028" type="#_x0000_t75" style="position:absolute;left:30515;width:30940;height:204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">
                  <v:imagedata r:id="rId38" o:title=""/>
                  <o:lock v:ext="edit" aspectratio="f"/>
                </v:shape>
                <v:shape id="Chart 697943905" o:spid="_x0000_s1029" type="#_x0000_t75" style="position:absolute;left:-141;top:20552;width:30656;height:212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">
                  <v:imagedata r:id="rId39" o:title=""/>
                  <o:lock v:ext="edit" aspectratio="f"/>
                </v:shape>
                <v:shape id="Chart 2129338102" o:spid="_x0000_s1030" type="#_x0000_t75" style="position:absolute;left:30656;top:20552;width:30516;height:209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">
                  <v:imagedata r:id="rId40" o:title=""/>
                  <o:lock v:ext="edit" aspectratio="f"/>
                </v:shape>
              </v:group>
            </w:pict>
          </mc:Fallback>
        </mc:AlternateContent>
      </w:r>
    </w:p>
    <w:p w14:paraId="6CEB2FE5" w14:textId="77777777" w:rsidR="0060631D" w:rsidRDefault="0060631D" w:rsidP="00B60B58"/>
    <w:p w14:paraId="159961D9" w14:textId="77777777" w:rsidR="0060631D" w:rsidRDefault="0060631D" w:rsidP="00B60B58"/>
    <w:p w14:paraId="384B8CD6" w14:textId="77777777" w:rsidR="0060631D" w:rsidRDefault="0060631D" w:rsidP="00B60B58"/>
    <w:p w14:paraId="4566C0C3" w14:textId="77777777" w:rsidR="0060631D" w:rsidRDefault="0060631D" w:rsidP="00B60B58"/>
    <w:p w14:paraId="11FDDC93" w14:textId="77777777" w:rsidR="0060631D" w:rsidRDefault="0060631D" w:rsidP="00B60B58"/>
    <w:p w14:paraId="53039DD0" w14:textId="77777777" w:rsidR="0060631D" w:rsidRDefault="0060631D" w:rsidP="00B60B58"/>
    <w:p w14:paraId="4CCA070F" w14:textId="77777777" w:rsidR="0060631D" w:rsidRDefault="0060631D" w:rsidP="00B60B58"/>
    <w:p w14:paraId="7D7DA3C3" w14:textId="77777777" w:rsidR="0060631D" w:rsidRDefault="0060631D" w:rsidP="00B60B58"/>
    <w:p w14:paraId="58005D75" w14:textId="77777777" w:rsidR="0060631D" w:rsidRPr="00B60B58" w:rsidRDefault="0060631D" w:rsidP="00B60B58"/>
    <w:p w14:paraId="210E47D1" w14:textId="77777777" w:rsidR="00B60B58" w:rsidRDefault="00B60B58"/>
    <w:p w14:paraId="3BE5EF7F" w14:textId="77777777" w:rsidR="00B60B58" w:rsidRDefault="00B60B58"/>
    <w:p w14:paraId="7E15C9C2" w14:textId="77777777" w:rsidR="00B60B58" w:rsidRDefault="00B60B58"/>
    <w:p w14:paraId="24EA05EC" w14:textId="77777777" w:rsidR="00B60B58" w:rsidRDefault="00B60B58"/>
    <w:p w14:paraId="40F1FEAF" w14:textId="77777777" w:rsidR="00B60B58" w:rsidRDefault="00216A69" w:rsidP="00216A69">
      <w:pPr>
        <w:pStyle w:val="Heading2"/>
      </w:pPr>
      <w:bookmarkStart w:id="36" w:name="_Toc217146064"/>
      <w:r>
        <w:lastRenderedPageBreak/>
        <w:t>2.3 Trends, Strengths, and Weaknesses</w:t>
      </w:r>
      <w:bookmarkEnd w:id="36"/>
    </w:p>
    <w:p w14:paraId="1EC45226" w14:textId="77777777" w:rsidR="00216A69" w:rsidRPr="00216A69" w:rsidRDefault="00216A69" w:rsidP="00216A69">
      <w:pPr>
        <w:pStyle w:val="Heading3"/>
      </w:pPr>
      <w:bookmarkStart w:id="37" w:name="_Toc217146065"/>
      <w:r w:rsidRPr="00216A69">
        <w:t>2.3.1 Trends</w:t>
      </w:r>
      <w:bookmarkEnd w:id="37"/>
    </w:p>
    <w:p w14:paraId="7369E3B4" w14:textId="75BCD4E5" w:rsidR="00216A69" w:rsidRDefault="00216A69" w:rsidP="007056CB">
      <w:pPr>
        <w:pStyle w:val="ListParagraph"/>
        <w:numPr>
          <w:ilvl w:val="0"/>
          <w:numId w:val="1"/>
        </w:numPr>
        <w:spacing w:before="240" w:after="240"/>
      </w:pPr>
      <w:r>
        <w:rPr>
          <w:rStyle w:val="Strong"/>
        </w:rPr>
        <w:t>Revenue and Profitability:</w:t>
      </w:r>
      <w:r>
        <w:t xml:space="preserve"> </w:t>
      </w:r>
      <w:r w:rsidR="004D2D4A">
        <w:t xml:space="preserve"> </w:t>
      </w:r>
      <w:r w:rsidR="007056CB" w:rsidRPr="007056CB">
        <w:t>There has been a steady decreasing trend of net sales in 202124</w:t>
      </w:r>
      <w:r w:rsidR="00D94F73">
        <w:t>,</w:t>
      </w:r>
      <w:r w:rsidR="007056CB" w:rsidRPr="007056CB">
        <w:t xml:space="preserve"> with the company showing gross profit, operating income, and net income that are fluctuating significantly. </w:t>
      </w:r>
    </w:p>
    <w:p w14:paraId="0DE95986" w14:textId="68405DC9" w:rsidR="00216A69" w:rsidRDefault="00216A69" w:rsidP="007056CB">
      <w:pPr>
        <w:pStyle w:val="ListParagraph"/>
        <w:numPr>
          <w:ilvl w:val="0"/>
          <w:numId w:val="1"/>
        </w:numPr>
        <w:spacing w:before="240" w:after="240"/>
      </w:pPr>
      <w:r>
        <w:rPr>
          <w:rStyle w:val="Strong"/>
        </w:rPr>
        <w:t>Liquidity:</w:t>
      </w:r>
      <w:r>
        <w:t xml:space="preserve"> </w:t>
      </w:r>
      <w:r w:rsidR="004D2D4A">
        <w:t xml:space="preserve"> </w:t>
      </w:r>
      <w:r w:rsidR="007056CB" w:rsidRPr="007056CB">
        <w:t>Adjusted and current ratios were in excess of 1 during the period, indicating a stable liquidity situation in the short term</w:t>
      </w:r>
      <w:r w:rsidR="00D94F73">
        <w:t>,</w:t>
      </w:r>
      <w:r w:rsidR="007056CB" w:rsidRPr="007056CB">
        <w:t xml:space="preserve"> whereas cash ratios </w:t>
      </w:r>
      <w:r w:rsidR="00D94F73">
        <w:t>remained</w:t>
      </w:r>
      <w:r w:rsidR="007056CB" w:rsidRPr="007056CB">
        <w:t xml:space="preserve"> low.</w:t>
      </w:r>
    </w:p>
    <w:p w14:paraId="6D217E81" w14:textId="6F026199" w:rsidR="00216A69" w:rsidRDefault="00216A69" w:rsidP="007056CB">
      <w:pPr>
        <w:pStyle w:val="ListParagraph"/>
        <w:numPr>
          <w:ilvl w:val="0"/>
          <w:numId w:val="1"/>
        </w:numPr>
        <w:spacing w:before="240" w:after="240"/>
      </w:pPr>
      <w:r>
        <w:rPr>
          <w:rStyle w:val="Strong"/>
        </w:rPr>
        <w:t>Asset Efficiency:</w:t>
      </w:r>
      <w:r>
        <w:t xml:space="preserve"> </w:t>
      </w:r>
      <w:r w:rsidR="004D2D4A">
        <w:t xml:space="preserve"> </w:t>
      </w:r>
      <w:r w:rsidR="007056CB">
        <w:t>The fixed asset turnover was solid and quite stable, with some fluctuation, but the situation improved in 2024</w:t>
      </w:r>
      <w:r w:rsidR="00D94F73">
        <w:t>,</w:t>
      </w:r>
      <w:r w:rsidR="007056CB">
        <w:t xml:space="preserve"> indicating the effective </w:t>
      </w:r>
      <w:proofErr w:type="spellStart"/>
      <w:r w:rsidR="00D94F73">
        <w:t>utilisation</w:t>
      </w:r>
      <w:proofErr w:type="spellEnd"/>
      <w:r w:rsidR="007056CB">
        <w:t xml:space="preserve"> of fixed assets and </w:t>
      </w:r>
      <w:r w:rsidR="00D94F73">
        <w:t xml:space="preserve">the </w:t>
      </w:r>
      <w:r w:rsidR="007056CB">
        <w:t>generation of revenue.</w:t>
      </w:r>
    </w:p>
    <w:p w14:paraId="2A403512" w14:textId="600032AF" w:rsidR="00216A69" w:rsidRDefault="00216A69" w:rsidP="007056CB">
      <w:pPr>
        <w:pStyle w:val="ListParagraph"/>
        <w:numPr>
          <w:ilvl w:val="0"/>
          <w:numId w:val="1"/>
        </w:numPr>
        <w:spacing w:before="240" w:after="240"/>
      </w:pPr>
      <w:r>
        <w:rPr>
          <w:rStyle w:val="Strong"/>
        </w:rPr>
        <w:t>Leverage:</w:t>
      </w:r>
      <w:r>
        <w:t xml:space="preserve"> </w:t>
      </w:r>
      <w:r w:rsidR="004D2D4A">
        <w:t xml:space="preserve"> </w:t>
      </w:r>
      <w:r w:rsidR="007056CB" w:rsidRPr="007056CB">
        <w:t xml:space="preserve">There were low and conservative levels of debt and small equity multiplier increases. Coverage of interest has also increased since </w:t>
      </w:r>
      <w:r w:rsidR="00B6219F">
        <w:t>the</w:t>
      </w:r>
      <w:r w:rsidR="007056CB" w:rsidRPr="007056CB">
        <w:t xml:space="preserve"> negative position of the previous year of 2021</w:t>
      </w:r>
      <w:r w:rsidR="006D795D">
        <w:t>-</w:t>
      </w:r>
      <w:r w:rsidR="007056CB" w:rsidRPr="007056CB">
        <w:t>2022.</w:t>
      </w:r>
    </w:p>
    <w:p w14:paraId="7C40B639" w14:textId="77777777" w:rsidR="00216A69" w:rsidRDefault="00216A69" w:rsidP="00E959B7">
      <w:pPr>
        <w:pStyle w:val="Heading3"/>
        <w:numPr>
          <w:ilvl w:val="2"/>
          <w:numId w:val="6"/>
        </w:numPr>
      </w:pPr>
      <w:bookmarkStart w:id="38" w:name="_Toc217146066"/>
      <w:r>
        <w:t>Strengths</w:t>
      </w:r>
      <w:bookmarkEnd w:id="38"/>
    </w:p>
    <w:p w14:paraId="24AB1682" w14:textId="617840E0" w:rsidR="007056CB" w:rsidRDefault="00216A69" w:rsidP="00E164C6">
      <w:pPr>
        <w:pStyle w:val="ListParagraph"/>
        <w:numPr>
          <w:ilvl w:val="0"/>
          <w:numId w:val="20"/>
        </w:numPr>
        <w:spacing w:before="240" w:after="240"/>
      </w:pPr>
      <w:r>
        <w:rPr>
          <w:rStyle w:val="Strong"/>
        </w:rPr>
        <w:t xml:space="preserve">Efficient Asset </w:t>
      </w:r>
      <w:proofErr w:type="spellStart"/>
      <w:r w:rsidR="009A1BED">
        <w:rPr>
          <w:rStyle w:val="Strong"/>
        </w:rPr>
        <w:t>Utilisation</w:t>
      </w:r>
      <w:proofErr w:type="spellEnd"/>
      <w:r>
        <w:rPr>
          <w:rStyle w:val="Strong"/>
        </w:rPr>
        <w:t>:</w:t>
      </w:r>
      <w:r>
        <w:t xml:space="preserve"> </w:t>
      </w:r>
      <w:r w:rsidR="007056CB">
        <w:t xml:space="preserve"> </w:t>
      </w:r>
      <w:r w:rsidR="007056CB" w:rsidRPr="007056CB">
        <w:t xml:space="preserve">The fixed asset turnover is high, which shows that the company is </w:t>
      </w:r>
      <w:proofErr w:type="spellStart"/>
      <w:r w:rsidR="00D94F73">
        <w:t>realising</w:t>
      </w:r>
      <w:proofErr w:type="spellEnd"/>
      <w:r w:rsidR="007056CB" w:rsidRPr="007056CB">
        <w:t xml:space="preserve"> high revenue on its assets and, therefore, falling profitability is not a result of ineffective management of its assets.</w:t>
      </w:r>
    </w:p>
    <w:p w14:paraId="27081BBB" w14:textId="5F1BD40F" w:rsidR="00E164C6" w:rsidRDefault="00216A69" w:rsidP="00E164C6">
      <w:pPr>
        <w:pStyle w:val="ListParagraph"/>
        <w:numPr>
          <w:ilvl w:val="0"/>
          <w:numId w:val="20"/>
        </w:numPr>
        <w:spacing w:before="240" w:after="240"/>
      </w:pPr>
      <w:r>
        <w:rPr>
          <w:rStyle w:val="Strong"/>
        </w:rPr>
        <w:t>Liquidity and Conservative Financing:</w:t>
      </w:r>
      <w:r>
        <w:t xml:space="preserve"> </w:t>
      </w:r>
      <w:r w:rsidR="007056CB">
        <w:t xml:space="preserve"> </w:t>
      </w:r>
      <w:r w:rsidR="00E164C6" w:rsidRPr="00E164C6">
        <w:t xml:space="preserve">It has sufficient current assets and liabilities, and a conservative capital structure, hence the financial risk is </w:t>
      </w:r>
      <w:proofErr w:type="spellStart"/>
      <w:r w:rsidR="00D94F73">
        <w:t>minimised</w:t>
      </w:r>
      <w:proofErr w:type="spellEnd"/>
      <w:r w:rsidR="00E164C6" w:rsidRPr="00E164C6">
        <w:t>.</w:t>
      </w:r>
    </w:p>
    <w:p w14:paraId="6AFFCE5C" w14:textId="206BB8DB" w:rsidR="00216A69" w:rsidRDefault="00216A69" w:rsidP="00E164C6">
      <w:pPr>
        <w:pStyle w:val="ListParagraph"/>
        <w:numPr>
          <w:ilvl w:val="0"/>
          <w:numId w:val="20"/>
        </w:numPr>
        <w:spacing w:before="240" w:after="240"/>
      </w:pPr>
      <w:r>
        <w:rPr>
          <w:rStyle w:val="Strong"/>
        </w:rPr>
        <w:t>Partial Operational Recovery:</w:t>
      </w:r>
      <w:r>
        <w:t xml:space="preserve"> </w:t>
      </w:r>
      <w:r w:rsidR="007056CB">
        <w:t xml:space="preserve"> </w:t>
      </w:r>
      <w:r w:rsidR="00E164C6" w:rsidRPr="00E164C6">
        <w:t xml:space="preserve">The increase in the gross margin, operating margin, and operating income in 2024 </w:t>
      </w:r>
      <w:r w:rsidR="00D94F73">
        <w:t>shows</w:t>
      </w:r>
      <w:r w:rsidR="00E164C6" w:rsidRPr="00E164C6">
        <w:t xml:space="preserve"> that cost management and </w:t>
      </w:r>
      <w:r w:rsidR="00D94F73">
        <w:t>operations</w:t>
      </w:r>
      <w:r w:rsidR="00E164C6" w:rsidRPr="00E164C6">
        <w:t xml:space="preserve"> are beginning to influence the company</w:t>
      </w:r>
      <w:r>
        <w:t>.</w:t>
      </w:r>
    </w:p>
    <w:p w14:paraId="729C7F07" w14:textId="77777777" w:rsidR="00216A69" w:rsidRDefault="00216A69" w:rsidP="00E959B7">
      <w:pPr>
        <w:pStyle w:val="Heading3"/>
        <w:numPr>
          <w:ilvl w:val="2"/>
          <w:numId w:val="6"/>
        </w:numPr>
      </w:pPr>
      <w:bookmarkStart w:id="39" w:name="_Toc217146067"/>
      <w:r>
        <w:lastRenderedPageBreak/>
        <w:t>Threats</w:t>
      </w:r>
      <w:bookmarkEnd w:id="39"/>
    </w:p>
    <w:p w14:paraId="116B09B7" w14:textId="3E4AA3A0" w:rsidR="00E164C6" w:rsidRDefault="00216A69" w:rsidP="00D94F73">
      <w:pPr>
        <w:pStyle w:val="ListParagraph"/>
        <w:numPr>
          <w:ilvl w:val="0"/>
          <w:numId w:val="21"/>
        </w:numPr>
        <w:spacing w:before="240" w:after="240"/>
      </w:pPr>
      <w:r>
        <w:rPr>
          <w:rStyle w:val="Strong"/>
        </w:rPr>
        <w:t>Persistent Profitability Challenges:</w:t>
      </w:r>
      <w:r>
        <w:t xml:space="preserve"> </w:t>
      </w:r>
      <w:r w:rsidR="00E164C6" w:rsidRPr="00E164C6">
        <w:t xml:space="preserve">Margins and returns are negative, despite </w:t>
      </w:r>
      <w:r w:rsidR="00D94F73">
        <w:t xml:space="preserve">a </w:t>
      </w:r>
      <w:r w:rsidR="00E164C6" w:rsidRPr="00E164C6">
        <w:t xml:space="preserve">slight improvement in 2024, and the company proves to </w:t>
      </w:r>
      <w:r w:rsidR="00D94F73">
        <w:t>continues</w:t>
      </w:r>
      <w:r w:rsidR="00E164C6" w:rsidRPr="00E164C6">
        <w:t xml:space="preserve"> to have problems translating revenue into sustainable profit.</w:t>
      </w:r>
    </w:p>
    <w:p w14:paraId="4B611323" w14:textId="1D8F5DCD" w:rsidR="00216A69" w:rsidRDefault="00216A69" w:rsidP="00D94F73">
      <w:pPr>
        <w:pStyle w:val="ListParagraph"/>
        <w:numPr>
          <w:ilvl w:val="0"/>
          <w:numId w:val="21"/>
        </w:numPr>
        <w:spacing w:before="240" w:after="240"/>
      </w:pPr>
      <w:r>
        <w:rPr>
          <w:rStyle w:val="Strong"/>
        </w:rPr>
        <w:t>Declining Revenue:</w:t>
      </w:r>
      <w:r>
        <w:t xml:space="preserve"> </w:t>
      </w:r>
      <w:r w:rsidR="00E164C6" w:rsidRPr="00E164C6">
        <w:t>Unrelenting reduction in the net sales indicates that there are external factors that are compelling the company to reduce revenue.</w:t>
      </w:r>
    </w:p>
    <w:p w14:paraId="6627F177" w14:textId="4801E6C3" w:rsidR="00216A69" w:rsidRDefault="00216A69" w:rsidP="00D94F73">
      <w:pPr>
        <w:pStyle w:val="ListParagraph"/>
        <w:numPr>
          <w:ilvl w:val="0"/>
          <w:numId w:val="21"/>
        </w:numPr>
        <w:spacing w:before="240" w:after="240"/>
      </w:pPr>
      <w:r>
        <w:rPr>
          <w:rStyle w:val="Strong"/>
        </w:rPr>
        <w:t>Limited Cash Reserves:</w:t>
      </w:r>
      <w:r>
        <w:t xml:space="preserve"> </w:t>
      </w:r>
      <w:r w:rsidR="00640A1B" w:rsidRPr="00640A1B">
        <w:t>The low cash ratios may hamper the mobility of the company to either make investments, discharge natural requirements or make a quick response on market opportunities.</w:t>
      </w:r>
    </w:p>
    <w:p w14:paraId="25675493" w14:textId="77777777" w:rsidR="00E959B7" w:rsidRDefault="00E959B7" w:rsidP="00E959B7">
      <w:pPr>
        <w:pStyle w:val="Heading2"/>
        <w:numPr>
          <w:ilvl w:val="1"/>
          <w:numId w:val="6"/>
        </w:numPr>
      </w:pPr>
      <w:bookmarkStart w:id="40" w:name="_Toc217146068"/>
      <w:r>
        <w:t>Default Risk Assessment</w:t>
      </w:r>
      <w:bookmarkEnd w:id="40"/>
    </w:p>
    <w:p w14:paraId="657AB121" w14:textId="4E941957" w:rsidR="009A0436" w:rsidRDefault="00D94F73" w:rsidP="00D94F73">
      <w:pPr>
        <w:spacing w:before="240" w:after="240"/>
      </w:pPr>
      <w:r>
        <w:t xml:space="preserve">As the company is experiencing a decrease in revenue, losses and varying profitability over the period between 2021 and 2024, the default risk of the company should be evaluated systematically. Altman Z-Score offers a structured method of assessing the possibility of the company going through financial distress (Maulana, 2024). </w:t>
      </w:r>
    </w:p>
    <w:p w14:paraId="2EEA1FF2" w14:textId="213678B5" w:rsidR="009A0436" w:rsidRDefault="009A0436" w:rsidP="00D94F73">
      <w:pPr>
        <w:spacing w:before="240" w:after="240"/>
        <w:rPr>
          <w:b/>
          <w:bCs/>
        </w:rPr>
      </w:pPr>
      <w:r>
        <w:rPr>
          <w:b/>
          <w:bCs/>
        </w:rPr>
        <w:t>Altman Z-Score Calculation</w:t>
      </w:r>
    </w:p>
    <w:p w14:paraId="66D86266" w14:textId="77777777" w:rsidR="00314563" w:rsidRPr="00314563" w:rsidRDefault="009A0436" w:rsidP="00D94F73">
      <w:pPr>
        <w:spacing w:before="240" w:after="240"/>
        <w:jc w:val="center"/>
        <w:rPr>
          <w:rFonts w:ascii="Calibri" w:eastAsia="Times New Roman" w:hAnsi="Calibri" w:cs="Calibri"/>
          <w:color w:val="000000"/>
          <w:lang w:val="en-US"/>
        </w:rPr>
      </w:pPr>
      <w:r w:rsidRPr="009A0436">
        <w:rPr>
          <w:rFonts w:ascii="Times New Roman" w:eastAsia="Times New Roman" w:hAnsi="Times New Roman" w:cs="Times New Roman"/>
          <w:lang w:val="en-US"/>
        </w:rPr>
        <w:t>Z=1.2(X1​)</w:t>
      </w:r>
      <w:r>
        <w:rPr>
          <w:rFonts w:ascii="Times New Roman" w:eastAsia="Times New Roman" w:hAnsi="Times New Roman" w:cs="Times New Roman"/>
          <w:lang w:val="en-US"/>
        </w:rPr>
        <w:t xml:space="preserve"> </w:t>
      </w:r>
      <w:r w:rsidRPr="009A0436">
        <w:rPr>
          <w:rFonts w:ascii="Times New Roman" w:eastAsia="Times New Roman" w:hAnsi="Times New Roman" w:cs="Times New Roman"/>
          <w:lang w:val="en-US"/>
        </w:rPr>
        <w:t>+</w:t>
      </w:r>
      <w:r>
        <w:rPr>
          <w:rFonts w:ascii="Times New Roman" w:eastAsia="Times New Roman" w:hAnsi="Times New Roman" w:cs="Times New Roman"/>
          <w:lang w:val="en-US"/>
        </w:rPr>
        <w:t xml:space="preserve"> </w:t>
      </w:r>
      <w:r w:rsidRPr="009A0436">
        <w:rPr>
          <w:rFonts w:ascii="Times New Roman" w:eastAsia="Times New Roman" w:hAnsi="Times New Roman" w:cs="Times New Roman"/>
          <w:lang w:val="en-US"/>
        </w:rPr>
        <w:t>1.4(X2​)</w:t>
      </w:r>
      <w:r>
        <w:rPr>
          <w:rFonts w:ascii="Times New Roman" w:eastAsia="Times New Roman" w:hAnsi="Times New Roman" w:cs="Times New Roman"/>
          <w:lang w:val="en-US"/>
        </w:rPr>
        <w:t xml:space="preserve"> </w:t>
      </w:r>
      <w:r w:rsidRPr="009A0436">
        <w:rPr>
          <w:rFonts w:ascii="Times New Roman" w:eastAsia="Times New Roman" w:hAnsi="Times New Roman" w:cs="Times New Roman"/>
          <w:lang w:val="en-US"/>
        </w:rPr>
        <w:t>+</w:t>
      </w:r>
      <w:r>
        <w:rPr>
          <w:rFonts w:ascii="Times New Roman" w:eastAsia="Times New Roman" w:hAnsi="Times New Roman" w:cs="Times New Roman"/>
          <w:lang w:val="en-US"/>
        </w:rPr>
        <w:t xml:space="preserve"> </w:t>
      </w:r>
      <w:r w:rsidRPr="009A0436">
        <w:rPr>
          <w:rFonts w:ascii="Times New Roman" w:eastAsia="Times New Roman" w:hAnsi="Times New Roman" w:cs="Times New Roman"/>
          <w:lang w:val="en-US"/>
        </w:rPr>
        <w:t>3.3(X3​)</w:t>
      </w:r>
      <w:r>
        <w:rPr>
          <w:rFonts w:ascii="Times New Roman" w:eastAsia="Times New Roman" w:hAnsi="Times New Roman" w:cs="Times New Roman"/>
          <w:lang w:val="en-US"/>
        </w:rPr>
        <w:t xml:space="preserve"> </w:t>
      </w:r>
      <w:r w:rsidRPr="009A0436">
        <w:rPr>
          <w:rFonts w:ascii="Times New Roman" w:eastAsia="Times New Roman" w:hAnsi="Times New Roman" w:cs="Times New Roman"/>
          <w:lang w:val="en-US"/>
        </w:rPr>
        <w:t>+</w:t>
      </w:r>
      <w:r>
        <w:rPr>
          <w:rFonts w:ascii="Times New Roman" w:eastAsia="Times New Roman" w:hAnsi="Times New Roman" w:cs="Times New Roman"/>
          <w:lang w:val="en-US"/>
        </w:rPr>
        <w:t xml:space="preserve"> </w:t>
      </w:r>
      <w:r w:rsidRPr="009A0436">
        <w:rPr>
          <w:rFonts w:ascii="Times New Roman" w:eastAsia="Times New Roman" w:hAnsi="Times New Roman" w:cs="Times New Roman"/>
          <w:lang w:val="en-US"/>
        </w:rPr>
        <w:t>0.6(X4​)</w:t>
      </w:r>
      <w:r>
        <w:rPr>
          <w:rFonts w:ascii="Times New Roman" w:eastAsia="Times New Roman" w:hAnsi="Times New Roman" w:cs="Times New Roman"/>
          <w:lang w:val="en-US"/>
        </w:rPr>
        <w:t xml:space="preserve"> </w:t>
      </w:r>
      <w:r w:rsidRPr="009A0436">
        <w:rPr>
          <w:rFonts w:ascii="Times New Roman" w:eastAsia="Times New Roman" w:hAnsi="Times New Roman" w:cs="Times New Roman"/>
          <w:lang w:val="en-US"/>
        </w:rPr>
        <w:t>+</w:t>
      </w:r>
      <w:r>
        <w:rPr>
          <w:rFonts w:ascii="Times New Roman" w:eastAsia="Times New Roman" w:hAnsi="Times New Roman" w:cs="Times New Roman"/>
          <w:lang w:val="en-US"/>
        </w:rPr>
        <w:t xml:space="preserve"> </w:t>
      </w:r>
      <w:r w:rsidRPr="009A0436">
        <w:rPr>
          <w:rFonts w:ascii="Times New Roman" w:eastAsia="Times New Roman" w:hAnsi="Times New Roman" w:cs="Times New Roman"/>
          <w:lang w:val="en-US"/>
        </w:rPr>
        <w:t>1.0(X5​)</w:t>
      </w:r>
      <w:r w:rsidR="00314563">
        <w:rPr>
          <w:rFonts w:ascii="Times New Roman" w:eastAsia="Times New Roman" w:hAnsi="Times New Roman" w:cs="Times New Roman"/>
          <w:lang w:val="en-US"/>
        </w:rPr>
        <w:t xml:space="preserve"> = </w:t>
      </w:r>
      <w:r w:rsidR="00314563" w:rsidRPr="00314563">
        <w:rPr>
          <w:rFonts w:ascii="Calibri" w:eastAsia="Times New Roman" w:hAnsi="Calibri" w:cs="Calibri"/>
          <w:color w:val="000000"/>
          <w:lang w:val="en-US"/>
        </w:rPr>
        <w:t>2.8</w:t>
      </w:r>
      <w:r w:rsidR="00314563">
        <w:rPr>
          <w:rFonts w:ascii="Calibri" w:eastAsia="Times New Roman" w:hAnsi="Calibri" w:cs="Calibri"/>
          <w:color w:val="000000"/>
          <w:lang w:val="en-US"/>
        </w:rPr>
        <w:t>2</w:t>
      </w:r>
    </w:p>
    <w:p w14:paraId="44331B01" w14:textId="295BEBF7" w:rsidR="009A0436" w:rsidRPr="009A0436" w:rsidRDefault="00D94F73" w:rsidP="00D94F73">
      <w:pPr>
        <w:spacing w:before="240" w:after="240"/>
        <w:rPr>
          <w:b/>
          <w:bCs/>
        </w:rPr>
      </w:pPr>
      <w:r w:rsidRPr="00D94F73">
        <w:t xml:space="preserve">The Altman Z-Score </w:t>
      </w:r>
      <w:r>
        <w:t xml:space="preserve">is </w:t>
      </w:r>
      <w:r w:rsidRPr="00D94F73">
        <w:t>calculated as 2.82, between 1.81 and 2.99</w:t>
      </w:r>
      <w:r>
        <w:t>,</w:t>
      </w:r>
      <w:r w:rsidRPr="00D94F73">
        <w:t xml:space="preserve"> and the company will be in the grey range</w:t>
      </w:r>
      <w:r>
        <w:t>,</w:t>
      </w:r>
      <w:r w:rsidRPr="00D94F73">
        <w:t xml:space="preserve"> </w:t>
      </w:r>
      <w:r>
        <w:t>which</w:t>
      </w:r>
      <w:r w:rsidRPr="00D94F73">
        <w:t xml:space="preserve"> reveals </w:t>
      </w:r>
      <w:r>
        <w:t xml:space="preserve">a </w:t>
      </w:r>
      <w:r w:rsidRPr="00D94F73">
        <w:t xml:space="preserve">moderate risk of financial distress. The actions to </w:t>
      </w:r>
      <w:proofErr w:type="spellStart"/>
      <w:r w:rsidRPr="00D94F73">
        <w:t>stabilise</w:t>
      </w:r>
      <w:proofErr w:type="spellEnd"/>
      <w:r w:rsidRPr="00D94F73">
        <w:t xml:space="preserve"> the earnings and </w:t>
      </w:r>
      <w:proofErr w:type="spellStart"/>
      <w:r w:rsidRPr="00D94F73">
        <w:t>minimise</w:t>
      </w:r>
      <w:proofErr w:type="spellEnd"/>
      <w:r w:rsidRPr="00D94F73">
        <w:t xml:space="preserve"> the operational inefficiencies will be of critical </w:t>
      </w:r>
      <w:r>
        <w:t>significance</w:t>
      </w:r>
      <w:r w:rsidRPr="00D94F73">
        <w:t xml:space="preserve"> to relocate the company to </w:t>
      </w:r>
      <w:r>
        <w:t>a</w:t>
      </w:r>
      <w:r w:rsidRPr="00D94F73">
        <w:t xml:space="preserve"> safer sphere and underpin the financial stability in the long run.</w:t>
      </w:r>
    </w:p>
    <w:p w14:paraId="779FCBD4" w14:textId="77777777" w:rsidR="00B60B58" w:rsidRDefault="00A37FF8" w:rsidP="00A37FF8">
      <w:pPr>
        <w:pStyle w:val="Heading1"/>
      </w:pPr>
      <w:bookmarkStart w:id="41" w:name="_Toc217146069"/>
      <w:bookmarkEnd w:id="20"/>
      <w:r>
        <w:t>3.0 Working Capital Management Analysis</w:t>
      </w:r>
      <w:bookmarkEnd w:id="41"/>
    </w:p>
    <w:p w14:paraId="6DEEB014" w14:textId="0E6D1F2E" w:rsidR="000A1995" w:rsidRDefault="000A1995" w:rsidP="000A1995">
      <w:pPr>
        <w:spacing w:before="240" w:after="240"/>
        <w:rPr>
          <w:b/>
          <w:bCs/>
        </w:rPr>
      </w:pPr>
      <w:r w:rsidRPr="000A1995">
        <w:t xml:space="preserve">The working capital management is very important in the sustainability of liquidity, operations, and financial stability (Hawley, 2025), particularly in a firm that has experienced decreasing profitability. The discussion of this section will be on the cash operating cycle (COC), how to enhance liquidity by reforming working capital and how </w:t>
      </w:r>
      <w:r w:rsidRPr="000A1995">
        <w:lastRenderedPageBreak/>
        <w:t>short-term versus long-term financing can be used to maintain operational and financial flexibility.</w:t>
      </w:r>
    </w:p>
    <w:p w14:paraId="77B303B2" w14:textId="6F35619D" w:rsidR="00A37FF8" w:rsidRDefault="00A37FF8" w:rsidP="00A37FF8">
      <w:pPr>
        <w:pStyle w:val="Heading2"/>
      </w:pPr>
      <w:bookmarkStart w:id="42" w:name="_Toc217146070"/>
      <w:r>
        <w:t>3.1 Cash Operating Cycle Assessment</w:t>
      </w:r>
      <w:bookmarkEnd w:id="42"/>
    </w:p>
    <w:p w14:paraId="13DEC391" w14:textId="740C5AF5" w:rsidR="000A1995" w:rsidRDefault="000A1995" w:rsidP="000A1995">
      <w:pPr>
        <w:spacing w:before="240" w:after="240"/>
        <w:rPr>
          <w:lang w:val="en-US"/>
        </w:rPr>
      </w:pPr>
      <w:r w:rsidRPr="000A1995">
        <w:rPr>
          <w:lang w:val="en-US"/>
        </w:rPr>
        <w:t xml:space="preserve">Cash operating cycle involves the period of time that the company requires to </w:t>
      </w:r>
      <w:proofErr w:type="spellStart"/>
      <w:r w:rsidR="009A1BED">
        <w:rPr>
          <w:lang w:val="en-US"/>
        </w:rPr>
        <w:t>realise</w:t>
      </w:r>
      <w:proofErr w:type="spellEnd"/>
      <w:r w:rsidRPr="000A1995">
        <w:rPr>
          <w:lang w:val="en-US"/>
        </w:rPr>
        <w:t xml:space="preserve"> its investments in inventory and receivables into cash</w:t>
      </w:r>
      <w:r w:rsidR="009A1BED">
        <w:rPr>
          <w:lang w:val="en-US"/>
        </w:rPr>
        <w:t>,</w:t>
      </w:r>
      <w:r w:rsidRPr="000A1995">
        <w:rPr>
          <w:lang w:val="en-US"/>
        </w:rPr>
        <w:t xml:space="preserve"> considering the time it </w:t>
      </w:r>
      <w:r w:rsidR="009A1BED">
        <w:rPr>
          <w:lang w:val="en-US"/>
        </w:rPr>
        <w:t>takes</w:t>
      </w:r>
      <w:r w:rsidRPr="000A1995">
        <w:rPr>
          <w:lang w:val="en-US"/>
        </w:rPr>
        <w:t xml:space="preserve"> to pay suppliers (Krastev, 2025). It is calculated as:</w:t>
      </w:r>
    </w:p>
    <w:p w14:paraId="3AAAF270" w14:textId="70B2BBE2" w:rsidR="00B60B58" w:rsidRDefault="00A37FF8" w:rsidP="00A37FF8">
      <w:pPr>
        <w:jc w:val="center"/>
      </w:pPr>
      <w:r>
        <w:rPr>
          <w:rStyle w:val="mord"/>
        </w:rPr>
        <w:t xml:space="preserve">COC </w:t>
      </w:r>
      <w:r>
        <w:rPr>
          <w:rStyle w:val="mrel"/>
        </w:rPr>
        <w:t xml:space="preserve">= </w:t>
      </w:r>
      <w:r>
        <w:rPr>
          <w:rStyle w:val="mord"/>
        </w:rPr>
        <w:t xml:space="preserve">Inventory Days </w:t>
      </w:r>
      <w:r>
        <w:rPr>
          <w:rStyle w:val="mbin"/>
        </w:rPr>
        <w:t xml:space="preserve">+ </w:t>
      </w:r>
      <w:r>
        <w:rPr>
          <w:rStyle w:val="mord"/>
        </w:rPr>
        <w:t xml:space="preserve">Receivables Days </w:t>
      </w:r>
      <w:r>
        <w:rPr>
          <w:rStyle w:val="mbin"/>
        </w:rPr>
        <w:t xml:space="preserve">− </w:t>
      </w:r>
      <w:r>
        <w:rPr>
          <w:rStyle w:val="mord"/>
        </w:rPr>
        <w:t>Payables Days</w:t>
      </w:r>
    </w:p>
    <w:p w14:paraId="4B23858F" w14:textId="77777777" w:rsidR="00B60B58" w:rsidRDefault="00B60B58"/>
    <w:p w14:paraId="2CC794BE" w14:textId="77777777" w:rsidR="00A37FF8" w:rsidRDefault="00A37FF8" w:rsidP="00A37FF8">
      <w:pPr>
        <w:jc w:val="center"/>
      </w:pPr>
      <w:r>
        <w:t xml:space="preserve">Table </w:t>
      </w:r>
      <w:r w:rsidR="00E4354C">
        <w:fldChar w:fldCharType="begin"/>
      </w:r>
      <w:r w:rsidR="00E4354C">
        <w:instrText xml:space="preserve"> SEQ Table \* ARABIC </w:instrText>
      </w:r>
      <w:r w:rsidR="00E4354C">
        <w:fldChar w:fldCharType="separate"/>
      </w:r>
      <w:r w:rsidR="00B14E4A">
        <w:rPr>
          <w:noProof/>
        </w:rPr>
        <w:t>11</w:t>
      </w:r>
      <w:r w:rsidR="00E4354C">
        <w:rPr>
          <w:noProof/>
        </w:rPr>
        <w:fldChar w:fldCharType="end"/>
      </w:r>
      <w:r>
        <w:t>: Cash Operating Cycle</w:t>
      </w:r>
    </w:p>
    <w:tbl>
      <w:tblPr>
        <w:tblW w:w="4840" w:type="dxa"/>
        <w:tblInd w:w="226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2820"/>
        <w:gridCol w:w="2020"/>
      </w:tblGrid>
      <w:tr w:rsidR="00174CC3" w14:paraId="59D61CAB" w14:textId="77777777" w:rsidTr="00174CC3">
        <w:trPr>
          <w:trHeight w:val="432"/>
        </w:trPr>
        <w:tc>
          <w:tcPr>
            <w:tcW w:w="2820" w:type="dxa"/>
            <w:noWrap/>
            <w:tcMar>
              <w:top w:w="15" w:type="dxa"/>
              <w:left w:w="15" w:type="dxa"/>
              <w:bottom w:w="0" w:type="dxa"/>
              <w:right w:w="15" w:type="dxa"/>
            </w:tcMar>
            <w:vAlign w:val="center"/>
            <w:hideMark/>
          </w:tcPr>
          <w:p w14:paraId="7FA21609" w14:textId="77777777" w:rsidR="00174CC3" w:rsidRDefault="00174CC3" w:rsidP="00174CC3">
            <w:pPr>
              <w:jc w:val="center"/>
            </w:pPr>
            <w:r>
              <w:t>2024</w:t>
            </w:r>
          </w:p>
        </w:tc>
        <w:tc>
          <w:tcPr>
            <w:tcW w:w="2020" w:type="dxa"/>
            <w:noWrap/>
            <w:tcMar>
              <w:top w:w="15" w:type="dxa"/>
              <w:left w:w="15" w:type="dxa"/>
              <w:bottom w:w="0" w:type="dxa"/>
              <w:right w:w="15" w:type="dxa"/>
            </w:tcMar>
            <w:vAlign w:val="center"/>
            <w:hideMark/>
          </w:tcPr>
          <w:p w14:paraId="08344F62" w14:textId="77777777" w:rsidR="00174CC3" w:rsidRDefault="00174CC3" w:rsidP="00174CC3">
            <w:pPr>
              <w:jc w:val="center"/>
            </w:pPr>
            <w:r>
              <w:t>115.06</w:t>
            </w:r>
          </w:p>
        </w:tc>
      </w:tr>
      <w:tr w:rsidR="00174CC3" w14:paraId="1D52DBD6" w14:textId="77777777" w:rsidTr="00174CC3">
        <w:trPr>
          <w:trHeight w:val="432"/>
        </w:trPr>
        <w:tc>
          <w:tcPr>
            <w:tcW w:w="0" w:type="auto"/>
            <w:noWrap/>
            <w:tcMar>
              <w:top w:w="15" w:type="dxa"/>
              <w:left w:w="15" w:type="dxa"/>
              <w:bottom w:w="0" w:type="dxa"/>
              <w:right w:w="15" w:type="dxa"/>
            </w:tcMar>
            <w:vAlign w:val="center"/>
            <w:hideMark/>
          </w:tcPr>
          <w:p w14:paraId="0616C390" w14:textId="77777777" w:rsidR="00174CC3" w:rsidRDefault="00174CC3" w:rsidP="00174CC3">
            <w:pPr>
              <w:jc w:val="center"/>
            </w:pPr>
            <w:r>
              <w:t>2023</w:t>
            </w:r>
          </w:p>
        </w:tc>
        <w:tc>
          <w:tcPr>
            <w:tcW w:w="0" w:type="auto"/>
            <w:noWrap/>
            <w:tcMar>
              <w:top w:w="15" w:type="dxa"/>
              <w:left w:w="15" w:type="dxa"/>
              <w:bottom w:w="0" w:type="dxa"/>
              <w:right w:w="15" w:type="dxa"/>
            </w:tcMar>
            <w:vAlign w:val="center"/>
            <w:hideMark/>
          </w:tcPr>
          <w:p w14:paraId="32590CF5" w14:textId="77777777" w:rsidR="00174CC3" w:rsidRDefault="00174CC3" w:rsidP="00174CC3">
            <w:pPr>
              <w:jc w:val="center"/>
            </w:pPr>
            <w:r>
              <w:t>133.06</w:t>
            </w:r>
          </w:p>
        </w:tc>
      </w:tr>
      <w:tr w:rsidR="00174CC3" w14:paraId="1B317DCB" w14:textId="77777777" w:rsidTr="00174CC3">
        <w:trPr>
          <w:trHeight w:val="432"/>
        </w:trPr>
        <w:tc>
          <w:tcPr>
            <w:tcW w:w="0" w:type="auto"/>
            <w:noWrap/>
            <w:tcMar>
              <w:top w:w="15" w:type="dxa"/>
              <w:left w:w="15" w:type="dxa"/>
              <w:bottom w:w="0" w:type="dxa"/>
              <w:right w:w="15" w:type="dxa"/>
            </w:tcMar>
            <w:vAlign w:val="center"/>
            <w:hideMark/>
          </w:tcPr>
          <w:p w14:paraId="0EC86980" w14:textId="77777777" w:rsidR="00174CC3" w:rsidRDefault="00174CC3" w:rsidP="00174CC3">
            <w:pPr>
              <w:jc w:val="center"/>
            </w:pPr>
            <w:r>
              <w:t>2022</w:t>
            </w:r>
          </w:p>
        </w:tc>
        <w:tc>
          <w:tcPr>
            <w:tcW w:w="0" w:type="auto"/>
            <w:noWrap/>
            <w:tcMar>
              <w:top w:w="15" w:type="dxa"/>
              <w:left w:w="15" w:type="dxa"/>
              <w:bottom w:w="0" w:type="dxa"/>
              <w:right w:w="15" w:type="dxa"/>
            </w:tcMar>
            <w:vAlign w:val="center"/>
            <w:hideMark/>
          </w:tcPr>
          <w:p w14:paraId="3984154A" w14:textId="77777777" w:rsidR="00174CC3" w:rsidRDefault="00174CC3" w:rsidP="00174CC3">
            <w:pPr>
              <w:jc w:val="center"/>
            </w:pPr>
            <w:r>
              <w:t>139.87</w:t>
            </w:r>
          </w:p>
        </w:tc>
      </w:tr>
      <w:tr w:rsidR="00174CC3" w14:paraId="722D4646" w14:textId="77777777" w:rsidTr="00174CC3">
        <w:trPr>
          <w:trHeight w:val="432"/>
        </w:trPr>
        <w:tc>
          <w:tcPr>
            <w:tcW w:w="0" w:type="auto"/>
            <w:noWrap/>
            <w:tcMar>
              <w:top w:w="15" w:type="dxa"/>
              <w:left w:w="15" w:type="dxa"/>
              <w:bottom w:w="0" w:type="dxa"/>
              <w:right w:w="15" w:type="dxa"/>
            </w:tcMar>
            <w:vAlign w:val="center"/>
            <w:hideMark/>
          </w:tcPr>
          <w:p w14:paraId="54B39A47" w14:textId="77777777" w:rsidR="00174CC3" w:rsidRDefault="00174CC3" w:rsidP="00174CC3">
            <w:pPr>
              <w:jc w:val="center"/>
            </w:pPr>
            <w:r>
              <w:t>2021</w:t>
            </w:r>
          </w:p>
        </w:tc>
        <w:tc>
          <w:tcPr>
            <w:tcW w:w="0" w:type="auto"/>
            <w:noWrap/>
            <w:tcMar>
              <w:top w:w="15" w:type="dxa"/>
              <w:left w:w="15" w:type="dxa"/>
              <w:bottom w:w="0" w:type="dxa"/>
              <w:right w:w="15" w:type="dxa"/>
            </w:tcMar>
            <w:vAlign w:val="center"/>
            <w:hideMark/>
          </w:tcPr>
          <w:p w14:paraId="09328537" w14:textId="77777777" w:rsidR="00174CC3" w:rsidRDefault="00174CC3" w:rsidP="00174CC3">
            <w:pPr>
              <w:jc w:val="center"/>
            </w:pPr>
            <w:r>
              <w:t>113.96</w:t>
            </w:r>
          </w:p>
        </w:tc>
      </w:tr>
    </w:tbl>
    <w:p w14:paraId="4DEDED94" w14:textId="77777777" w:rsidR="00B60B58" w:rsidRDefault="00174CC3">
      <w:r>
        <w:rPr>
          <w:noProof/>
        </w:rPr>
        <w:t xml:space="preserve"> </w:t>
      </w:r>
      <w:r w:rsidR="00A37FF8">
        <w:rPr>
          <w:noProof/>
        </w:rPr>
        <mc:AlternateContent>
          <mc:Choice Requires="wps">
            <w:drawing>
              <wp:anchor distT="0" distB="0" distL="114300" distR="114300" simplePos="0" relativeHeight="251704320" behindDoc="0" locked="0" layoutInCell="1" allowOverlap="1" wp14:anchorId="4B8EB583" wp14:editId="3CD6523C">
                <wp:simplePos x="0" y="0"/>
                <wp:positionH relativeFrom="column">
                  <wp:posOffset>824751</wp:posOffset>
                </wp:positionH>
                <wp:positionV relativeFrom="paragraph">
                  <wp:posOffset>253785</wp:posOffset>
                </wp:positionV>
                <wp:extent cx="4572000" cy="635"/>
                <wp:effectExtent l="0" t="0" r="0" b="12065"/>
                <wp:wrapSquare wrapText="bothSides"/>
                <wp:docPr id="1814635075"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30DC99D1" w14:textId="77777777" w:rsidR="00A37FF8" w:rsidRPr="0052310F" w:rsidRDefault="00A37FF8" w:rsidP="00A37FF8">
                            <w:pPr>
                              <w:jc w:val="center"/>
                              <w:rPr>
                                <w:noProof/>
                              </w:rPr>
                            </w:pPr>
                            <w:r>
                              <w:t xml:space="preserve">Figure </w:t>
                            </w:r>
                            <w:r w:rsidR="00E4354C">
                              <w:fldChar w:fldCharType="begin"/>
                            </w:r>
                            <w:r w:rsidR="00E4354C">
                              <w:instrText xml:space="preserve"> SEQ Figure \* ARABIC </w:instrText>
                            </w:r>
                            <w:r w:rsidR="00E4354C">
                              <w:fldChar w:fldCharType="separate"/>
                            </w:r>
                            <w:r>
                              <w:rPr>
                                <w:noProof/>
                              </w:rPr>
                              <w:t>14</w:t>
                            </w:r>
                            <w:r w:rsidR="00E4354C">
                              <w:rPr>
                                <w:noProof/>
                              </w:rPr>
                              <w:fldChar w:fldCharType="end"/>
                            </w:r>
                            <w:r>
                              <w:t>: Cash Operating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8EB583" id="_x0000_s1036" type="#_x0000_t202" style="position:absolute;left:0;text-align:left;margin-left:64.95pt;margin-top:20pt;width:5in;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" stroked="f">
                <v:textbox style="mso-fit-shape-to-text:t" inset="0,0,0,0">
                  <w:txbxContent>
                    <w:p w14:paraId="30DC99D1" w14:textId="77777777" w:rsidR="00A37FF8" w:rsidRPr="0052310F" w:rsidRDefault="00A37FF8" w:rsidP="00A37FF8">
                      <w:pPr>
                        <w:jc w:val="center"/>
                        <w:rPr>
                          <w:noProof/>
                        </w:rPr>
                      </w:pPr>
                      <w:r>
                        <w:t xml:space="preserve">Figure </w:t>
                      </w:r>
                      <w:r w:rsidR="00E4354C">
                        <w:fldChar w:fldCharType="begin"/>
                      </w:r>
                      <w:r w:rsidR="00E4354C">
                        <w:instrText xml:space="preserve"> SEQ Figure \* ARABIC </w:instrText>
                      </w:r>
                      <w:r w:rsidR="00E4354C">
                        <w:fldChar w:fldCharType="separate"/>
                      </w:r>
                      <w:r>
                        <w:rPr>
                          <w:noProof/>
                        </w:rPr>
                        <w:t>14</w:t>
                      </w:r>
                      <w:r w:rsidR="00E4354C">
                        <w:rPr>
                          <w:noProof/>
                        </w:rPr>
                        <w:fldChar w:fldCharType="end"/>
                      </w:r>
                      <w:r>
                        <w:t>: Cash Operating Cycle</w:t>
                      </w:r>
                    </w:p>
                  </w:txbxContent>
                </v:textbox>
                <w10:wrap type="square"/>
              </v:shape>
            </w:pict>
          </mc:Fallback>
        </mc:AlternateContent>
      </w:r>
    </w:p>
    <w:p w14:paraId="3BC0343D" w14:textId="77777777" w:rsidR="00B60B58" w:rsidRDefault="00B60B58"/>
    <w:p w14:paraId="57A0CA19" w14:textId="77777777" w:rsidR="00B60B58" w:rsidRDefault="006163B6">
      <w:r>
        <w:rPr>
          <w:noProof/>
        </w:rPr>
        <w:drawing>
          <wp:anchor distT="0" distB="0" distL="114300" distR="114300" simplePos="0" relativeHeight="251705344" behindDoc="0" locked="0" layoutInCell="1" allowOverlap="1" wp14:anchorId="051D9401" wp14:editId="5AC3936C">
            <wp:simplePos x="0" y="0"/>
            <wp:positionH relativeFrom="column">
              <wp:posOffset>694394</wp:posOffset>
            </wp:positionH>
            <wp:positionV relativeFrom="paragraph">
              <wp:posOffset>78802</wp:posOffset>
            </wp:positionV>
            <wp:extent cx="4572000" cy="2743200"/>
            <wp:effectExtent l="0" t="0" r="12700" b="12700"/>
            <wp:wrapSquare wrapText="bothSides"/>
            <wp:docPr id="211352334" name="Chart 1">
              <a:extLst xmlns:a="http://schemas.openxmlformats.org/drawingml/2006/main">
                <a:ext uri="{FF2B5EF4-FFF2-40B4-BE49-F238E27FC236}">
                  <a16:creationId xmlns:a16="http://schemas.microsoft.com/office/drawing/2014/main" id="{43F4E846-2060-8F6D-190D-C698C47288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page">
              <wp14:pctWidth>0</wp14:pctWidth>
            </wp14:sizeRelH>
            <wp14:sizeRelV relativeFrom="page">
              <wp14:pctHeight>0</wp14:pctHeight>
            </wp14:sizeRelV>
          </wp:anchor>
        </w:drawing>
      </w:r>
    </w:p>
    <w:p w14:paraId="4E75F4ED" w14:textId="77777777" w:rsidR="006C5724" w:rsidRDefault="006C5724"/>
    <w:p w14:paraId="1E420BC1" w14:textId="77777777" w:rsidR="006C5724" w:rsidRDefault="006C5724"/>
    <w:p w14:paraId="66C9B4EA" w14:textId="77777777" w:rsidR="006C5724" w:rsidRDefault="006C5724"/>
    <w:p w14:paraId="632E71FD" w14:textId="77777777" w:rsidR="006C5724" w:rsidRDefault="006C5724"/>
    <w:p w14:paraId="07D7CFDB" w14:textId="77777777" w:rsidR="00A37FF8" w:rsidRDefault="00A37FF8"/>
    <w:p w14:paraId="7D4DA8F8" w14:textId="77777777" w:rsidR="00A37FF8" w:rsidRDefault="00A37FF8"/>
    <w:p w14:paraId="27583CF0" w14:textId="77777777" w:rsidR="00A37FF8" w:rsidRDefault="00A37FF8"/>
    <w:p w14:paraId="7F268CFD" w14:textId="77777777" w:rsidR="00A37FF8" w:rsidRDefault="00A37FF8"/>
    <w:p w14:paraId="04FBC2E5" w14:textId="77777777" w:rsidR="00A37FF8" w:rsidRDefault="00A37FF8"/>
    <w:p w14:paraId="49707DC5" w14:textId="77777777" w:rsidR="00A37FF8" w:rsidRDefault="00A37FF8"/>
    <w:p w14:paraId="7B95B957" w14:textId="77777777" w:rsidR="00A37FF8" w:rsidRDefault="00A37FF8"/>
    <w:p w14:paraId="7AB90CA1" w14:textId="28971C12" w:rsidR="00203872" w:rsidRDefault="00203872" w:rsidP="00203872">
      <w:pPr>
        <w:spacing w:before="240" w:after="240"/>
      </w:pPr>
      <w:r>
        <w:lastRenderedPageBreak/>
        <w:t xml:space="preserve">In 2021, the cash of the company was frozen in the operating cycle at an average of 114 days, which also coincided with low profitability and stable gross margins. The cash operating cycle increased sharply to almost 140 days in the next year, 2022. The long cycle pointed to the developing liquidity strains and </w:t>
      </w:r>
      <w:proofErr w:type="spellStart"/>
      <w:r w:rsidR="007919F9">
        <w:t>emphasised</w:t>
      </w:r>
      <w:proofErr w:type="spellEnd"/>
      <w:r>
        <w:t xml:space="preserve"> the </w:t>
      </w:r>
      <w:r w:rsidR="007919F9">
        <w:t>operational</w:t>
      </w:r>
      <w:r>
        <w:t xml:space="preserve"> difficulties that were already revealed in the profitability analysis, in which gross margin and operating margin both worsened.</w:t>
      </w:r>
    </w:p>
    <w:p w14:paraId="3B7B4CBF" w14:textId="3D602A83" w:rsidR="00A37FF8" w:rsidRDefault="00203872" w:rsidP="00203872">
      <w:pPr>
        <w:spacing w:before="240" w:after="240"/>
      </w:pPr>
      <w:r>
        <w:t xml:space="preserve">By 2023, the cycle </w:t>
      </w:r>
      <w:r w:rsidR="007919F9">
        <w:t>had</w:t>
      </w:r>
      <w:r>
        <w:t xml:space="preserve"> only decreased to 133 days, </w:t>
      </w:r>
      <w:r w:rsidR="007919F9">
        <w:t>which</w:t>
      </w:r>
      <w:r>
        <w:t xml:space="preserve"> indicates that the company </w:t>
      </w:r>
      <w:r w:rsidR="007919F9">
        <w:t>had taken</w:t>
      </w:r>
      <w:r>
        <w:t xml:space="preserve"> the necessary steps to increase the efficiency of working capital. This was probably caused by a stricter collection of receivables and a marginally better inventory turnover, which allowed </w:t>
      </w:r>
      <w:r w:rsidR="007919F9">
        <w:t xml:space="preserve">for </w:t>
      </w:r>
      <w:r>
        <w:t xml:space="preserve">to </w:t>
      </w:r>
      <w:r w:rsidR="00337D39">
        <w:t>freeing</w:t>
      </w:r>
      <w:r>
        <w:t xml:space="preserve"> up </w:t>
      </w:r>
      <w:r w:rsidR="007919F9">
        <w:t xml:space="preserve">of </w:t>
      </w:r>
      <w:r>
        <w:t>cash despite the ongoing negative profitability.</w:t>
      </w:r>
    </w:p>
    <w:p w14:paraId="043C1455" w14:textId="77777777" w:rsidR="00A37FF8" w:rsidRDefault="00350170" w:rsidP="00350170">
      <w:pPr>
        <w:pStyle w:val="Heading2"/>
      </w:pPr>
      <w:bookmarkStart w:id="43" w:name="_Toc217146071"/>
      <w:r>
        <w:t>3.2 Strategies to Improve Liquidity through Working Capital Reforms</w:t>
      </w:r>
      <w:bookmarkEnd w:id="43"/>
    </w:p>
    <w:p w14:paraId="5A003BB3" w14:textId="3EDF9EDC" w:rsidR="00EA11F7" w:rsidRDefault="00F638CF" w:rsidP="00203872">
      <w:pPr>
        <w:spacing w:before="240" w:after="240"/>
      </w:pPr>
      <w:r>
        <w:t>Based on the above analysis of the cash operating cycle and working capital components, several strategies can</w:t>
      </w:r>
      <w:r w:rsidR="00EA11F7" w:rsidRPr="00EA11F7">
        <w:t xml:space="preserve"> be implemented to enhance liquidity.</w:t>
      </w:r>
    </w:p>
    <w:p w14:paraId="6B29334C" w14:textId="34A5DC46" w:rsidR="00AE24E8" w:rsidRPr="00203872" w:rsidRDefault="00AE24E8" w:rsidP="00203872">
      <w:pPr>
        <w:spacing w:before="240" w:after="240"/>
        <w:rPr>
          <w:b/>
          <w:bCs/>
        </w:rPr>
      </w:pPr>
      <w:r w:rsidRPr="00203872">
        <w:rPr>
          <w:b/>
          <w:bCs/>
        </w:rPr>
        <w:t>Improve Receivables Management</w:t>
      </w:r>
    </w:p>
    <w:p w14:paraId="12331314" w14:textId="0C758756" w:rsidR="00EA11F7" w:rsidRDefault="00EA11F7" w:rsidP="00203872">
      <w:pPr>
        <w:spacing w:before="240" w:after="240"/>
      </w:pPr>
      <w:r w:rsidRPr="00EA11F7">
        <w:t xml:space="preserve">The company would be able to accelerate money collection of customers. This can be through an increase in the restrictions on credit, or even by providing minor discounts on early receipts, or by being more aggressive in pursuing outstanding receivables. This would ensure that the cash in is </w:t>
      </w:r>
      <w:proofErr w:type="spellStart"/>
      <w:r w:rsidR="009A1BED">
        <w:t>realised</w:t>
      </w:r>
      <w:proofErr w:type="spellEnd"/>
      <w:r w:rsidRPr="00EA11F7">
        <w:t xml:space="preserve"> at a faster rate and that money held up in receivables is kept to a minimum.</w:t>
      </w:r>
    </w:p>
    <w:p w14:paraId="611C18ED" w14:textId="1490CDC7" w:rsidR="00AE24E8" w:rsidRPr="00203872" w:rsidRDefault="00AE24E8" w:rsidP="00203872">
      <w:pPr>
        <w:spacing w:before="240" w:after="240"/>
        <w:rPr>
          <w:b/>
          <w:bCs/>
        </w:rPr>
      </w:pPr>
      <w:r w:rsidRPr="00203872">
        <w:rPr>
          <w:b/>
          <w:bCs/>
        </w:rPr>
        <w:t>Better Inventory Management</w:t>
      </w:r>
    </w:p>
    <w:p w14:paraId="179FD456" w14:textId="4577207B" w:rsidR="00EA11F7" w:rsidRDefault="00EA11F7" w:rsidP="00203872">
      <w:pPr>
        <w:spacing w:before="240" w:after="240"/>
      </w:pPr>
      <w:r w:rsidRPr="00EA11F7">
        <w:t>It is significant to maintain the appropriate quantity of stock. The company might reduce the distance between inventory and demand, employ just-in-time, or enhance forecasting. This would avoid the situation when cash is tied in unsold inventory</w:t>
      </w:r>
      <w:r w:rsidR="009A1BED">
        <w:t>,</w:t>
      </w:r>
      <w:r w:rsidRPr="00EA11F7">
        <w:t xml:space="preserve"> such was the case in 2022 when the cash conversion cycle increased.</w:t>
      </w:r>
    </w:p>
    <w:p w14:paraId="036063AA" w14:textId="21A0245D" w:rsidR="00AE24E8" w:rsidRPr="00203872" w:rsidRDefault="00AE24E8" w:rsidP="00203872">
      <w:pPr>
        <w:spacing w:before="240" w:after="240"/>
        <w:rPr>
          <w:b/>
          <w:bCs/>
        </w:rPr>
      </w:pPr>
      <w:r w:rsidRPr="00203872">
        <w:rPr>
          <w:b/>
          <w:bCs/>
        </w:rPr>
        <w:t>Align Payables Management</w:t>
      </w:r>
    </w:p>
    <w:p w14:paraId="5DE145B8" w14:textId="328F7A30" w:rsidR="00F638CF" w:rsidRDefault="00F638CF" w:rsidP="00203872">
      <w:pPr>
        <w:spacing w:before="240" w:after="240"/>
      </w:pPr>
      <w:r w:rsidRPr="00F638CF">
        <w:lastRenderedPageBreak/>
        <w:t xml:space="preserve">The company had an opportunity to negotiate longer payment terms with suppliers to have more time to pay the bills without damage to relationships. This would allow </w:t>
      </w:r>
      <w:r w:rsidR="009A1BED">
        <w:t>for retaining</w:t>
      </w:r>
      <w:r w:rsidRPr="00F638CF">
        <w:t xml:space="preserve"> cash in the business more and enhance the liquidity in the </w:t>
      </w:r>
      <w:r w:rsidR="007919F9">
        <w:t>short term</w:t>
      </w:r>
      <w:r w:rsidRPr="00F638CF">
        <w:t>.</w:t>
      </w:r>
    </w:p>
    <w:p w14:paraId="040489A9" w14:textId="7B2BE446" w:rsidR="00AE24E8" w:rsidRDefault="00AE24E8" w:rsidP="00203872">
      <w:pPr>
        <w:spacing w:before="240" w:after="240"/>
      </w:pPr>
      <w:r>
        <w:rPr>
          <w:rStyle w:val="Strong"/>
        </w:rPr>
        <w:t>Improve Team Coordination and Monitoring</w:t>
      </w:r>
    </w:p>
    <w:p w14:paraId="4AF165A9" w14:textId="1AC8A47B" w:rsidR="00F638CF" w:rsidRDefault="00F638CF" w:rsidP="00F638CF">
      <w:pPr>
        <w:spacing w:before="240" w:after="240"/>
        <w:rPr>
          <w:b/>
          <w:bCs/>
        </w:rPr>
      </w:pPr>
      <w:r w:rsidRPr="00F638CF">
        <w:t xml:space="preserve">Greater efficiency in working capital may be enhanced by better coordination of sales, purchasing and finance teams. </w:t>
      </w:r>
      <w:r w:rsidR="0065597A">
        <w:t>S</w:t>
      </w:r>
      <w:r w:rsidRPr="00F638CF">
        <w:t xml:space="preserve">ales incentives should be tied to the speed of customer payment to </w:t>
      </w:r>
      <w:r w:rsidR="0065597A">
        <w:t>ensure</w:t>
      </w:r>
      <w:r w:rsidRPr="00F638CF">
        <w:t xml:space="preserve"> that increasing sales </w:t>
      </w:r>
      <w:r w:rsidR="009A1BED">
        <w:t>do</w:t>
      </w:r>
      <w:r w:rsidRPr="00F638CF">
        <w:t xml:space="preserve"> not negatively affect cash flow. Regular review of inventory levels and monitoring of </w:t>
      </w:r>
      <w:r w:rsidR="009A1BED">
        <w:t>slow-moving</w:t>
      </w:r>
      <w:r w:rsidRPr="00F638CF">
        <w:t xml:space="preserve"> inventory can avoid overstocking, which was the cause of some of the inventory problems experienced in earlier years. Cash forecasting and tracking would also assist the company to understand the flow of money in and out of the company</w:t>
      </w:r>
      <w:r w:rsidR="007919F9">
        <w:t>,</w:t>
      </w:r>
      <w:r w:rsidRPr="00F638CF">
        <w:t xml:space="preserve"> hence </w:t>
      </w:r>
      <w:r w:rsidR="007919F9">
        <w:t xml:space="preserve">it </w:t>
      </w:r>
      <w:r w:rsidRPr="00F638CF">
        <w:t>can plan</w:t>
      </w:r>
      <w:r w:rsidR="00337D39">
        <w:t>,</w:t>
      </w:r>
      <w:r w:rsidRPr="00F638CF">
        <w:t xml:space="preserve"> as opposed to scrambling with cash when cash gets tight.</w:t>
      </w:r>
    </w:p>
    <w:p w14:paraId="53048DCA" w14:textId="58623754" w:rsidR="00AE24E8" w:rsidRDefault="00AE24E8" w:rsidP="00AE24E8">
      <w:pPr>
        <w:pStyle w:val="Heading2"/>
      </w:pPr>
      <w:bookmarkStart w:id="44" w:name="_Toc217146072"/>
      <w:r>
        <w:t>3.3 Comparison of Short-Term and Long-Term Financing Options</w:t>
      </w:r>
      <w:bookmarkEnd w:id="44"/>
    </w:p>
    <w:p w14:paraId="70C05945" w14:textId="77777777" w:rsidR="00AE24E8" w:rsidRDefault="00AE24E8" w:rsidP="00203872">
      <w:pPr>
        <w:spacing w:before="240" w:after="240"/>
      </w:pPr>
      <w:r>
        <w:rPr>
          <w:rStyle w:val="Strong"/>
        </w:rPr>
        <w:t>1. Short-Term Financing</w:t>
      </w:r>
    </w:p>
    <w:p w14:paraId="782C06D4" w14:textId="58C937BF" w:rsidR="00F638CF" w:rsidRDefault="00F638CF" w:rsidP="00203872">
      <w:pPr>
        <w:spacing w:before="240" w:after="240"/>
      </w:pPr>
      <w:r w:rsidRPr="00F638CF">
        <w:t xml:space="preserve">Financing tools used in </w:t>
      </w:r>
      <w:r w:rsidR="009A1BED">
        <w:t>short-term</w:t>
      </w:r>
      <w:r w:rsidRPr="00F638CF">
        <w:t xml:space="preserve"> financing consist of tools like bank overdrafts, short-term loans and trade credit (Mark, 2024). </w:t>
      </w:r>
      <w:r w:rsidR="00513341" w:rsidRPr="00513341">
        <w:t xml:space="preserve">They are primarily used to fulfill short-term cash needs such as delay in payment of customers or unexpected operational expenses. </w:t>
      </w:r>
      <w:r w:rsidRPr="00F638CF">
        <w:t xml:space="preserve">Liquidity issues were experienced in the company in 2024, which was reflected </w:t>
      </w:r>
      <w:r w:rsidR="009A1BED">
        <w:t>in</w:t>
      </w:r>
      <w:r w:rsidRPr="00F638CF">
        <w:t xml:space="preserve"> the low cash ratio of 0.17</w:t>
      </w:r>
      <w:r w:rsidR="009A1BED">
        <w:t xml:space="preserve"> and</w:t>
      </w:r>
      <w:r w:rsidRPr="00F638CF">
        <w:t>, cash conversion cycle of 115 days. Short-term sources of finance may advance instant cash to maintain operations, settle the suppliers within the stipulated time, and cater to day out costs (Reichman and Reichman, 2025). The short-term borrowing is still a good idea, even in relation to these risks, as it will keep the events running daily and soften cash flow when it is not smooth (Chana, 2025).</w:t>
      </w:r>
    </w:p>
    <w:p w14:paraId="6002DF8D" w14:textId="7A7BBDC4" w:rsidR="00A73B9F" w:rsidRDefault="00AE24E8" w:rsidP="00203872">
      <w:pPr>
        <w:spacing w:before="240" w:after="240"/>
      </w:pPr>
      <w:r>
        <w:rPr>
          <w:rStyle w:val="Strong"/>
        </w:rPr>
        <w:t>2. Long-Term Financing</w:t>
      </w:r>
    </w:p>
    <w:p w14:paraId="001D68AA" w14:textId="3D61DB2A" w:rsidR="00F638CF" w:rsidRDefault="00F638CF" w:rsidP="00203872">
      <w:pPr>
        <w:spacing w:before="240" w:after="240"/>
      </w:pPr>
      <w:r w:rsidRPr="00F638CF">
        <w:t>Letters of long-term funds comprise term loans, bonds, and equity funds. It is meant to uphold more significant and structural necessities like investments in inventory management systems, technology, or expansion of operations (</w:t>
      </w:r>
      <w:proofErr w:type="spellStart"/>
      <w:r w:rsidRPr="00F638CF">
        <w:t>Saharawat</w:t>
      </w:r>
      <w:proofErr w:type="spellEnd"/>
      <w:r w:rsidRPr="00F638CF">
        <w:t>, 2025). Long-</w:t>
      </w:r>
      <w:r w:rsidRPr="00F638CF">
        <w:lastRenderedPageBreak/>
        <w:t xml:space="preserve">term financing is more stable and predictable with less interest and takes longer to </w:t>
      </w:r>
      <w:proofErr w:type="spellStart"/>
      <w:r w:rsidR="009A1BED">
        <w:t>organise</w:t>
      </w:r>
      <w:proofErr w:type="spellEnd"/>
      <w:r w:rsidRPr="00F638CF">
        <w:t xml:space="preserve"> because of approvals and legal registers. The repayment is over a lengthy time period</w:t>
      </w:r>
      <w:r w:rsidR="009A1BED">
        <w:t>,</w:t>
      </w:r>
      <w:r w:rsidRPr="00F638CF">
        <w:t xml:space="preserve"> and this does not strain cash flow during that time. This allows the company to plan and invest in efficient changes and enhance the financial structure in the long term, as well as to obtain long-term financing.</w:t>
      </w:r>
    </w:p>
    <w:p w14:paraId="730977F9" w14:textId="4836F9E4" w:rsidR="00A73B9F" w:rsidRDefault="00A73B9F" w:rsidP="00203872">
      <w:pPr>
        <w:spacing w:before="240" w:after="240"/>
      </w:pPr>
      <w:r>
        <w:rPr>
          <w:rStyle w:val="Strong"/>
        </w:rPr>
        <w:t xml:space="preserve">3. </w:t>
      </w:r>
      <w:r w:rsidR="00AE24E8">
        <w:rPr>
          <w:rStyle w:val="Strong"/>
        </w:rPr>
        <w:t>Strategic Implications for Working Capital</w:t>
      </w:r>
    </w:p>
    <w:p w14:paraId="0957E998" w14:textId="123580AA" w:rsidR="00AE24E8" w:rsidRPr="00AE24E8" w:rsidRDefault="00F638CF" w:rsidP="009A1BED">
      <w:pPr>
        <w:spacing w:before="240" w:after="240"/>
      </w:pPr>
      <w:r w:rsidRPr="00F638CF">
        <w:t>The combination of short-term and long-term financing is usually the most effective. The short-term financing provides operational liquidity and allows responding to short-term cash conversion cycle irregularities. Long-term financing is used to finance activities that enhance the efficiency of working capital</w:t>
      </w:r>
      <w:r w:rsidR="009A1BED">
        <w:t>,</w:t>
      </w:r>
      <w:r w:rsidRPr="00F638CF">
        <w:t xml:space="preserve"> like inventory </w:t>
      </w:r>
      <w:proofErr w:type="spellStart"/>
      <w:r w:rsidR="009A1BED">
        <w:t>optimisation</w:t>
      </w:r>
      <w:proofErr w:type="spellEnd"/>
      <w:r w:rsidRPr="00F638CF">
        <w:t xml:space="preserve"> or investments in technologies. The combination of them enables the company to stay in a liquid state, risk management and structural enhancement, without increasing the day-to-day running of the company.</w:t>
      </w:r>
    </w:p>
    <w:p w14:paraId="0CA92EE9" w14:textId="77777777" w:rsidR="000D7A06" w:rsidRDefault="000D7A06" w:rsidP="000D7A06">
      <w:pPr>
        <w:pStyle w:val="Heading1"/>
      </w:pPr>
      <w:bookmarkStart w:id="45" w:name="_Toc217146073"/>
      <w:r>
        <w:t>4.0 Strategic Financial Restructuring Plan</w:t>
      </w:r>
      <w:bookmarkEnd w:id="45"/>
    </w:p>
    <w:p w14:paraId="2B8A20F2" w14:textId="070151B5" w:rsidR="00F152AE" w:rsidRDefault="00F152AE" w:rsidP="00F152AE">
      <w:pPr>
        <w:spacing w:before="240" w:after="240"/>
      </w:pPr>
      <w:r>
        <w:t>According to the risk analysis of the firm in the years 20212024, it can be seen that there are certain and long-term operational problems. The revenue kept reducing to its lowest in 2021 (to 601,602m) and 2024 (to 394,879m)</w:t>
      </w:r>
      <w:r w:rsidR="007919F9">
        <w:t>,</w:t>
      </w:r>
      <w:r>
        <w:t xml:space="preserve"> and the gross profit and net income </w:t>
      </w:r>
      <w:r w:rsidR="007919F9">
        <w:t>were</w:t>
      </w:r>
      <w:r>
        <w:t xml:space="preserve"> also reduced significantly and </w:t>
      </w:r>
      <w:r w:rsidR="007919F9">
        <w:t>which</w:t>
      </w:r>
      <w:r>
        <w:t xml:space="preserve"> is considered to be putting consistent pressure on profitability. Its operations of cash flow were unstable</w:t>
      </w:r>
      <w:r w:rsidR="007919F9">
        <w:t>,</w:t>
      </w:r>
      <w:r>
        <w:t xml:space="preserve"> and delays in converting cash were experienced during periods</w:t>
      </w:r>
      <w:r w:rsidR="007919F9">
        <w:t>. Although</w:t>
      </w:r>
      <w:r>
        <w:t xml:space="preserve"> it had </w:t>
      </w:r>
      <w:r w:rsidR="007919F9">
        <w:t xml:space="preserve">a </w:t>
      </w:r>
      <w:r>
        <w:t xml:space="preserve">low financing structure and adequate liquidity, the company recorded </w:t>
      </w:r>
      <w:r w:rsidR="007919F9">
        <w:t>a</w:t>
      </w:r>
      <w:r>
        <w:t xml:space="preserve"> </w:t>
      </w:r>
      <w:r w:rsidR="007919F9">
        <w:t>139.87-day</w:t>
      </w:r>
      <w:r>
        <w:t xml:space="preserve"> cash operating cycle in the year 2022</w:t>
      </w:r>
      <w:r w:rsidR="007919F9">
        <w:t>,</w:t>
      </w:r>
      <w:r>
        <w:t xml:space="preserve"> and the company returned to the normal level of cash operating cycle of 115.06 days in the year 2024. These strategies bring the need that the company </w:t>
      </w:r>
      <w:r w:rsidR="007919F9">
        <w:t>to undergo</w:t>
      </w:r>
      <w:r>
        <w:t xml:space="preserve"> a thorough restructuring plan</w:t>
      </w:r>
      <w:r w:rsidR="007919F9">
        <w:t>,</w:t>
      </w:r>
      <w:r>
        <w:t xml:space="preserve"> which would </w:t>
      </w:r>
      <w:proofErr w:type="spellStart"/>
      <w:r>
        <w:t>stabilise</w:t>
      </w:r>
      <w:proofErr w:type="spellEnd"/>
      <w:r>
        <w:t xml:space="preserve"> the liquidity state, enhance the performance of the company in its operations, and regain the trust of the shareholders.</w:t>
      </w:r>
    </w:p>
    <w:p w14:paraId="6D1EADA4" w14:textId="77777777" w:rsidR="00F152AE" w:rsidRDefault="00F152AE" w:rsidP="00F152AE">
      <w:pPr>
        <w:pStyle w:val="Heading2"/>
      </w:pPr>
      <w:bookmarkStart w:id="46" w:name="_Toc217146074"/>
      <w:r>
        <w:lastRenderedPageBreak/>
        <w:t>4.1 Raising New Equity</w:t>
      </w:r>
      <w:bookmarkEnd w:id="46"/>
    </w:p>
    <w:p w14:paraId="6FEB17FD" w14:textId="484D0E26" w:rsidR="00F152AE" w:rsidRDefault="00F152AE" w:rsidP="00F152AE">
      <w:pPr>
        <w:spacing w:before="240" w:after="240"/>
      </w:pPr>
      <w:r>
        <w:t xml:space="preserve">The injection of new capital would also provide immediate funds to the needy and reforms. This can be either by </w:t>
      </w:r>
      <w:r w:rsidR="007919F9">
        <w:t xml:space="preserve">the </w:t>
      </w:r>
      <w:r>
        <w:t xml:space="preserve">right issue of stock or </w:t>
      </w:r>
      <w:r w:rsidR="007919F9">
        <w:t xml:space="preserve">the </w:t>
      </w:r>
      <w:r>
        <w:t>takeover of a strategic stakeholder. The funds would help in strengthening the working capital, expediting the collection of outstanding debts, and better inventory turnover (Banton, 2025)</w:t>
      </w:r>
      <w:r w:rsidR="007919F9">
        <w:t>,</w:t>
      </w:r>
      <w:r>
        <w:t xml:space="preserve"> </w:t>
      </w:r>
      <w:r w:rsidR="007919F9">
        <w:t>which</w:t>
      </w:r>
      <w:r>
        <w:t xml:space="preserve"> have been cited as major issues in other areas. Besides this, </w:t>
      </w:r>
      <w:r w:rsidR="007919F9">
        <w:t xml:space="preserve">the </w:t>
      </w:r>
      <w:r>
        <w:t>2024 ratio of cash was poor at 0.17</w:t>
      </w:r>
      <w:r w:rsidR="007919F9">
        <w:t>,</w:t>
      </w:r>
      <w:r>
        <w:t xml:space="preserve"> </w:t>
      </w:r>
      <w:r w:rsidR="007919F9">
        <w:t>which</w:t>
      </w:r>
      <w:r>
        <w:t xml:space="preserve"> showed that the cash reserves were limited, but </w:t>
      </w:r>
      <w:r w:rsidR="007919F9">
        <w:t xml:space="preserve">the </w:t>
      </w:r>
      <w:r>
        <w:t>current ratio was reasonable. The new equity would cushion the firm</w:t>
      </w:r>
      <w:r w:rsidR="007919F9">
        <w:t>,</w:t>
      </w:r>
      <w:r>
        <w:t xml:space="preserve"> which would enable it to run its daily operation without the necessity of borrowing on </w:t>
      </w:r>
      <w:r w:rsidR="007919F9">
        <w:t>a short-term</w:t>
      </w:r>
      <w:r>
        <w:t xml:space="preserve"> basis. This would water down existing shareholders to a small degree</w:t>
      </w:r>
      <w:r w:rsidR="007919F9">
        <w:t>,</w:t>
      </w:r>
      <w:r>
        <w:t xml:space="preserve"> but would protect the </w:t>
      </w:r>
      <w:r w:rsidR="007919F9">
        <w:t>long-term</w:t>
      </w:r>
      <w:r>
        <w:t xml:space="preserve"> value of the shareholders since liquidity pressures would be alleviated, </w:t>
      </w:r>
      <w:r w:rsidR="007919F9">
        <w:t xml:space="preserve">and </w:t>
      </w:r>
      <w:r w:rsidR="002F3BF4">
        <w:t>it</w:t>
      </w:r>
      <w:r>
        <w:t xml:space="preserve"> </w:t>
      </w:r>
      <w:r w:rsidR="007919F9">
        <w:t>would</w:t>
      </w:r>
      <w:r>
        <w:t xml:space="preserve"> have the capability to undertake measures to recoup profitability.</w:t>
      </w:r>
    </w:p>
    <w:p w14:paraId="29043CA6" w14:textId="77777777" w:rsidR="00F152AE" w:rsidRDefault="00F152AE" w:rsidP="00F152AE">
      <w:pPr>
        <w:pStyle w:val="Heading2"/>
      </w:pPr>
      <w:bookmarkStart w:id="47" w:name="_Toc217146075"/>
      <w:r>
        <w:t>4.2 Selling Non-Core Assets</w:t>
      </w:r>
      <w:bookmarkEnd w:id="47"/>
    </w:p>
    <w:p w14:paraId="229769F9" w14:textId="4993DD0C" w:rsidR="00F152AE" w:rsidRDefault="00F152AE" w:rsidP="00F152AE">
      <w:pPr>
        <w:spacing w:before="240" w:after="240"/>
      </w:pPr>
      <w:r>
        <w:t xml:space="preserve">The company can either dispose of their unproductive or unneeded divisions that may be bringing cash in to focus on the core business (Ganti, 2025). This is informed by the fact that the sales and the negative profits in the last few years are on </w:t>
      </w:r>
      <w:r w:rsidR="007919F9">
        <w:t>a</w:t>
      </w:r>
      <w:r>
        <w:t xml:space="preserve"> downward trend</w:t>
      </w:r>
      <w:r w:rsidR="007919F9">
        <w:t>,</w:t>
      </w:r>
      <w:r>
        <w:t xml:space="preserve"> suggesting that perhaps not all the resources are delivering. Disposing of non-core assets would allow the company to redirect the funds to more constructive </w:t>
      </w:r>
      <w:r w:rsidR="007919F9">
        <w:t xml:space="preserve">uses </w:t>
      </w:r>
      <w:r>
        <w:t>and enhance the turnover of assets</w:t>
      </w:r>
      <w:r w:rsidR="007919F9">
        <w:t>,</w:t>
      </w:r>
      <w:r>
        <w:t xml:space="preserve"> as already indicated </w:t>
      </w:r>
      <w:r w:rsidR="007919F9">
        <w:t>by</w:t>
      </w:r>
      <w:r>
        <w:t xml:space="preserve"> the asset efficiency and fixed asset turnover. </w:t>
      </w:r>
      <w:r w:rsidR="002F3BF4">
        <w:t>B</w:t>
      </w:r>
      <w:r>
        <w:t>ased on the above discussion, there is a good fixed asset turnover because the finished results of the fixed asset turnover showed 5.44 in 2024</w:t>
      </w:r>
      <w:r w:rsidR="007919F9">
        <w:t>. This</w:t>
      </w:r>
      <w:r>
        <w:t xml:space="preserve"> implies that it is using its core assets to </w:t>
      </w:r>
      <w:proofErr w:type="spellStart"/>
      <w:r w:rsidR="007919F9">
        <w:t>maximise</w:t>
      </w:r>
      <w:proofErr w:type="spellEnd"/>
      <w:r>
        <w:t xml:space="preserve"> its operations, and disposing of assets will </w:t>
      </w:r>
      <w:r w:rsidR="007919F9">
        <w:t>hurt</w:t>
      </w:r>
      <w:r>
        <w:t xml:space="preserve"> its operations. It should not consider the sale of the assets which are not performing well or the </w:t>
      </w:r>
      <w:r w:rsidR="007919F9">
        <w:t>non-core</w:t>
      </w:r>
      <w:r>
        <w:t xml:space="preserve"> assets. This would generate more cash without disturbing productive activities, it would assist in keeping liquidity and flexibility in operations and at the same time keep efficiency</w:t>
      </w:r>
      <w:r w:rsidR="007919F9">
        <w:t>,</w:t>
      </w:r>
      <w:r>
        <w:t xml:space="preserve"> which has already been demonstrated by asset turnover.</w:t>
      </w:r>
    </w:p>
    <w:p w14:paraId="25C93BBE" w14:textId="77777777" w:rsidR="00F152AE" w:rsidRDefault="00F152AE" w:rsidP="00F152AE">
      <w:pPr>
        <w:pStyle w:val="Heading2"/>
      </w:pPr>
      <w:bookmarkStart w:id="48" w:name="_Toc217146076"/>
      <w:r>
        <w:lastRenderedPageBreak/>
        <w:t>4.3 Strategic Partnerships or Mergers</w:t>
      </w:r>
      <w:bookmarkEnd w:id="48"/>
    </w:p>
    <w:p w14:paraId="3405AA09" w14:textId="4893EDB3" w:rsidR="00F152AE" w:rsidRDefault="00F152AE" w:rsidP="00F152AE">
      <w:pPr>
        <w:spacing w:before="240" w:after="240"/>
      </w:pPr>
      <w:r>
        <w:t xml:space="preserve">The partnership or mergers would most likely present additional resources and markets with a wider reach and mean reduced prices as the company had negative net profit margins in 2023 ( -23.36) and in 2024 ( -6.09), current operations cost sharing (Alissa, 2025). Such alliances would then be able to make incomes stable and reduce the inefficiency of operations. The partnerships also help in improved handling of working capital as they may be developed to </w:t>
      </w:r>
      <w:r w:rsidR="007919F9">
        <w:t>improve</w:t>
      </w:r>
      <w:r>
        <w:t xml:space="preserve"> coordination of the supply chains, as well as cash flows.</w:t>
      </w:r>
    </w:p>
    <w:p w14:paraId="5858F615" w14:textId="77777777" w:rsidR="00F152AE" w:rsidRDefault="00F152AE" w:rsidP="00F152AE">
      <w:pPr>
        <w:pStyle w:val="Heading2"/>
      </w:pPr>
      <w:bookmarkStart w:id="49" w:name="_Toc217146077"/>
      <w:r>
        <w:t>4.4 Strategic Joint Ventures</w:t>
      </w:r>
      <w:bookmarkEnd w:id="49"/>
    </w:p>
    <w:p w14:paraId="67E56329" w14:textId="6E12CBC9" w:rsidR="00F152AE" w:rsidRDefault="00F152AE" w:rsidP="00F152AE">
      <w:pPr>
        <w:spacing w:before="240" w:after="240"/>
      </w:pPr>
      <w:r>
        <w:t xml:space="preserve">The reason behind this is that the formation of a joint venture or attracting </w:t>
      </w:r>
      <w:r w:rsidR="007919F9">
        <w:t xml:space="preserve">a </w:t>
      </w:r>
      <w:r>
        <w:t>minority investor will allow the business to tap additional capital in the realms of its business or growth without necessarily having to sell its core assets (Hargrave, 2025). As the revenue decrease has been gradually growing over the 2021</w:t>
      </w:r>
      <w:r w:rsidR="002F3BF4">
        <w:t>-</w:t>
      </w:r>
      <w:r>
        <w:t xml:space="preserve">2024 period, such partnerships may serve as an excellent source of funds and </w:t>
      </w:r>
      <w:r w:rsidR="007919F9">
        <w:t>access</w:t>
      </w:r>
      <w:r>
        <w:t xml:space="preserve"> new marketplaces, which will enable the stream to diversify and </w:t>
      </w:r>
      <w:proofErr w:type="spellStart"/>
      <w:r w:rsidR="007919F9">
        <w:t>neutralise</w:t>
      </w:r>
      <w:proofErr w:type="spellEnd"/>
      <w:r>
        <w:t xml:space="preserve"> the risks of the performance. Meanwhile, such an approach will sustain productive resources of the company that will not compromise on </w:t>
      </w:r>
      <w:r w:rsidR="007919F9">
        <w:t xml:space="preserve">the </w:t>
      </w:r>
      <w:r>
        <w:t xml:space="preserve">high fixed asset turnover of 2024. Sharing the investment and operation load with the partner will enable the company to </w:t>
      </w:r>
      <w:proofErr w:type="spellStart"/>
      <w:r w:rsidR="007919F9">
        <w:t>stabilise</w:t>
      </w:r>
      <w:proofErr w:type="spellEnd"/>
      <w:r>
        <w:t xml:space="preserve"> its operations and also provide </w:t>
      </w:r>
      <w:r w:rsidR="00337D39">
        <w:t>long-term</w:t>
      </w:r>
      <w:r>
        <w:t xml:space="preserve"> development simultaneously</w:t>
      </w:r>
      <w:r w:rsidR="007919F9">
        <w:t>,</w:t>
      </w:r>
      <w:r>
        <w:t xml:space="preserve"> as flexible in its strategic decision making.</w:t>
      </w:r>
    </w:p>
    <w:p w14:paraId="661A0C6F" w14:textId="77777777" w:rsidR="00F152AE" w:rsidRDefault="00F152AE" w:rsidP="00F152AE">
      <w:pPr>
        <w:pStyle w:val="Heading2"/>
      </w:pPr>
      <w:bookmarkStart w:id="50" w:name="_Toc217146078"/>
      <w:r>
        <w:t>4.5 Evaluating Impact on Shareholder Value, Debt Structure, and Operational Flexibility</w:t>
      </w:r>
      <w:bookmarkEnd w:id="50"/>
    </w:p>
    <w:p w14:paraId="333D9E5B" w14:textId="1D037B9E" w:rsidR="00F152AE" w:rsidRDefault="00F152AE" w:rsidP="00F152AE">
      <w:pPr>
        <w:spacing w:before="240" w:after="240"/>
      </w:pPr>
      <w:r>
        <w:t>All of the above efforts</w:t>
      </w:r>
      <w:r w:rsidR="002F3BF4">
        <w:t xml:space="preserve"> </w:t>
      </w:r>
      <w:r>
        <w:t xml:space="preserve">are supposed to restore the trust of shareholders by alleviating the financial risk and ensuring profitability. The liquidity is injected by equity as well as the ability to take up the </w:t>
      </w:r>
      <w:r w:rsidR="007919F9">
        <w:t>short-term</w:t>
      </w:r>
      <w:r>
        <w:t xml:space="preserve"> liquidity need</w:t>
      </w:r>
      <w:r w:rsidR="007919F9">
        <w:t>,</w:t>
      </w:r>
      <w:r>
        <w:t xml:space="preserve"> and also augmenting the facility of company to fund their operations and reforms without putting a lot of reliance on debts. The sale of non-core assets generates cash and leaves core and high-performance assets</w:t>
      </w:r>
      <w:r w:rsidR="007919F9">
        <w:t>,</w:t>
      </w:r>
      <w:r>
        <w:t xml:space="preserve"> hence </w:t>
      </w:r>
      <w:r w:rsidR="007919F9">
        <w:t>ensuring</w:t>
      </w:r>
      <w:r>
        <w:t xml:space="preserve"> the efficiency of the operations and </w:t>
      </w:r>
      <w:r w:rsidR="007919F9">
        <w:t>increasing</w:t>
      </w:r>
      <w:r>
        <w:t xml:space="preserve"> the returns on investment. The </w:t>
      </w:r>
      <w:r>
        <w:lastRenderedPageBreak/>
        <w:t>grooves, mergers and joint ventures are additional capital, markets and synergies of their functioning, which will further support the shareholder value.</w:t>
      </w:r>
    </w:p>
    <w:p w14:paraId="5DF0D5B5" w14:textId="4BC86643" w:rsidR="00F152AE" w:rsidRDefault="00F152AE" w:rsidP="00F152AE">
      <w:pPr>
        <w:spacing w:before="240" w:after="240"/>
      </w:pPr>
      <w:r>
        <w:t>These strategies also have an effect on the debt structure. Enhancing liquidity and capital infusion will lower short-term debt</w:t>
      </w:r>
      <w:r w:rsidR="007919F9">
        <w:t>,</w:t>
      </w:r>
      <w:r>
        <w:t xml:space="preserve"> and the cost of interest will also </w:t>
      </w:r>
      <w:r w:rsidR="007919F9">
        <w:t>be reduced,</w:t>
      </w:r>
      <w:r>
        <w:t xml:space="preserve"> along with financial risk. Most types of conservative financing could be sustained to an extent to provide flexibility to allow them </w:t>
      </w:r>
      <w:r w:rsidR="007919F9">
        <w:t xml:space="preserve">to </w:t>
      </w:r>
      <w:r>
        <w:t xml:space="preserve">go out to such strategic initiatives. Joint ventures and partnerships also allow the company to be flexible in its operations so that it </w:t>
      </w:r>
      <w:r w:rsidR="007919F9">
        <w:t>can</w:t>
      </w:r>
      <w:r>
        <w:t xml:space="preserve"> channel resources in areas with high growth or high returns without necessarily putting pressure on its internal capacity. These interventions will put </w:t>
      </w:r>
      <w:r w:rsidR="007919F9">
        <w:t>them</w:t>
      </w:r>
      <w:r>
        <w:t xml:space="preserve"> in a better financial position and ensure the efficiency with which assets and operational capacity are </w:t>
      </w:r>
      <w:proofErr w:type="spellStart"/>
      <w:r w:rsidR="007919F9">
        <w:t>utilised</w:t>
      </w:r>
      <w:proofErr w:type="spellEnd"/>
      <w:r>
        <w:t>.</w:t>
      </w:r>
    </w:p>
    <w:p w14:paraId="7B4379FC" w14:textId="77777777" w:rsidR="00F152AE" w:rsidRDefault="00F152AE" w:rsidP="00F152AE">
      <w:pPr>
        <w:pStyle w:val="Heading2"/>
      </w:pPr>
      <w:bookmarkStart w:id="51" w:name="_Toc217146079"/>
      <w:r>
        <w:t>4.6 International and Ethical Considerations</w:t>
      </w:r>
      <w:bookmarkEnd w:id="51"/>
    </w:p>
    <w:p w14:paraId="6440367A" w14:textId="46C0905B" w:rsidR="00F152AE" w:rsidRDefault="00F152AE" w:rsidP="00F152AE">
      <w:pPr>
        <w:spacing w:before="240" w:after="240"/>
      </w:pPr>
      <w:r>
        <w:t xml:space="preserve">The risks include various financial and operational risks which must be addressed whilst the expansion of the operations in the international markets is being done </w:t>
      </w:r>
      <w:r w:rsidR="007919F9">
        <w:t>through</w:t>
      </w:r>
      <w:r>
        <w:t xml:space="preserve"> </w:t>
      </w:r>
      <w:r w:rsidR="007919F9">
        <w:t>partnerships</w:t>
      </w:r>
      <w:r>
        <w:t xml:space="preserve"> or joint </w:t>
      </w:r>
      <w:r w:rsidR="00337D39">
        <w:t>ventures</w:t>
      </w:r>
      <w:r w:rsidR="007919F9">
        <w:t>,</w:t>
      </w:r>
      <w:r>
        <w:t xml:space="preserve"> or mergers. The revenues and the </w:t>
      </w:r>
      <w:r w:rsidR="007919F9">
        <w:t>costs</w:t>
      </w:r>
      <w:r>
        <w:t xml:space="preserve"> can also be affected by currency risk and reduced in terms of profitability unless they are hedged. The inflation </w:t>
      </w:r>
      <w:r w:rsidR="007919F9">
        <w:t>in</w:t>
      </w:r>
      <w:r>
        <w:t xml:space="preserve"> foreign countries can increase the prices of inputs, and the foreign countries are also prone to the fact that they have dissimilar taxation policies</w:t>
      </w:r>
      <w:r w:rsidR="007919F9">
        <w:t>,</w:t>
      </w:r>
      <w:r>
        <w:t xml:space="preserve"> which will </w:t>
      </w:r>
      <w:r w:rsidR="007919F9">
        <w:t>affect</w:t>
      </w:r>
      <w:r>
        <w:t xml:space="preserve"> the net returns of overseas business. </w:t>
      </w:r>
      <w:r w:rsidR="00F4655C">
        <w:t>C</w:t>
      </w:r>
      <w:r>
        <w:t>lose planning and consideration of risk management systems</w:t>
      </w:r>
      <w:r w:rsidR="007919F9">
        <w:t>,</w:t>
      </w:r>
      <w:r>
        <w:t xml:space="preserve"> such as currency hedges, planning taxes and market analysis of the local market</w:t>
      </w:r>
      <w:r w:rsidR="007919F9">
        <w:t>,</w:t>
      </w:r>
      <w:r>
        <w:t xml:space="preserve"> have to be </w:t>
      </w:r>
      <w:proofErr w:type="spellStart"/>
      <w:r w:rsidR="007919F9">
        <w:t>utilised</w:t>
      </w:r>
      <w:proofErr w:type="spellEnd"/>
      <w:r>
        <w:t>.</w:t>
      </w:r>
    </w:p>
    <w:p w14:paraId="3CD4798F" w14:textId="646ECCAC" w:rsidR="00E55CA3" w:rsidRDefault="00F152AE" w:rsidP="00F152AE">
      <w:pPr>
        <w:spacing w:before="240" w:after="240"/>
      </w:pPr>
      <w:r>
        <w:t xml:space="preserve">In financial risks, </w:t>
      </w:r>
      <w:r w:rsidR="007919F9">
        <w:t xml:space="preserve">the </w:t>
      </w:r>
      <w:r>
        <w:t xml:space="preserve">ethical factor is </w:t>
      </w:r>
      <w:r w:rsidR="007919F9">
        <w:t>very crucial</w:t>
      </w:r>
      <w:r>
        <w:t xml:space="preserve"> in the </w:t>
      </w:r>
      <w:r w:rsidR="007919F9">
        <w:t>long-term</w:t>
      </w:r>
      <w:r>
        <w:t xml:space="preserve"> sustainability. Not only </w:t>
      </w:r>
      <w:r w:rsidR="007919F9">
        <w:t>does</w:t>
      </w:r>
      <w:r>
        <w:t xml:space="preserve"> doing </w:t>
      </w:r>
      <w:r w:rsidR="00337D39">
        <w:t>the</w:t>
      </w:r>
      <w:r>
        <w:t xml:space="preserve"> right business and ensuring corporate social responsibility (CSR) protect the reputation of the company, but </w:t>
      </w:r>
      <w:r w:rsidR="00337D39">
        <w:t xml:space="preserve">it </w:t>
      </w:r>
      <w:r>
        <w:t xml:space="preserve">also </w:t>
      </w:r>
      <w:r w:rsidR="00337D39">
        <w:t>results</w:t>
      </w:r>
      <w:r>
        <w:t xml:space="preserve"> in the establishment of trust in the company among the customers, the suppliers and the communities residing in the localities. Ethical practices can </w:t>
      </w:r>
      <w:r w:rsidR="00C32A76">
        <w:t>add</w:t>
      </w:r>
      <w:r>
        <w:t xml:space="preserve"> value to the brand </w:t>
      </w:r>
      <w:r w:rsidR="00C32A76">
        <w:t xml:space="preserve">and </w:t>
      </w:r>
      <w:r>
        <w:t xml:space="preserve">maintain a compliant and attractive investor. The introduction of the international and ethical dimension in the strategic decisions will assist the company in exploring the prospects of expansion </w:t>
      </w:r>
      <w:r>
        <w:lastRenderedPageBreak/>
        <w:t xml:space="preserve">globally and making sure that the expansion will be sustainable, responsible, and time-wise to </w:t>
      </w:r>
      <w:r w:rsidR="00C32A76">
        <w:t>long-term</w:t>
      </w:r>
      <w:r>
        <w:t xml:space="preserve"> profitability and operational stability.</w:t>
      </w:r>
    </w:p>
    <w:p w14:paraId="3E482F60" w14:textId="77777777" w:rsidR="00C923C9" w:rsidRDefault="00C923C9" w:rsidP="00C923C9">
      <w:pPr>
        <w:pStyle w:val="Heading1"/>
      </w:pPr>
      <w:bookmarkStart w:id="52" w:name="_Toc217146080"/>
      <w:r>
        <w:t>5.0 Investment Appraisal and Capital Budgeting</w:t>
      </w:r>
      <w:bookmarkEnd w:id="52"/>
    </w:p>
    <w:p w14:paraId="2BC25E6F" w14:textId="7C17FB7B" w:rsidR="00113122" w:rsidRDefault="00113122" w:rsidP="00113122">
      <w:pPr>
        <w:spacing w:before="240" w:after="240"/>
      </w:pPr>
      <w:r w:rsidRPr="00113122">
        <w:t>This part compares three mutually exclusive projects of investment</w:t>
      </w:r>
      <w:r w:rsidR="00C32A76">
        <w:t xml:space="preserve"> projects</w:t>
      </w:r>
      <w:r w:rsidRPr="00113122">
        <w:t xml:space="preserve">. It employs the existing capital budgeting methods to compare the projects. </w:t>
      </w:r>
      <w:r w:rsidR="00F4655C">
        <w:t>T</w:t>
      </w:r>
      <w:r w:rsidRPr="00113122">
        <w:t>o arrive at a well-balanced and strong evaluation</w:t>
      </w:r>
      <w:r w:rsidR="00C32A76">
        <w:t>,</w:t>
      </w:r>
      <w:r w:rsidRPr="00113122">
        <w:t xml:space="preserve"> the projects will be examined according to the following methods:</w:t>
      </w:r>
    </w:p>
    <w:p w14:paraId="42E75F0C" w14:textId="5E70E307" w:rsidR="00EA7107" w:rsidRDefault="00EA7107" w:rsidP="00113122">
      <w:pPr>
        <w:pStyle w:val="ListParagraph"/>
        <w:numPr>
          <w:ilvl w:val="0"/>
          <w:numId w:val="1"/>
        </w:numPr>
        <w:spacing w:before="240" w:after="240"/>
      </w:pPr>
      <w:r>
        <w:t>Payback period</w:t>
      </w:r>
    </w:p>
    <w:p w14:paraId="41362766" w14:textId="77777777" w:rsidR="00EA7107" w:rsidRDefault="00EA7107" w:rsidP="00113122">
      <w:pPr>
        <w:pStyle w:val="ListParagraph"/>
        <w:numPr>
          <w:ilvl w:val="0"/>
          <w:numId w:val="1"/>
        </w:numPr>
        <w:spacing w:before="240" w:after="240"/>
      </w:pPr>
      <w:r>
        <w:t>Accounting Rate of Return (ARR)</w:t>
      </w:r>
    </w:p>
    <w:p w14:paraId="55925E4D" w14:textId="77777777" w:rsidR="00EA7107" w:rsidRDefault="00EA7107" w:rsidP="00113122">
      <w:pPr>
        <w:pStyle w:val="ListParagraph"/>
        <w:numPr>
          <w:ilvl w:val="0"/>
          <w:numId w:val="1"/>
        </w:numPr>
        <w:spacing w:before="240" w:after="240"/>
      </w:pPr>
      <w:r>
        <w:t>Net Present Value (NPV)</w:t>
      </w:r>
    </w:p>
    <w:p w14:paraId="6B389F8A" w14:textId="77777777" w:rsidR="00EA7107" w:rsidRDefault="00EA7107" w:rsidP="00113122">
      <w:pPr>
        <w:pStyle w:val="ListParagraph"/>
        <w:numPr>
          <w:ilvl w:val="0"/>
          <w:numId w:val="1"/>
        </w:numPr>
        <w:spacing w:before="240" w:after="240"/>
      </w:pPr>
      <w:r>
        <w:t>Profitability Index (PI)</w:t>
      </w:r>
    </w:p>
    <w:p w14:paraId="764D5CBA" w14:textId="77777777" w:rsidR="00EA7107" w:rsidRDefault="00EA7107" w:rsidP="00113122">
      <w:pPr>
        <w:pStyle w:val="ListParagraph"/>
        <w:numPr>
          <w:ilvl w:val="0"/>
          <w:numId w:val="1"/>
        </w:numPr>
        <w:spacing w:before="240" w:after="240"/>
      </w:pPr>
      <w:r>
        <w:t xml:space="preserve">Internal Rate of Return (IRR). </w:t>
      </w:r>
    </w:p>
    <w:p w14:paraId="5C29ED8D" w14:textId="64A76BD1" w:rsidR="00113122" w:rsidRDefault="00113122" w:rsidP="00113122">
      <w:pPr>
        <w:spacing w:before="240" w:after="240"/>
        <w:rPr>
          <w:b/>
          <w:bCs/>
        </w:rPr>
      </w:pPr>
      <w:r w:rsidRPr="00113122">
        <w:t xml:space="preserve">One has integrated a discount rate of 10% that is used </w:t>
      </w:r>
      <w:r w:rsidR="00C32A76">
        <w:t>to represent</w:t>
      </w:r>
      <w:r w:rsidRPr="00113122">
        <w:t xml:space="preserve"> the required rate of the firm. The subsequent analysis is to select the most appropriate project in terms of </w:t>
      </w:r>
      <w:r w:rsidR="00C32A76">
        <w:t xml:space="preserve">the </w:t>
      </w:r>
      <w:r w:rsidRPr="00113122">
        <w:t>financial strength of the company, risk profile, and strategic objective of restoring sustainable profitability.</w:t>
      </w:r>
    </w:p>
    <w:p w14:paraId="2CD5478B" w14:textId="2D16BBA8" w:rsidR="00EA7107" w:rsidRPr="00B14E4A" w:rsidRDefault="00B14E4A" w:rsidP="00B14E4A">
      <w:pPr>
        <w:pStyle w:val="Heading3"/>
      </w:pPr>
      <w:bookmarkStart w:id="53" w:name="_Toc217146081"/>
      <w:r>
        <w:t xml:space="preserve">5.1 </w:t>
      </w:r>
      <w:r w:rsidR="00EA7107" w:rsidRPr="00B14E4A">
        <w:t>Payback Period</w:t>
      </w:r>
      <w:bookmarkEnd w:id="53"/>
    </w:p>
    <w:p w14:paraId="0D265A65" w14:textId="77777777" w:rsidR="00EA7107" w:rsidRPr="00EA7107" w:rsidRDefault="00EA7107" w:rsidP="00EA7107">
      <w:pPr>
        <w:pStyle w:val="ListParagraph"/>
        <w:rPr>
          <w:b/>
          <w:bCs/>
        </w:rPr>
      </w:pPr>
    </w:p>
    <w:p w14:paraId="13667F54" w14:textId="77777777" w:rsidR="00EA7107" w:rsidRDefault="00EA7107" w:rsidP="00EA7107">
      <w:pPr>
        <w:jc w:val="center"/>
      </w:pPr>
      <w:r>
        <w:t xml:space="preserve">Table </w:t>
      </w:r>
      <w:r w:rsidR="00E4354C">
        <w:fldChar w:fldCharType="begin"/>
      </w:r>
      <w:r w:rsidR="00E4354C">
        <w:instrText xml:space="preserve"> SEQ Table \* ARABIC </w:instrText>
      </w:r>
      <w:r w:rsidR="00E4354C">
        <w:fldChar w:fldCharType="separate"/>
      </w:r>
      <w:r w:rsidR="00B14E4A">
        <w:rPr>
          <w:noProof/>
        </w:rPr>
        <w:t>12</w:t>
      </w:r>
      <w:r w:rsidR="00E4354C">
        <w:rPr>
          <w:noProof/>
        </w:rPr>
        <w:fldChar w:fldCharType="end"/>
      </w:r>
      <w:r>
        <w:t>: Payback Period of the Projects</w:t>
      </w:r>
    </w:p>
    <w:tbl>
      <w:tblPr>
        <w:tblStyle w:val="GridTable1Light"/>
        <w:tblW w:w="0" w:type="auto"/>
        <w:tblInd w:w="17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30"/>
        <w:gridCol w:w="2097"/>
        <w:gridCol w:w="2751"/>
      </w:tblGrid>
      <w:tr w:rsidR="004048B4" w:rsidRPr="004048B4" w14:paraId="4C8F8143" w14:textId="77777777" w:rsidTr="004048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hideMark/>
          </w:tcPr>
          <w:p w14:paraId="5E2F7A8D" w14:textId="77777777" w:rsidR="004048B4" w:rsidRPr="004048B4" w:rsidRDefault="004048B4" w:rsidP="004048B4">
            <w:pPr>
              <w:jc w:val="center"/>
              <w:rPr>
                <w:lang w:val="en-US"/>
              </w:rPr>
            </w:pPr>
            <w:r w:rsidRPr="004048B4">
              <w:rPr>
                <w:lang w:val="en-US"/>
              </w:rPr>
              <w:t>Project</w:t>
            </w:r>
          </w:p>
        </w:tc>
        <w:tc>
          <w:tcPr>
            <w:tcW w:w="0" w:type="auto"/>
            <w:tcBorders>
              <w:bottom w:val="none" w:sz="0" w:space="0" w:color="auto"/>
            </w:tcBorders>
            <w:hideMark/>
          </w:tcPr>
          <w:p w14:paraId="5E7D6689" w14:textId="77777777" w:rsidR="004048B4" w:rsidRPr="004048B4" w:rsidRDefault="004048B4" w:rsidP="004048B4">
            <w:pPr>
              <w:jc w:val="center"/>
              <w:cnfStyle w:val="100000000000" w:firstRow="1" w:lastRow="0" w:firstColumn="0" w:lastColumn="0" w:oddVBand="0" w:evenVBand="0" w:oddHBand="0" w:evenHBand="0" w:firstRowFirstColumn="0" w:firstRowLastColumn="0" w:lastRowFirstColumn="0" w:lastRowLastColumn="0"/>
              <w:rPr>
                <w:b w:val="0"/>
                <w:bCs w:val="0"/>
                <w:lang w:val="en-US"/>
              </w:rPr>
            </w:pPr>
            <w:r w:rsidRPr="004048B4">
              <w:rPr>
                <w:b w:val="0"/>
                <w:bCs w:val="0"/>
                <w:lang w:val="en-US"/>
              </w:rPr>
              <w:t>Initial Outlay (£m)</w:t>
            </w:r>
          </w:p>
        </w:tc>
        <w:tc>
          <w:tcPr>
            <w:tcW w:w="0" w:type="auto"/>
            <w:tcBorders>
              <w:bottom w:val="none" w:sz="0" w:space="0" w:color="auto"/>
            </w:tcBorders>
            <w:hideMark/>
          </w:tcPr>
          <w:p w14:paraId="0BD38484" w14:textId="77777777" w:rsidR="004048B4" w:rsidRPr="004048B4" w:rsidRDefault="004048B4" w:rsidP="004048B4">
            <w:pPr>
              <w:jc w:val="center"/>
              <w:cnfStyle w:val="100000000000" w:firstRow="1" w:lastRow="0" w:firstColumn="0" w:lastColumn="0" w:oddVBand="0" w:evenVBand="0" w:oddHBand="0" w:evenHBand="0" w:firstRowFirstColumn="0" w:firstRowLastColumn="0" w:lastRowFirstColumn="0" w:lastRowLastColumn="0"/>
              <w:rPr>
                <w:b w:val="0"/>
                <w:bCs w:val="0"/>
                <w:lang w:val="en-US"/>
              </w:rPr>
            </w:pPr>
            <w:r w:rsidRPr="004048B4">
              <w:rPr>
                <w:b w:val="0"/>
                <w:bCs w:val="0"/>
                <w:lang w:val="en-US"/>
              </w:rPr>
              <w:t>Payback Period (Years)</w:t>
            </w:r>
          </w:p>
        </w:tc>
      </w:tr>
      <w:tr w:rsidR="004048B4" w:rsidRPr="004048B4" w14:paraId="758BC352" w14:textId="77777777" w:rsidTr="004048B4">
        <w:tc>
          <w:tcPr>
            <w:cnfStyle w:val="001000000000" w:firstRow="0" w:lastRow="0" w:firstColumn="1" w:lastColumn="0" w:oddVBand="0" w:evenVBand="0" w:oddHBand="0" w:evenHBand="0" w:firstRowFirstColumn="0" w:firstRowLastColumn="0" w:lastRowFirstColumn="0" w:lastRowLastColumn="0"/>
            <w:tcW w:w="0" w:type="auto"/>
            <w:hideMark/>
          </w:tcPr>
          <w:p w14:paraId="385EC1DB" w14:textId="77777777" w:rsidR="004048B4" w:rsidRPr="004048B4" w:rsidRDefault="004048B4" w:rsidP="004048B4">
            <w:pPr>
              <w:jc w:val="center"/>
              <w:rPr>
                <w:b w:val="0"/>
                <w:bCs w:val="0"/>
                <w:lang w:val="en-US"/>
              </w:rPr>
            </w:pPr>
            <w:r w:rsidRPr="004048B4">
              <w:rPr>
                <w:b w:val="0"/>
                <w:bCs w:val="0"/>
                <w:lang w:val="en-US"/>
              </w:rPr>
              <w:t>A</w:t>
            </w:r>
          </w:p>
        </w:tc>
        <w:tc>
          <w:tcPr>
            <w:tcW w:w="0" w:type="auto"/>
            <w:hideMark/>
          </w:tcPr>
          <w:p w14:paraId="263FB239" w14:textId="77777777" w:rsidR="004048B4" w:rsidRPr="004048B4" w:rsidRDefault="004048B4" w:rsidP="004048B4">
            <w:pPr>
              <w:jc w:val="center"/>
              <w:cnfStyle w:val="000000000000" w:firstRow="0" w:lastRow="0" w:firstColumn="0" w:lastColumn="0" w:oddVBand="0" w:evenVBand="0" w:oddHBand="0" w:evenHBand="0" w:firstRowFirstColumn="0" w:firstRowLastColumn="0" w:lastRowFirstColumn="0" w:lastRowLastColumn="0"/>
              <w:rPr>
                <w:lang w:val="en-US"/>
              </w:rPr>
            </w:pPr>
            <w:r w:rsidRPr="004048B4">
              <w:rPr>
                <w:lang w:val="en-US"/>
              </w:rPr>
              <w:t>40</w:t>
            </w:r>
          </w:p>
        </w:tc>
        <w:tc>
          <w:tcPr>
            <w:tcW w:w="0" w:type="auto"/>
            <w:hideMark/>
          </w:tcPr>
          <w:p w14:paraId="74A4E901" w14:textId="77777777" w:rsidR="004048B4" w:rsidRPr="004048B4" w:rsidRDefault="004048B4" w:rsidP="004048B4">
            <w:pPr>
              <w:jc w:val="center"/>
              <w:cnfStyle w:val="000000000000" w:firstRow="0" w:lastRow="0" w:firstColumn="0" w:lastColumn="0" w:oddVBand="0" w:evenVBand="0" w:oddHBand="0" w:evenHBand="0" w:firstRowFirstColumn="0" w:firstRowLastColumn="0" w:lastRowFirstColumn="0" w:lastRowLastColumn="0"/>
              <w:rPr>
                <w:lang w:val="en-US"/>
              </w:rPr>
            </w:pPr>
            <w:r w:rsidRPr="004048B4">
              <w:rPr>
                <w:lang w:val="en-US"/>
              </w:rPr>
              <w:t>3.4</w:t>
            </w:r>
          </w:p>
        </w:tc>
      </w:tr>
      <w:tr w:rsidR="004048B4" w:rsidRPr="004048B4" w14:paraId="41730695" w14:textId="77777777" w:rsidTr="004048B4">
        <w:tc>
          <w:tcPr>
            <w:cnfStyle w:val="001000000000" w:firstRow="0" w:lastRow="0" w:firstColumn="1" w:lastColumn="0" w:oddVBand="0" w:evenVBand="0" w:oddHBand="0" w:evenHBand="0" w:firstRowFirstColumn="0" w:firstRowLastColumn="0" w:lastRowFirstColumn="0" w:lastRowLastColumn="0"/>
            <w:tcW w:w="0" w:type="auto"/>
            <w:hideMark/>
          </w:tcPr>
          <w:p w14:paraId="0DD119A7" w14:textId="77777777" w:rsidR="004048B4" w:rsidRPr="004048B4" w:rsidRDefault="004048B4" w:rsidP="004048B4">
            <w:pPr>
              <w:jc w:val="center"/>
              <w:rPr>
                <w:lang w:val="en-US"/>
              </w:rPr>
            </w:pPr>
            <w:r w:rsidRPr="004048B4">
              <w:rPr>
                <w:lang w:val="en-US"/>
              </w:rPr>
              <w:t>B</w:t>
            </w:r>
          </w:p>
        </w:tc>
        <w:tc>
          <w:tcPr>
            <w:tcW w:w="0" w:type="auto"/>
            <w:hideMark/>
          </w:tcPr>
          <w:p w14:paraId="29D1CEB2" w14:textId="77777777" w:rsidR="004048B4" w:rsidRPr="004048B4" w:rsidRDefault="004048B4" w:rsidP="004048B4">
            <w:pPr>
              <w:jc w:val="center"/>
              <w:cnfStyle w:val="000000000000" w:firstRow="0" w:lastRow="0" w:firstColumn="0" w:lastColumn="0" w:oddVBand="0" w:evenVBand="0" w:oddHBand="0" w:evenHBand="0" w:firstRowFirstColumn="0" w:firstRowLastColumn="0" w:lastRowFirstColumn="0" w:lastRowLastColumn="0"/>
              <w:rPr>
                <w:lang w:val="en-US"/>
              </w:rPr>
            </w:pPr>
            <w:r w:rsidRPr="004048B4">
              <w:rPr>
                <w:lang w:val="en-US"/>
              </w:rPr>
              <w:t>30</w:t>
            </w:r>
          </w:p>
        </w:tc>
        <w:tc>
          <w:tcPr>
            <w:tcW w:w="0" w:type="auto"/>
            <w:hideMark/>
          </w:tcPr>
          <w:p w14:paraId="70F350E3" w14:textId="77777777" w:rsidR="004048B4" w:rsidRPr="004048B4" w:rsidRDefault="004048B4" w:rsidP="004048B4">
            <w:pPr>
              <w:jc w:val="center"/>
              <w:cnfStyle w:val="000000000000" w:firstRow="0" w:lastRow="0" w:firstColumn="0" w:lastColumn="0" w:oddVBand="0" w:evenVBand="0" w:oddHBand="0" w:evenHBand="0" w:firstRowFirstColumn="0" w:firstRowLastColumn="0" w:lastRowFirstColumn="0" w:lastRowLastColumn="0"/>
              <w:rPr>
                <w:lang w:val="en-US"/>
              </w:rPr>
            </w:pPr>
            <w:r w:rsidRPr="004048B4">
              <w:rPr>
                <w:lang w:val="en-US"/>
              </w:rPr>
              <w:t>5.0</w:t>
            </w:r>
          </w:p>
        </w:tc>
      </w:tr>
      <w:tr w:rsidR="004048B4" w:rsidRPr="004048B4" w14:paraId="74ACE1F3" w14:textId="77777777" w:rsidTr="004048B4">
        <w:tc>
          <w:tcPr>
            <w:cnfStyle w:val="001000000000" w:firstRow="0" w:lastRow="0" w:firstColumn="1" w:lastColumn="0" w:oddVBand="0" w:evenVBand="0" w:oddHBand="0" w:evenHBand="0" w:firstRowFirstColumn="0" w:firstRowLastColumn="0" w:lastRowFirstColumn="0" w:lastRowLastColumn="0"/>
            <w:tcW w:w="0" w:type="auto"/>
            <w:hideMark/>
          </w:tcPr>
          <w:p w14:paraId="74D04E2E" w14:textId="77777777" w:rsidR="004048B4" w:rsidRPr="004048B4" w:rsidRDefault="004048B4" w:rsidP="004048B4">
            <w:pPr>
              <w:jc w:val="center"/>
              <w:rPr>
                <w:lang w:val="en-US"/>
              </w:rPr>
            </w:pPr>
            <w:r w:rsidRPr="004048B4">
              <w:rPr>
                <w:lang w:val="en-US"/>
              </w:rPr>
              <w:t>C</w:t>
            </w:r>
          </w:p>
        </w:tc>
        <w:tc>
          <w:tcPr>
            <w:tcW w:w="0" w:type="auto"/>
            <w:hideMark/>
          </w:tcPr>
          <w:p w14:paraId="7654228F" w14:textId="77777777" w:rsidR="004048B4" w:rsidRPr="004048B4" w:rsidRDefault="004048B4" w:rsidP="004048B4">
            <w:pPr>
              <w:jc w:val="center"/>
              <w:cnfStyle w:val="000000000000" w:firstRow="0" w:lastRow="0" w:firstColumn="0" w:lastColumn="0" w:oddVBand="0" w:evenVBand="0" w:oddHBand="0" w:evenHBand="0" w:firstRowFirstColumn="0" w:firstRowLastColumn="0" w:lastRowFirstColumn="0" w:lastRowLastColumn="0"/>
              <w:rPr>
                <w:lang w:val="en-US"/>
              </w:rPr>
            </w:pPr>
            <w:r w:rsidRPr="004048B4">
              <w:rPr>
                <w:lang w:val="en-US"/>
              </w:rPr>
              <w:t>50</w:t>
            </w:r>
          </w:p>
        </w:tc>
        <w:tc>
          <w:tcPr>
            <w:tcW w:w="0" w:type="auto"/>
            <w:hideMark/>
          </w:tcPr>
          <w:p w14:paraId="14BEBEDD" w14:textId="77777777" w:rsidR="004048B4" w:rsidRPr="004048B4" w:rsidRDefault="004048B4" w:rsidP="004048B4">
            <w:pPr>
              <w:jc w:val="center"/>
              <w:cnfStyle w:val="000000000000" w:firstRow="0" w:lastRow="0" w:firstColumn="0" w:lastColumn="0" w:oddVBand="0" w:evenVBand="0" w:oddHBand="0" w:evenHBand="0" w:firstRowFirstColumn="0" w:firstRowLastColumn="0" w:lastRowFirstColumn="0" w:lastRowLastColumn="0"/>
              <w:rPr>
                <w:lang w:val="en-US"/>
              </w:rPr>
            </w:pPr>
            <w:r w:rsidRPr="004048B4">
              <w:rPr>
                <w:lang w:val="en-US"/>
              </w:rPr>
              <w:t>3.6</w:t>
            </w:r>
          </w:p>
        </w:tc>
      </w:tr>
    </w:tbl>
    <w:p w14:paraId="276513ED" w14:textId="77777777" w:rsidR="00866BF7" w:rsidRDefault="00866BF7" w:rsidP="000D7A06"/>
    <w:p w14:paraId="65F448D1" w14:textId="0789C538" w:rsidR="00113122" w:rsidRPr="00113122" w:rsidRDefault="00F4655C" w:rsidP="00113122">
      <w:pPr>
        <w:spacing w:before="240" w:after="240"/>
        <w:rPr>
          <w:rStyle w:val="Strong"/>
          <w:b w:val="0"/>
          <w:bCs w:val="0"/>
        </w:rPr>
      </w:pPr>
      <w:r>
        <w:rPr>
          <w:rStyle w:val="Strong"/>
          <w:b w:val="0"/>
          <w:bCs w:val="0"/>
        </w:rPr>
        <w:t>I</w:t>
      </w:r>
      <w:r w:rsidR="00113122" w:rsidRPr="00113122">
        <w:rPr>
          <w:rStyle w:val="Strong"/>
          <w:b w:val="0"/>
          <w:bCs w:val="0"/>
        </w:rPr>
        <w:t xml:space="preserve">t can be concluded that Project A earns the initial investment back at 3.4 years and is therefore the fastest of the three. This means reduced liquidity risk since it means that the company recovers its own capital power less and can invest or fund other operational requirements </w:t>
      </w:r>
      <w:r w:rsidR="00C32A76">
        <w:rPr>
          <w:rStyle w:val="Strong"/>
          <w:b w:val="0"/>
          <w:bCs w:val="0"/>
        </w:rPr>
        <w:t>quickly</w:t>
      </w:r>
      <w:r w:rsidR="00113122" w:rsidRPr="00113122">
        <w:rPr>
          <w:rStyle w:val="Strong"/>
          <w:b w:val="0"/>
          <w:bCs w:val="0"/>
        </w:rPr>
        <w:t>.</w:t>
      </w:r>
    </w:p>
    <w:p w14:paraId="295AF78C" w14:textId="55386EA4" w:rsidR="00113122" w:rsidRPr="00113122" w:rsidRDefault="00113122" w:rsidP="00113122">
      <w:pPr>
        <w:spacing w:before="240" w:after="240"/>
        <w:rPr>
          <w:rStyle w:val="Strong"/>
          <w:b w:val="0"/>
          <w:bCs w:val="0"/>
        </w:rPr>
      </w:pPr>
      <w:r w:rsidRPr="00113122">
        <w:rPr>
          <w:rStyle w:val="Strong"/>
          <w:b w:val="0"/>
          <w:bCs w:val="0"/>
        </w:rPr>
        <w:lastRenderedPageBreak/>
        <w:t>Project B</w:t>
      </w:r>
      <w:r w:rsidR="00F4655C">
        <w:rPr>
          <w:rStyle w:val="Strong"/>
          <w:b w:val="0"/>
          <w:bCs w:val="0"/>
        </w:rPr>
        <w:t xml:space="preserve"> </w:t>
      </w:r>
      <w:r w:rsidRPr="00113122">
        <w:rPr>
          <w:rStyle w:val="Strong"/>
          <w:b w:val="0"/>
          <w:bCs w:val="0"/>
        </w:rPr>
        <w:t>has a payback period of 5 years. This initiative will incur the longest time in covering the initial investment. This is not very profitable</w:t>
      </w:r>
      <w:r w:rsidR="00C32A76">
        <w:rPr>
          <w:rStyle w:val="Strong"/>
          <w:b w:val="0"/>
          <w:bCs w:val="0"/>
        </w:rPr>
        <w:t>,</w:t>
      </w:r>
      <w:r w:rsidRPr="00113122">
        <w:rPr>
          <w:rStyle w:val="Strong"/>
          <w:b w:val="0"/>
          <w:bCs w:val="0"/>
        </w:rPr>
        <w:t xml:space="preserve"> at least in terms of </w:t>
      </w:r>
      <w:r w:rsidR="00C32A76">
        <w:rPr>
          <w:rStyle w:val="Strong"/>
          <w:b w:val="0"/>
          <w:bCs w:val="0"/>
        </w:rPr>
        <w:t>short-term</w:t>
      </w:r>
      <w:r w:rsidRPr="00113122">
        <w:rPr>
          <w:rStyle w:val="Strong"/>
          <w:b w:val="0"/>
          <w:bCs w:val="0"/>
        </w:rPr>
        <w:t xml:space="preserve"> cash recoveries</w:t>
      </w:r>
      <w:r w:rsidR="00C32A76">
        <w:rPr>
          <w:rStyle w:val="Strong"/>
          <w:b w:val="0"/>
          <w:bCs w:val="0"/>
        </w:rPr>
        <w:t>,</w:t>
      </w:r>
      <w:r w:rsidRPr="00113122">
        <w:rPr>
          <w:rStyle w:val="Strong"/>
          <w:b w:val="0"/>
          <w:bCs w:val="0"/>
        </w:rPr>
        <w:t xml:space="preserve"> as a result of the small amounts of inflows annually in comparison to the investment.</w:t>
      </w:r>
    </w:p>
    <w:p w14:paraId="60B4511E" w14:textId="16AAB9BD" w:rsidR="00113122" w:rsidRPr="00113122" w:rsidRDefault="00113122" w:rsidP="00113122">
      <w:pPr>
        <w:spacing w:before="240" w:after="240"/>
        <w:rPr>
          <w:rStyle w:val="Strong"/>
          <w:b w:val="0"/>
          <w:bCs w:val="0"/>
        </w:rPr>
      </w:pPr>
      <w:r w:rsidRPr="00113122">
        <w:rPr>
          <w:rStyle w:val="Strong"/>
          <w:b w:val="0"/>
          <w:bCs w:val="0"/>
        </w:rPr>
        <w:t>Project C has a contribution period of 3.6 years. It is a bit longer than project A. The project offers higher returns in later years, though requiring a higher recovery period</w:t>
      </w:r>
      <w:r w:rsidR="00C32A76">
        <w:rPr>
          <w:rStyle w:val="Strong"/>
          <w:b w:val="0"/>
          <w:bCs w:val="0"/>
        </w:rPr>
        <w:t>;</w:t>
      </w:r>
      <w:r w:rsidRPr="00113122">
        <w:rPr>
          <w:rStyle w:val="Strong"/>
          <w:b w:val="0"/>
          <w:bCs w:val="0"/>
        </w:rPr>
        <w:t xml:space="preserve"> this would give it better returns overall after the initial investment has been recouped.</w:t>
      </w:r>
    </w:p>
    <w:p w14:paraId="56F1D0FA" w14:textId="02DAC3D6" w:rsidR="00A37FF8" w:rsidRDefault="00113122" w:rsidP="00113122">
      <w:pPr>
        <w:spacing w:before="240" w:after="240"/>
      </w:pPr>
      <w:r w:rsidRPr="00113122">
        <w:rPr>
          <w:rStyle w:val="Strong"/>
          <w:b w:val="0"/>
          <w:bCs w:val="0"/>
        </w:rPr>
        <w:t xml:space="preserve">Project A is the best based on the payback period because it has the shortest time to recover the investment to </w:t>
      </w:r>
      <w:proofErr w:type="spellStart"/>
      <w:r w:rsidRPr="00113122">
        <w:rPr>
          <w:rStyle w:val="Strong"/>
          <w:b w:val="0"/>
          <w:bCs w:val="0"/>
        </w:rPr>
        <w:t>minimise</w:t>
      </w:r>
      <w:proofErr w:type="spellEnd"/>
      <w:r w:rsidRPr="00113122">
        <w:rPr>
          <w:rStyle w:val="Strong"/>
          <w:b w:val="0"/>
          <w:bCs w:val="0"/>
        </w:rPr>
        <w:t xml:space="preserve"> the financial risk and enhance liquidity. </w:t>
      </w:r>
      <w:r w:rsidR="005508DD" w:rsidRPr="005508DD">
        <w:rPr>
          <w:rStyle w:val="Strong"/>
          <w:b w:val="0"/>
          <w:bCs w:val="0"/>
        </w:rPr>
        <w:t>Project C would also work, but only at a slower rate</w:t>
      </w:r>
      <w:r w:rsidR="005508DD">
        <w:rPr>
          <w:rStyle w:val="Strong"/>
          <w:b w:val="0"/>
          <w:bCs w:val="0"/>
        </w:rPr>
        <w:t>;</w:t>
      </w:r>
      <w:r w:rsidR="005508DD" w:rsidRPr="005508DD">
        <w:rPr>
          <w:rStyle w:val="Strong"/>
          <w:b w:val="0"/>
          <w:bCs w:val="0"/>
        </w:rPr>
        <w:t xml:space="preserve"> </w:t>
      </w:r>
      <w:r w:rsidR="005508DD">
        <w:rPr>
          <w:rStyle w:val="Strong"/>
          <w:b w:val="0"/>
          <w:bCs w:val="0"/>
        </w:rPr>
        <w:t>however,</w:t>
      </w:r>
      <w:r w:rsidR="005508DD" w:rsidRPr="005508DD">
        <w:rPr>
          <w:rStyle w:val="Strong"/>
          <w:b w:val="0"/>
          <w:bCs w:val="0"/>
        </w:rPr>
        <w:t xml:space="preserve"> Project B is not as attractive because it takes longer to cover capital without covering the investment</w:t>
      </w:r>
      <w:r w:rsidR="004048B4">
        <w:t>.</w:t>
      </w:r>
    </w:p>
    <w:p w14:paraId="15EAF544" w14:textId="77777777" w:rsidR="00A37FF8" w:rsidRPr="00B14E4A" w:rsidRDefault="00B14E4A" w:rsidP="00B14E4A">
      <w:pPr>
        <w:pStyle w:val="Heading3"/>
        <w:numPr>
          <w:ilvl w:val="1"/>
          <w:numId w:val="19"/>
        </w:numPr>
      </w:pPr>
      <w:r>
        <w:t xml:space="preserve"> </w:t>
      </w:r>
      <w:bookmarkStart w:id="54" w:name="_Toc217146082"/>
      <w:r w:rsidR="00E9723D" w:rsidRPr="00B14E4A">
        <w:t>Annual Rate of Return (ARR)</w:t>
      </w:r>
      <w:bookmarkEnd w:id="54"/>
    </w:p>
    <w:p w14:paraId="71D00180" w14:textId="77777777" w:rsidR="00E9723D" w:rsidRPr="00E9723D" w:rsidRDefault="00E9723D" w:rsidP="00E9723D">
      <w:pPr>
        <w:pStyle w:val="ListParagraph"/>
        <w:rPr>
          <w:b/>
          <w:bCs/>
        </w:rPr>
      </w:pPr>
    </w:p>
    <w:p w14:paraId="53D6767F" w14:textId="77777777" w:rsidR="00E9723D" w:rsidRDefault="00E9723D" w:rsidP="00E9723D">
      <w:pPr>
        <w:jc w:val="center"/>
      </w:pPr>
      <w:r>
        <w:t xml:space="preserve">Table </w:t>
      </w:r>
      <w:r w:rsidR="00E4354C">
        <w:fldChar w:fldCharType="begin"/>
      </w:r>
      <w:r w:rsidR="00E4354C">
        <w:instrText xml:space="preserve"> SEQ Table \* ARABIC </w:instrText>
      </w:r>
      <w:r w:rsidR="00E4354C">
        <w:fldChar w:fldCharType="separate"/>
      </w:r>
      <w:r w:rsidR="00B14E4A">
        <w:rPr>
          <w:noProof/>
        </w:rPr>
        <w:t>13</w:t>
      </w:r>
      <w:r w:rsidR="00E4354C">
        <w:rPr>
          <w:noProof/>
        </w:rPr>
        <w:fldChar w:fldCharType="end"/>
      </w:r>
      <w:r>
        <w:t>: Annual Rate of Return</w:t>
      </w:r>
    </w:p>
    <w:tbl>
      <w:tblPr>
        <w:tblW w:w="6480" w:type="dxa"/>
        <w:jc w:val="center"/>
        <w:tblLook w:val="04A0" w:firstRow="1" w:lastRow="0" w:firstColumn="1" w:lastColumn="0" w:noHBand="0" w:noVBand="1"/>
      </w:tblPr>
      <w:tblGrid>
        <w:gridCol w:w="2580"/>
        <w:gridCol w:w="1300"/>
        <w:gridCol w:w="1300"/>
        <w:gridCol w:w="1300"/>
      </w:tblGrid>
      <w:tr w:rsidR="008D5E3D" w:rsidRPr="008D5E3D" w14:paraId="28DF8420" w14:textId="77777777" w:rsidTr="008D5E3D">
        <w:trPr>
          <w:trHeight w:val="576"/>
          <w:jc w:val="center"/>
        </w:trPr>
        <w:tc>
          <w:tcPr>
            <w:tcW w:w="2580" w:type="dxa"/>
            <w:tcBorders>
              <w:top w:val="nil"/>
              <w:left w:val="nil"/>
              <w:bottom w:val="nil"/>
              <w:right w:val="nil"/>
            </w:tcBorders>
            <w:noWrap/>
            <w:vAlign w:val="center"/>
            <w:hideMark/>
          </w:tcPr>
          <w:p w14:paraId="658CCEA9" w14:textId="77777777" w:rsidR="008D5E3D" w:rsidRPr="008D5E3D" w:rsidRDefault="008D5E3D" w:rsidP="008D5E3D">
            <w:pPr>
              <w:spacing w:line="240" w:lineRule="auto"/>
              <w:jc w:val="center"/>
              <w:rPr>
                <w:rFonts w:ascii="Times New Roman" w:eastAsia="Times New Roman" w:hAnsi="Times New Roman" w:cs="Times New Roman"/>
                <w:lang w:val="en-US"/>
              </w:rPr>
            </w:pPr>
          </w:p>
        </w:tc>
        <w:tc>
          <w:tcPr>
            <w:tcW w:w="1300" w:type="dxa"/>
            <w:tcBorders>
              <w:top w:val="nil"/>
              <w:left w:val="nil"/>
              <w:bottom w:val="nil"/>
              <w:right w:val="nil"/>
            </w:tcBorders>
            <w:noWrap/>
            <w:vAlign w:val="center"/>
            <w:hideMark/>
          </w:tcPr>
          <w:p w14:paraId="65E11224" w14:textId="77777777" w:rsidR="008D5E3D" w:rsidRPr="008D5E3D" w:rsidRDefault="008D5E3D" w:rsidP="008D5E3D">
            <w:pPr>
              <w:spacing w:line="240" w:lineRule="auto"/>
              <w:jc w:val="center"/>
              <w:rPr>
                <w:rFonts w:ascii="Calibri" w:eastAsia="Times New Roman" w:hAnsi="Calibri" w:cs="Calibri"/>
                <w:color w:val="000000"/>
                <w:lang w:val="en-US"/>
              </w:rPr>
            </w:pPr>
            <w:r w:rsidRPr="008D5E3D">
              <w:rPr>
                <w:rFonts w:ascii="Calibri" w:eastAsia="Times New Roman" w:hAnsi="Calibri" w:cs="Calibri"/>
                <w:color w:val="000000"/>
                <w:lang w:val="en-US"/>
              </w:rPr>
              <w:t>Project A</w:t>
            </w:r>
          </w:p>
        </w:tc>
        <w:tc>
          <w:tcPr>
            <w:tcW w:w="1300" w:type="dxa"/>
            <w:tcBorders>
              <w:top w:val="nil"/>
              <w:left w:val="nil"/>
              <w:bottom w:val="nil"/>
              <w:right w:val="nil"/>
            </w:tcBorders>
            <w:noWrap/>
            <w:vAlign w:val="center"/>
            <w:hideMark/>
          </w:tcPr>
          <w:p w14:paraId="0681ECBD" w14:textId="77777777" w:rsidR="008D5E3D" w:rsidRPr="008D5E3D" w:rsidRDefault="008D5E3D" w:rsidP="008D5E3D">
            <w:pPr>
              <w:spacing w:line="240" w:lineRule="auto"/>
              <w:jc w:val="center"/>
              <w:rPr>
                <w:rFonts w:ascii="Calibri" w:eastAsia="Times New Roman" w:hAnsi="Calibri" w:cs="Calibri"/>
                <w:color w:val="000000"/>
                <w:lang w:val="en-US"/>
              </w:rPr>
            </w:pPr>
            <w:r w:rsidRPr="008D5E3D">
              <w:rPr>
                <w:rFonts w:ascii="Calibri" w:eastAsia="Times New Roman" w:hAnsi="Calibri" w:cs="Calibri"/>
                <w:color w:val="000000"/>
                <w:lang w:val="en-US"/>
              </w:rPr>
              <w:t>Project B</w:t>
            </w:r>
          </w:p>
        </w:tc>
        <w:tc>
          <w:tcPr>
            <w:tcW w:w="1300" w:type="dxa"/>
            <w:tcBorders>
              <w:top w:val="nil"/>
              <w:left w:val="nil"/>
              <w:bottom w:val="nil"/>
              <w:right w:val="nil"/>
            </w:tcBorders>
            <w:noWrap/>
            <w:vAlign w:val="center"/>
            <w:hideMark/>
          </w:tcPr>
          <w:p w14:paraId="4163B33A" w14:textId="77777777" w:rsidR="008D5E3D" w:rsidRPr="008D5E3D" w:rsidRDefault="008D5E3D" w:rsidP="008D5E3D">
            <w:pPr>
              <w:spacing w:line="240" w:lineRule="auto"/>
              <w:jc w:val="center"/>
              <w:rPr>
                <w:rFonts w:ascii="Calibri" w:eastAsia="Times New Roman" w:hAnsi="Calibri" w:cs="Calibri"/>
                <w:color w:val="000000"/>
                <w:lang w:val="en-US"/>
              </w:rPr>
            </w:pPr>
            <w:r w:rsidRPr="008D5E3D">
              <w:rPr>
                <w:rFonts w:ascii="Calibri" w:eastAsia="Times New Roman" w:hAnsi="Calibri" w:cs="Calibri"/>
                <w:color w:val="000000"/>
                <w:lang w:val="en-US"/>
              </w:rPr>
              <w:t>Project C</w:t>
            </w:r>
          </w:p>
        </w:tc>
      </w:tr>
      <w:tr w:rsidR="008D5E3D" w:rsidRPr="008D5E3D" w14:paraId="2F5B0EEE" w14:textId="77777777" w:rsidTr="008D5E3D">
        <w:trPr>
          <w:trHeight w:val="576"/>
          <w:jc w:val="center"/>
        </w:trPr>
        <w:tc>
          <w:tcPr>
            <w:tcW w:w="2580" w:type="dxa"/>
            <w:tcBorders>
              <w:top w:val="nil"/>
              <w:left w:val="nil"/>
              <w:bottom w:val="nil"/>
              <w:right w:val="nil"/>
            </w:tcBorders>
            <w:noWrap/>
            <w:vAlign w:val="center"/>
            <w:hideMark/>
          </w:tcPr>
          <w:p w14:paraId="21DC811D" w14:textId="77777777" w:rsidR="008D5E3D" w:rsidRPr="008D5E3D" w:rsidRDefault="008D5E3D" w:rsidP="008D5E3D">
            <w:pPr>
              <w:spacing w:line="240" w:lineRule="auto"/>
              <w:jc w:val="center"/>
              <w:rPr>
                <w:rFonts w:ascii="Calibri" w:eastAsia="Times New Roman" w:hAnsi="Calibri" w:cs="Calibri"/>
                <w:color w:val="000000"/>
                <w:lang w:val="en-US"/>
              </w:rPr>
            </w:pPr>
            <w:r w:rsidRPr="008D5E3D">
              <w:rPr>
                <w:rFonts w:ascii="Calibri" w:eastAsia="Times New Roman" w:hAnsi="Calibri" w:cs="Calibri"/>
                <w:color w:val="000000"/>
                <w:lang w:val="en-US"/>
              </w:rPr>
              <w:t>ARR</w:t>
            </w:r>
          </w:p>
        </w:tc>
        <w:tc>
          <w:tcPr>
            <w:tcW w:w="1300" w:type="dxa"/>
            <w:tcBorders>
              <w:top w:val="nil"/>
              <w:left w:val="nil"/>
              <w:bottom w:val="nil"/>
              <w:right w:val="nil"/>
            </w:tcBorders>
            <w:noWrap/>
            <w:vAlign w:val="center"/>
            <w:hideMark/>
          </w:tcPr>
          <w:p w14:paraId="235205EF" w14:textId="77777777" w:rsidR="008D5E3D" w:rsidRPr="008D5E3D" w:rsidRDefault="008D5E3D" w:rsidP="008D5E3D">
            <w:pPr>
              <w:spacing w:line="240" w:lineRule="auto"/>
              <w:jc w:val="center"/>
              <w:rPr>
                <w:rFonts w:ascii="Calibri" w:eastAsia="Times New Roman" w:hAnsi="Calibri" w:cs="Calibri"/>
                <w:color w:val="000000"/>
                <w:lang w:val="en-US"/>
              </w:rPr>
            </w:pPr>
            <w:r w:rsidRPr="008D5E3D">
              <w:rPr>
                <w:rFonts w:ascii="Calibri" w:eastAsia="Times New Roman" w:hAnsi="Calibri" w:cs="Calibri"/>
                <w:color w:val="000000"/>
                <w:lang w:val="en-US"/>
              </w:rPr>
              <w:t>0.35</w:t>
            </w:r>
          </w:p>
        </w:tc>
        <w:tc>
          <w:tcPr>
            <w:tcW w:w="1300" w:type="dxa"/>
            <w:tcBorders>
              <w:top w:val="nil"/>
              <w:left w:val="nil"/>
              <w:bottom w:val="nil"/>
              <w:right w:val="nil"/>
            </w:tcBorders>
            <w:noWrap/>
            <w:vAlign w:val="center"/>
            <w:hideMark/>
          </w:tcPr>
          <w:p w14:paraId="1CBA77D8" w14:textId="77777777" w:rsidR="008D5E3D" w:rsidRPr="008D5E3D" w:rsidRDefault="008D5E3D" w:rsidP="008D5E3D">
            <w:pPr>
              <w:spacing w:line="240" w:lineRule="auto"/>
              <w:jc w:val="center"/>
              <w:rPr>
                <w:rFonts w:ascii="Calibri" w:eastAsia="Times New Roman" w:hAnsi="Calibri" w:cs="Calibri"/>
                <w:color w:val="000000"/>
                <w:lang w:val="en-US"/>
              </w:rPr>
            </w:pPr>
            <w:r w:rsidRPr="008D5E3D">
              <w:rPr>
                <w:rFonts w:ascii="Calibri" w:eastAsia="Times New Roman" w:hAnsi="Calibri" w:cs="Calibri"/>
                <w:color w:val="000000"/>
                <w:lang w:val="en-US"/>
              </w:rPr>
              <w:t>0</w:t>
            </w:r>
          </w:p>
        </w:tc>
        <w:tc>
          <w:tcPr>
            <w:tcW w:w="1300" w:type="dxa"/>
            <w:tcBorders>
              <w:top w:val="nil"/>
              <w:left w:val="nil"/>
              <w:bottom w:val="nil"/>
              <w:right w:val="nil"/>
            </w:tcBorders>
            <w:noWrap/>
            <w:vAlign w:val="center"/>
            <w:hideMark/>
          </w:tcPr>
          <w:p w14:paraId="38946107" w14:textId="77777777" w:rsidR="008D5E3D" w:rsidRPr="008D5E3D" w:rsidRDefault="008D5E3D" w:rsidP="008D5E3D">
            <w:pPr>
              <w:spacing w:line="240" w:lineRule="auto"/>
              <w:jc w:val="center"/>
              <w:rPr>
                <w:rFonts w:ascii="Calibri" w:eastAsia="Times New Roman" w:hAnsi="Calibri" w:cs="Calibri"/>
                <w:color w:val="000000"/>
                <w:lang w:val="en-US"/>
              </w:rPr>
            </w:pPr>
            <w:r w:rsidRPr="008D5E3D">
              <w:rPr>
                <w:rFonts w:ascii="Calibri" w:eastAsia="Times New Roman" w:hAnsi="Calibri" w:cs="Calibri"/>
                <w:color w:val="000000"/>
                <w:lang w:val="en-US"/>
              </w:rPr>
              <w:t>0.5</w:t>
            </w:r>
          </w:p>
        </w:tc>
      </w:tr>
    </w:tbl>
    <w:p w14:paraId="53587B94" w14:textId="77777777" w:rsidR="00A37FF8" w:rsidRDefault="00A37FF8"/>
    <w:p w14:paraId="63C308E4" w14:textId="3731513E" w:rsidR="002A60C6" w:rsidRPr="002A60C6" w:rsidRDefault="002A60C6" w:rsidP="002A60C6">
      <w:pPr>
        <w:spacing w:before="240" w:after="240"/>
        <w:rPr>
          <w:rStyle w:val="Strong"/>
          <w:b w:val="0"/>
          <w:bCs w:val="0"/>
        </w:rPr>
      </w:pPr>
      <w:r w:rsidRPr="002A60C6">
        <w:rPr>
          <w:rStyle w:val="Strong"/>
          <w:b w:val="0"/>
          <w:bCs w:val="0"/>
        </w:rPr>
        <w:t>Project A is yielding 0.35 ARR</w:t>
      </w:r>
      <w:r w:rsidR="00C32A76">
        <w:rPr>
          <w:rStyle w:val="Strong"/>
          <w:b w:val="0"/>
          <w:bCs w:val="0"/>
        </w:rPr>
        <w:t>,</w:t>
      </w:r>
      <w:r w:rsidRPr="002A60C6">
        <w:rPr>
          <w:rStyle w:val="Strong"/>
          <w:b w:val="0"/>
          <w:bCs w:val="0"/>
        </w:rPr>
        <w:t xml:space="preserve"> which translates to a good investment on </w:t>
      </w:r>
      <w:r w:rsidR="00C32A76">
        <w:rPr>
          <w:rStyle w:val="Strong"/>
          <w:b w:val="0"/>
          <w:bCs w:val="0"/>
        </w:rPr>
        <w:t xml:space="preserve">a </w:t>
      </w:r>
      <w:r w:rsidRPr="002A60C6">
        <w:rPr>
          <w:rStyle w:val="Strong"/>
          <w:b w:val="0"/>
          <w:bCs w:val="0"/>
        </w:rPr>
        <w:t>start-up basis. It demonstrates that it is moderately profitable, which matches its short payback time. The ARR of Project B is 0</w:t>
      </w:r>
      <w:r w:rsidR="00C32A76">
        <w:rPr>
          <w:rStyle w:val="Strong"/>
          <w:b w:val="0"/>
          <w:bCs w:val="0"/>
        </w:rPr>
        <w:t>,</w:t>
      </w:r>
      <w:r w:rsidRPr="002A60C6">
        <w:rPr>
          <w:rStyle w:val="Strong"/>
          <w:b w:val="0"/>
          <w:bCs w:val="0"/>
        </w:rPr>
        <w:t xml:space="preserve"> which implies that this project does not bring a profit on the account on average and is unappealing in terms of profitability. </w:t>
      </w:r>
      <w:r w:rsidR="007F25FC">
        <w:rPr>
          <w:rStyle w:val="Strong"/>
          <w:b w:val="0"/>
          <w:bCs w:val="0"/>
        </w:rPr>
        <w:t>T</w:t>
      </w:r>
      <w:r w:rsidRPr="002A60C6">
        <w:rPr>
          <w:rStyle w:val="Strong"/>
          <w:b w:val="0"/>
          <w:bCs w:val="0"/>
        </w:rPr>
        <w:t xml:space="preserve">ogether with its long payback period, </w:t>
      </w:r>
      <w:r w:rsidR="007F25FC">
        <w:rPr>
          <w:rStyle w:val="Strong"/>
          <w:b w:val="0"/>
          <w:bCs w:val="0"/>
        </w:rPr>
        <w:t xml:space="preserve">it </w:t>
      </w:r>
      <w:r w:rsidRPr="002A60C6">
        <w:rPr>
          <w:rStyle w:val="Strong"/>
          <w:b w:val="0"/>
          <w:bCs w:val="0"/>
        </w:rPr>
        <w:t xml:space="preserve">proves that Project B is the </w:t>
      </w:r>
      <w:proofErr w:type="gramStart"/>
      <w:r w:rsidRPr="002A60C6">
        <w:rPr>
          <w:rStyle w:val="Strong"/>
          <w:b w:val="0"/>
          <w:bCs w:val="0"/>
        </w:rPr>
        <w:t>most weak</w:t>
      </w:r>
      <w:proofErr w:type="gramEnd"/>
      <w:r w:rsidRPr="002A60C6">
        <w:rPr>
          <w:rStyle w:val="Strong"/>
          <w:b w:val="0"/>
          <w:bCs w:val="0"/>
        </w:rPr>
        <w:t xml:space="preserve"> one.</w:t>
      </w:r>
    </w:p>
    <w:p w14:paraId="43F812F3" w14:textId="2595A8ED" w:rsidR="002A60C6" w:rsidRPr="002A60C6" w:rsidRDefault="002A60C6" w:rsidP="002A60C6">
      <w:pPr>
        <w:spacing w:before="240" w:after="240"/>
        <w:rPr>
          <w:rStyle w:val="Strong"/>
          <w:b w:val="0"/>
          <w:bCs w:val="0"/>
        </w:rPr>
      </w:pPr>
      <w:r w:rsidRPr="002A60C6">
        <w:rPr>
          <w:rStyle w:val="Strong"/>
          <w:b w:val="0"/>
          <w:bCs w:val="0"/>
        </w:rPr>
        <w:t>Project C is the most profitable project in the life of the investment</w:t>
      </w:r>
      <w:r w:rsidR="00C32A76">
        <w:rPr>
          <w:rStyle w:val="Strong"/>
          <w:b w:val="0"/>
          <w:bCs w:val="0"/>
        </w:rPr>
        <w:t>,</w:t>
      </w:r>
      <w:r w:rsidRPr="002A60C6">
        <w:rPr>
          <w:rStyle w:val="Strong"/>
          <w:b w:val="0"/>
          <w:bCs w:val="0"/>
        </w:rPr>
        <w:t xml:space="preserve"> with its ARR of 0.50</w:t>
      </w:r>
      <w:r w:rsidR="00C32A76">
        <w:rPr>
          <w:rStyle w:val="Strong"/>
          <w:b w:val="0"/>
          <w:bCs w:val="0"/>
        </w:rPr>
        <w:t>,</w:t>
      </w:r>
      <w:r w:rsidRPr="002A60C6">
        <w:rPr>
          <w:rStyle w:val="Strong"/>
          <w:b w:val="0"/>
          <w:bCs w:val="0"/>
        </w:rPr>
        <w:t xml:space="preserve"> </w:t>
      </w:r>
      <w:r w:rsidR="00C32A76">
        <w:rPr>
          <w:rStyle w:val="Strong"/>
          <w:b w:val="0"/>
          <w:bCs w:val="0"/>
        </w:rPr>
        <w:t>which</w:t>
      </w:r>
      <w:r w:rsidRPr="002A60C6">
        <w:rPr>
          <w:rStyle w:val="Strong"/>
          <w:b w:val="0"/>
          <w:bCs w:val="0"/>
        </w:rPr>
        <w:t xml:space="preserve"> is </w:t>
      </w:r>
      <w:r w:rsidR="00C32A76">
        <w:rPr>
          <w:rStyle w:val="Strong"/>
          <w:b w:val="0"/>
          <w:bCs w:val="0"/>
        </w:rPr>
        <w:t xml:space="preserve">the </w:t>
      </w:r>
      <w:r w:rsidRPr="002A60C6">
        <w:rPr>
          <w:rStyle w:val="Strong"/>
          <w:b w:val="0"/>
          <w:bCs w:val="0"/>
        </w:rPr>
        <w:t>highest compared to the others. The payback period will be slightly higher than Project A</w:t>
      </w:r>
      <w:r w:rsidR="007F25FC">
        <w:rPr>
          <w:rStyle w:val="Strong"/>
          <w:b w:val="0"/>
          <w:bCs w:val="0"/>
        </w:rPr>
        <w:t xml:space="preserve"> </w:t>
      </w:r>
      <w:r w:rsidRPr="002A60C6">
        <w:rPr>
          <w:rStyle w:val="Strong"/>
          <w:b w:val="0"/>
          <w:bCs w:val="0"/>
        </w:rPr>
        <w:t>the greater total payback can make the project attractive to create long-term value.</w:t>
      </w:r>
    </w:p>
    <w:p w14:paraId="1EFBD264" w14:textId="77777777" w:rsidR="002A60C6" w:rsidRPr="002A60C6" w:rsidRDefault="002A60C6" w:rsidP="002A60C6">
      <w:pPr>
        <w:spacing w:before="240" w:after="240"/>
        <w:rPr>
          <w:rStyle w:val="Strong"/>
          <w:b w:val="0"/>
          <w:bCs w:val="0"/>
        </w:rPr>
      </w:pPr>
      <w:r w:rsidRPr="002A60C6">
        <w:rPr>
          <w:rStyle w:val="Strong"/>
          <w:b w:val="0"/>
          <w:bCs w:val="0"/>
        </w:rPr>
        <w:lastRenderedPageBreak/>
        <w:t>As a result of that, taking into consideration the ARR and payback period, it is possible to make the following conclusion:</w:t>
      </w:r>
    </w:p>
    <w:p w14:paraId="3DC2FF33" w14:textId="0C67C549" w:rsidR="002A60C6" w:rsidRPr="002A60C6" w:rsidRDefault="002A60C6" w:rsidP="002A60C6">
      <w:pPr>
        <w:pStyle w:val="ListParagraph"/>
        <w:numPr>
          <w:ilvl w:val="0"/>
          <w:numId w:val="1"/>
        </w:numPr>
        <w:spacing w:before="240" w:after="240"/>
        <w:rPr>
          <w:rStyle w:val="Strong"/>
          <w:b w:val="0"/>
          <w:bCs w:val="0"/>
        </w:rPr>
      </w:pPr>
      <w:r w:rsidRPr="002A60C6">
        <w:rPr>
          <w:rStyle w:val="Strong"/>
          <w:b w:val="0"/>
          <w:bCs w:val="0"/>
        </w:rPr>
        <w:t xml:space="preserve">A is the best project when liquidity and timely conversion of capital an </w:t>
      </w:r>
      <w:proofErr w:type="gramStart"/>
      <w:r w:rsidRPr="002A60C6">
        <w:rPr>
          <w:rStyle w:val="Strong"/>
          <w:b w:val="0"/>
          <w:bCs w:val="0"/>
        </w:rPr>
        <w:t xml:space="preserve">important </w:t>
      </w:r>
      <w:r w:rsidR="00C32A76">
        <w:rPr>
          <w:rStyle w:val="Strong"/>
          <w:b w:val="0"/>
          <w:bCs w:val="0"/>
        </w:rPr>
        <w:t>factors</w:t>
      </w:r>
      <w:proofErr w:type="gramEnd"/>
      <w:r w:rsidRPr="002A60C6">
        <w:rPr>
          <w:rStyle w:val="Strong"/>
          <w:b w:val="0"/>
          <w:bCs w:val="0"/>
        </w:rPr>
        <w:t>.</w:t>
      </w:r>
    </w:p>
    <w:p w14:paraId="7CC51C31" w14:textId="3102F791" w:rsidR="002A60C6" w:rsidRPr="002A60C6" w:rsidRDefault="002A60C6" w:rsidP="002A60C6">
      <w:pPr>
        <w:pStyle w:val="ListParagraph"/>
        <w:numPr>
          <w:ilvl w:val="0"/>
          <w:numId w:val="1"/>
        </w:numPr>
        <w:spacing w:before="240" w:after="240"/>
        <w:rPr>
          <w:rStyle w:val="Strong"/>
          <w:b w:val="0"/>
          <w:bCs w:val="0"/>
        </w:rPr>
      </w:pPr>
      <w:r w:rsidRPr="002A60C6">
        <w:rPr>
          <w:rStyle w:val="Strong"/>
          <w:b w:val="0"/>
          <w:bCs w:val="0"/>
        </w:rPr>
        <w:t xml:space="preserve">Project C is more preferable when </w:t>
      </w:r>
      <w:r w:rsidR="00C32A76">
        <w:rPr>
          <w:rStyle w:val="Strong"/>
          <w:b w:val="0"/>
          <w:bCs w:val="0"/>
        </w:rPr>
        <w:t>long-term</w:t>
      </w:r>
      <w:r w:rsidRPr="002A60C6">
        <w:rPr>
          <w:rStyle w:val="Strong"/>
          <w:b w:val="0"/>
          <w:bCs w:val="0"/>
        </w:rPr>
        <w:t xml:space="preserve"> profitability is targeted.</w:t>
      </w:r>
    </w:p>
    <w:p w14:paraId="4C37A640" w14:textId="1D5DBBDF" w:rsidR="00B14E4A" w:rsidRDefault="002A60C6" w:rsidP="002A60C6">
      <w:pPr>
        <w:pStyle w:val="ListParagraph"/>
        <w:numPr>
          <w:ilvl w:val="0"/>
          <w:numId w:val="1"/>
        </w:numPr>
        <w:spacing w:before="240" w:after="240"/>
      </w:pPr>
      <w:r w:rsidRPr="002A60C6">
        <w:rPr>
          <w:rStyle w:val="Strong"/>
          <w:b w:val="0"/>
          <w:bCs w:val="0"/>
        </w:rPr>
        <w:t xml:space="preserve">The most </w:t>
      </w:r>
      <w:proofErr w:type="spellStart"/>
      <w:r w:rsidRPr="002A60C6">
        <w:rPr>
          <w:rStyle w:val="Strong"/>
          <w:b w:val="0"/>
          <w:bCs w:val="0"/>
        </w:rPr>
        <w:t>unfavourable</w:t>
      </w:r>
      <w:proofErr w:type="spellEnd"/>
      <w:r w:rsidRPr="002A60C6">
        <w:rPr>
          <w:rStyle w:val="Strong"/>
          <w:b w:val="0"/>
          <w:bCs w:val="0"/>
        </w:rPr>
        <w:t xml:space="preserve"> project is project B in terms of liquidity and profitability</w:t>
      </w:r>
      <w:r w:rsidR="008D5E3D">
        <w:t>.</w:t>
      </w:r>
    </w:p>
    <w:p w14:paraId="0DF1BDBE" w14:textId="77777777" w:rsidR="00087739" w:rsidRPr="00B14E4A" w:rsidRDefault="00B14E4A" w:rsidP="00B14E4A">
      <w:pPr>
        <w:pStyle w:val="Heading3"/>
        <w:numPr>
          <w:ilvl w:val="1"/>
          <w:numId w:val="19"/>
        </w:numPr>
      </w:pPr>
      <w:bookmarkStart w:id="55" w:name="_Toc217146083"/>
      <w:r w:rsidRPr="00B14E4A">
        <w:t>Net Present Value</w:t>
      </w:r>
      <w:bookmarkEnd w:id="55"/>
    </w:p>
    <w:p w14:paraId="06ED1EE7" w14:textId="0CCF5222" w:rsidR="007E3114" w:rsidRDefault="007F25FC" w:rsidP="00C07BE7">
      <w:pPr>
        <w:spacing w:before="240" w:after="240"/>
      </w:pPr>
      <w:r>
        <w:t>T</w:t>
      </w:r>
      <w:r w:rsidR="002A60C6" w:rsidRPr="002A60C6">
        <w:t>o fill out the investment appraisal and the previous calculations of payback period and accounting rate of return (ARR), the Net Present Value (NPV) of the projects under the discount rate of 10</w:t>
      </w:r>
      <w:r>
        <w:t>%</w:t>
      </w:r>
      <w:r w:rsidR="002A60C6" w:rsidRPr="002A60C6">
        <w:t>. Contrary to payback and ARR, NPV clearly has an indication of whether a project is a value addition to the firm</w:t>
      </w:r>
      <w:r w:rsidR="00C32A76">
        <w:t>,</w:t>
      </w:r>
      <w:r w:rsidR="002A60C6" w:rsidRPr="002A60C6">
        <w:t xml:space="preserve"> as it takes into account the time value of money.</w:t>
      </w:r>
    </w:p>
    <w:tbl>
      <w:tblPr>
        <w:tblStyle w:val="GridTable1Light"/>
        <w:tblW w:w="0" w:type="auto"/>
        <w:tblInd w:w="1026" w:type="dxa"/>
        <w:tblLook w:val="04A0" w:firstRow="1" w:lastRow="0" w:firstColumn="1" w:lastColumn="0" w:noHBand="0" w:noVBand="1"/>
      </w:tblPr>
      <w:tblGrid>
        <w:gridCol w:w="3105"/>
        <w:gridCol w:w="4185"/>
      </w:tblGrid>
      <w:tr w:rsidR="007E3114" w:rsidRPr="007E3114" w14:paraId="6FF00CFB" w14:textId="77777777" w:rsidTr="007E3114">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105" w:type="dxa"/>
            <w:hideMark/>
          </w:tcPr>
          <w:p w14:paraId="51C74B66" w14:textId="77777777" w:rsidR="007E3114" w:rsidRPr="007E3114" w:rsidRDefault="007E3114" w:rsidP="007E3114">
            <w:pPr>
              <w:jc w:val="center"/>
              <w:rPr>
                <w:rFonts w:ascii="Times New Roman" w:eastAsia="Times New Roman" w:hAnsi="Times New Roman" w:cs="Times New Roman"/>
                <w:lang w:val="en-US"/>
              </w:rPr>
            </w:pPr>
            <w:r w:rsidRPr="007E3114">
              <w:rPr>
                <w:rFonts w:ascii="Times New Roman" w:eastAsia="Times New Roman" w:hAnsi="Times New Roman" w:cs="Times New Roman"/>
                <w:lang w:val="en-US"/>
              </w:rPr>
              <w:t>Project</w:t>
            </w:r>
          </w:p>
        </w:tc>
        <w:tc>
          <w:tcPr>
            <w:tcW w:w="4185" w:type="dxa"/>
            <w:hideMark/>
          </w:tcPr>
          <w:p w14:paraId="65A46CD5" w14:textId="77777777" w:rsidR="007E3114" w:rsidRPr="007E3114" w:rsidRDefault="007E3114" w:rsidP="007E311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NPV (£m)</w:t>
            </w:r>
          </w:p>
        </w:tc>
      </w:tr>
      <w:tr w:rsidR="007E3114" w:rsidRPr="007E3114" w14:paraId="2DC91166" w14:textId="77777777" w:rsidTr="007E3114">
        <w:trPr>
          <w:trHeight w:val="432"/>
        </w:trPr>
        <w:tc>
          <w:tcPr>
            <w:cnfStyle w:val="001000000000" w:firstRow="0" w:lastRow="0" w:firstColumn="1" w:lastColumn="0" w:oddVBand="0" w:evenVBand="0" w:oddHBand="0" w:evenHBand="0" w:firstRowFirstColumn="0" w:firstRowLastColumn="0" w:lastRowFirstColumn="0" w:lastRowLastColumn="0"/>
            <w:tcW w:w="3105" w:type="dxa"/>
            <w:hideMark/>
          </w:tcPr>
          <w:p w14:paraId="672EDEB6" w14:textId="77777777" w:rsidR="007E3114" w:rsidRPr="007E3114" w:rsidRDefault="007E3114" w:rsidP="007E3114">
            <w:pPr>
              <w:jc w:val="center"/>
              <w:rPr>
                <w:rFonts w:ascii="Times New Roman" w:eastAsia="Times New Roman" w:hAnsi="Times New Roman" w:cs="Times New Roman"/>
                <w:b w:val="0"/>
                <w:bCs w:val="0"/>
                <w:lang w:val="en-US"/>
              </w:rPr>
            </w:pPr>
            <w:r w:rsidRPr="007E3114">
              <w:rPr>
                <w:rFonts w:ascii="Times New Roman" w:eastAsia="Times New Roman" w:hAnsi="Times New Roman" w:cs="Times New Roman"/>
                <w:b w:val="0"/>
                <w:bCs w:val="0"/>
                <w:lang w:val="en-US"/>
              </w:rPr>
              <w:t>Project A</w:t>
            </w:r>
          </w:p>
        </w:tc>
        <w:tc>
          <w:tcPr>
            <w:tcW w:w="4185" w:type="dxa"/>
            <w:hideMark/>
          </w:tcPr>
          <w:p w14:paraId="0C22CAC1" w14:textId="77777777" w:rsidR="007E3114" w:rsidRPr="007E3114" w:rsidRDefault="007E3114" w:rsidP="007E311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1.32</w:t>
            </w:r>
          </w:p>
        </w:tc>
      </w:tr>
      <w:tr w:rsidR="007E3114" w:rsidRPr="007E3114" w14:paraId="5FB35655" w14:textId="77777777" w:rsidTr="007E3114">
        <w:trPr>
          <w:trHeight w:val="432"/>
        </w:trPr>
        <w:tc>
          <w:tcPr>
            <w:cnfStyle w:val="001000000000" w:firstRow="0" w:lastRow="0" w:firstColumn="1" w:lastColumn="0" w:oddVBand="0" w:evenVBand="0" w:oddHBand="0" w:evenHBand="0" w:firstRowFirstColumn="0" w:firstRowLastColumn="0" w:lastRowFirstColumn="0" w:lastRowLastColumn="0"/>
            <w:tcW w:w="3105" w:type="dxa"/>
            <w:hideMark/>
          </w:tcPr>
          <w:p w14:paraId="15AD543E" w14:textId="77777777" w:rsidR="007E3114" w:rsidRPr="007E3114" w:rsidRDefault="007E3114" w:rsidP="007E3114">
            <w:pPr>
              <w:jc w:val="center"/>
              <w:rPr>
                <w:rFonts w:ascii="Times New Roman" w:eastAsia="Times New Roman" w:hAnsi="Times New Roman" w:cs="Times New Roman"/>
                <w:lang w:val="en-US"/>
              </w:rPr>
            </w:pPr>
            <w:r w:rsidRPr="007E3114">
              <w:rPr>
                <w:rFonts w:ascii="Times New Roman" w:eastAsia="Times New Roman" w:hAnsi="Times New Roman" w:cs="Times New Roman"/>
                <w:lang w:val="en-US"/>
              </w:rPr>
              <w:t>Project B</w:t>
            </w:r>
          </w:p>
        </w:tc>
        <w:tc>
          <w:tcPr>
            <w:tcW w:w="4185" w:type="dxa"/>
            <w:hideMark/>
          </w:tcPr>
          <w:p w14:paraId="35858E5D" w14:textId="77777777" w:rsidR="007E3114" w:rsidRPr="007E3114" w:rsidRDefault="007E3114" w:rsidP="007E311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-17.26</w:t>
            </w:r>
          </w:p>
        </w:tc>
      </w:tr>
      <w:tr w:rsidR="007E3114" w:rsidRPr="007E3114" w14:paraId="0F4C40A9" w14:textId="77777777" w:rsidTr="007E3114">
        <w:trPr>
          <w:trHeight w:val="432"/>
        </w:trPr>
        <w:tc>
          <w:tcPr>
            <w:cnfStyle w:val="001000000000" w:firstRow="0" w:lastRow="0" w:firstColumn="1" w:lastColumn="0" w:oddVBand="0" w:evenVBand="0" w:oddHBand="0" w:evenHBand="0" w:firstRowFirstColumn="0" w:firstRowLastColumn="0" w:lastRowFirstColumn="0" w:lastRowLastColumn="0"/>
            <w:tcW w:w="3105" w:type="dxa"/>
            <w:hideMark/>
          </w:tcPr>
          <w:p w14:paraId="7E03DED4" w14:textId="77777777" w:rsidR="007E3114" w:rsidRPr="007E3114" w:rsidRDefault="007E3114" w:rsidP="007E3114">
            <w:pPr>
              <w:jc w:val="center"/>
              <w:rPr>
                <w:rFonts w:ascii="Times New Roman" w:eastAsia="Times New Roman" w:hAnsi="Times New Roman" w:cs="Times New Roman"/>
                <w:lang w:val="en-US"/>
              </w:rPr>
            </w:pPr>
            <w:r w:rsidRPr="007E3114">
              <w:rPr>
                <w:rFonts w:ascii="Times New Roman" w:eastAsia="Times New Roman" w:hAnsi="Times New Roman" w:cs="Times New Roman"/>
                <w:lang w:val="en-US"/>
              </w:rPr>
              <w:t>Project C</w:t>
            </w:r>
          </w:p>
        </w:tc>
        <w:tc>
          <w:tcPr>
            <w:tcW w:w="4185" w:type="dxa"/>
            <w:hideMark/>
          </w:tcPr>
          <w:p w14:paraId="7588770E" w14:textId="77777777" w:rsidR="007E3114" w:rsidRPr="007E3114" w:rsidRDefault="007E3114" w:rsidP="007E311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14.23</w:t>
            </w:r>
          </w:p>
        </w:tc>
      </w:tr>
    </w:tbl>
    <w:p w14:paraId="7B594E82" w14:textId="77777777" w:rsidR="00B14E4A" w:rsidRDefault="00B14E4A" w:rsidP="007E3114"/>
    <w:p w14:paraId="6677A634" w14:textId="6F5C273E" w:rsidR="00C07BE7" w:rsidRDefault="00C07BE7" w:rsidP="00C07BE7">
      <w:pPr>
        <w:spacing w:before="240" w:after="240"/>
      </w:pPr>
      <w:r>
        <w:t xml:space="preserve">The outcomes support the trends already defined in the previous appraisal practices. The maximum positive NPV of £14.23 was </w:t>
      </w:r>
      <w:proofErr w:type="spellStart"/>
      <w:r w:rsidR="00C32A76">
        <w:t>realised</w:t>
      </w:r>
      <w:proofErr w:type="spellEnd"/>
      <w:r>
        <w:t xml:space="preserve"> in project C, and this means that this project will add a lot of value following initial investment and cost of capital. This value is in agreement with past studies where Project C had the greatest ARR</w:t>
      </w:r>
      <w:r w:rsidR="00C32A76">
        <w:t>,</w:t>
      </w:r>
      <w:r>
        <w:t xml:space="preserve"> as the main results indicate that</w:t>
      </w:r>
      <w:r w:rsidR="00C32A76">
        <w:t>,</w:t>
      </w:r>
      <w:r>
        <w:t xml:space="preserve"> despite a higher initial investment</w:t>
      </w:r>
      <w:r w:rsidR="00C32A76">
        <w:t>,</w:t>
      </w:r>
      <w:r>
        <w:t xml:space="preserve"> the project is also generating a lot of cash over time and therefore increasing shareholder value tremendously.</w:t>
      </w:r>
    </w:p>
    <w:p w14:paraId="28542104" w14:textId="34F80C50" w:rsidR="00C07BE7" w:rsidRDefault="00C07BE7" w:rsidP="00C07BE7">
      <w:pPr>
        <w:spacing w:before="240" w:after="240"/>
      </w:pPr>
      <w:r>
        <w:t>Project A obtained a small positive NPV of value 1.32</w:t>
      </w:r>
      <w:r w:rsidR="00C32A76">
        <w:t>,</w:t>
      </w:r>
      <w:r>
        <w:t xml:space="preserve"> meaning that the project just goes above the required return on </w:t>
      </w:r>
      <w:r w:rsidR="00C32A76">
        <w:t>the</w:t>
      </w:r>
      <w:r>
        <w:t xml:space="preserve"> firm. Although this would help validate the fact that Project A does not annihilate value, the comparatively low NPV would show that the economic value is somewhat restrictive. This is in line with the previous payback analysis, </w:t>
      </w:r>
      <w:r>
        <w:lastRenderedPageBreak/>
        <w:t>which revealed that Project A was doing well with respect to speed of recovery, but poor with regard to overall profitability as compared to Project C.</w:t>
      </w:r>
    </w:p>
    <w:p w14:paraId="52FF0459" w14:textId="4EA5E7E4" w:rsidR="00C07BE7" w:rsidRDefault="00C07BE7" w:rsidP="00C07BE7">
      <w:pPr>
        <w:spacing w:before="240" w:after="240"/>
      </w:pPr>
      <w:r>
        <w:t>Project B, on the contrary, had a massive negative NPV of -17.26</w:t>
      </w:r>
      <w:r w:rsidR="00C32A76">
        <w:t>,</w:t>
      </w:r>
      <w:r>
        <w:t xml:space="preserve"> which makes it clear that the present value of cash inflows of the future </w:t>
      </w:r>
      <w:r w:rsidR="00C32A76">
        <w:t>does</w:t>
      </w:r>
      <w:r>
        <w:t xml:space="preserve"> not outweigh the initial expenditure. All these demonstrate that Project B does not exceed the investment criteria of the firm and is to be rejected.</w:t>
      </w:r>
    </w:p>
    <w:p w14:paraId="2E870E0D" w14:textId="77777777" w:rsidR="00B14E4A" w:rsidRDefault="00B14E4A" w:rsidP="00B14E4A">
      <w:pPr>
        <w:pStyle w:val="Heading3"/>
      </w:pPr>
      <w:bookmarkStart w:id="56" w:name="_Toc217146084"/>
      <w:r>
        <w:t>5.4 Profitability Index</w:t>
      </w:r>
      <w:bookmarkEnd w:id="56"/>
    </w:p>
    <w:p w14:paraId="0E32D00F" w14:textId="77777777" w:rsidR="00B14E4A" w:rsidRDefault="00B14E4A" w:rsidP="00B14E4A"/>
    <w:p w14:paraId="4E647FED" w14:textId="77777777" w:rsidR="00B14E4A" w:rsidRDefault="00B14E4A" w:rsidP="00B14E4A">
      <w:pPr>
        <w:jc w:val="center"/>
      </w:pPr>
      <w:r>
        <w:t xml:space="preserve">Table </w:t>
      </w:r>
      <w:r w:rsidR="00E4354C">
        <w:fldChar w:fldCharType="begin"/>
      </w:r>
      <w:r w:rsidR="00E4354C">
        <w:instrText xml:space="preserve"> SEQ Table \* ARABIC </w:instrText>
      </w:r>
      <w:r w:rsidR="00E4354C">
        <w:fldChar w:fldCharType="separate"/>
      </w:r>
      <w:r>
        <w:rPr>
          <w:noProof/>
        </w:rPr>
        <w:t>14</w:t>
      </w:r>
      <w:r w:rsidR="00E4354C">
        <w:rPr>
          <w:noProof/>
        </w:rPr>
        <w:fldChar w:fldCharType="end"/>
      </w:r>
      <w:r>
        <w:t>: Profitability Index</w:t>
      </w:r>
    </w:p>
    <w:tbl>
      <w:tblPr>
        <w:tblStyle w:val="GridTable1Light"/>
        <w:tblpPr w:leftFromText="180" w:rightFromText="180" w:vertAnchor="text" w:horzAnchor="margin" w:tblpXSpec="center" w:tblpY="36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96"/>
        <w:gridCol w:w="2443"/>
        <w:gridCol w:w="1223"/>
        <w:gridCol w:w="636"/>
      </w:tblGrid>
      <w:tr w:rsidR="007E3114" w:rsidRPr="007E3114" w14:paraId="1C63FE58" w14:textId="77777777" w:rsidTr="00C923C9">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hideMark/>
          </w:tcPr>
          <w:p w14:paraId="008C94F2" w14:textId="77777777" w:rsidR="007E3114" w:rsidRPr="007E3114" w:rsidRDefault="007E3114" w:rsidP="00C923C9">
            <w:pPr>
              <w:jc w:val="center"/>
              <w:rPr>
                <w:rFonts w:ascii="Times New Roman" w:eastAsia="Times New Roman" w:hAnsi="Times New Roman" w:cs="Times New Roman"/>
                <w:lang w:val="en-US"/>
              </w:rPr>
            </w:pPr>
            <w:r w:rsidRPr="007E3114">
              <w:rPr>
                <w:rFonts w:ascii="Times New Roman" w:eastAsia="Times New Roman" w:hAnsi="Times New Roman" w:cs="Times New Roman"/>
                <w:lang w:val="en-US"/>
              </w:rPr>
              <w:t>Project</w:t>
            </w:r>
          </w:p>
        </w:tc>
        <w:tc>
          <w:tcPr>
            <w:tcW w:w="0" w:type="auto"/>
            <w:tcBorders>
              <w:bottom w:val="none" w:sz="0" w:space="0" w:color="auto"/>
            </w:tcBorders>
            <w:hideMark/>
          </w:tcPr>
          <w:p w14:paraId="2C3AC655" w14:textId="77777777" w:rsidR="007E3114" w:rsidRPr="007E3114" w:rsidRDefault="007E3114" w:rsidP="00C923C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val="en-US"/>
              </w:rPr>
            </w:pPr>
            <w:r w:rsidRPr="007E3114">
              <w:rPr>
                <w:rFonts w:ascii="Times New Roman" w:eastAsia="Times New Roman" w:hAnsi="Times New Roman" w:cs="Times New Roman"/>
                <w:b w:val="0"/>
                <w:bCs w:val="0"/>
                <w:lang w:val="en-US"/>
              </w:rPr>
              <w:t>Initial Investment (£m)</w:t>
            </w:r>
          </w:p>
        </w:tc>
        <w:tc>
          <w:tcPr>
            <w:tcW w:w="0" w:type="auto"/>
            <w:tcBorders>
              <w:bottom w:val="none" w:sz="0" w:space="0" w:color="auto"/>
            </w:tcBorders>
            <w:hideMark/>
          </w:tcPr>
          <w:p w14:paraId="65D76A1E" w14:textId="77777777" w:rsidR="007E3114" w:rsidRPr="007E3114" w:rsidRDefault="007E3114" w:rsidP="00C923C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val="en-US"/>
              </w:rPr>
            </w:pPr>
            <w:r w:rsidRPr="007E3114">
              <w:rPr>
                <w:rFonts w:ascii="Times New Roman" w:eastAsia="Times New Roman" w:hAnsi="Times New Roman" w:cs="Times New Roman"/>
                <w:b w:val="0"/>
                <w:bCs w:val="0"/>
                <w:lang w:val="en-US"/>
              </w:rPr>
              <w:t>NPV (£m)</w:t>
            </w:r>
          </w:p>
        </w:tc>
        <w:tc>
          <w:tcPr>
            <w:tcW w:w="0" w:type="auto"/>
            <w:tcBorders>
              <w:bottom w:val="none" w:sz="0" w:space="0" w:color="auto"/>
            </w:tcBorders>
            <w:hideMark/>
          </w:tcPr>
          <w:p w14:paraId="140EF1EE" w14:textId="77777777" w:rsidR="007E3114" w:rsidRPr="007E3114" w:rsidRDefault="007E3114" w:rsidP="00C923C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val="en-US"/>
              </w:rPr>
            </w:pPr>
            <w:r w:rsidRPr="007E3114">
              <w:rPr>
                <w:rFonts w:ascii="Times New Roman" w:eastAsia="Times New Roman" w:hAnsi="Times New Roman" w:cs="Times New Roman"/>
                <w:b w:val="0"/>
                <w:bCs w:val="0"/>
                <w:lang w:val="en-US"/>
              </w:rPr>
              <w:t>PI</w:t>
            </w:r>
          </w:p>
        </w:tc>
      </w:tr>
      <w:tr w:rsidR="007E3114" w:rsidRPr="007E3114" w14:paraId="64FD45D4" w14:textId="77777777" w:rsidTr="00C923C9">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4321495D" w14:textId="77777777" w:rsidR="007E3114" w:rsidRPr="007E3114" w:rsidRDefault="007E3114" w:rsidP="00C923C9">
            <w:pPr>
              <w:jc w:val="center"/>
              <w:rPr>
                <w:rFonts w:ascii="Times New Roman" w:eastAsia="Times New Roman" w:hAnsi="Times New Roman" w:cs="Times New Roman"/>
                <w:b w:val="0"/>
                <w:bCs w:val="0"/>
                <w:lang w:val="en-US"/>
              </w:rPr>
            </w:pPr>
            <w:r w:rsidRPr="007E3114">
              <w:rPr>
                <w:rFonts w:ascii="Times New Roman" w:eastAsia="Times New Roman" w:hAnsi="Times New Roman" w:cs="Times New Roman"/>
                <w:b w:val="0"/>
                <w:bCs w:val="0"/>
                <w:lang w:val="en-US"/>
              </w:rPr>
              <w:t>Project A</w:t>
            </w:r>
          </w:p>
        </w:tc>
        <w:tc>
          <w:tcPr>
            <w:tcW w:w="0" w:type="auto"/>
            <w:hideMark/>
          </w:tcPr>
          <w:p w14:paraId="6F0854FE" w14:textId="77777777" w:rsidR="007E3114" w:rsidRPr="007E3114" w:rsidRDefault="007E3114" w:rsidP="00C923C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40</w:t>
            </w:r>
          </w:p>
        </w:tc>
        <w:tc>
          <w:tcPr>
            <w:tcW w:w="0" w:type="auto"/>
            <w:hideMark/>
          </w:tcPr>
          <w:p w14:paraId="2DB176CE" w14:textId="77777777" w:rsidR="007E3114" w:rsidRPr="007E3114" w:rsidRDefault="007E3114" w:rsidP="00C923C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1.32</w:t>
            </w:r>
          </w:p>
        </w:tc>
        <w:tc>
          <w:tcPr>
            <w:tcW w:w="0" w:type="auto"/>
            <w:hideMark/>
          </w:tcPr>
          <w:p w14:paraId="0C279149" w14:textId="77777777" w:rsidR="007E3114" w:rsidRPr="007E3114" w:rsidRDefault="007E3114" w:rsidP="00C923C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1.03</w:t>
            </w:r>
          </w:p>
        </w:tc>
      </w:tr>
      <w:tr w:rsidR="007E3114" w:rsidRPr="007E3114" w14:paraId="0C284406" w14:textId="77777777" w:rsidTr="00C923C9">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636CCB94" w14:textId="77777777" w:rsidR="007E3114" w:rsidRPr="007E3114" w:rsidRDefault="007E3114" w:rsidP="00C923C9">
            <w:pPr>
              <w:jc w:val="center"/>
              <w:rPr>
                <w:rFonts w:ascii="Times New Roman" w:eastAsia="Times New Roman" w:hAnsi="Times New Roman" w:cs="Times New Roman"/>
                <w:lang w:val="en-US"/>
              </w:rPr>
            </w:pPr>
            <w:r w:rsidRPr="007E3114">
              <w:rPr>
                <w:rFonts w:ascii="Times New Roman" w:eastAsia="Times New Roman" w:hAnsi="Times New Roman" w:cs="Times New Roman"/>
                <w:lang w:val="en-US"/>
              </w:rPr>
              <w:t>Project B</w:t>
            </w:r>
          </w:p>
        </w:tc>
        <w:tc>
          <w:tcPr>
            <w:tcW w:w="0" w:type="auto"/>
            <w:hideMark/>
          </w:tcPr>
          <w:p w14:paraId="5FCAC661" w14:textId="77777777" w:rsidR="007E3114" w:rsidRPr="007E3114" w:rsidRDefault="007E3114" w:rsidP="00C923C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30</w:t>
            </w:r>
          </w:p>
        </w:tc>
        <w:tc>
          <w:tcPr>
            <w:tcW w:w="0" w:type="auto"/>
            <w:hideMark/>
          </w:tcPr>
          <w:p w14:paraId="01295A5F" w14:textId="77777777" w:rsidR="007E3114" w:rsidRPr="007E3114" w:rsidRDefault="007E3114" w:rsidP="00C923C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-17.26</w:t>
            </w:r>
          </w:p>
        </w:tc>
        <w:tc>
          <w:tcPr>
            <w:tcW w:w="0" w:type="auto"/>
            <w:hideMark/>
          </w:tcPr>
          <w:p w14:paraId="2A7CADE7" w14:textId="77777777" w:rsidR="007E3114" w:rsidRPr="007E3114" w:rsidRDefault="007E3114" w:rsidP="00C923C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0.42</w:t>
            </w:r>
          </w:p>
        </w:tc>
      </w:tr>
      <w:tr w:rsidR="007E3114" w:rsidRPr="007E3114" w14:paraId="6ACE645B" w14:textId="77777777" w:rsidTr="00C923C9">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FC655A2" w14:textId="77777777" w:rsidR="007E3114" w:rsidRPr="007E3114" w:rsidRDefault="007E3114" w:rsidP="00C923C9">
            <w:pPr>
              <w:jc w:val="center"/>
              <w:rPr>
                <w:rFonts w:ascii="Times New Roman" w:eastAsia="Times New Roman" w:hAnsi="Times New Roman" w:cs="Times New Roman"/>
                <w:lang w:val="en-US"/>
              </w:rPr>
            </w:pPr>
            <w:r w:rsidRPr="007E3114">
              <w:rPr>
                <w:rFonts w:ascii="Times New Roman" w:eastAsia="Times New Roman" w:hAnsi="Times New Roman" w:cs="Times New Roman"/>
                <w:lang w:val="en-US"/>
              </w:rPr>
              <w:t>Project C</w:t>
            </w:r>
          </w:p>
        </w:tc>
        <w:tc>
          <w:tcPr>
            <w:tcW w:w="0" w:type="auto"/>
            <w:hideMark/>
          </w:tcPr>
          <w:p w14:paraId="76D019ED" w14:textId="77777777" w:rsidR="007E3114" w:rsidRPr="007E3114" w:rsidRDefault="007E3114" w:rsidP="00C923C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50</w:t>
            </w:r>
          </w:p>
        </w:tc>
        <w:tc>
          <w:tcPr>
            <w:tcW w:w="0" w:type="auto"/>
            <w:hideMark/>
          </w:tcPr>
          <w:p w14:paraId="287F9B40" w14:textId="77777777" w:rsidR="007E3114" w:rsidRPr="007E3114" w:rsidRDefault="007E3114" w:rsidP="00C923C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14.23</w:t>
            </w:r>
          </w:p>
        </w:tc>
        <w:tc>
          <w:tcPr>
            <w:tcW w:w="0" w:type="auto"/>
            <w:hideMark/>
          </w:tcPr>
          <w:p w14:paraId="4273AD5B" w14:textId="77777777" w:rsidR="007E3114" w:rsidRPr="007E3114" w:rsidRDefault="007E3114" w:rsidP="00C923C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n-US"/>
              </w:rPr>
            </w:pPr>
            <w:r w:rsidRPr="007E3114">
              <w:rPr>
                <w:rFonts w:ascii="Times New Roman" w:eastAsia="Times New Roman" w:hAnsi="Times New Roman" w:cs="Times New Roman"/>
                <w:lang w:val="en-US"/>
              </w:rPr>
              <w:t>1.28</w:t>
            </w:r>
          </w:p>
        </w:tc>
      </w:tr>
    </w:tbl>
    <w:p w14:paraId="0AECF145" w14:textId="77777777" w:rsidR="007E3114" w:rsidRDefault="007E3114">
      <w:pPr>
        <w:rPr>
          <w:b/>
          <w:bCs/>
        </w:rPr>
      </w:pPr>
    </w:p>
    <w:p w14:paraId="3EF0A16F" w14:textId="77777777" w:rsidR="00350170" w:rsidRDefault="00350170"/>
    <w:p w14:paraId="306DF019" w14:textId="77777777" w:rsidR="00087739" w:rsidRDefault="00087739">
      <w:pPr>
        <w:rPr>
          <w:b/>
          <w:bCs/>
        </w:rPr>
      </w:pPr>
    </w:p>
    <w:p w14:paraId="04A0C195" w14:textId="77777777" w:rsidR="00087739" w:rsidRDefault="00087739"/>
    <w:p w14:paraId="262F2415" w14:textId="77777777" w:rsidR="007E3114" w:rsidRDefault="007E3114" w:rsidP="009B259B">
      <w:pPr>
        <w:pStyle w:val="Heading1"/>
      </w:pPr>
    </w:p>
    <w:p w14:paraId="798800E2" w14:textId="77777777" w:rsidR="00B14E4A" w:rsidRDefault="00B14E4A" w:rsidP="00C923C9"/>
    <w:p w14:paraId="6C25B4FB" w14:textId="77777777" w:rsidR="00C07BE7" w:rsidRDefault="00C07BE7" w:rsidP="00C07BE7">
      <w:pPr>
        <w:spacing w:before="240" w:after="240"/>
      </w:pPr>
      <w:r>
        <w:t>The findings of the Profitability Index are quite interesting as the analysis provides the conclusions with the NPV, ARR, and payback period, which reinforce the general investment decision.</w:t>
      </w:r>
    </w:p>
    <w:p w14:paraId="065D1D6A" w14:textId="0BEC708A" w:rsidR="00C07BE7" w:rsidRDefault="00C07BE7" w:rsidP="00C07BE7">
      <w:pPr>
        <w:spacing w:before="240" w:after="240"/>
      </w:pPr>
      <w:r>
        <w:t>The maximum PI of project C is 1.28</w:t>
      </w:r>
      <w:r w:rsidR="00C32A76">
        <w:t>,</w:t>
      </w:r>
      <w:r>
        <w:t xml:space="preserve"> as it implies that project C would bring about a pound of revenue at the present value rate of 1.28 per pound invested in it. This validates Project C as the best choice of value creation, and is aligned with its high NPV and maximum ARR, which strengthens its appeal considering shareholder value creation.</w:t>
      </w:r>
    </w:p>
    <w:p w14:paraId="1411F165" w14:textId="404C31E5" w:rsidR="00C07BE7" w:rsidRDefault="00C07BE7" w:rsidP="00C07BE7">
      <w:pPr>
        <w:spacing w:before="240" w:after="240"/>
      </w:pPr>
      <w:r>
        <w:t>In project A</w:t>
      </w:r>
      <w:r w:rsidR="00C32A76">
        <w:t>,</w:t>
      </w:r>
      <w:r>
        <w:t xml:space="preserve"> the PI is equal to 1.03</w:t>
      </w:r>
      <w:r w:rsidR="00C32A76">
        <w:t>,</w:t>
      </w:r>
      <w:r>
        <w:t xml:space="preserve"> which is barely greater than 1. This implies that the project is not bad and it actually generates value, but at a rather low level. This is in line with the previous findings</w:t>
      </w:r>
      <w:r w:rsidR="00C32A76">
        <w:t>,</w:t>
      </w:r>
      <w:r>
        <w:t xml:space="preserve"> where </w:t>
      </w:r>
      <w:r w:rsidR="00C32A76">
        <w:t>Project</w:t>
      </w:r>
      <w:r>
        <w:t xml:space="preserve"> A had been doing well in payback terms but was not providing high value in </w:t>
      </w:r>
      <w:r w:rsidR="00C32A76">
        <w:t>long-term</w:t>
      </w:r>
      <w:r>
        <w:t xml:space="preserve"> terms compared to Project C.</w:t>
      </w:r>
    </w:p>
    <w:p w14:paraId="2BC0076B" w14:textId="092D757B" w:rsidR="007E3114" w:rsidRDefault="00C07BE7" w:rsidP="00C07BE7">
      <w:pPr>
        <w:spacing w:before="240" w:after="240"/>
      </w:pPr>
      <w:r>
        <w:lastRenderedPageBreak/>
        <w:t>Project B</w:t>
      </w:r>
      <w:r w:rsidR="005F53C1">
        <w:t xml:space="preserve"> </w:t>
      </w:r>
      <w:r>
        <w:t xml:space="preserve">has </w:t>
      </w:r>
      <w:r w:rsidR="00C32A76">
        <w:t xml:space="preserve">a </w:t>
      </w:r>
      <w:r>
        <w:t>PI of 0.42</w:t>
      </w:r>
      <w:r w:rsidR="00C32A76">
        <w:t>,</w:t>
      </w:r>
      <w:r>
        <w:t xml:space="preserve"> which is far less than the acceptance threshold of 1. This is </w:t>
      </w:r>
      <w:r w:rsidR="00C32A76">
        <w:t>a</w:t>
      </w:r>
      <w:r>
        <w:t xml:space="preserve"> clear indication of the value destruction, since the inflows of the present value cannot compensate </w:t>
      </w:r>
      <w:r w:rsidR="00C32A76">
        <w:t>for</w:t>
      </w:r>
      <w:r>
        <w:t xml:space="preserve"> the initial investment. This outcome is quite in line with its negative NPV and zero </w:t>
      </w:r>
      <w:r w:rsidR="00C32A76">
        <w:t>ARR.</w:t>
      </w:r>
      <w:r>
        <w:t xml:space="preserve"> </w:t>
      </w:r>
      <w:r w:rsidR="00C32A76">
        <w:t>With</w:t>
      </w:r>
      <w:r>
        <w:t xml:space="preserve"> the outcome being poor performance in payback, it is clear that Project B is to be rejected</w:t>
      </w:r>
      <w:r w:rsidR="00C923C9">
        <w:t>.</w:t>
      </w:r>
    </w:p>
    <w:p w14:paraId="00E95A28" w14:textId="77777777" w:rsidR="00C923C9" w:rsidRDefault="00B14E4A" w:rsidP="00B14E4A">
      <w:pPr>
        <w:pStyle w:val="Heading3"/>
      </w:pPr>
      <w:bookmarkStart w:id="57" w:name="_Toc217146085"/>
      <w:r>
        <w:t xml:space="preserve">5.5 </w:t>
      </w:r>
      <w:r w:rsidR="00C923C9">
        <w:t>Internal Rate of Return (IRR) Analysis</w:t>
      </w:r>
      <w:bookmarkEnd w:id="57"/>
    </w:p>
    <w:p w14:paraId="5E1B194F" w14:textId="6C9B4A4E" w:rsidR="007E3114" w:rsidRDefault="00C32A76" w:rsidP="00C32A76">
      <w:pPr>
        <w:spacing w:before="240" w:after="240"/>
      </w:pPr>
      <w:r w:rsidRPr="00C32A76">
        <w:t>The Internal Rate of Return (IRR) has been determined and used to determine the discount rate at which the net present value of every project would become zero. The major advantage of IRR is that it can be clearly compared to the required rate of return in the firm (10%): it supplements the previous methods of appraisal</w:t>
      </w:r>
      <w:r>
        <w:t>,</w:t>
      </w:r>
      <w:r w:rsidRPr="00C32A76">
        <w:t xml:space="preserve"> which are based on the absolute level, but on the percentage </w:t>
      </w:r>
      <w:r w:rsidR="00E54270">
        <w:t>level</w:t>
      </w:r>
      <w:r w:rsidRPr="00C32A76">
        <w:t>.</w:t>
      </w:r>
    </w:p>
    <w:tbl>
      <w:tblPr>
        <w:tblStyle w:val="GridTable1Light"/>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70"/>
        <w:gridCol w:w="2853"/>
      </w:tblGrid>
      <w:tr w:rsidR="00C923C9" w:rsidRPr="00C923C9" w14:paraId="38B3E612" w14:textId="77777777" w:rsidTr="00C923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vAlign w:val="center"/>
            <w:hideMark/>
          </w:tcPr>
          <w:p w14:paraId="50A6D6BC" w14:textId="77777777" w:rsidR="00C923C9" w:rsidRPr="00C923C9" w:rsidRDefault="00C923C9" w:rsidP="00C923C9">
            <w:pPr>
              <w:jc w:val="center"/>
              <w:rPr>
                <w:lang w:val="en-US"/>
              </w:rPr>
            </w:pPr>
            <w:r w:rsidRPr="00C923C9">
              <w:rPr>
                <w:lang w:val="en-US"/>
              </w:rPr>
              <w:t>Project</w:t>
            </w:r>
          </w:p>
        </w:tc>
        <w:tc>
          <w:tcPr>
            <w:tcW w:w="2853" w:type="dxa"/>
            <w:tcBorders>
              <w:bottom w:val="none" w:sz="0" w:space="0" w:color="auto"/>
            </w:tcBorders>
            <w:vAlign w:val="center"/>
            <w:hideMark/>
          </w:tcPr>
          <w:p w14:paraId="2B88C32A" w14:textId="77777777" w:rsidR="00C923C9" w:rsidRPr="00C923C9" w:rsidRDefault="00C923C9" w:rsidP="00C923C9">
            <w:pPr>
              <w:jc w:val="center"/>
              <w:cnfStyle w:val="100000000000" w:firstRow="1" w:lastRow="0" w:firstColumn="0" w:lastColumn="0" w:oddVBand="0" w:evenVBand="0" w:oddHBand="0" w:evenHBand="0" w:firstRowFirstColumn="0" w:firstRowLastColumn="0" w:lastRowFirstColumn="0" w:lastRowLastColumn="0"/>
              <w:rPr>
                <w:b w:val="0"/>
                <w:bCs w:val="0"/>
                <w:lang w:val="en-US"/>
              </w:rPr>
            </w:pPr>
            <w:r w:rsidRPr="00C923C9">
              <w:rPr>
                <w:b w:val="0"/>
                <w:bCs w:val="0"/>
                <w:lang w:val="en-US"/>
              </w:rPr>
              <w:t>IRR</w:t>
            </w:r>
          </w:p>
        </w:tc>
      </w:tr>
      <w:tr w:rsidR="00C923C9" w:rsidRPr="00C923C9" w14:paraId="399B947A" w14:textId="77777777" w:rsidTr="00C923C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8E02C6" w14:textId="77777777" w:rsidR="00C923C9" w:rsidRPr="00C923C9" w:rsidRDefault="00C923C9" w:rsidP="00C923C9">
            <w:pPr>
              <w:jc w:val="center"/>
              <w:rPr>
                <w:b w:val="0"/>
                <w:bCs w:val="0"/>
                <w:lang w:val="en-US"/>
              </w:rPr>
            </w:pPr>
            <w:r w:rsidRPr="00C923C9">
              <w:rPr>
                <w:b w:val="0"/>
                <w:bCs w:val="0"/>
                <w:lang w:val="en-US"/>
              </w:rPr>
              <w:t>Project A</w:t>
            </w:r>
          </w:p>
        </w:tc>
        <w:tc>
          <w:tcPr>
            <w:tcW w:w="2853" w:type="dxa"/>
            <w:vAlign w:val="center"/>
            <w:hideMark/>
          </w:tcPr>
          <w:p w14:paraId="2B0D55A6" w14:textId="77777777" w:rsidR="00C923C9" w:rsidRPr="00C923C9" w:rsidRDefault="00C923C9" w:rsidP="00C923C9">
            <w:pPr>
              <w:jc w:val="center"/>
              <w:cnfStyle w:val="000000000000" w:firstRow="0" w:lastRow="0" w:firstColumn="0" w:lastColumn="0" w:oddVBand="0" w:evenVBand="0" w:oddHBand="0" w:evenHBand="0" w:firstRowFirstColumn="0" w:firstRowLastColumn="0" w:lastRowFirstColumn="0" w:lastRowLastColumn="0"/>
              <w:rPr>
                <w:lang w:val="en-US"/>
              </w:rPr>
            </w:pPr>
            <w:r w:rsidRPr="00C923C9">
              <w:rPr>
                <w:lang w:val="en-US"/>
              </w:rPr>
              <w:t>≈ 11.3%</w:t>
            </w:r>
          </w:p>
        </w:tc>
      </w:tr>
      <w:tr w:rsidR="00C923C9" w:rsidRPr="00C923C9" w14:paraId="7D634946" w14:textId="77777777" w:rsidTr="00C923C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9BD7A0" w14:textId="77777777" w:rsidR="00C923C9" w:rsidRPr="00C923C9" w:rsidRDefault="00C923C9" w:rsidP="00C923C9">
            <w:pPr>
              <w:jc w:val="center"/>
              <w:rPr>
                <w:lang w:val="en-US"/>
              </w:rPr>
            </w:pPr>
            <w:r w:rsidRPr="00C923C9">
              <w:rPr>
                <w:lang w:val="en-US"/>
              </w:rPr>
              <w:t>Project B</w:t>
            </w:r>
          </w:p>
        </w:tc>
        <w:tc>
          <w:tcPr>
            <w:tcW w:w="2853" w:type="dxa"/>
            <w:vAlign w:val="center"/>
            <w:hideMark/>
          </w:tcPr>
          <w:p w14:paraId="15ABDDA9" w14:textId="77777777" w:rsidR="00C923C9" w:rsidRPr="00C923C9" w:rsidRDefault="00C923C9" w:rsidP="00C923C9">
            <w:pPr>
              <w:jc w:val="center"/>
              <w:cnfStyle w:val="000000000000" w:firstRow="0" w:lastRow="0" w:firstColumn="0" w:lastColumn="0" w:oddVBand="0" w:evenVBand="0" w:oddHBand="0" w:evenHBand="0" w:firstRowFirstColumn="0" w:firstRowLastColumn="0" w:lastRowFirstColumn="0" w:lastRowLastColumn="0"/>
              <w:rPr>
                <w:lang w:val="en-US"/>
              </w:rPr>
            </w:pPr>
            <w:r w:rsidRPr="00C923C9">
              <w:rPr>
                <w:lang w:val="en-US"/>
              </w:rPr>
              <w:t>0%</w:t>
            </w:r>
          </w:p>
        </w:tc>
      </w:tr>
      <w:tr w:rsidR="00C923C9" w:rsidRPr="00C923C9" w14:paraId="061B30DB" w14:textId="77777777" w:rsidTr="00C923C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FEFB10" w14:textId="77777777" w:rsidR="00C923C9" w:rsidRPr="00C923C9" w:rsidRDefault="00C923C9" w:rsidP="00C923C9">
            <w:pPr>
              <w:jc w:val="center"/>
              <w:rPr>
                <w:lang w:val="en-US"/>
              </w:rPr>
            </w:pPr>
            <w:r w:rsidRPr="00C923C9">
              <w:rPr>
                <w:lang w:val="en-US"/>
              </w:rPr>
              <w:t>Project C</w:t>
            </w:r>
          </w:p>
        </w:tc>
        <w:tc>
          <w:tcPr>
            <w:tcW w:w="2853" w:type="dxa"/>
            <w:vAlign w:val="center"/>
            <w:hideMark/>
          </w:tcPr>
          <w:p w14:paraId="24F27FBD" w14:textId="77777777" w:rsidR="00C923C9" w:rsidRPr="00C923C9" w:rsidRDefault="00C923C9" w:rsidP="00C923C9">
            <w:pPr>
              <w:jc w:val="center"/>
              <w:cnfStyle w:val="000000000000" w:firstRow="0" w:lastRow="0" w:firstColumn="0" w:lastColumn="0" w:oddVBand="0" w:evenVBand="0" w:oddHBand="0" w:evenHBand="0" w:firstRowFirstColumn="0" w:firstRowLastColumn="0" w:lastRowFirstColumn="0" w:lastRowLastColumn="0"/>
              <w:rPr>
                <w:lang w:val="en-US"/>
              </w:rPr>
            </w:pPr>
            <w:r w:rsidRPr="00C923C9">
              <w:rPr>
                <w:lang w:val="en-US"/>
              </w:rPr>
              <w:t>≈ 12.9%</w:t>
            </w:r>
          </w:p>
        </w:tc>
      </w:tr>
    </w:tbl>
    <w:p w14:paraId="5C2E0811" w14:textId="77777777" w:rsidR="00C923C9" w:rsidRDefault="00C923C9" w:rsidP="00C923C9"/>
    <w:bookmarkEnd w:id="3"/>
    <w:bookmarkEnd w:id="4"/>
    <w:p w14:paraId="0FF171E7" w14:textId="7FA63FB3" w:rsidR="00C32A76" w:rsidRPr="00C32A76" w:rsidRDefault="00C32A76" w:rsidP="00C32A76">
      <w:pPr>
        <w:spacing w:before="240" w:after="240"/>
        <w:rPr>
          <w:rStyle w:val="Strong"/>
          <w:b w:val="0"/>
          <w:bCs w:val="0"/>
        </w:rPr>
      </w:pPr>
      <w:r w:rsidRPr="00C32A76">
        <w:rPr>
          <w:rStyle w:val="Strong"/>
          <w:b w:val="0"/>
          <w:bCs w:val="0"/>
        </w:rPr>
        <w:t>Project C returns the largest IRR of about 12.9</w:t>
      </w:r>
      <w:r>
        <w:rPr>
          <w:rStyle w:val="Strong"/>
          <w:b w:val="0"/>
          <w:bCs w:val="0"/>
        </w:rPr>
        <w:t>,</w:t>
      </w:r>
      <w:r w:rsidRPr="00C32A76">
        <w:rPr>
          <w:rStyle w:val="Strong"/>
          <w:b w:val="0"/>
          <w:bCs w:val="0"/>
        </w:rPr>
        <w:t xml:space="preserve"> </w:t>
      </w:r>
      <w:r>
        <w:rPr>
          <w:rStyle w:val="Strong"/>
          <w:b w:val="0"/>
          <w:bCs w:val="0"/>
        </w:rPr>
        <w:t>which</w:t>
      </w:r>
      <w:r w:rsidRPr="00C32A76">
        <w:rPr>
          <w:rStyle w:val="Strong"/>
          <w:b w:val="0"/>
          <w:bCs w:val="0"/>
        </w:rPr>
        <w:t xml:space="preserve"> is safely above the cost of capital of the firm of 10</w:t>
      </w:r>
      <w:r w:rsidR="005F53C1">
        <w:rPr>
          <w:rStyle w:val="Strong"/>
          <w:b w:val="0"/>
          <w:bCs w:val="0"/>
        </w:rPr>
        <w:t>%</w:t>
      </w:r>
      <w:r w:rsidRPr="00C32A76">
        <w:rPr>
          <w:rStyle w:val="Strong"/>
          <w:b w:val="0"/>
          <w:bCs w:val="0"/>
        </w:rPr>
        <w:t>. This affirms that Project C is not only the project producing the largest absolute value (respectively indicated by the highest NPV and PI) but is also the one that produces the best percentage payoff. This also supports previous findings by ARR and NPV stating that Project C is the most appealing investment in the long term</w:t>
      </w:r>
      <w:r>
        <w:rPr>
          <w:rStyle w:val="Strong"/>
          <w:b w:val="0"/>
          <w:bCs w:val="0"/>
        </w:rPr>
        <w:t>,</w:t>
      </w:r>
      <w:r w:rsidRPr="00C32A76">
        <w:rPr>
          <w:rStyle w:val="Strong"/>
          <w:b w:val="0"/>
          <w:bCs w:val="0"/>
        </w:rPr>
        <w:t xml:space="preserve"> regardless of its high initial investment.</w:t>
      </w:r>
    </w:p>
    <w:p w14:paraId="174DEEFA" w14:textId="40866925" w:rsidR="00C32A76" w:rsidRPr="00C32A76" w:rsidRDefault="00C32A76" w:rsidP="00C32A76">
      <w:pPr>
        <w:spacing w:before="240" w:after="240"/>
        <w:rPr>
          <w:rStyle w:val="Strong"/>
          <w:b w:val="0"/>
          <w:bCs w:val="0"/>
        </w:rPr>
      </w:pPr>
      <w:r w:rsidRPr="00C32A76">
        <w:rPr>
          <w:rStyle w:val="Strong"/>
          <w:b w:val="0"/>
          <w:bCs w:val="0"/>
        </w:rPr>
        <w:t xml:space="preserve">Project A has </w:t>
      </w:r>
      <w:r>
        <w:rPr>
          <w:rStyle w:val="Strong"/>
          <w:b w:val="0"/>
          <w:bCs w:val="0"/>
        </w:rPr>
        <w:t>an</w:t>
      </w:r>
      <w:r w:rsidRPr="00C32A76">
        <w:rPr>
          <w:rStyle w:val="Strong"/>
          <w:b w:val="0"/>
          <w:bCs w:val="0"/>
        </w:rPr>
        <w:t xml:space="preserve"> IRR of 11.3</w:t>
      </w:r>
      <w:r>
        <w:rPr>
          <w:rStyle w:val="Strong"/>
          <w:b w:val="0"/>
          <w:bCs w:val="0"/>
        </w:rPr>
        <w:t>,</w:t>
      </w:r>
      <w:r w:rsidRPr="00C32A76">
        <w:rPr>
          <w:rStyle w:val="Strong"/>
          <w:b w:val="0"/>
          <w:bCs w:val="0"/>
        </w:rPr>
        <w:t xml:space="preserve"> which is only slightly over the required rate of return. This implies that the project can be said to be financially acceptable</w:t>
      </w:r>
      <w:r>
        <w:rPr>
          <w:rStyle w:val="Strong"/>
          <w:b w:val="0"/>
          <w:bCs w:val="0"/>
        </w:rPr>
        <w:t>,</w:t>
      </w:r>
      <w:r w:rsidRPr="00C32A76">
        <w:rPr>
          <w:rStyle w:val="Strong"/>
          <w:b w:val="0"/>
          <w:bCs w:val="0"/>
        </w:rPr>
        <w:t xml:space="preserve"> but the margin of safety is low. This is not surprising </w:t>
      </w:r>
      <w:r>
        <w:rPr>
          <w:rStyle w:val="Strong"/>
          <w:b w:val="0"/>
          <w:bCs w:val="0"/>
        </w:rPr>
        <w:t>given</w:t>
      </w:r>
      <w:r w:rsidRPr="00C32A76">
        <w:rPr>
          <w:rStyle w:val="Strong"/>
          <w:b w:val="0"/>
          <w:bCs w:val="0"/>
        </w:rPr>
        <w:t xml:space="preserve"> the results of the past</w:t>
      </w:r>
      <w:r>
        <w:rPr>
          <w:rStyle w:val="Strong"/>
          <w:b w:val="0"/>
          <w:bCs w:val="0"/>
        </w:rPr>
        <w:t>,</w:t>
      </w:r>
      <w:r w:rsidRPr="00C32A76">
        <w:rPr>
          <w:rStyle w:val="Strong"/>
          <w:b w:val="0"/>
          <w:bCs w:val="0"/>
        </w:rPr>
        <w:t xml:space="preserve"> where Project A exhibited a brief payback and smaller positive NPV</w:t>
      </w:r>
      <w:r>
        <w:rPr>
          <w:rStyle w:val="Strong"/>
          <w:b w:val="0"/>
          <w:bCs w:val="0"/>
        </w:rPr>
        <w:t>,</w:t>
      </w:r>
      <w:r w:rsidRPr="00C32A76">
        <w:rPr>
          <w:rStyle w:val="Strong"/>
          <w:b w:val="0"/>
          <w:bCs w:val="0"/>
        </w:rPr>
        <w:t xml:space="preserve"> which revealed that it had a less risky but also limited value creation than Project C.</w:t>
      </w:r>
    </w:p>
    <w:p w14:paraId="57815D9D" w14:textId="38E60A97" w:rsidR="00C32A76" w:rsidRPr="00C32A76" w:rsidRDefault="00C32A76" w:rsidP="00C32A76">
      <w:pPr>
        <w:spacing w:before="240" w:after="240"/>
        <w:rPr>
          <w:rStyle w:val="Strong"/>
          <w:b w:val="0"/>
          <w:bCs w:val="0"/>
        </w:rPr>
      </w:pPr>
      <w:r w:rsidRPr="00C32A76">
        <w:rPr>
          <w:rStyle w:val="Strong"/>
          <w:b w:val="0"/>
          <w:bCs w:val="0"/>
        </w:rPr>
        <w:lastRenderedPageBreak/>
        <w:t xml:space="preserve">Project B has </w:t>
      </w:r>
      <w:r>
        <w:rPr>
          <w:rStyle w:val="Strong"/>
          <w:b w:val="0"/>
          <w:bCs w:val="0"/>
        </w:rPr>
        <w:t xml:space="preserve">an </w:t>
      </w:r>
      <w:r w:rsidRPr="00C32A76">
        <w:rPr>
          <w:rStyle w:val="Strong"/>
          <w:b w:val="0"/>
          <w:bCs w:val="0"/>
        </w:rPr>
        <w:t>IRR of 0</w:t>
      </w:r>
      <w:r>
        <w:rPr>
          <w:rStyle w:val="Strong"/>
          <w:b w:val="0"/>
          <w:bCs w:val="0"/>
        </w:rPr>
        <w:t>,</w:t>
      </w:r>
      <w:r w:rsidRPr="00C32A76">
        <w:rPr>
          <w:rStyle w:val="Strong"/>
          <w:b w:val="0"/>
          <w:bCs w:val="0"/>
        </w:rPr>
        <w:t xml:space="preserve"> implying that it is not up to the required minimum of the firm. This affirmation is indicative of prior appraisal illustration, such as the negative NPV, PI less than 1, and zero ARR, </w:t>
      </w:r>
      <w:r>
        <w:rPr>
          <w:rStyle w:val="Strong"/>
          <w:b w:val="0"/>
          <w:bCs w:val="0"/>
        </w:rPr>
        <w:t>which</w:t>
      </w:r>
      <w:r w:rsidRPr="00C32A76">
        <w:rPr>
          <w:rStyle w:val="Strong"/>
          <w:b w:val="0"/>
          <w:bCs w:val="0"/>
        </w:rPr>
        <w:t xml:space="preserve"> all systematically demonstrate that Project B is not financially viable.</w:t>
      </w:r>
    </w:p>
    <w:p w14:paraId="57AB2487" w14:textId="543747D4" w:rsidR="00E54270" w:rsidRDefault="00C32A76" w:rsidP="00C32A76">
      <w:pPr>
        <w:spacing w:before="240" w:after="240"/>
        <w:rPr>
          <w:rStyle w:val="Strong"/>
          <w:b w:val="0"/>
          <w:bCs w:val="0"/>
        </w:rPr>
      </w:pPr>
      <w:r w:rsidRPr="00C32A76">
        <w:rPr>
          <w:rStyle w:val="Strong"/>
          <w:b w:val="0"/>
          <w:bCs w:val="0"/>
        </w:rPr>
        <w:t>The three projects</w:t>
      </w:r>
      <w:r>
        <w:rPr>
          <w:rStyle w:val="Strong"/>
          <w:b w:val="0"/>
          <w:bCs w:val="0"/>
        </w:rPr>
        <w:t>,</w:t>
      </w:r>
      <w:r w:rsidRPr="00C32A76">
        <w:rPr>
          <w:rStyle w:val="Strong"/>
          <w:b w:val="0"/>
          <w:bCs w:val="0"/>
        </w:rPr>
        <w:t xml:space="preserve"> as </w:t>
      </w:r>
      <w:proofErr w:type="spellStart"/>
      <w:r>
        <w:rPr>
          <w:rStyle w:val="Strong"/>
          <w:b w:val="0"/>
          <w:bCs w:val="0"/>
        </w:rPr>
        <w:t>analysed</w:t>
      </w:r>
      <w:proofErr w:type="spellEnd"/>
      <w:r w:rsidRPr="00C32A76">
        <w:rPr>
          <w:rStyle w:val="Strong"/>
          <w:b w:val="0"/>
          <w:bCs w:val="0"/>
        </w:rPr>
        <w:t xml:space="preserve"> in the investment appraisal</w:t>
      </w:r>
      <w:r>
        <w:rPr>
          <w:rStyle w:val="Strong"/>
          <w:b w:val="0"/>
          <w:bCs w:val="0"/>
        </w:rPr>
        <w:t>,</w:t>
      </w:r>
      <w:r w:rsidRPr="00C32A76">
        <w:rPr>
          <w:rStyle w:val="Strong"/>
          <w:b w:val="0"/>
          <w:bCs w:val="0"/>
        </w:rPr>
        <w:t xml:space="preserve"> are ranked </w:t>
      </w:r>
      <w:r>
        <w:rPr>
          <w:rStyle w:val="Strong"/>
          <w:b w:val="0"/>
          <w:bCs w:val="0"/>
        </w:rPr>
        <w:t>clearly and consistently</w:t>
      </w:r>
      <w:r w:rsidRPr="00C32A76">
        <w:rPr>
          <w:rStyle w:val="Strong"/>
          <w:b w:val="0"/>
          <w:bCs w:val="0"/>
        </w:rPr>
        <w:t>. Due to the low cash ratio and declining sales of the firm, it is important that new investments strike a balance in terms of timing</w:t>
      </w:r>
      <w:r>
        <w:rPr>
          <w:rStyle w:val="Strong"/>
          <w:b w:val="0"/>
          <w:bCs w:val="0"/>
        </w:rPr>
        <w:t>,</w:t>
      </w:r>
      <w:r w:rsidRPr="00C32A76">
        <w:rPr>
          <w:rStyle w:val="Strong"/>
          <w:b w:val="0"/>
          <w:bCs w:val="0"/>
        </w:rPr>
        <w:t xml:space="preserve"> how to recover the cash and the capacity to generate sustainable shareholder value. Project B is underperforming as per all the techniques</w:t>
      </w:r>
      <w:r>
        <w:rPr>
          <w:rStyle w:val="Strong"/>
          <w:b w:val="0"/>
          <w:bCs w:val="0"/>
        </w:rPr>
        <w:t>,</w:t>
      </w:r>
      <w:r w:rsidRPr="00C32A76">
        <w:rPr>
          <w:rStyle w:val="Strong"/>
          <w:b w:val="0"/>
          <w:bCs w:val="0"/>
        </w:rPr>
        <w:t xml:space="preserve"> as it exhibits low capital recovery, zero profitability, and value demolition. The first one, Project A, is </w:t>
      </w:r>
      <w:proofErr w:type="spellStart"/>
      <w:r>
        <w:rPr>
          <w:rStyle w:val="Strong"/>
          <w:b w:val="0"/>
          <w:bCs w:val="0"/>
        </w:rPr>
        <w:t>characterised</w:t>
      </w:r>
      <w:proofErr w:type="spellEnd"/>
      <w:r w:rsidRPr="00C32A76">
        <w:rPr>
          <w:rStyle w:val="Strong"/>
          <w:b w:val="0"/>
          <w:bCs w:val="0"/>
        </w:rPr>
        <w:t xml:space="preserve"> by quick payback and a rather low risk</w:t>
      </w:r>
      <w:r>
        <w:rPr>
          <w:rStyle w:val="Strong"/>
          <w:b w:val="0"/>
          <w:bCs w:val="0"/>
        </w:rPr>
        <w:t>,</w:t>
      </w:r>
      <w:r w:rsidRPr="00C32A76">
        <w:rPr>
          <w:rStyle w:val="Strong"/>
          <w:b w:val="0"/>
          <w:bCs w:val="0"/>
        </w:rPr>
        <w:t xml:space="preserve"> which is worthwhile when liquidity pressure is involved, but the small NPV, PI and IRR suggest minimal value creation. However, Project C, although the initial investment and the payback of the projects </w:t>
      </w:r>
      <w:r>
        <w:rPr>
          <w:rStyle w:val="Strong"/>
          <w:b w:val="0"/>
          <w:bCs w:val="0"/>
        </w:rPr>
        <w:t>are</w:t>
      </w:r>
      <w:r w:rsidRPr="00C32A76">
        <w:rPr>
          <w:rStyle w:val="Strong"/>
          <w:b w:val="0"/>
          <w:bCs w:val="0"/>
        </w:rPr>
        <w:t xml:space="preserve"> higher than Project A and the payback is longer as well, is still reporting better values in terms </w:t>
      </w:r>
      <w:r>
        <w:rPr>
          <w:rStyle w:val="Strong"/>
          <w:b w:val="0"/>
          <w:bCs w:val="0"/>
        </w:rPr>
        <w:t>of ARR</w:t>
      </w:r>
      <w:r w:rsidRPr="00C32A76">
        <w:rPr>
          <w:rStyle w:val="Strong"/>
          <w:b w:val="0"/>
          <w:bCs w:val="0"/>
        </w:rPr>
        <w:t xml:space="preserve">, NPV, PI and IRR. Therefore, Project C best coincides with the goal of the company </w:t>
      </w:r>
      <w:r>
        <w:rPr>
          <w:rStyle w:val="Strong"/>
          <w:b w:val="0"/>
          <w:bCs w:val="0"/>
        </w:rPr>
        <w:t>to reinstate</w:t>
      </w:r>
      <w:r w:rsidRPr="00C32A76">
        <w:rPr>
          <w:rStyle w:val="Strong"/>
          <w:b w:val="0"/>
          <w:bCs w:val="0"/>
        </w:rPr>
        <w:t xml:space="preserve"> profitability and </w:t>
      </w:r>
      <w:r>
        <w:rPr>
          <w:rStyle w:val="Strong"/>
          <w:b w:val="0"/>
          <w:bCs w:val="0"/>
        </w:rPr>
        <w:t>enhance</w:t>
      </w:r>
      <w:r w:rsidRPr="00C32A76">
        <w:rPr>
          <w:rStyle w:val="Strong"/>
          <w:b w:val="0"/>
          <w:bCs w:val="0"/>
        </w:rPr>
        <w:t xml:space="preserve"> shareholder value, and is also financially effective within the risk profile of the firm. Consequently, Project C comes out as the best investment option with highly uniform pieces of evidence in all the capital budgeting techniques applied.</w:t>
      </w:r>
    </w:p>
    <w:p w14:paraId="67CB8461" w14:textId="77777777" w:rsidR="00E54270" w:rsidRDefault="00E54270">
      <w:pPr>
        <w:rPr>
          <w:rStyle w:val="Strong"/>
          <w:b w:val="0"/>
          <w:bCs w:val="0"/>
        </w:rPr>
      </w:pPr>
      <w:r>
        <w:rPr>
          <w:rStyle w:val="Strong"/>
          <w:b w:val="0"/>
          <w:bCs w:val="0"/>
        </w:rPr>
        <w:br w:type="page"/>
      </w:r>
    </w:p>
    <w:p w14:paraId="7E9C7B68" w14:textId="1D3AF506" w:rsidR="00C923C9" w:rsidRDefault="00E54270" w:rsidP="00E54270">
      <w:pPr>
        <w:pStyle w:val="Heading1"/>
      </w:pPr>
      <w:bookmarkStart w:id="58" w:name="_Toc217146086"/>
      <w:r>
        <w:lastRenderedPageBreak/>
        <w:t>C</w:t>
      </w:r>
      <w:r>
        <w:t>onclusion</w:t>
      </w:r>
      <w:bookmarkEnd w:id="58"/>
    </w:p>
    <w:p w14:paraId="79D696AE" w14:textId="2293EF4D" w:rsidR="00E54270" w:rsidRPr="00E54270" w:rsidRDefault="00E54270" w:rsidP="00E54270">
      <w:pPr>
        <w:spacing w:before="240" w:after="240"/>
      </w:pPr>
      <w:r w:rsidRPr="00E54270">
        <w:t xml:space="preserve">The analysis reveals that General Electronics is experiencing decreasing revenues, low profitability and low cash flows, although the company is using its assets effectively with a conservative capital structure. The moderate level of risk of default and liquidity pressure shows the necessity of financial restructuring and better working capital management. Project C is the best long-term value, as it has better returns and </w:t>
      </w:r>
      <w:r>
        <w:t>a</w:t>
      </w:r>
      <w:r w:rsidRPr="00E54270">
        <w:t xml:space="preserve"> positive NPV, compared to other investment options. There is a need to have strategic financial activities to rebuild the stability, profitability, and </w:t>
      </w:r>
      <w:r>
        <w:t>shareholders'</w:t>
      </w:r>
      <w:r w:rsidRPr="00E54270">
        <w:t xml:space="preserve"> confidence.</w:t>
      </w:r>
    </w:p>
    <w:p w14:paraId="5BA5432E" w14:textId="77777777" w:rsidR="00C923C9" w:rsidRPr="00C923C9" w:rsidRDefault="00C923C9" w:rsidP="00C923C9"/>
    <w:p w14:paraId="25124FD4" w14:textId="77777777" w:rsidR="00337D39" w:rsidRDefault="00337D39">
      <w:pPr>
        <w:rPr>
          <w:b/>
          <w:bCs/>
          <w:sz w:val="32"/>
          <w:szCs w:val="32"/>
        </w:rPr>
      </w:pPr>
      <w:r>
        <w:br w:type="page"/>
      </w:r>
    </w:p>
    <w:p w14:paraId="7280FB7F" w14:textId="1910CB43" w:rsidR="00337D39" w:rsidRDefault="009B259B" w:rsidP="00337D39">
      <w:pPr>
        <w:pStyle w:val="Heading1"/>
      </w:pPr>
      <w:bookmarkStart w:id="59" w:name="_Toc217146087"/>
      <w:r>
        <w:lastRenderedPageBreak/>
        <w:t>References</w:t>
      </w:r>
      <w:bookmarkEnd w:id="59"/>
    </w:p>
    <w:p w14:paraId="593D3191" w14:textId="77777777" w:rsidR="00337D39" w:rsidRDefault="00337D39" w:rsidP="00337D39">
      <w:pPr>
        <w:spacing w:before="240" w:after="240"/>
      </w:pPr>
      <w:r>
        <w:t xml:space="preserve">Alissa, N. (2025). </w:t>
      </w:r>
      <w:r>
        <w:rPr>
          <w:u w:val="single"/>
        </w:rPr>
        <w:t>6 Key benefits of mergers &amp; acquisitions for growth</w:t>
      </w:r>
      <w:r>
        <w:t xml:space="preserve"> [Online]. The Law Firm of Nasreen Alissa. Available: </w:t>
      </w:r>
      <w:hyperlink r:id="rId42" w:history="1">
        <w:r w:rsidRPr="0014437A">
          <w:rPr>
            <w:rStyle w:val="Hyperlink"/>
          </w:rPr>
          <w:t>https://nasreenalissalaw.com/6-benefits-of-mergers-acquisitions-for-growing-businesses/</w:t>
        </w:r>
      </w:hyperlink>
      <w:r>
        <w:t>.</w:t>
      </w:r>
    </w:p>
    <w:p w14:paraId="1BA38063" w14:textId="77777777" w:rsidR="00337D39" w:rsidRDefault="00337D39" w:rsidP="00337D39">
      <w:pPr>
        <w:spacing w:before="240" w:after="240"/>
        <w:rPr>
          <w:rStyle w:val="url"/>
        </w:rPr>
      </w:pPr>
      <w:proofErr w:type="spellStart"/>
      <w:r>
        <w:t>Baltova</w:t>
      </w:r>
      <w:proofErr w:type="spellEnd"/>
      <w:r>
        <w:t xml:space="preserve">, A. (2023). </w:t>
      </w:r>
      <w:r>
        <w:rPr>
          <w:u w:val="single"/>
        </w:rPr>
        <w:t>Profitability Ratios – Definitions, types, Formulas</w:t>
      </w:r>
      <w:r>
        <w:t xml:space="preserve"> [Online]. 365 Financial Analyst. Available: </w:t>
      </w:r>
      <w:hyperlink r:id="rId43" w:anchor=":~:text=What%20Is%20a%20Profitability%20Ratio,its%20peers%20and%20industry%20benchmarks" w:history="1">
        <w:r w:rsidRPr="0014437A">
          <w:rPr>
            <w:rStyle w:val="Hyperlink"/>
          </w:rPr>
          <w:t>https://365financialanalyst.com/knowledge-hub/financial-analysis/profitabilityratios/#:~:text=What%20Is%20a%20Profitability%20Ratio,its%20peers%20and%20industry%20benchmarks</w:t>
        </w:r>
      </w:hyperlink>
      <w:r>
        <w:rPr>
          <w:rStyle w:val="url"/>
        </w:rPr>
        <w:t>?</w:t>
      </w:r>
    </w:p>
    <w:p w14:paraId="6A812157" w14:textId="77777777" w:rsidR="00337D39" w:rsidRDefault="00337D39" w:rsidP="00337D39">
      <w:pPr>
        <w:spacing w:before="240" w:after="240"/>
      </w:pPr>
      <w:r>
        <w:t xml:space="preserve">Banton, C. (2025). </w:t>
      </w:r>
      <w:r>
        <w:rPr>
          <w:u w:val="single"/>
        </w:rPr>
        <w:t>Understanding Capital injections: Definition and key Examples</w:t>
      </w:r>
      <w:r>
        <w:t xml:space="preserve"> [Online]. Investopedia. Available: </w:t>
      </w:r>
      <w:hyperlink r:id="rId44" w:history="1">
        <w:r w:rsidRPr="0014437A">
          <w:rPr>
            <w:rStyle w:val="Hyperlink"/>
          </w:rPr>
          <w:t>https://www.investopedia.com/terms/c/capital-injection.asp</w:t>
        </w:r>
      </w:hyperlink>
      <w:r>
        <w:t>.</w:t>
      </w:r>
    </w:p>
    <w:p w14:paraId="76E8FC77" w14:textId="77777777" w:rsidR="00337D39" w:rsidRDefault="00337D39" w:rsidP="00337D39">
      <w:pPr>
        <w:spacing w:before="240" w:after="240"/>
        <w:rPr>
          <w:rStyle w:val="url"/>
        </w:rPr>
      </w:pPr>
      <w:r>
        <w:t xml:space="preserve">Chana, N. (2025). </w:t>
      </w:r>
      <w:r>
        <w:rPr>
          <w:u w:val="single"/>
        </w:rPr>
        <w:t>Short-term loans for funding business growth</w:t>
      </w:r>
      <w:r>
        <w:t xml:space="preserve"> [Online]. Alternative Bridging Corporation. Available: </w:t>
      </w:r>
      <w:hyperlink r:id="rId45" w:anchor=":~:text=Short%2DTerm%20Loans%20are%20a%20crucial%20financial%20resource%2C,key%20to%20guiding%20your%20clients%20towards%20success" w:history="1">
        <w:r w:rsidRPr="0014437A">
          <w:rPr>
            <w:rStyle w:val="Hyperlink"/>
          </w:rPr>
          <w:t>https://alternativebridging.co.uk/how-to-use-short-term-loans-for-funding-business-growth-or-cover-expenses/#:~:text=Short%2DTerm%20Loans%20are%20a%20crucial%20financial%20resource%2C,key%20to%20guiding%20your%20clients%20towards%20success</w:t>
        </w:r>
      </w:hyperlink>
      <w:r>
        <w:rPr>
          <w:rStyle w:val="url"/>
        </w:rPr>
        <w:t>.</w:t>
      </w:r>
    </w:p>
    <w:p w14:paraId="632A56B7" w14:textId="77777777" w:rsidR="00337D39" w:rsidRDefault="00337D39" w:rsidP="00337D39">
      <w:pPr>
        <w:spacing w:before="240" w:after="240"/>
      </w:pPr>
      <w:r>
        <w:t xml:space="preserve">Ganti, A. (2025). </w:t>
      </w:r>
      <w:r>
        <w:rPr>
          <w:u w:val="single"/>
        </w:rPr>
        <w:t>What is divestment? Definition, purpose, and major types explained</w:t>
      </w:r>
      <w:r>
        <w:t xml:space="preserve"> [Online]. Investopedia. Available: </w:t>
      </w:r>
      <w:hyperlink r:id="rId46" w:history="1">
        <w:r w:rsidRPr="0014437A">
          <w:rPr>
            <w:rStyle w:val="Hyperlink"/>
          </w:rPr>
          <w:t>https://www.investopedia.com/terms/d/divestment.asp</w:t>
        </w:r>
      </w:hyperlink>
      <w:r>
        <w:t>.</w:t>
      </w:r>
    </w:p>
    <w:p w14:paraId="6A4DA37D" w14:textId="77777777" w:rsidR="00337D39" w:rsidRDefault="00337D39" w:rsidP="00337D39">
      <w:pPr>
        <w:spacing w:before="240" w:after="240"/>
      </w:pPr>
      <w:r>
        <w:t xml:space="preserve">Hargrave, M. (2025). </w:t>
      </w:r>
      <w:r>
        <w:rPr>
          <w:u w:val="single"/>
        </w:rPr>
        <w:t>Understanding Joint Ventures (JVs): purpose, benefits, and examples</w:t>
      </w:r>
      <w:r>
        <w:t xml:space="preserve"> [Online]. Investopedia. Available: </w:t>
      </w:r>
      <w:hyperlink r:id="rId47" w:history="1">
        <w:r w:rsidRPr="0014437A">
          <w:rPr>
            <w:rStyle w:val="Hyperlink"/>
          </w:rPr>
          <w:t>https://www.investopedia.com/terms/j/jointventure.asp</w:t>
        </w:r>
      </w:hyperlink>
      <w:r>
        <w:t>.</w:t>
      </w:r>
    </w:p>
    <w:p w14:paraId="3F85D9A9" w14:textId="77777777" w:rsidR="00337D39" w:rsidRDefault="00337D39" w:rsidP="00337D39">
      <w:pPr>
        <w:spacing w:before="240" w:after="240"/>
      </w:pPr>
      <w:r>
        <w:t xml:space="preserve">Hawley, J. (2025). </w:t>
      </w:r>
      <w:r>
        <w:rPr>
          <w:u w:val="single"/>
        </w:rPr>
        <w:t>The importance of working capital management</w:t>
      </w:r>
      <w:r>
        <w:t xml:space="preserve"> [Online]. Investopedia. Available: </w:t>
      </w:r>
      <w:hyperlink r:id="rId48" w:history="1">
        <w:r w:rsidRPr="0014437A">
          <w:rPr>
            <w:rStyle w:val="Hyperlink"/>
          </w:rPr>
          <w:t>https://www.investopedia.com/ask/answers/100715/why-working-capital-management-important-company.asp</w:t>
        </w:r>
      </w:hyperlink>
      <w:r>
        <w:t>.</w:t>
      </w:r>
    </w:p>
    <w:p w14:paraId="0CFC0DC7" w14:textId="77777777" w:rsidR="00337D39" w:rsidRDefault="00337D39" w:rsidP="00337D39">
      <w:pPr>
        <w:spacing w:before="240" w:after="240"/>
        <w:rPr>
          <w:rStyle w:val="url"/>
        </w:rPr>
      </w:pPr>
      <w:r>
        <w:t xml:space="preserve">Hayes, A. (2025). </w:t>
      </w:r>
      <w:r>
        <w:rPr>
          <w:u w:val="single"/>
        </w:rPr>
        <w:t>Profitability Ratios: What they are, common types, and how businesses use them</w:t>
      </w:r>
      <w:r>
        <w:t xml:space="preserve"> [Online]. Investopedia. Available: </w:t>
      </w:r>
      <w:hyperlink r:id="rId49" w:anchor=":~:text=Key%20Takeaways%20%0A%20%20%20%0A%20,operations%2C%20balance%20sheet%20assets%2C%20or%20shareholders'%20equity" w:history="1">
        <w:r w:rsidRPr="0014437A">
          <w:rPr>
            <w:rStyle w:val="Hyperlink"/>
          </w:rPr>
          <w:t>https://www.investopedia.com/terms/p/profitabilityratios.asp#:~:text=Key%20Takeaways%20%0A%20%20%20%0A%20,operations%2C%20balance%20sheet%20assets%2C%20or%20shareholders'%20equity</w:t>
        </w:r>
      </w:hyperlink>
      <w:r>
        <w:rPr>
          <w:rStyle w:val="url"/>
        </w:rPr>
        <w:t>.</w:t>
      </w:r>
    </w:p>
    <w:p w14:paraId="3CA9358E" w14:textId="77777777" w:rsidR="00337D39" w:rsidRDefault="00337D39" w:rsidP="00337D39">
      <w:pPr>
        <w:spacing w:before="240" w:after="240"/>
      </w:pPr>
      <w:r>
        <w:t xml:space="preserve">Krastev, N. (2025). </w:t>
      </w:r>
      <w:r>
        <w:rPr>
          <w:u w:val="single"/>
        </w:rPr>
        <w:t>The cash Conversion Cycle: Measuring working capital efficiency</w:t>
      </w:r>
      <w:r>
        <w:t xml:space="preserve"> [Online]. 365 Financial Analyst. Available: </w:t>
      </w:r>
      <w:hyperlink r:id="rId50" w:history="1">
        <w:r w:rsidRPr="0014437A">
          <w:rPr>
            <w:rStyle w:val="Hyperlink"/>
          </w:rPr>
          <w:t>https://365financialanalyst.com/knowledge-hub/corporate-finance/cash-conversion-cycle/</w:t>
        </w:r>
      </w:hyperlink>
      <w:r>
        <w:t>.</w:t>
      </w:r>
    </w:p>
    <w:p w14:paraId="42784D25" w14:textId="77777777" w:rsidR="00337D39" w:rsidRDefault="00337D39" w:rsidP="00337D39">
      <w:pPr>
        <w:spacing w:before="240" w:after="240"/>
      </w:pPr>
      <w:r>
        <w:t xml:space="preserve">Mark (2024) Short-term financing options for business. </w:t>
      </w:r>
      <w:r>
        <w:rPr>
          <w:u w:val="single"/>
        </w:rPr>
        <w:t>Sunwise Capital</w:t>
      </w:r>
      <w:r>
        <w:t xml:space="preserve">. [Online]. Available: </w:t>
      </w:r>
      <w:hyperlink r:id="rId51" w:history="1">
        <w:r w:rsidRPr="0014437A">
          <w:rPr>
            <w:rStyle w:val="Hyperlink"/>
          </w:rPr>
          <w:t>https://sunwisecapital.com/short-term-financing-options-for-business/</w:t>
        </w:r>
      </w:hyperlink>
      <w:r>
        <w:t>.</w:t>
      </w:r>
    </w:p>
    <w:p w14:paraId="1C346600" w14:textId="77777777" w:rsidR="00337D39" w:rsidRDefault="00337D39" w:rsidP="00337D39">
      <w:pPr>
        <w:spacing w:before="240" w:after="240"/>
      </w:pPr>
      <w:r>
        <w:t xml:space="preserve">Maulana, F. (2024). Financial Distress Assessment through Altman Z-Score. </w:t>
      </w:r>
      <w:r>
        <w:rPr>
          <w:u w:val="single"/>
        </w:rPr>
        <w:t>ResearchGate</w:t>
      </w:r>
      <w:r>
        <w:t xml:space="preserve">. [Online]. Available: </w:t>
      </w:r>
      <w:hyperlink r:id="rId52" w:history="1">
        <w:r w:rsidRPr="0014437A">
          <w:rPr>
            <w:rStyle w:val="Hyperlink"/>
          </w:rPr>
          <w:t>https://www.researchgate.net/publication/378613628_Financial_Distress_Assessment_Through_Altman_Z-Score</w:t>
        </w:r>
      </w:hyperlink>
      <w:r>
        <w:t>.</w:t>
      </w:r>
    </w:p>
    <w:p w14:paraId="2139D482" w14:textId="77777777" w:rsidR="00337D39" w:rsidRDefault="00337D39" w:rsidP="00337D39">
      <w:pPr>
        <w:spacing w:before="240" w:after="240"/>
      </w:pPr>
      <w:r>
        <w:t xml:space="preserve">Reichman, M. and Reichman, M. (2025). The role of Short-Term Loans in Business Cash Flow Management. </w:t>
      </w:r>
      <w:proofErr w:type="spellStart"/>
      <w:r>
        <w:rPr>
          <w:u w:val="single"/>
        </w:rPr>
        <w:t>Payro</w:t>
      </w:r>
      <w:proofErr w:type="spellEnd"/>
      <w:r>
        <w:rPr>
          <w:u w:val="single"/>
        </w:rPr>
        <w:t xml:space="preserve"> Finance</w:t>
      </w:r>
      <w:r>
        <w:t xml:space="preserve">. [Online]. Available: </w:t>
      </w:r>
      <w:hyperlink r:id="rId53" w:history="1">
        <w:r w:rsidRPr="0014437A">
          <w:rPr>
            <w:rStyle w:val="Hyperlink"/>
          </w:rPr>
          <w:t>https://payrofinance.com/the-role-of-short-term-loans-in-business-cash-flow-management/</w:t>
        </w:r>
      </w:hyperlink>
      <w:r>
        <w:t>.</w:t>
      </w:r>
    </w:p>
    <w:p w14:paraId="429A5625" w14:textId="77777777" w:rsidR="00337D39" w:rsidRDefault="00337D39" w:rsidP="00337D39">
      <w:pPr>
        <w:spacing w:before="240" w:after="240"/>
      </w:pPr>
      <w:proofErr w:type="spellStart"/>
      <w:r>
        <w:t>Saharawat</w:t>
      </w:r>
      <w:proofErr w:type="spellEnd"/>
      <w:r>
        <w:t xml:space="preserve">, V. (2025). What is long-term finance? | Features, advantages, sources and limitations. </w:t>
      </w:r>
      <w:r>
        <w:rPr>
          <w:u w:val="single"/>
        </w:rPr>
        <w:t>PW Skills</w:t>
      </w:r>
      <w:r>
        <w:t xml:space="preserve">. [Online], November 4, 2025. Available: </w:t>
      </w:r>
      <w:hyperlink r:id="rId54" w:history="1">
        <w:r w:rsidRPr="0014437A">
          <w:rPr>
            <w:rStyle w:val="Hyperlink"/>
          </w:rPr>
          <w:t>https://pwskills.com/blog/long-term-finance/</w:t>
        </w:r>
      </w:hyperlink>
      <w:r>
        <w:t>.</w:t>
      </w:r>
    </w:p>
    <w:p w14:paraId="35E797E4" w14:textId="77777777" w:rsidR="00337D39" w:rsidRDefault="00337D39" w:rsidP="00337D39">
      <w:pPr>
        <w:spacing w:before="240" w:after="240"/>
      </w:pPr>
      <w:proofErr w:type="spellStart"/>
      <w:r>
        <w:t>Sinurat</w:t>
      </w:r>
      <w:proofErr w:type="spellEnd"/>
      <w:r>
        <w:t xml:space="preserve">, N. B., Abdullah, N. A. E. A., </w:t>
      </w:r>
      <w:proofErr w:type="spellStart"/>
      <w:r>
        <w:t>Musri’ah</w:t>
      </w:r>
      <w:proofErr w:type="spellEnd"/>
      <w:r>
        <w:t xml:space="preserve">, N. M., Hakim, N. L. and Wildan, N. M. A. (2025). The influence of return on assets (ROA) and return on equity (ROE) on stock prices in banking companies on the Indonesia Stock Exchange for the 2023-2024 period. </w:t>
      </w:r>
      <w:r>
        <w:rPr>
          <w:u w:val="single"/>
        </w:rPr>
        <w:t>International Journal of Economics and Management Research</w:t>
      </w:r>
      <w:r>
        <w:t xml:space="preserve">. [Online] Vol 4 (2), pp.565–575. Available: </w:t>
      </w:r>
      <w:hyperlink r:id="rId55" w:history="1">
        <w:r w:rsidRPr="0014437A">
          <w:rPr>
            <w:rStyle w:val="Hyperlink"/>
          </w:rPr>
          <w:t>https://doi.org/10.55606/ijemr.v4i2.396</w:t>
        </w:r>
      </w:hyperlink>
      <w:r>
        <w:t>.</w:t>
      </w:r>
    </w:p>
    <w:p w14:paraId="10BAE67D" w14:textId="77777777" w:rsidR="00337D39" w:rsidRDefault="00337D39" w:rsidP="00337D39">
      <w:pPr>
        <w:spacing w:before="240" w:after="240"/>
      </w:pPr>
      <w:r>
        <w:t xml:space="preserve">Vipond, T. (2025). </w:t>
      </w:r>
      <w:r>
        <w:rPr>
          <w:u w:val="single"/>
        </w:rPr>
        <w:t>Profitability ratios</w:t>
      </w:r>
      <w:r>
        <w:t xml:space="preserve"> [Online]. Corporate Finance Institute. Available: </w:t>
      </w:r>
      <w:hyperlink r:id="rId56" w:history="1">
        <w:r w:rsidRPr="0014437A">
          <w:rPr>
            <w:rStyle w:val="Hyperlink"/>
          </w:rPr>
          <w:t>https://corporatefinanceinstitute.com/resources/accounting/profitability-ratios/</w:t>
        </w:r>
      </w:hyperlink>
      <w:r>
        <w:t>.</w:t>
      </w:r>
    </w:p>
    <w:p w14:paraId="5F0C073F" w14:textId="77777777" w:rsidR="00337D39" w:rsidRDefault="00337D39">
      <w:pPr>
        <w:rPr>
          <w:b/>
          <w:bCs/>
        </w:rPr>
      </w:pPr>
      <w:r>
        <w:rPr>
          <w:b/>
          <w:bCs/>
        </w:rPr>
        <w:br w:type="page"/>
      </w:r>
    </w:p>
    <w:p w14:paraId="12D523F6" w14:textId="34529432" w:rsidR="00C150CA" w:rsidRDefault="00C150CA" w:rsidP="00337D39">
      <w:pPr>
        <w:pStyle w:val="Heading1"/>
      </w:pPr>
      <w:bookmarkStart w:id="60" w:name="_Toc217146088"/>
      <w:r w:rsidRPr="00C150CA">
        <w:lastRenderedPageBreak/>
        <w:t>Appendix</w:t>
      </w:r>
      <w:bookmarkEnd w:id="60"/>
    </w:p>
    <w:tbl>
      <w:tblPr>
        <w:tblStyle w:val="GridTable1Light"/>
        <w:tblW w:w="886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660"/>
        <w:gridCol w:w="1300"/>
        <w:gridCol w:w="1300"/>
        <w:gridCol w:w="1300"/>
        <w:gridCol w:w="1300"/>
      </w:tblGrid>
      <w:tr w:rsidR="00C150CA" w:rsidRPr="00C150CA" w14:paraId="251B7721" w14:textId="77777777" w:rsidTr="00C150CA">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660" w:type="dxa"/>
            <w:tcBorders>
              <w:bottom w:val="none" w:sz="0" w:space="0" w:color="auto"/>
            </w:tcBorders>
            <w:noWrap/>
            <w:vAlign w:val="center"/>
            <w:hideMark/>
          </w:tcPr>
          <w:p w14:paraId="15D15FBF" w14:textId="77777777" w:rsidR="00C150CA" w:rsidRPr="00C150CA" w:rsidRDefault="00C150CA" w:rsidP="00C150CA">
            <w:pPr>
              <w:jc w:val="center"/>
              <w:rPr>
                <w:rFonts w:ascii="Calibri" w:eastAsia="Times New Roman" w:hAnsi="Calibri" w:cs="Calibri"/>
                <w:color w:val="000000"/>
                <w:lang w:val="en-US"/>
              </w:rPr>
            </w:pPr>
            <w:r w:rsidRPr="00C150CA">
              <w:rPr>
                <w:rFonts w:ascii="Calibri" w:eastAsia="Times New Roman" w:hAnsi="Calibri" w:cs="Calibri"/>
                <w:color w:val="000000"/>
                <w:lang w:val="en-US"/>
              </w:rPr>
              <w:t>Financial Measure</w:t>
            </w:r>
          </w:p>
        </w:tc>
        <w:tc>
          <w:tcPr>
            <w:tcW w:w="1300" w:type="dxa"/>
            <w:tcBorders>
              <w:bottom w:val="none" w:sz="0" w:space="0" w:color="auto"/>
            </w:tcBorders>
            <w:noWrap/>
            <w:vAlign w:val="center"/>
            <w:hideMark/>
          </w:tcPr>
          <w:p w14:paraId="1C52F1E3" w14:textId="77777777" w:rsidR="00C150CA" w:rsidRPr="00C150CA" w:rsidRDefault="00C150CA" w:rsidP="00C150C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2021 (£m)</w:t>
            </w:r>
          </w:p>
        </w:tc>
        <w:tc>
          <w:tcPr>
            <w:tcW w:w="1300" w:type="dxa"/>
            <w:tcBorders>
              <w:bottom w:val="none" w:sz="0" w:space="0" w:color="auto"/>
            </w:tcBorders>
            <w:noWrap/>
            <w:vAlign w:val="center"/>
            <w:hideMark/>
          </w:tcPr>
          <w:p w14:paraId="35166097" w14:textId="77777777" w:rsidR="00C150CA" w:rsidRPr="00C150CA" w:rsidRDefault="00C150CA" w:rsidP="00C150C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2022 (£m)</w:t>
            </w:r>
          </w:p>
        </w:tc>
        <w:tc>
          <w:tcPr>
            <w:tcW w:w="1300" w:type="dxa"/>
            <w:tcBorders>
              <w:bottom w:val="none" w:sz="0" w:space="0" w:color="auto"/>
            </w:tcBorders>
            <w:noWrap/>
            <w:vAlign w:val="center"/>
            <w:hideMark/>
          </w:tcPr>
          <w:p w14:paraId="36845381" w14:textId="77777777" w:rsidR="00C150CA" w:rsidRPr="00C150CA" w:rsidRDefault="00C150CA" w:rsidP="00C150C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2023 (£m)</w:t>
            </w:r>
          </w:p>
        </w:tc>
        <w:tc>
          <w:tcPr>
            <w:tcW w:w="1300" w:type="dxa"/>
            <w:tcBorders>
              <w:bottom w:val="none" w:sz="0" w:space="0" w:color="auto"/>
            </w:tcBorders>
            <w:noWrap/>
            <w:vAlign w:val="center"/>
            <w:hideMark/>
          </w:tcPr>
          <w:p w14:paraId="0D843CC1" w14:textId="77777777" w:rsidR="00C150CA" w:rsidRPr="00C150CA" w:rsidRDefault="00C150CA" w:rsidP="00C150C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2024 (£m)</w:t>
            </w:r>
          </w:p>
        </w:tc>
      </w:tr>
      <w:tr w:rsidR="00C150CA" w:rsidRPr="00C150CA" w14:paraId="56D9D1C7"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29B5FD9D" w14:textId="77777777" w:rsidR="00C150CA" w:rsidRPr="00C150CA" w:rsidRDefault="00C150CA" w:rsidP="00C150CA">
            <w:pPr>
              <w:jc w:val="center"/>
              <w:rPr>
                <w:rFonts w:ascii="Calibri" w:eastAsia="Times New Roman" w:hAnsi="Calibri" w:cs="Calibri"/>
                <w:color w:val="000000"/>
                <w:lang w:val="en-US"/>
              </w:rPr>
            </w:pPr>
            <w:r w:rsidRPr="00C150CA">
              <w:rPr>
                <w:rFonts w:ascii="Calibri" w:eastAsia="Times New Roman" w:hAnsi="Calibri" w:cs="Calibri"/>
                <w:color w:val="000000"/>
                <w:lang w:val="en-US"/>
              </w:rPr>
              <w:t>Net Sales</w:t>
            </w:r>
          </w:p>
        </w:tc>
        <w:tc>
          <w:tcPr>
            <w:tcW w:w="1300" w:type="dxa"/>
            <w:noWrap/>
            <w:vAlign w:val="center"/>
            <w:hideMark/>
          </w:tcPr>
          <w:p w14:paraId="45CF3498"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601,602</w:t>
            </w:r>
          </w:p>
        </w:tc>
        <w:tc>
          <w:tcPr>
            <w:tcW w:w="1300" w:type="dxa"/>
            <w:noWrap/>
            <w:vAlign w:val="center"/>
            <w:hideMark/>
          </w:tcPr>
          <w:p w14:paraId="39218CC7"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542,751</w:t>
            </w:r>
          </w:p>
        </w:tc>
        <w:tc>
          <w:tcPr>
            <w:tcW w:w="1300" w:type="dxa"/>
            <w:noWrap/>
            <w:vAlign w:val="center"/>
            <w:hideMark/>
          </w:tcPr>
          <w:p w14:paraId="572274CD"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420,457</w:t>
            </w:r>
          </w:p>
        </w:tc>
        <w:tc>
          <w:tcPr>
            <w:tcW w:w="1300" w:type="dxa"/>
            <w:noWrap/>
            <w:vAlign w:val="center"/>
            <w:hideMark/>
          </w:tcPr>
          <w:p w14:paraId="5FE7B36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394,879</w:t>
            </w:r>
          </w:p>
        </w:tc>
      </w:tr>
      <w:tr w:rsidR="00C150CA" w:rsidRPr="00C150CA" w14:paraId="451DCA2C"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7D519FF2"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 change in net sales</w:t>
            </w:r>
          </w:p>
        </w:tc>
        <w:tc>
          <w:tcPr>
            <w:tcW w:w="1300" w:type="dxa"/>
            <w:noWrap/>
            <w:vAlign w:val="center"/>
            <w:hideMark/>
          </w:tcPr>
          <w:p w14:paraId="3F721341"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300" w:type="dxa"/>
            <w:noWrap/>
            <w:vAlign w:val="center"/>
            <w:hideMark/>
          </w:tcPr>
          <w:p w14:paraId="165986B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-10%</w:t>
            </w:r>
          </w:p>
        </w:tc>
        <w:tc>
          <w:tcPr>
            <w:tcW w:w="1300" w:type="dxa"/>
            <w:noWrap/>
            <w:vAlign w:val="center"/>
            <w:hideMark/>
          </w:tcPr>
          <w:p w14:paraId="03912B97"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-23%</w:t>
            </w:r>
          </w:p>
        </w:tc>
        <w:tc>
          <w:tcPr>
            <w:tcW w:w="1300" w:type="dxa"/>
            <w:noWrap/>
            <w:vAlign w:val="center"/>
            <w:hideMark/>
          </w:tcPr>
          <w:p w14:paraId="7341F9EC"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-6%</w:t>
            </w:r>
          </w:p>
        </w:tc>
      </w:tr>
      <w:tr w:rsidR="00C150CA" w:rsidRPr="00C150CA" w14:paraId="4E20556D"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22E1C224"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Gross Profit</w:t>
            </w:r>
          </w:p>
        </w:tc>
        <w:tc>
          <w:tcPr>
            <w:tcW w:w="1300" w:type="dxa"/>
            <w:noWrap/>
            <w:vAlign w:val="center"/>
            <w:hideMark/>
          </w:tcPr>
          <w:p w14:paraId="49E1B5D8"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173,016</w:t>
            </w:r>
          </w:p>
        </w:tc>
        <w:tc>
          <w:tcPr>
            <w:tcW w:w="1300" w:type="dxa"/>
            <w:noWrap/>
            <w:vAlign w:val="center"/>
            <w:hideMark/>
          </w:tcPr>
          <w:p w14:paraId="730A0658"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152,292</w:t>
            </w:r>
          </w:p>
        </w:tc>
        <w:tc>
          <w:tcPr>
            <w:tcW w:w="1300" w:type="dxa"/>
            <w:noWrap/>
            <w:vAlign w:val="center"/>
            <w:hideMark/>
          </w:tcPr>
          <w:p w14:paraId="62A246DE"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97,560</w:t>
            </w:r>
          </w:p>
        </w:tc>
        <w:tc>
          <w:tcPr>
            <w:tcW w:w="1300" w:type="dxa"/>
            <w:noWrap/>
            <w:vAlign w:val="center"/>
            <w:hideMark/>
          </w:tcPr>
          <w:p w14:paraId="068597E1"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113,994</w:t>
            </w:r>
          </w:p>
        </w:tc>
      </w:tr>
      <w:tr w:rsidR="00C150CA" w:rsidRPr="00C150CA" w14:paraId="6E0DF2F8"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497A0366"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Gross Margin (%)</w:t>
            </w:r>
          </w:p>
        </w:tc>
        <w:tc>
          <w:tcPr>
            <w:tcW w:w="1300" w:type="dxa"/>
            <w:noWrap/>
            <w:vAlign w:val="center"/>
            <w:hideMark/>
          </w:tcPr>
          <w:p w14:paraId="68E140DC"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28.76%</w:t>
            </w:r>
          </w:p>
        </w:tc>
        <w:tc>
          <w:tcPr>
            <w:tcW w:w="1300" w:type="dxa"/>
            <w:noWrap/>
            <w:vAlign w:val="center"/>
            <w:hideMark/>
          </w:tcPr>
          <w:p w14:paraId="24822BD7"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28.06%</w:t>
            </w:r>
          </w:p>
        </w:tc>
        <w:tc>
          <w:tcPr>
            <w:tcW w:w="1300" w:type="dxa"/>
            <w:noWrap/>
            <w:vAlign w:val="center"/>
            <w:hideMark/>
          </w:tcPr>
          <w:p w14:paraId="30D88A82"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23.20%</w:t>
            </w:r>
          </w:p>
        </w:tc>
        <w:tc>
          <w:tcPr>
            <w:tcW w:w="1300" w:type="dxa"/>
            <w:noWrap/>
            <w:vAlign w:val="center"/>
            <w:hideMark/>
          </w:tcPr>
          <w:p w14:paraId="7E4667ED"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28.87%</w:t>
            </w:r>
          </w:p>
        </w:tc>
      </w:tr>
      <w:tr w:rsidR="00C150CA" w:rsidRPr="00C150CA" w14:paraId="023895B5"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282F084F"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Operating Income / (Loss)</w:t>
            </w:r>
          </w:p>
        </w:tc>
        <w:tc>
          <w:tcPr>
            <w:tcW w:w="1300" w:type="dxa"/>
            <w:noWrap/>
            <w:vAlign w:val="center"/>
            <w:hideMark/>
          </w:tcPr>
          <w:p w14:paraId="2F5E8E0D"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23,253</w:t>
            </w:r>
          </w:p>
        </w:tc>
        <w:tc>
          <w:tcPr>
            <w:tcW w:w="1300" w:type="dxa"/>
            <w:noWrap/>
            <w:vAlign w:val="center"/>
            <w:hideMark/>
          </w:tcPr>
          <w:p w14:paraId="597C49E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14,548</w:t>
            </w:r>
          </w:p>
        </w:tc>
        <w:tc>
          <w:tcPr>
            <w:tcW w:w="1300" w:type="dxa"/>
            <w:noWrap/>
            <w:vAlign w:val="center"/>
            <w:hideMark/>
          </w:tcPr>
          <w:p w14:paraId="102C4A8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-85,301</w:t>
            </w:r>
          </w:p>
        </w:tc>
        <w:tc>
          <w:tcPr>
            <w:tcW w:w="1300" w:type="dxa"/>
            <w:noWrap/>
            <w:vAlign w:val="center"/>
            <w:hideMark/>
          </w:tcPr>
          <w:p w14:paraId="0E3429E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-15,297</w:t>
            </w:r>
          </w:p>
        </w:tc>
      </w:tr>
      <w:tr w:rsidR="00C150CA" w:rsidRPr="00C150CA" w14:paraId="519A5AE7"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4FD3EDDC"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Net Income / (Loss)</w:t>
            </w:r>
          </w:p>
        </w:tc>
        <w:tc>
          <w:tcPr>
            <w:tcW w:w="1300" w:type="dxa"/>
            <w:noWrap/>
            <w:vAlign w:val="center"/>
            <w:hideMark/>
          </w:tcPr>
          <w:p w14:paraId="1058F81B"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5,301</w:t>
            </w:r>
          </w:p>
        </w:tc>
        <w:tc>
          <w:tcPr>
            <w:tcW w:w="1300" w:type="dxa"/>
            <w:noWrap/>
            <w:vAlign w:val="center"/>
            <w:hideMark/>
          </w:tcPr>
          <w:p w14:paraId="4032CC7F"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407</w:t>
            </w:r>
          </w:p>
        </w:tc>
        <w:tc>
          <w:tcPr>
            <w:tcW w:w="1300" w:type="dxa"/>
            <w:noWrap/>
            <w:vAlign w:val="center"/>
            <w:hideMark/>
          </w:tcPr>
          <w:p w14:paraId="77DBEFD0"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-98,238</w:t>
            </w:r>
          </w:p>
        </w:tc>
        <w:tc>
          <w:tcPr>
            <w:tcW w:w="1300" w:type="dxa"/>
            <w:noWrap/>
            <w:vAlign w:val="center"/>
            <w:hideMark/>
          </w:tcPr>
          <w:p w14:paraId="4B8BE9EF"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-24,029</w:t>
            </w:r>
          </w:p>
        </w:tc>
      </w:tr>
      <w:tr w:rsidR="00C150CA" w:rsidRPr="00C150CA" w14:paraId="7E198703"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299E2B08"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Total Liabilities</w:t>
            </w:r>
          </w:p>
        </w:tc>
        <w:tc>
          <w:tcPr>
            <w:tcW w:w="1300" w:type="dxa"/>
            <w:noWrap/>
            <w:vAlign w:val="center"/>
            <w:hideMark/>
          </w:tcPr>
          <w:p w14:paraId="33E5A6F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234,399</w:t>
            </w:r>
          </w:p>
        </w:tc>
        <w:tc>
          <w:tcPr>
            <w:tcW w:w="1300" w:type="dxa"/>
            <w:noWrap/>
            <w:vAlign w:val="center"/>
            <w:hideMark/>
          </w:tcPr>
          <w:p w14:paraId="0C429857"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232,034</w:t>
            </w:r>
          </w:p>
        </w:tc>
        <w:tc>
          <w:tcPr>
            <w:tcW w:w="1300" w:type="dxa"/>
            <w:noWrap/>
            <w:vAlign w:val="center"/>
            <w:hideMark/>
          </w:tcPr>
          <w:p w14:paraId="71DAEFD5"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196,678</w:t>
            </w:r>
          </w:p>
        </w:tc>
        <w:tc>
          <w:tcPr>
            <w:tcW w:w="1300" w:type="dxa"/>
            <w:noWrap/>
            <w:vAlign w:val="center"/>
            <w:hideMark/>
          </w:tcPr>
          <w:p w14:paraId="772FC15A"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170,249</w:t>
            </w:r>
          </w:p>
        </w:tc>
      </w:tr>
      <w:tr w:rsidR="00C150CA" w:rsidRPr="00C150CA" w14:paraId="2FE85B5B"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345D7EE5"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Current Assets</w:t>
            </w:r>
          </w:p>
        </w:tc>
        <w:tc>
          <w:tcPr>
            <w:tcW w:w="1300" w:type="dxa"/>
            <w:noWrap/>
            <w:vAlign w:val="center"/>
            <w:hideMark/>
          </w:tcPr>
          <w:p w14:paraId="01D9D3F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283,483</w:t>
            </w:r>
          </w:p>
        </w:tc>
        <w:tc>
          <w:tcPr>
            <w:tcW w:w="1300" w:type="dxa"/>
            <w:noWrap/>
            <w:vAlign w:val="center"/>
            <w:hideMark/>
          </w:tcPr>
          <w:p w14:paraId="1CA543C2"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272,621</w:t>
            </w:r>
          </w:p>
        </w:tc>
        <w:tc>
          <w:tcPr>
            <w:tcW w:w="1300" w:type="dxa"/>
            <w:noWrap/>
            <w:vAlign w:val="center"/>
            <w:hideMark/>
          </w:tcPr>
          <w:p w14:paraId="0B253695"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247,021</w:t>
            </w:r>
          </w:p>
        </w:tc>
        <w:tc>
          <w:tcPr>
            <w:tcW w:w="1300" w:type="dxa"/>
            <w:noWrap/>
            <w:vAlign w:val="center"/>
            <w:hideMark/>
          </w:tcPr>
          <w:p w14:paraId="2DABB91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242,494</w:t>
            </w:r>
          </w:p>
        </w:tc>
      </w:tr>
      <w:tr w:rsidR="00C150CA" w:rsidRPr="00C150CA" w14:paraId="1E6DBDE7"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00058E26"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Cash &amp; Cash Equivalents</w:t>
            </w:r>
          </w:p>
        </w:tc>
        <w:tc>
          <w:tcPr>
            <w:tcW w:w="1300" w:type="dxa"/>
            <w:noWrap/>
            <w:vAlign w:val="center"/>
            <w:hideMark/>
          </w:tcPr>
          <w:p w14:paraId="702B0458"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60,813</w:t>
            </w:r>
          </w:p>
        </w:tc>
        <w:tc>
          <w:tcPr>
            <w:tcW w:w="1300" w:type="dxa"/>
            <w:noWrap/>
            <w:vAlign w:val="center"/>
            <w:hideMark/>
          </w:tcPr>
          <w:p w14:paraId="3D529B2E"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34,383</w:t>
            </w:r>
          </w:p>
        </w:tc>
        <w:tc>
          <w:tcPr>
            <w:tcW w:w="1300" w:type="dxa"/>
            <w:noWrap/>
            <w:vAlign w:val="center"/>
            <w:hideMark/>
          </w:tcPr>
          <w:p w14:paraId="25181B0A"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42,789</w:t>
            </w:r>
          </w:p>
        </w:tc>
        <w:tc>
          <w:tcPr>
            <w:tcW w:w="1300" w:type="dxa"/>
            <w:noWrap/>
            <w:vAlign w:val="center"/>
            <w:hideMark/>
          </w:tcPr>
          <w:p w14:paraId="28D2149E"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26,783</w:t>
            </w:r>
          </w:p>
        </w:tc>
      </w:tr>
      <w:tr w:rsidR="00C150CA" w:rsidRPr="00C150CA" w14:paraId="69838FCD"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731B0BD9"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Operating Cash Flow</w:t>
            </w:r>
          </w:p>
        </w:tc>
        <w:tc>
          <w:tcPr>
            <w:tcW w:w="1300" w:type="dxa"/>
            <w:noWrap/>
            <w:vAlign w:val="center"/>
            <w:hideMark/>
          </w:tcPr>
          <w:p w14:paraId="6FA2883A"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40,283</w:t>
            </w:r>
          </w:p>
        </w:tc>
        <w:tc>
          <w:tcPr>
            <w:tcW w:w="1300" w:type="dxa"/>
            <w:noWrap/>
            <w:vAlign w:val="center"/>
            <w:hideMark/>
          </w:tcPr>
          <w:p w14:paraId="495117C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10,926</w:t>
            </w:r>
          </w:p>
        </w:tc>
        <w:tc>
          <w:tcPr>
            <w:tcW w:w="1300" w:type="dxa"/>
            <w:noWrap/>
            <w:vAlign w:val="center"/>
            <w:hideMark/>
          </w:tcPr>
          <w:p w14:paraId="4709E6C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25,190</w:t>
            </w:r>
          </w:p>
        </w:tc>
        <w:tc>
          <w:tcPr>
            <w:tcW w:w="1300" w:type="dxa"/>
            <w:noWrap/>
            <w:vAlign w:val="center"/>
            <w:hideMark/>
          </w:tcPr>
          <w:p w14:paraId="61E6ACE4"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14,822</w:t>
            </w:r>
          </w:p>
        </w:tc>
      </w:tr>
      <w:tr w:rsidR="00C150CA" w:rsidRPr="00C150CA" w14:paraId="10B8785A"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773097AB" w14:textId="77777777" w:rsidR="00C150CA" w:rsidRPr="00C150CA" w:rsidRDefault="00C150CA" w:rsidP="00C150CA">
            <w:pPr>
              <w:jc w:val="center"/>
              <w:rPr>
                <w:rFonts w:ascii="Calibri" w:eastAsia="Times New Roman" w:hAnsi="Calibri" w:cs="Calibri"/>
                <w:b w:val="0"/>
                <w:bCs w:val="0"/>
                <w:color w:val="000000"/>
                <w:lang w:val="en-US"/>
              </w:rPr>
            </w:pPr>
          </w:p>
        </w:tc>
        <w:tc>
          <w:tcPr>
            <w:tcW w:w="1300" w:type="dxa"/>
            <w:noWrap/>
            <w:vAlign w:val="center"/>
            <w:hideMark/>
          </w:tcPr>
          <w:p w14:paraId="1E37600D"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4D6C9FF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5B41F7B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0CC8DC4F"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150CA" w:rsidRPr="00C150CA" w14:paraId="6095E71E"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0FEDCA46" w14:textId="77777777" w:rsidR="00C150CA" w:rsidRPr="00C150CA" w:rsidRDefault="00C150CA" w:rsidP="00C150CA">
            <w:pPr>
              <w:jc w:val="center"/>
              <w:rPr>
                <w:rFonts w:ascii="Times New Roman" w:eastAsia="Times New Roman" w:hAnsi="Times New Roman" w:cs="Times New Roman"/>
                <w:sz w:val="20"/>
                <w:szCs w:val="20"/>
                <w:lang w:val="en-US"/>
              </w:rPr>
            </w:pPr>
          </w:p>
        </w:tc>
        <w:tc>
          <w:tcPr>
            <w:tcW w:w="1300" w:type="dxa"/>
            <w:noWrap/>
            <w:vAlign w:val="center"/>
            <w:hideMark/>
          </w:tcPr>
          <w:p w14:paraId="30758E0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28D6C85C"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52D14A2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4215FCF4"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150CA" w:rsidRPr="00C150CA" w14:paraId="75052A97"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71D058DD" w14:textId="77777777" w:rsidR="00C150CA" w:rsidRPr="00C150CA" w:rsidRDefault="00C150CA" w:rsidP="00C150CA">
            <w:pPr>
              <w:jc w:val="center"/>
              <w:rPr>
                <w:rFonts w:ascii="Times New Roman" w:eastAsia="Times New Roman" w:hAnsi="Times New Roman" w:cs="Times New Roman"/>
                <w:sz w:val="20"/>
                <w:szCs w:val="20"/>
                <w:lang w:val="en-US"/>
              </w:rPr>
            </w:pPr>
          </w:p>
        </w:tc>
        <w:tc>
          <w:tcPr>
            <w:tcW w:w="1300" w:type="dxa"/>
            <w:noWrap/>
            <w:vAlign w:val="center"/>
            <w:hideMark/>
          </w:tcPr>
          <w:p w14:paraId="60EE16DC"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2021 (£m)</w:t>
            </w:r>
          </w:p>
        </w:tc>
        <w:tc>
          <w:tcPr>
            <w:tcW w:w="1300" w:type="dxa"/>
            <w:noWrap/>
            <w:vAlign w:val="center"/>
            <w:hideMark/>
          </w:tcPr>
          <w:p w14:paraId="28EFEA70"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2022 (Cm)</w:t>
            </w:r>
          </w:p>
        </w:tc>
        <w:tc>
          <w:tcPr>
            <w:tcW w:w="1300" w:type="dxa"/>
            <w:noWrap/>
            <w:vAlign w:val="center"/>
            <w:hideMark/>
          </w:tcPr>
          <w:p w14:paraId="17018F7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2023 (£m)</w:t>
            </w:r>
          </w:p>
        </w:tc>
        <w:tc>
          <w:tcPr>
            <w:tcW w:w="1300" w:type="dxa"/>
            <w:noWrap/>
            <w:vAlign w:val="center"/>
            <w:hideMark/>
          </w:tcPr>
          <w:p w14:paraId="31E9E50E"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2024 (£m)</w:t>
            </w:r>
          </w:p>
        </w:tc>
      </w:tr>
      <w:tr w:rsidR="00C150CA" w:rsidRPr="00C150CA" w14:paraId="1D7CCB02"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623FE142" w14:textId="77777777" w:rsidR="00C150CA" w:rsidRPr="00C150CA" w:rsidRDefault="00C150CA" w:rsidP="00C150CA">
            <w:pPr>
              <w:jc w:val="center"/>
              <w:rPr>
                <w:rFonts w:ascii="Calibri" w:eastAsia="Times New Roman" w:hAnsi="Calibri" w:cs="Calibri"/>
                <w:color w:val="000000"/>
                <w:lang w:val="en-US"/>
              </w:rPr>
            </w:pPr>
            <w:r w:rsidRPr="00C150CA">
              <w:rPr>
                <w:rFonts w:ascii="Calibri" w:eastAsia="Times New Roman" w:hAnsi="Calibri" w:cs="Calibri"/>
                <w:color w:val="000000"/>
                <w:lang w:val="en-US"/>
              </w:rPr>
              <w:t>Gross Profit</w:t>
            </w:r>
          </w:p>
        </w:tc>
        <w:tc>
          <w:tcPr>
            <w:tcW w:w="1300" w:type="dxa"/>
            <w:noWrap/>
            <w:vAlign w:val="center"/>
            <w:hideMark/>
          </w:tcPr>
          <w:p w14:paraId="47B18B4D"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173,016</w:t>
            </w:r>
          </w:p>
        </w:tc>
        <w:tc>
          <w:tcPr>
            <w:tcW w:w="1300" w:type="dxa"/>
            <w:noWrap/>
            <w:vAlign w:val="center"/>
            <w:hideMark/>
          </w:tcPr>
          <w:p w14:paraId="0139D92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152,292</w:t>
            </w:r>
          </w:p>
        </w:tc>
        <w:tc>
          <w:tcPr>
            <w:tcW w:w="1300" w:type="dxa"/>
            <w:noWrap/>
            <w:vAlign w:val="center"/>
            <w:hideMark/>
          </w:tcPr>
          <w:p w14:paraId="234C47EB"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97,560</w:t>
            </w:r>
          </w:p>
        </w:tc>
        <w:tc>
          <w:tcPr>
            <w:tcW w:w="1300" w:type="dxa"/>
            <w:noWrap/>
            <w:vAlign w:val="center"/>
            <w:hideMark/>
          </w:tcPr>
          <w:p w14:paraId="406FD64B"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113,994</w:t>
            </w:r>
          </w:p>
        </w:tc>
      </w:tr>
      <w:tr w:rsidR="00C150CA" w:rsidRPr="00C150CA" w14:paraId="305FE439"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5784E018" w14:textId="77777777" w:rsidR="00C150CA" w:rsidRPr="00C150CA" w:rsidRDefault="00C150CA" w:rsidP="00C150CA">
            <w:pPr>
              <w:jc w:val="center"/>
              <w:rPr>
                <w:rFonts w:ascii="Calibri" w:eastAsia="Times New Roman" w:hAnsi="Calibri" w:cs="Calibri"/>
                <w:b w:val="0"/>
                <w:bCs w:val="0"/>
                <w:color w:val="000000"/>
                <w:lang w:val="en-US"/>
              </w:rPr>
            </w:pPr>
          </w:p>
        </w:tc>
        <w:tc>
          <w:tcPr>
            <w:tcW w:w="1300" w:type="dxa"/>
            <w:noWrap/>
            <w:vAlign w:val="center"/>
            <w:hideMark/>
          </w:tcPr>
          <w:p w14:paraId="1F95E6CA"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54C3A6B4"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-12%</w:t>
            </w:r>
          </w:p>
        </w:tc>
        <w:tc>
          <w:tcPr>
            <w:tcW w:w="1300" w:type="dxa"/>
            <w:noWrap/>
            <w:vAlign w:val="center"/>
            <w:hideMark/>
          </w:tcPr>
          <w:p w14:paraId="70DF20A1"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-36%</w:t>
            </w:r>
          </w:p>
        </w:tc>
        <w:tc>
          <w:tcPr>
            <w:tcW w:w="1300" w:type="dxa"/>
            <w:noWrap/>
            <w:vAlign w:val="center"/>
            <w:hideMark/>
          </w:tcPr>
          <w:p w14:paraId="3AF3A724"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17%</w:t>
            </w:r>
          </w:p>
        </w:tc>
      </w:tr>
      <w:tr w:rsidR="00C150CA" w:rsidRPr="00C150CA" w14:paraId="15E700A5"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69C337DF" w14:textId="77777777" w:rsidR="00C150CA" w:rsidRPr="00C150CA" w:rsidRDefault="00C150CA" w:rsidP="00C150CA">
            <w:pPr>
              <w:jc w:val="center"/>
              <w:rPr>
                <w:rFonts w:ascii="Calibri" w:eastAsia="Times New Roman" w:hAnsi="Calibri" w:cs="Calibri"/>
                <w:b w:val="0"/>
                <w:bCs w:val="0"/>
                <w:color w:val="000000"/>
                <w:lang w:val="en-US"/>
              </w:rPr>
            </w:pPr>
          </w:p>
        </w:tc>
        <w:tc>
          <w:tcPr>
            <w:tcW w:w="1300" w:type="dxa"/>
            <w:noWrap/>
            <w:vAlign w:val="center"/>
            <w:hideMark/>
          </w:tcPr>
          <w:p w14:paraId="014345B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0CD595C8"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78DFE482"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404E462D"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150CA" w:rsidRPr="00C150CA" w14:paraId="675A1780"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5A107AAE" w14:textId="77777777" w:rsidR="00C150CA" w:rsidRPr="00C150CA" w:rsidRDefault="00C150CA" w:rsidP="00C150CA">
            <w:pPr>
              <w:jc w:val="center"/>
              <w:rPr>
                <w:rFonts w:ascii="Times New Roman" w:eastAsia="Times New Roman" w:hAnsi="Times New Roman" w:cs="Times New Roman"/>
                <w:sz w:val="20"/>
                <w:szCs w:val="20"/>
                <w:lang w:val="en-US"/>
              </w:rPr>
            </w:pPr>
          </w:p>
        </w:tc>
        <w:tc>
          <w:tcPr>
            <w:tcW w:w="1300" w:type="dxa"/>
            <w:noWrap/>
            <w:vAlign w:val="center"/>
            <w:hideMark/>
          </w:tcPr>
          <w:p w14:paraId="453F3CA7"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2606AB8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68EF6A94"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43D8985E"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150CA" w:rsidRPr="00C150CA" w14:paraId="20BA5DF9"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0644830A" w14:textId="77777777" w:rsidR="00C150CA" w:rsidRPr="00C150CA" w:rsidRDefault="00C150CA" w:rsidP="00C150CA">
            <w:pPr>
              <w:jc w:val="center"/>
              <w:rPr>
                <w:rFonts w:ascii="Times New Roman" w:eastAsia="Times New Roman" w:hAnsi="Times New Roman" w:cs="Times New Roman"/>
                <w:sz w:val="20"/>
                <w:szCs w:val="20"/>
                <w:lang w:val="en-US"/>
              </w:rPr>
            </w:pPr>
          </w:p>
        </w:tc>
        <w:tc>
          <w:tcPr>
            <w:tcW w:w="1300" w:type="dxa"/>
            <w:noWrap/>
            <w:vAlign w:val="center"/>
            <w:hideMark/>
          </w:tcPr>
          <w:p w14:paraId="0D63BB9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2021</w:t>
            </w:r>
          </w:p>
        </w:tc>
        <w:tc>
          <w:tcPr>
            <w:tcW w:w="1300" w:type="dxa"/>
            <w:noWrap/>
            <w:vAlign w:val="center"/>
            <w:hideMark/>
          </w:tcPr>
          <w:p w14:paraId="461FBEEF"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2022</w:t>
            </w:r>
          </w:p>
        </w:tc>
        <w:tc>
          <w:tcPr>
            <w:tcW w:w="1300" w:type="dxa"/>
            <w:noWrap/>
            <w:vAlign w:val="center"/>
            <w:hideMark/>
          </w:tcPr>
          <w:p w14:paraId="4AECAA12"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2023</w:t>
            </w:r>
          </w:p>
        </w:tc>
        <w:tc>
          <w:tcPr>
            <w:tcW w:w="1300" w:type="dxa"/>
            <w:noWrap/>
            <w:vAlign w:val="center"/>
            <w:hideMark/>
          </w:tcPr>
          <w:p w14:paraId="744546CF"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2024</w:t>
            </w:r>
          </w:p>
        </w:tc>
      </w:tr>
      <w:tr w:rsidR="00C150CA" w:rsidRPr="00C150CA" w14:paraId="2B86940A"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28B3ED27"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Operating Income / (Loss) (£m)</w:t>
            </w:r>
          </w:p>
        </w:tc>
        <w:tc>
          <w:tcPr>
            <w:tcW w:w="1300" w:type="dxa"/>
            <w:noWrap/>
            <w:vAlign w:val="center"/>
            <w:hideMark/>
          </w:tcPr>
          <w:p w14:paraId="199DC6E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23,253</w:t>
            </w:r>
          </w:p>
        </w:tc>
        <w:tc>
          <w:tcPr>
            <w:tcW w:w="1300" w:type="dxa"/>
            <w:noWrap/>
            <w:vAlign w:val="center"/>
            <w:hideMark/>
          </w:tcPr>
          <w:p w14:paraId="54E3C48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14,548</w:t>
            </w:r>
          </w:p>
        </w:tc>
        <w:tc>
          <w:tcPr>
            <w:tcW w:w="1300" w:type="dxa"/>
            <w:noWrap/>
            <w:vAlign w:val="center"/>
            <w:hideMark/>
          </w:tcPr>
          <w:p w14:paraId="40F6AB75"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-85,301</w:t>
            </w:r>
          </w:p>
        </w:tc>
        <w:tc>
          <w:tcPr>
            <w:tcW w:w="1300" w:type="dxa"/>
            <w:noWrap/>
            <w:vAlign w:val="center"/>
            <w:hideMark/>
          </w:tcPr>
          <w:p w14:paraId="521C877C"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-15,297</w:t>
            </w:r>
          </w:p>
        </w:tc>
      </w:tr>
      <w:tr w:rsidR="00C150CA" w:rsidRPr="00C150CA" w14:paraId="1F7CBF36"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64E9FE00" w14:textId="77777777" w:rsidR="00C150CA" w:rsidRPr="00C150CA" w:rsidRDefault="00C150CA" w:rsidP="00C150CA">
            <w:pPr>
              <w:jc w:val="center"/>
              <w:rPr>
                <w:rFonts w:ascii="Calibri" w:eastAsia="Times New Roman" w:hAnsi="Calibri" w:cs="Calibri"/>
                <w:b w:val="0"/>
                <w:bCs w:val="0"/>
                <w:color w:val="000000"/>
                <w:lang w:val="en-US"/>
              </w:rPr>
            </w:pPr>
          </w:p>
        </w:tc>
        <w:tc>
          <w:tcPr>
            <w:tcW w:w="1300" w:type="dxa"/>
            <w:noWrap/>
            <w:vAlign w:val="center"/>
            <w:hideMark/>
          </w:tcPr>
          <w:p w14:paraId="7FC232F1"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58294BCC"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-37%</w:t>
            </w:r>
          </w:p>
        </w:tc>
        <w:tc>
          <w:tcPr>
            <w:tcW w:w="1300" w:type="dxa"/>
            <w:noWrap/>
            <w:vAlign w:val="center"/>
            <w:hideMark/>
          </w:tcPr>
          <w:p w14:paraId="434DC1E0"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-686%</w:t>
            </w:r>
          </w:p>
        </w:tc>
        <w:tc>
          <w:tcPr>
            <w:tcW w:w="1300" w:type="dxa"/>
            <w:noWrap/>
            <w:vAlign w:val="center"/>
            <w:hideMark/>
          </w:tcPr>
          <w:p w14:paraId="19139661"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82%</w:t>
            </w:r>
          </w:p>
        </w:tc>
      </w:tr>
      <w:tr w:rsidR="00C150CA" w:rsidRPr="00C150CA" w14:paraId="44A5FD89"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0FC04865" w14:textId="77777777" w:rsidR="00C150CA" w:rsidRPr="00C150CA" w:rsidRDefault="00C150CA" w:rsidP="00C150CA">
            <w:pPr>
              <w:jc w:val="center"/>
              <w:rPr>
                <w:rFonts w:ascii="Calibri" w:eastAsia="Times New Roman" w:hAnsi="Calibri" w:cs="Calibri"/>
                <w:b w:val="0"/>
                <w:bCs w:val="0"/>
                <w:color w:val="000000"/>
                <w:lang w:val="en-US"/>
              </w:rPr>
            </w:pPr>
          </w:p>
        </w:tc>
        <w:tc>
          <w:tcPr>
            <w:tcW w:w="1300" w:type="dxa"/>
            <w:noWrap/>
            <w:vAlign w:val="center"/>
            <w:hideMark/>
          </w:tcPr>
          <w:p w14:paraId="5EA612FF"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2433A558"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6C5AD93D"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744CE2CE"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150CA" w:rsidRPr="00C150CA" w14:paraId="35D5C666"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2EFC3E9F" w14:textId="77777777" w:rsidR="00C150CA" w:rsidRPr="00C150CA" w:rsidRDefault="00C150CA" w:rsidP="00C150CA">
            <w:pPr>
              <w:jc w:val="center"/>
              <w:rPr>
                <w:rFonts w:ascii="Times New Roman" w:eastAsia="Times New Roman" w:hAnsi="Times New Roman" w:cs="Times New Roman"/>
                <w:sz w:val="20"/>
                <w:szCs w:val="20"/>
                <w:lang w:val="en-US"/>
              </w:rPr>
            </w:pPr>
          </w:p>
        </w:tc>
        <w:tc>
          <w:tcPr>
            <w:tcW w:w="1300" w:type="dxa"/>
            <w:noWrap/>
            <w:vAlign w:val="center"/>
            <w:hideMark/>
          </w:tcPr>
          <w:p w14:paraId="1DFB290A"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2021</w:t>
            </w:r>
          </w:p>
        </w:tc>
        <w:tc>
          <w:tcPr>
            <w:tcW w:w="1300" w:type="dxa"/>
            <w:noWrap/>
            <w:vAlign w:val="center"/>
            <w:hideMark/>
          </w:tcPr>
          <w:p w14:paraId="47621EDA"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2022</w:t>
            </w:r>
          </w:p>
        </w:tc>
        <w:tc>
          <w:tcPr>
            <w:tcW w:w="1300" w:type="dxa"/>
            <w:noWrap/>
            <w:vAlign w:val="center"/>
            <w:hideMark/>
          </w:tcPr>
          <w:p w14:paraId="1A467035"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2023</w:t>
            </w:r>
          </w:p>
        </w:tc>
        <w:tc>
          <w:tcPr>
            <w:tcW w:w="1300" w:type="dxa"/>
            <w:noWrap/>
            <w:vAlign w:val="center"/>
            <w:hideMark/>
          </w:tcPr>
          <w:p w14:paraId="1B4B6105"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2024</w:t>
            </w:r>
          </w:p>
        </w:tc>
      </w:tr>
      <w:tr w:rsidR="00C150CA" w:rsidRPr="00C150CA" w14:paraId="2B17E6E6"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6528F8C4"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Operating Income / (Loss)</w:t>
            </w:r>
          </w:p>
        </w:tc>
        <w:tc>
          <w:tcPr>
            <w:tcW w:w="1300" w:type="dxa"/>
            <w:noWrap/>
            <w:vAlign w:val="center"/>
            <w:hideMark/>
          </w:tcPr>
          <w:p w14:paraId="6FDC5C81"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300" w:type="dxa"/>
            <w:noWrap/>
            <w:vAlign w:val="center"/>
            <w:hideMark/>
          </w:tcPr>
          <w:p w14:paraId="73D5B0E1"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-37%</w:t>
            </w:r>
          </w:p>
        </w:tc>
        <w:tc>
          <w:tcPr>
            <w:tcW w:w="1300" w:type="dxa"/>
            <w:noWrap/>
            <w:vAlign w:val="center"/>
            <w:hideMark/>
          </w:tcPr>
          <w:p w14:paraId="67EF96DB"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-686%</w:t>
            </w:r>
          </w:p>
        </w:tc>
        <w:tc>
          <w:tcPr>
            <w:tcW w:w="1300" w:type="dxa"/>
            <w:noWrap/>
            <w:vAlign w:val="center"/>
            <w:hideMark/>
          </w:tcPr>
          <w:p w14:paraId="6D7B37C8"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-82%</w:t>
            </w:r>
          </w:p>
        </w:tc>
      </w:tr>
      <w:tr w:rsidR="00C150CA" w:rsidRPr="00C150CA" w14:paraId="3C5F43D3"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4F01C71E" w14:textId="77777777" w:rsidR="00C150CA" w:rsidRPr="00C150CA" w:rsidRDefault="00C150CA" w:rsidP="00C150CA">
            <w:pPr>
              <w:jc w:val="center"/>
              <w:rPr>
                <w:rFonts w:ascii="Calibri" w:eastAsia="Times New Roman" w:hAnsi="Calibri" w:cs="Calibri"/>
                <w:b w:val="0"/>
                <w:bCs w:val="0"/>
                <w:color w:val="000000"/>
                <w:lang w:val="en-US"/>
              </w:rPr>
            </w:pPr>
          </w:p>
        </w:tc>
        <w:tc>
          <w:tcPr>
            <w:tcW w:w="1300" w:type="dxa"/>
            <w:noWrap/>
            <w:vAlign w:val="center"/>
            <w:hideMark/>
          </w:tcPr>
          <w:p w14:paraId="1240A145"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54777F9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0766FEE1"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154CBF9A"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150CA" w:rsidRPr="00C150CA" w14:paraId="7A2C6126"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2DB9B711" w14:textId="77777777" w:rsidR="00C150CA" w:rsidRPr="00C150CA" w:rsidRDefault="00C150CA" w:rsidP="00C150CA">
            <w:pPr>
              <w:jc w:val="center"/>
              <w:rPr>
                <w:rFonts w:ascii="Times New Roman" w:eastAsia="Times New Roman" w:hAnsi="Times New Roman" w:cs="Times New Roman"/>
                <w:sz w:val="20"/>
                <w:szCs w:val="20"/>
                <w:lang w:val="en-US"/>
              </w:rPr>
            </w:pPr>
          </w:p>
        </w:tc>
        <w:tc>
          <w:tcPr>
            <w:tcW w:w="1300" w:type="dxa"/>
            <w:noWrap/>
            <w:vAlign w:val="center"/>
            <w:hideMark/>
          </w:tcPr>
          <w:p w14:paraId="48B0D09B"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2021</w:t>
            </w:r>
          </w:p>
        </w:tc>
        <w:tc>
          <w:tcPr>
            <w:tcW w:w="1300" w:type="dxa"/>
            <w:noWrap/>
            <w:vAlign w:val="center"/>
            <w:hideMark/>
          </w:tcPr>
          <w:p w14:paraId="423FA47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2022</w:t>
            </w:r>
          </w:p>
        </w:tc>
        <w:tc>
          <w:tcPr>
            <w:tcW w:w="1300" w:type="dxa"/>
            <w:noWrap/>
            <w:vAlign w:val="center"/>
            <w:hideMark/>
          </w:tcPr>
          <w:p w14:paraId="1E9496F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2023</w:t>
            </w:r>
          </w:p>
        </w:tc>
        <w:tc>
          <w:tcPr>
            <w:tcW w:w="1300" w:type="dxa"/>
            <w:noWrap/>
            <w:vAlign w:val="center"/>
            <w:hideMark/>
          </w:tcPr>
          <w:p w14:paraId="4570244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2024</w:t>
            </w:r>
          </w:p>
        </w:tc>
      </w:tr>
      <w:tr w:rsidR="00C150CA" w:rsidRPr="00C150CA" w14:paraId="06DA1481"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1397F933"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lastRenderedPageBreak/>
              <w:t>Total Liabilities</w:t>
            </w:r>
          </w:p>
        </w:tc>
        <w:tc>
          <w:tcPr>
            <w:tcW w:w="1300" w:type="dxa"/>
            <w:noWrap/>
            <w:vAlign w:val="center"/>
            <w:hideMark/>
          </w:tcPr>
          <w:p w14:paraId="483FDFE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234,399</w:t>
            </w:r>
          </w:p>
        </w:tc>
        <w:tc>
          <w:tcPr>
            <w:tcW w:w="1300" w:type="dxa"/>
            <w:noWrap/>
            <w:vAlign w:val="center"/>
            <w:hideMark/>
          </w:tcPr>
          <w:p w14:paraId="557CD072"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232,034</w:t>
            </w:r>
          </w:p>
        </w:tc>
        <w:tc>
          <w:tcPr>
            <w:tcW w:w="1300" w:type="dxa"/>
            <w:noWrap/>
            <w:vAlign w:val="center"/>
            <w:hideMark/>
          </w:tcPr>
          <w:p w14:paraId="30557C1B"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196,678</w:t>
            </w:r>
          </w:p>
        </w:tc>
        <w:tc>
          <w:tcPr>
            <w:tcW w:w="1300" w:type="dxa"/>
            <w:noWrap/>
            <w:vAlign w:val="center"/>
            <w:hideMark/>
          </w:tcPr>
          <w:p w14:paraId="5A86F7B7"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170,249</w:t>
            </w:r>
          </w:p>
        </w:tc>
      </w:tr>
      <w:tr w:rsidR="00C150CA" w:rsidRPr="00C150CA" w14:paraId="17D64100"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7751575A"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Current Assets</w:t>
            </w:r>
          </w:p>
        </w:tc>
        <w:tc>
          <w:tcPr>
            <w:tcW w:w="1300" w:type="dxa"/>
            <w:noWrap/>
            <w:vAlign w:val="center"/>
            <w:hideMark/>
          </w:tcPr>
          <w:p w14:paraId="06910445"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283,483</w:t>
            </w:r>
          </w:p>
        </w:tc>
        <w:tc>
          <w:tcPr>
            <w:tcW w:w="1300" w:type="dxa"/>
            <w:noWrap/>
            <w:vAlign w:val="center"/>
            <w:hideMark/>
          </w:tcPr>
          <w:p w14:paraId="045D8630"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272,621</w:t>
            </w:r>
          </w:p>
        </w:tc>
        <w:tc>
          <w:tcPr>
            <w:tcW w:w="1300" w:type="dxa"/>
            <w:noWrap/>
            <w:vAlign w:val="center"/>
            <w:hideMark/>
          </w:tcPr>
          <w:p w14:paraId="12F19EFB"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247,021</w:t>
            </w:r>
          </w:p>
        </w:tc>
        <w:tc>
          <w:tcPr>
            <w:tcW w:w="1300" w:type="dxa"/>
            <w:noWrap/>
            <w:vAlign w:val="center"/>
            <w:hideMark/>
          </w:tcPr>
          <w:p w14:paraId="5A6CB7DB"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242,494</w:t>
            </w:r>
          </w:p>
        </w:tc>
      </w:tr>
      <w:tr w:rsidR="00C150CA" w:rsidRPr="00C150CA" w14:paraId="67B41F0A"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11885AD2" w14:textId="77777777" w:rsidR="00C150CA" w:rsidRPr="00C150CA" w:rsidRDefault="00C150CA" w:rsidP="00C150CA">
            <w:pPr>
              <w:jc w:val="center"/>
              <w:rPr>
                <w:rFonts w:ascii="Calibri" w:eastAsia="Times New Roman" w:hAnsi="Calibri" w:cs="Calibri"/>
                <w:b w:val="0"/>
                <w:bCs w:val="0"/>
                <w:color w:val="000000"/>
                <w:lang w:val="en-US"/>
              </w:rPr>
            </w:pPr>
            <w:r w:rsidRPr="00C150CA">
              <w:rPr>
                <w:rFonts w:ascii="Calibri" w:eastAsia="Times New Roman" w:hAnsi="Calibri" w:cs="Calibri"/>
                <w:b w:val="0"/>
                <w:bCs w:val="0"/>
                <w:color w:val="000000"/>
                <w:lang w:val="en-US"/>
              </w:rPr>
              <w:t>Cash &amp; Cash Equivalents</w:t>
            </w:r>
          </w:p>
        </w:tc>
        <w:tc>
          <w:tcPr>
            <w:tcW w:w="1300" w:type="dxa"/>
            <w:noWrap/>
            <w:vAlign w:val="center"/>
            <w:hideMark/>
          </w:tcPr>
          <w:p w14:paraId="3710D825"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60,813</w:t>
            </w:r>
          </w:p>
        </w:tc>
        <w:tc>
          <w:tcPr>
            <w:tcW w:w="1300" w:type="dxa"/>
            <w:noWrap/>
            <w:vAlign w:val="center"/>
            <w:hideMark/>
          </w:tcPr>
          <w:p w14:paraId="1C40E394"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34,383</w:t>
            </w:r>
          </w:p>
        </w:tc>
        <w:tc>
          <w:tcPr>
            <w:tcW w:w="1300" w:type="dxa"/>
            <w:noWrap/>
            <w:vAlign w:val="center"/>
            <w:hideMark/>
          </w:tcPr>
          <w:p w14:paraId="006759F8"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42,789</w:t>
            </w:r>
          </w:p>
        </w:tc>
        <w:tc>
          <w:tcPr>
            <w:tcW w:w="1300" w:type="dxa"/>
            <w:noWrap/>
            <w:vAlign w:val="center"/>
            <w:hideMark/>
          </w:tcPr>
          <w:p w14:paraId="17F3313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26,783</w:t>
            </w:r>
          </w:p>
        </w:tc>
      </w:tr>
      <w:tr w:rsidR="00C150CA" w:rsidRPr="00C150CA" w14:paraId="7DA7EBDC"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0417A7D9" w14:textId="77777777" w:rsidR="00C150CA" w:rsidRPr="00C150CA" w:rsidRDefault="00C150CA" w:rsidP="00C150CA">
            <w:pPr>
              <w:jc w:val="center"/>
              <w:rPr>
                <w:rFonts w:ascii="Calibri" w:eastAsia="Times New Roman" w:hAnsi="Calibri" w:cs="Calibri"/>
                <w:b w:val="0"/>
                <w:bCs w:val="0"/>
                <w:color w:val="000000"/>
                <w:lang w:val="en-US"/>
              </w:rPr>
            </w:pPr>
          </w:p>
        </w:tc>
        <w:tc>
          <w:tcPr>
            <w:tcW w:w="1300" w:type="dxa"/>
            <w:noWrap/>
            <w:vAlign w:val="center"/>
            <w:hideMark/>
          </w:tcPr>
          <w:p w14:paraId="1A8ED40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7468B9C0"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70AAF734"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69DA7ADA"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150CA" w:rsidRPr="00C150CA" w14:paraId="5C240310"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2E1061FD" w14:textId="77777777" w:rsidR="00C150CA" w:rsidRPr="00C150CA" w:rsidRDefault="00C150CA" w:rsidP="00C150CA">
            <w:pPr>
              <w:jc w:val="center"/>
              <w:rPr>
                <w:rFonts w:ascii="Times New Roman" w:eastAsia="Times New Roman" w:hAnsi="Times New Roman" w:cs="Times New Roman"/>
                <w:sz w:val="20"/>
                <w:szCs w:val="20"/>
                <w:lang w:val="en-US"/>
              </w:rPr>
            </w:pPr>
          </w:p>
        </w:tc>
        <w:tc>
          <w:tcPr>
            <w:tcW w:w="1300" w:type="dxa"/>
            <w:noWrap/>
            <w:vAlign w:val="center"/>
            <w:hideMark/>
          </w:tcPr>
          <w:p w14:paraId="458C058B"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27BD8F2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2E295CA1"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300" w:type="dxa"/>
            <w:noWrap/>
            <w:vAlign w:val="center"/>
            <w:hideMark/>
          </w:tcPr>
          <w:p w14:paraId="03D34C55"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150CA" w:rsidRPr="00C150CA" w14:paraId="49E86A2F"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6C9660C4" w14:textId="77777777" w:rsidR="00C150CA" w:rsidRPr="00C150CA" w:rsidRDefault="00C150CA" w:rsidP="00C150CA">
            <w:pPr>
              <w:jc w:val="center"/>
              <w:rPr>
                <w:rFonts w:ascii="Times New Roman" w:eastAsia="Times New Roman" w:hAnsi="Times New Roman" w:cs="Times New Roman"/>
                <w:sz w:val="20"/>
                <w:szCs w:val="20"/>
                <w:lang w:val="en-US"/>
              </w:rPr>
            </w:pPr>
          </w:p>
        </w:tc>
        <w:tc>
          <w:tcPr>
            <w:tcW w:w="1300" w:type="dxa"/>
            <w:noWrap/>
            <w:vAlign w:val="center"/>
            <w:hideMark/>
          </w:tcPr>
          <w:p w14:paraId="600B24E1"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2022</w:t>
            </w:r>
          </w:p>
        </w:tc>
        <w:tc>
          <w:tcPr>
            <w:tcW w:w="1300" w:type="dxa"/>
            <w:noWrap/>
            <w:vAlign w:val="center"/>
            <w:hideMark/>
          </w:tcPr>
          <w:p w14:paraId="2692B850"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2023</w:t>
            </w:r>
          </w:p>
        </w:tc>
        <w:tc>
          <w:tcPr>
            <w:tcW w:w="1300" w:type="dxa"/>
            <w:noWrap/>
            <w:vAlign w:val="center"/>
            <w:hideMark/>
          </w:tcPr>
          <w:p w14:paraId="65B5901B"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150CA">
              <w:rPr>
                <w:rFonts w:ascii="Calibri" w:eastAsia="Times New Roman" w:hAnsi="Calibri" w:cs="Calibri"/>
                <w:b/>
                <w:bCs/>
                <w:color w:val="000000"/>
                <w:lang w:val="en-US"/>
              </w:rPr>
              <w:t>2024</w:t>
            </w:r>
          </w:p>
        </w:tc>
        <w:tc>
          <w:tcPr>
            <w:tcW w:w="1300" w:type="dxa"/>
            <w:noWrap/>
            <w:vAlign w:val="center"/>
            <w:hideMark/>
          </w:tcPr>
          <w:p w14:paraId="01663ABF"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p>
        </w:tc>
      </w:tr>
      <w:tr w:rsidR="00C150CA" w:rsidRPr="00C150CA" w14:paraId="5477C487"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743E5AC6" w14:textId="77777777" w:rsidR="00C150CA" w:rsidRPr="00C150CA" w:rsidRDefault="00C150CA" w:rsidP="00C150CA">
            <w:pPr>
              <w:jc w:val="center"/>
              <w:rPr>
                <w:rFonts w:ascii="Calibri" w:eastAsia="Times New Roman" w:hAnsi="Calibri" w:cs="Calibri"/>
                <w:color w:val="000000"/>
                <w:lang w:val="en-US"/>
              </w:rPr>
            </w:pPr>
            <w:r w:rsidRPr="00C150CA">
              <w:rPr>
                <w:rFonts w:ascii="Calibri" w:eastAsia="Times New Roman" w:hAnsi="Calibri" w:cs="Calibri"/>
                <w:color w:val="000000"/>
                <w:lang w:val="en-US"/>
              </w:rPr>
              <w:t>Total Liabilities</w:t>
            </w:r>
          </w:p>
        </w:tc>
        <w:tc>
          <w:tcPr>
            <w:tcW w:w="1300" w:type="dxa"/>
            <w:noWrap/>
            <w:vAlign w:val="center"/>
            <w:hideMark/>
          </w:tcPr>
          <w:p w14:paraId="172D511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-1.01%</w:t>
            </w:r>
          </w:p>
        </w:tc>
        <w:tc>
          <w:tcPr>
            <w:tcW w:w="1300" w:type="dxa"/>
            <w:noWrap/>
            <w:vAlign w:val="center"/>
            <w:hideMark/>
          </w:tcPr>
          <w:p w14:paraId="408CE69A"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-15.24%</w:t>
            </w:r>
          </w:p>
        </w:tc>
        <w:tc>
          <w:tcPr>
            <w:tcW w:w="1300" w:type="dxa"/>
            <w:noWrap/>
            <w:vAlign w:val="center"/>
            <w:hideMark/>
          </w:tcPr>
          <w:p w14:paraId="7877767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-13.44%</w:t>
            </w:r>
          </w:p>
        </w:tc>
        <w:tc>
          <w:tcPr>
            <w:tcW w:w="1300" w:type="dxa"/>
            <w:noWrap/>
            <w:vAlign w:val="center"/>
            <w:hideMark/>
          </w:tcPr>
          <w:p w14:paraId="1A0888E0"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C150CA" w:rsidRPr="00C150CA" w14:paraId="1AD33A58"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11BB5001" w14:textId="77777777" w:rsidR="00C150CA" w:rsidRPr="00C150CA" w:rsidRDefault="00C150CA" w:rsidP="00C150CA">
            <w:pPr>
              <w:jc w:val="center"/>
              <w:rPr>
                <w:rFonts w:ascii="Calibri" w:eastAsia="Times New Roman" w:hAnsi="Calibri" w:cs="Calibri"/>
                <w:color w:val="000000"/>
                <w:lang w:val="en-US"/>
              </w:rPr>
            </w:pPr>
            <w:r w:rsidRPr="00C150CA">
              <w:rPr>
                <w:rFonts w:ascii="Calibri" w:eastAsia="Times New Roman" w:hAnsi="Calibri" w:cs="Calibri"/>
                <w:color w:val="000000"/>
                <w:lang w:val="en-US"/>
              </w:rPr>
              <w:t>Current Assets</w:t>
            </w:r>
          </w:p>
        </w:tc>
        <w:tc>
          <w:tcPr>
            <w:tcW w:w="1300" w:type="dxa"/>
            <w:noWrap/>
            <w:vAlign w:val="center"/>
            <w:hideMark/>
          </w:tcPr>
          <w:p w14:paraId="59F8EB7C"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-3.83%</w:t>
            </w:r>
          </w:p>
        </w:tc>
        <w:tc>
          <w:tcPr>
            <w:tcW w:w="1300" w:type="dxa"/>
            <w:noWrap/>
            <w:vAlign w:val="center"/>
            <w:hideMark/>
          </w:tcPr>
          <w:p w14:paraId="3D6EEBEF"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-9.39%</w:t>
            </w:r>
          </w:p>
        </w:tc>
        <w:tc>
          <w:tcPr>
            <w:tcW w:w="1300" w:type="dxa"/>
            <w:noWrap/>
            <w:vAlign w:val="center"/>
            <w:hideMark/>
          </w:tcPr>
          <w:p w14:paraId="635DFB46"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-1.83%</w:t>
            </w:r>
          </w:p>
        </w:tc>
        <w:tc>
          <w:tcPr>
            <w:tcW w:w="1300" w:type="dxa"/>
            <w:noWrap/>
            <w:vAlign w:val="center"/>
            <w:hideMark/>
          </w:tcPr>
          <w:p w14:paraId="277DA943"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C150CA" w:rsidRPr="00C150CA" w14:paraId="70C3EF27" w14:textId="77777777" w:rsidTr="00C150CA">
        <w:trPr>
          <w:trHeight w:val="432"/>
        </w:trPr>
        <w:tc>
          <w:tcPr>
            <w:cnfStyle w:val="001000000000" w:firstRow="0" w:lastRow="0" w:firstColumn="1" w:lastColumn="0" w:oddVBand="0" w:evenVBand="0" w:oddHBand="0" w:evenHBand="0" w:firstRowFirstColumn="0" w:firstRowLastColumn="0" w:lastRowFirstColumn="0" w:lastRowLastColumn="0"/>
            <w:tcW w:w="3660" w:type="dxa"/>
            <w:noWrap/>
            <w:vAlign w:val="center"/>
            <w:hideMark/>
          </w:tcPr>
          <w:p w14:paraId="347214FE" w14:textId="77777777" w:rsidR="00C150CA" w:rsidRPr="00C150CA" w:rsidRDefault="00C150CA" w:rsidP="00C150CA">
            <w:pPr>
              <w:jc w:val="center"/>
              <w:rPr>
                <w:rFonts w:ascii="Calibri" w:eastAsia="Times New Roman" w:hAnsi="Calibri" w:cs="Calibri"/>
                <w:color w:val="000000"/>
                <w:lang w:val="en-US"/>
              </w:rPr>
            </w:pPr>
            <w:r w:rsidRPr="00C150CA">
              <w:rPr>
                <w:rFonts w:ascii="Calibri" w:eastAsia="Times New Roman" w:hAnsi="Calibri" w:cs="Calibri"/>
                <w:color w:val="000000"/>
                <w:lang w:val="en-US"/>
              </w:rPr>
              <w:t>Cash &amp; Cash Equivalents</w:t>
            </w:r>
          </w:p>
        </w:tc>
        <w:tc>
          <w:tcPr>
            <w:tcW w:w="1300" w:type="dxa"/>
            <w:noWrap/>
            <w:vAlign w:val="center"/>
            <w:hideMark/>
          </w:tcPr>
          <w:p w14:paraId="179C11A4"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-43.46%</w:t>
            </w:r>
          </w:p>
        </w:tc>
        <w:tc>
          <w:tcPr>
            <w:tcW w:w="1300" w:type="dxa"/>
            <w:noWrap/>
            <w:vAlign w:val="center"/>
            <w:hideMark/>
          </w:tcPr>
          <w:p w14:paraId="595D9159"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24.45%</w:t>
            </w:r>
          </w:p>
        </w:tc>
        <w:tc>
          <w:tcPr>
            <w:tcW w:w="1300" w:type="dxa"/>
            <w:noWrap/>
            <w:vAlign w:val="center"/>
            <w:hideMark/>
          </w:tcPr>
          <w:p w14:paraId="759DFC30"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150CA">
              <w:rPr>
                <w:rFonts w:ascii="Calibri" w:eastAsia="Times New Roman" w:hAnsi="Calibri" w:cs="Calibri"/>
                <w:color w:val="000000"/>
                <w:lang w:val="en-US"/>
              </w:rPr>
              <w:t>-37.41%</w:t>
            </w:r>
          </w:p>
        </w:tc>
        <w:tc>
          <w:tcPr>
            <w:tcW w:w="1300" w:type="dxa"/>
            <w:noWrap/>
            <w:vAlign w:val="center"/>
            <w:hideMark/>
          </w:tcPr>
          <w:p w14:paraId="48E0BD1D" w14:textId="77777777" w:rsidR="00C150CA" w:rsidRPr="00C150CA" w:rsidRDefault="00C150CA" w:rsidP="00C150C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bl>
    <w:p w14:paraId="27BAA168" w14:textId="77777777" w:rsidR="00C150CA" w:rsidRDefault="00C150CA" w:rsidP="009B259B">
      <w:pPr>
        <w:rPr>
          <w:b/>
          <w:bCs/>
        </w:rPr>
      </w:pPr>
    </w:p>
    <w:tbl>
      <w:tblPr>
        <w:tblW w:w="9265" w:type="dxa"/>
        <w:tblLook w:val="04A0" w:firstRow="1" w:lastRow="0" w:firstColumn="1" w:lastColumn="0" w:noHBand="0" w:noVBand="1"/>
      </w:tblPr>
      <w:tblGrid>
        <w:gridCol w:w="1355"/>
        <w:gridCol w:w="1880"/>
        <w:gridCol w:w="1530"/>
        <w:gridCol w:w="1530"/>
        <w:gridCol w:w="1350"/>
        <w:gridCol w:w="1620"/>
      </w:tblGrid>
      <w:tr w:rsidR="00C150CA" w:rsidRPr="00C150CA" w14:paraId="14A736BD" w14:textId="77777777" w:rsidTr="00C150CA">
        <w:trPr>
          <w:trHeight w:val="340"/>
        </w:trPr>
        <w:tc>
          <w:tcPr>
            <w:tcW w:w="1355" w:type="dxa"/>
            <w:tcBorders>
              <w:top w:val="single" w:sz="4" w:space="0" w:color="auto"/>
              <w:left w:val="single" w:sz="4" w:space="0" w:color="auto"/>
              <w:bottom w:val="single" w:sz="4" w:space="0" w:color="auto"/>
              <w:right w:val="single" w:sz="4" w:space="0" w:color="auto"/>
            </w:tcBorders>
            <w:vAlign w:val="bottom"/>
            <w:hideMark/>
          </w:tcPr>
          <w:p w14:paraId="3DCEDE89" w14:textId="77777777" w:rsidR="00C150CA" w:rsidRPr="00C150CA" w:rsidRDefault="00C150CA" w:rsidP="00C150CA">
            <w:pPr>
              <w:spacing w:line="240" w:lineRule="auto"/>
              <w:jc w:val="center"/>
              <w:rPr>
                <w:rFonts w:ascii="Calibri" w:eastAsia="Times New Roman" w:hAnsi="Calibri" w:cs="Calibri"/>
                <w:color w:val="000000"/>
                <w:lang w:val="en-US"/>
              </w:rPr>
            </w:pPr>
            <w:r w:rsidRPr="00C150CA">
              <w:rPr>
                <w:rFonts w:ascii="Calibri" w:eastAsia="Times New Roman" w:hAnsi="Calibri" w:cs="Calibri"/>
                <w:color w:val="000000"/>
                <w:lang w:val="en-US"/>
              </w:rPr>
              <w:t>Ratio</w:t>
            </w:r>
          </w:p>
        </w:tc>
        <w:tc>
          <w:tcPr>
            <w:tcW w:w="1880" w:type="dxa"/>
            <w:tcBorders>
              <w:top w:val="single" w:sz="4" w:space="0" w:color="auto"/>
              <w:left w:val="nil"/>
              <w:bottom w:val="single" w:sz="4" w:space="0" w:color="auto"/>
              <w:right w:val="single" w:sz="4" w:space="0" w:color="auto"/>
            </w:tcBorders>
            <w:vAlign w:val="bottom"/>
            <w:hideMark/>
          </w:tcPr>
          <w:p w14:paraId="443BF9BF" w14:textId="77777777" w:rsidR="00C150CA" w:rsidRPr="00C150CA" w:rsidRDefault="00C150CA" w:rsidP="00C150CA">
            <w:pPr>
              <w:spacing w:line="240" w:lineRule="auto"/>
              <w:jc w:val="center"/>
              <w:rPr>
                <w:rFonts w:ascii="Calibri" w:eastAsia="Times New Roman" w:hAnsi="Calibri" w:cs="Calibri"/>
                <w:color w:val="000000"/>
                <w:lang w:val="en-US"/>
              </w:rPr>
            </w:pPr>
            <w:r w:rsidRPr="00C150CA">
              <w:rPr>
                <w:rFonts w:ascii="Calibri" w:eastAsia="Times New Roman" w:hAnsi="Calibri" w:cs="Calibri"/>
                <w:color w:val="000000"/>
                <w:lang w:val="en-US"/>
              </w:rPr>
              <w:t>Ratio</w:t>
            </w:r>
          </w:p>
        </w:tc>
        <w:tc>
          <w:tcPr>
            <w:tcW w:w="1530" w:type="dxa"/>
            <w:tcBorders>
              <w:top w:val="single" w:sz="4" w:space="0" w:color="auto"/>
              <w:left w:val="nil"/>
              <w:bottom w:val="single" w:sz="4" w:space="0" w:color="auto"/>
              <w:right w:val="single" w:sz="4" w:space="0" w:color="auto"/>
            </w:tcBorders>
            <w:vAlign w:val="bottom"/>
            <w:hideMark/>
          </w:tcPr>
          <w:p w14:paraId="4BE8F545" w14:textId="77777777" w:rsidR="00C150CA" w:rsidRPr="00C150CA" w:rsidRDefault="00C150CA" w:rsidP="00C150CA">
            <w:pPr>
              <w:spacing w:line="240" w:lineRule="auto"/>
              <w:jc w:val="center"/>
              <w:rPr>
                <w:rFonts w:ascii="Calibri" w:eastAsia="Times New Roman" w:hAnsi="Calibri" w:cs="Calibri"/>
                <w:color w:val="000000"/>
                <w:lang w:val="en-US"/>
              </w:rPr>
            </w:pPr>
            <w:r w:rsidRPr="00C150CA">
              <w:rPr>
                <w:rFonts w:ascii="Calibri" w:eastAsia="Times New Roman" w:hAnsi="Calibri" w:cs="Calibri"/>
                <w:color w:val="000000"/>
                <w:lang w:val="en-US"/>
              </w:rPr>
              <w:t>2024</w:t>
            </w:r>
          </w:p>
        </w:tc>
        <w:tc>
          <w:tcPr>
            <w:tcW w:w="1530" w:type="dxa"/>
            <w:tcBorders>
              <w:top w:val="single" w:sz="4" w:space="0" w:color="auto"/>
              <w:left w:val="nil"/>
              <w:bottom w:val="single" w:sz="4" w:space="0" w:color="auto"/>
              <w:right w:val="single" w:sz="4" w:space="0" w:color="auto"/>
            </w:tcBorders>
            <w:vAlign w:val="bottom"/>
            <w:hideMark/>
          </w:tcPr>
          <w:p w14:paraId="43162C96" w14:textId="77777777" w:rsidR="00C150CA" w:rsidRPr="00C150CA" w:rsidRDefault="00C150CA" w:rsidP="00C150CA">
            <w:pPr>
              <w:spacing w:line="240" w:lineRule="auto"/>
              <w:jc w:val="center"/>
              <w:rPr>
                <w:rFonts w:ascii="Calibri" w:eastAsia="Times New Roman" w:hAnsi="Calibri" w:cs="Calibri"/>
                <w:color w:val="000000"/>
                <w:lang w:val="en-US"/>
              </w:rPr>
            </w:pPr>
            <w:r w:rsidRPr="00C150CA">
              <w:rPr>
                <w:rFonts w:ascii="Calibri" w:eastAsia="Times New Roman" w:hAnsi="Calibri" w:cs="Calibri"/>
                <w:color w:val="000000"/>
                <w:lang w:val="en-US"/>
              </w:rPr>
              <w:t>2023</w:t>
            </w:r>
          </w:p>
        </w:tc>
        <w:tc>
          <w:tcPr>
            <w:tcW w:w="1350" w:type="dxa"/>
            <w:tcBorders>
              <w:top w:val="single" w:sz="4" w:space="0" w:color="auto"/>
              <w:left w:val="nil"/>
              <w:bottom w:val="single" w:sz="4" w:space="0" w:color="auto"/>
              <w:right w:val="single" w:sz="4" w:space="0" w:color="auto"/>
            </w:tcBorders>
            <w:vAlign w:val="bottom"/>
            <w:hideMark/>
          </w:tcPr>
          <w:p w14:paraId="44B94C23" w14:textId="77777777" w:rsidR="00C150CA" w:rsidRPr="00C150CA" w:rsidRDefault="00C150CA" w:rsidP="00C150CA">
            <w:pPr>
              <w:spacing w:line="240" w:lineRule="auto"/>
              <w:jc w:val="center"/>
              <w:rPr>
                <w:rFonts w:ascii="Calibri" w:eastAsia="Times New Roman" w:hAnsi="Calibri" w:cs="Calibri"/>
                <w:color w:val="000000"/>
                <w:lang w:val="en-US"/>
              </w:rPr>
            </w:pPr>
            <w:r w:rsidRPr="00C150CA">
              <w:rPr>
                <w:rFonts w:ascii="Calibri" w:eastAsia="Times New Roman" w:hAnsi="Calibri" w:cs="Calibri"/>
                <w:color w:val="000000"/>
                <w:lang w:val="en-US"/>
              </w:rPr>
              <w:t>2022</w:t>
            </w:r>
          </w:p>
        </w:tc>
        <w:tc>
          <w:tcPr>
            <w:tcW w:w="1620" w:type="dxa"/>
            <w:tcBorders>
              <w:top w:val="single" w:sz="4" w:space="0" w:color="auto"/>
              <w:left w:val="nil"/>
              <w:bottom w:val="single" w:sz="4" w:space="0" w:color="auto"/>
              <w:right w:val="single" w:sz="4" w:space="0" w:color="auto"/>
            </w:tcBorders>
            <w:vAlign w:val="bottom"/>
            <w:hideMark/>
          </w:tcPr>
          <w:p w14:paraId="13AAA5CC" w14:textId="77777777" w:rsidR="00C150CA" w:rsidRPr="00C150CA" w:rsidRDefault="00C150CA" w:rsidP="00C150CA">
            <w:pPr>
              <w:spacing w:line="240" w:lineRule="auto"/>
              <w:jc w:val="center"/>
              <w:rPr>
                <w:rFonts w:ascii="Calibri" w:eastAsia="Times New Roman" w:hAnsi="Calibri" w:cs="Calibri"/>
                <w:color w:val="000000"/>
                <w:lang w:val="en-US"/>
              </w:rPr>
            </w:pPr>
            <w:r w:rsidRPr="00C150CA">
              <w:rPr>
                <w:rFonts w:ascii="Calibri" w:eastAsia="Times New Roman" w:hAnsi="Calibri" w:cs="Calibri"/>
                <w:color w:val="000000"/>
                <w:lang w:val="en-US"/>
              </w:rPr>
              <w:t>2021</w:t>
            </w:r>
          </w:p>
        </w:tc>
      </w:tr>
      <w:tr w:rsidR="00C150CA" w:rsidRPr="00C150CA" w14:paraId="6FCFD6A6" w14:textId="77777777" w:rsidTr="00C150CA">
        <w:trPr>
          <w:trHeight w:val="680"/>
        </w:trPr>
        <w:tc>
          <w:tcPr>
            <w:tcW w:w="1355" w:type="dxa"/>
            <w:tcBorders>
              <w:top w:val="nil"/>
              <w:left w:val="single" w:sz="4" w:space="0" w:color="auto"/>
              <w:bottom w:val="single" w:sz="4" w:space="0" w:color="auto"/>
              <w:right w:val="single" w:sz="4" w:space="0" w:color="auto"/>
            </w:tcBorders>
            <w:vAlign w:val="bottom"/>
            <w:hideMark/>
          </w:tcPr>
          <w:p w14:paraId="6DEBA9E7"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Profitability Ratios</w:t>
            </w:r>
          </w:p>
        </w:tc>
        <w:tc>
          <w:tcPr>
            <w:tcW w:w="1880" w:type="dxa"/>
            <w:tcBorders>
              <w:top w:val="nil"/>
              <w:left w:val="nil"/>
              <w:bottom w:val="single" w:sz="4" w:space="0" w:color="auto"/>
              <w:right w:val="single" w:sz="4" w:space="0" w:color="auto"/>
            </w:tcBorders>
            <w:vAlign w:val="bottom"/>
            <w:hideMark/>
          </w:tcPr>
          <w:p w14:paraId="04E1FA6F"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Gross Margin</w:t>
            </w:r>
          </w:p>
        </w:tc>
        <w:tc>
          <w:tcPr>
            <w:tcW w:w="1530" w:type="dxa"/>
            <w:tcBorders>
              <w:top w:val="nil"/>
              <w:left w:val="nil"/>
              <w:bottom w:val="single" w:sz="4" w:space="0" w:color="auto"/>
              <w:right w:val="single" w:sz="4" w:space="0" w:color="auto"/>
            </w:tcBorders>
            <w:vAlign w:val="bottom"/>
            <w:hideMark/>
          </w:tcPr>
          <w:p w14:paraId="6C511D02"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28.87%</w:t>
            </w:r>
          </w:p>
        </w:tc>
        <w:tc>
          <w:tcPr>
            <w:tcW w:w="1530" w:type="dxa"/>
            <w:tcBorders>
              <w:top w:val="nil"/>
              <w:left w:val="nil"/>
              <w:bottom w:val="single" w:sz="4" w:space="0" w:color="auto"/>
              <w:right w:val="single" w:sz="4" w:space="0" w:color="auto"/>
            </w:tcBorders>
            <w:vAlign w:val="bottom"/>
            <w:hideMark/>
          </w:tcPr>
          <w:p w14:paraId="7ED2C7C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23.20%</w:t>
            </w:r>
          </w:p>
        </w:tc>
        <w:tc>
          <w:tcPr>
            <w:tcW w:w="1350" w:type="dxa"/>
            <w:tcBorders>
              <w:top w:val="nil"/>
              <w:left w:val="nil"/>
              <w:bottom w:val="single" w:sz="4" w:space="0" w:color="auto"/>
              <w:right w:val="single" w:sz="4" w:space="0" w:color="auto"/>
            </w:tcBorders>
            <w:vAlign w:val="bottom"/>
            <w:hideMark/>
          </w:tcPr>
          <w:p w14:paraId="774695B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28.06%</w:t>
            </w:r>
          </w:p>
        </w:tc>
        <w:tc>
          <w:tcPr>
            <w:tcW w:w="1620" w:type="dxa"/>
            <w:tcBorders>
              <w:top w:val="nil"/>
              <w:left w:val="nil"/>
              <w:bottom w:val="single" w:sz="4" w:space="0" w:color="auto"/>
              <w:right w:val="single" w:sz="4" w:space="0" w:color="auto"/>
            </w:tcBorders>
            <w:vAlign w:val="bottom"/>
            <w:hideMark/>
          </w:tcPr>
          <w:p w14:paraId="69EACD3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28.76%</w:t>
            </w:r>
          </w:p>
        </w:tc>
      </w:tr>
      <w:tr w:rsidR="00C150CA" w:rsidRPr="00C150CA" w14:paraId="7B1E8F2E" w14:textId="77777777" w:rsidTr="00C150CA">
        <w:trPr>
          <w:trHeight w:val="680"/>
        </w:trPr>
        <w:tc>
          <w:tcPr>
            <w:tcW w:w="1355" w:type="dxa"/>
            <w:tcBorders>
              <w:top w:val="nil"/>
              <w:left w:val="single" w:sz="4" w:space="0" w:color="auto"/>
              <w:bottom w:val="single" w:sz="4" w:space="0" w:color="auto"/>
              <w:right w:val="single" w:sz="4" w:space="0" w:color="auto"/>
            </w:tcBorders>
            <w:vAlign w:val="bottom"/>
            <w:hideMark/>
          </w:tcPr>
          <w:p w14:paraId="136AA16F"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7CBFCE00"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Operating Margin</w:t>
            </w:r>
          </w:p>
        </w:tc>
        <w:tc>
          <w:tcPr>
            <w:tcW w:w="1530" w:type="dxa"/>
            <w:tcBorders>
              <w:top w:val="nil"/>
              <w:left w:val="nil"/>
              <w:bottom w:val="single" w:sz="4" w:space="0" w:color="auto"/>
              <w:right w:val="single" w:sz="4" w:space="0" w:color="auto"/>
            </w:tcBorders>
            <w:vAlign w:val="bottom"/>
            <w:hideMark/>
          </w:tcPr>
          <w:p w14:paraId="654EDC6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-3.87%</w:t>
            </w:r>
          </w:p>
        </w:tc>
        <w:tc>
          <w:tcPr>
            <w:tcW w:w="1530" w:type="dxa"/>
            <w:tcBorders>
              <w:top w:val="nil"/>
              <w:left w:val="nil"/>
              <w:bottom w:val="single" w:sz="4" w:space="0" w:color="auto"/>
              <w:right w:val="single" w:sz="4" w:space="0" w:color="auto"/>
            </w:tcBorders>
            <w:vAlign w:val="bottom"/>
            <w:hideMark/>
          </w:tcPr>
          <w:p w14:paraId="1D6AEFF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-20.29%</w:t>
            </w:r>
          </w:p>
        </w:tc>
        <w:tc>
          <w:tcPr>
            <w:tcW w:w="1350" w:type="dxa"/>
            <w:tcBorders>
              <w:top w:val="nil"/>
              <w:left w:val="nil"/>
              <w:bottom w:val="single" w:sz="4" w:space="0" w:color="auto"/>
              <w:right w:val="single" w:sz="4" w:space="0" w:color="auto"/>
            </w:tcBorders>
            <w:vAlign w:val="bottom"/>
            <w:hideMark/>
          </w:tcPr>
          <w:p w14:paraId="2A85345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2.68%</w:t>
            </w:r>
          </w:p>
        </w:tc>
        <w:tc>
          <w:tcPr>
            <w:tcW w:w="1620" w:type="dxa"/>
            <w:tcBorders>
              <w:top w:val="nil"/>
              <w:left w:val="nil"/>
              <w:bottom w:val="single" w:sz="4" w:space="0" w:color="auto"/>
              <w:right w:val="single" w:sz="4" w:space="0" w:color="auto"/>
            </w:tcBorders>
            <w:vAlign w:val="bottom"/>
            <w:hideMark/>
          </w:tcPr>
          <w:p w14:paraId="5336DF3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3.87%</w:t>
            </w:r>
          </w:p>
        </w:tc>
      </w:tr>
      <w:tr w:rsidR="00C150CA" w:rsidRPr="00C150CA" w14:paraId="6B2D771E" w14:textId="77777777" w:rsidTr="00C150CA">
        <w:trPr>
          <w:trHeight w:val="340"/>
        </w:trPr>
        <w:tc>
          <w:tcPr>
            <w:tcW w:w="1355" w:type="dxa"/>
            <w:tcBorders>
              <w:top w:val="nil"/>
              <w:left w:val="single" w:sz="4" w:space="0" w:color="auto"/>
              <w:bottom w:val="single" w:sz="4" w:space="0" w:color="auto"/>
              <w:right w:val="single" w:sz="4" w:space="0" w:color="auto"/>
            </w:tcBorders>
            <w:vAlign w:val="bottom"/>
            <w:hideMark/>
          </w:tcPr>
          <w:p w14:paraId="5E67D31E"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501B0608"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Net Profit Margin</w:t>
            </w:r>
          </w:p>
        </w:tc>
        <w:tc>
          <w:tcPr>
            <w:tcW w:w="1530" w:type="dxa"/>
            <w:tcBorders>
              <w:top w:val="nil"/>
              <w:left w:val="nil"/>
              <w:bottom w:val="single" w:sz="4" w:space="0" w:color="auto"/>
              <w:right w:val="single" w:sz="4" w:space="0" w:color="auto"/>
            </w:tcBorders>
            <w:vAlign w:val="bottom"/>
            <w:hideMark/>
          </w:tcPr>
          <w:p w14:paraId="37C33C7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-6.09%</w:t>
            </w:r>
          </w:p>
        </w:tc>
        <w:tc>
          <w:tcPr>
            <w:tcW w:w="1530" w:type="dxa"/>
            <w:tcBorders>
              <w:top w:val="nil"/>
              <w:left w:val="nil"/>
              <w:bottom w:val="single" w:sz="4" w:space="0" w:color="auto"/>
              <w:right w:val="single" w:sz="4" w:space="0" w:color="auto"/>
            </w:tcBorders>
            <w:vAlign w:val="bottom"/>
            <w:hideMark/>
          </w:tcPr>
          <w:p w14:paraId="57F3A01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-23.36%</w:t>
            </w:r>
          </w:p>
        </w:tc>
        <w:tc>
          <w:tcPr>
            <w:tcW w:w="1350" w:type="dxa"/>
            <w:tcBorders>
              <w:top w:val="nil"/>
              <w:left w:val="nil"/>
              <w:bottom w:val="single" w:sz="4" w:space="0" w:color="auto"/>
              <w:right w:val="single" w:sz="4" w:space="0" w:color="auto"/>
            </w:tcBorders>
            <w:vAlign w:val="bottom"/>
            <w:hideMark/>
          </w:tcPr>
          <w:p w14:paraId="38513353"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0.07%</w:t>
            </w:r>
          </w:p>
        </w:tc>
        <w:tc>
          <w:tcPr>
            <w:tcW w:w="1620" w:type="dxa"/>
            <w:tcBorders>
              <w:top w:val="nil"/>
              <w:left w:val="nil"/>
              <w:bottom w:val="single" w:sz="4" w:space="0" w:color="auto"/>
              <w:right w:val="single" w:sz="4" w:space="0" w:color="auto"/>
            </w:tcBorders>
            <w:vAlign w:val="bottom"/>
            <w:hideMark/>
          </w:tcPr>
          <w:p w14:paraId="1E2ACDF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0.88%</w:t>
            </w:r>
          </w:p>
        </w:tc>
      </w:tr>
      <w:tr w:rsidR="00C150CA" w:rsidRPr="00C150CA" w14:paraId="6B7EDF28" w14:textId="77777777" w:rsidTr="00C150CA">
        <w:trPr>
          <w:trHeight w:val="340"/>
        </w:trPr>
        <w:tc>
          <w:tcPr>
            <w:tcW w:w="1355" w:type="dxa"/>
            <w:tcBorders>
              <w:top w:val="nil"/>
              <w:left w:val="single" w:sz="4" w:space="0" w:color="auto"/>
              <w:bottom w:val="single" w:sz="4" w:space="0" w:color="auto"/>
              <w:right w:val="single" w:sz="4" w:space="0" w:color="auto"/>
            </w:tcBorders>
            <w:vAlign w:val="bottom"/>
            <w:hideMark/>
          </w:tcPr>
          <w:p w14:paraId="4A3F9EA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05B73887"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ROA</w:t>
            </w:r>
          </w:p>
        </w:tc>
        <w:tc>
          <w:tcPr>
            <w:tcW w:w="1530" w:type="dxa"/>
            <w:tcBorders>
              <w:top w:val="nil"/>
              <w:left w:val="nil"/>
              <w:bottom w:val="single" w:sz="4" w:space="0" w:color="auto"/>
              <w:right w:val="single" w:sz="4" w:space="0" w:color="auto"/>
            </w:tcBorders>
            <w:vAlign w:val="bottom"/>
            <w:hideMark/>
          </w:tcPr>
          <w:p w14:paraId="6100592D"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-7.43%</w:t>
            </w:r>
          </w:p>
        </w:tc>
        <w:tc>
          <w:tcPr>
            <w:tcW w:w="1530" w:type="dxa"/>
            <w:tcBorders>
              <w:top w:val="nil"/>
              <w:left w:val="nil"/>
              <w:bottom w:val="single" w:sz="4" w:space="0" w:color="auto"/>
              <w:right w:val="single" w:sz="4" w:space="0" w:color="auto"/>
            </w:tcBorders>
            <w:vAlign w:val="bottom"/>
            <w:hideMark/>
          </w:tcPr>
          <w:p w14:paraId="6569EDC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-27.60%</w:t>
            </w:r>
          </w:p>
        </w:tc>
        <w:tc>
          <w:tcPr>
            <w:tcW w:w="1350" w:type="dxa"/>
            <w:tcBorders>
              <w:top w:val="nil"/>
              <w:left w:val="nil"/>
              <w:bottom w:val="single" w:sz="4" w:space="0" w:color="auto"/>
              <w:right w:val="single" w:sz="4" w:space="0" w:color="auto"/>
            </w:tcBorders>
            <w:vAlign w:val="bottom"/>
            <w:hideMark/>
          </w:tcPr>
          <w:p w14:paraId="2BD41B1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0.08%</w:t>
            </w:r>
          </w:p>
        </w:tc>
        <w:tc>
          <w:tcPr>
            <w:tcW w:w="1620" w:type="dxa"/>
            <w:tcBorders>
              <w:top w:val="nil"/>
              <w:left w:val="nil"/>
              <w:bottom w:val="single" w:sz="4" w:space="0" w:color="auto"/>
              <w:right w:val="single" w:sz="4" w:space="0" w:color="auto"/>
            </w:tcBorders>
            <w:vAlign w:val="bottom"/>
            <w:hideMark/>
          </w:tcPr>
          <w:p w14:paraId="031F86B1"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1.04%</w:t>
            </w:r>
          </w:p>
        </w:tc>
      </w:tr>
      <w:tr w:rsidR="00C150CA" w:rsidRPr="00C150CA" w14:paraId="3897FF39" w14:textId="77777777" w:rsidTr="00C150CA">
        <w:trPr>
          <w:trHeight w:val="340"/>
        </w:trPr>
        <w:tc>
          <w:tcPr>
            <w:tcW w:w="1355" w:type="dxa"/>
            <w:tcBorders>
              <w:top w:val="nil"/>
              <w:left w:val="single" w:sz="4" w:space="0" w:color="auto"/>
              <w:bottom w:val="single" w:sz="4" w:space="0" w:color="auto"/>
              <w:right w:val="single" w:sz="4" w:space="0" w:color="auto"/>
            </w:tcBorders>
            <w:vAlign w:val="bottom"/>
            <w:hideMark/>
          </w:tcPr>
          <w:p w14:paraId="7D43FDD6"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346DF8B3"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ROE</w:t>
            </w:r>
          </w:p>
        </w:tc>
        <w:tc>
          <w:tcPr>
            <w:tcW w:w="1530" w:type="dxa"/>
            <w:tcBorders>
              <w:top w:val="nil"/>
              <w:left w:val="nil"/>
              <w:bottom w:val="single" w:sz="4" w:space="0" w:color="auto"/>
              <w:right w:val="single" w:sz="4" w:space="0" w:color="auto"/>
            </w:tcBorders>
            <w:vAlign w:val="bottom"/>
            <w:hideMark/>
          </w:tcPr>
          <w:p w14:paraId="79EAAB8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-15.69%</w:t>
            </w:r>
          </w:p>
        </w:tc>
        <w:tc>
          <w:tcPr>
            <w:tcW w:w="1530" w:type="dxa"/>
            <w:tcBorders>
              <w:top w:val="nil"/>
              <w:left w:val="nil"/>
              <w:bottom w:val="single" w:sz="4" w:space="0" w:color="auto"/>
              <w:right w:val="single" w:sz="4" w:space="0" w:color="auto"/>
            </w:tcBorders>
            <w:vAlign w:val="bottom"/>
            <w:hideMark/>
          </w:tcPr>
          <w:p w14:paraId="3AC3B60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-54.91%</w:t>
            </w:r>
          </w:p>
        </w:tc>
        <w:tc>
          <w:tcPr>
            <w:tcW w:w="1350" w:type="dxa"/>
            <w:tcBorders>
              <w:top w:val="nil"/>
              <w:left w:val="nil"/>
              <w:bottom w:val="single" w:sz="4" w:space="0" w:color="auto"/>
              <w:right w:val="single" w:sz="4" w:space="0" w:color="auto"/>
            </w:tcBorders>
            <w:vAlign w:val="bottom"/>
            <w:hideMark/>
          </w:tcPr>
          <w:p w14:paraId="012B3623"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0.15%</w:t>
            </w:r>
          </w:p>
        </w:tc>
        <w:tc>
          <w:tcPr>
            <w:tcW w:w="1620" w:type="dxa"/>
            <w:tcBorders>
              <w:top w:val="nil"/>
              <w:left w:val="nil"/>
              <w:bottom w:val="single" w:sz="4" w:space="0" w:color="auto"/>
              <w:right w:val="single" w:sz="4" w:space="0" w:color="auto"/>
            </w:tcBorders>
            <w:vAlign w:val="bottom"/>
            <w:hideMark/>
          </w:tcPr>
          <w:p w14:paraId="71C89F66"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1.92%</w:t>
            </w:r>
          </w:p>
        </w:tc>
      </w:tr>
      <w:tr w:rsidR="00C150CA" w:rsidRPr="00C150CA" w14:paraId="1E1A5C25" w14:textId="77777777" w:rsidTr="00C150CA">
        <w:trPr>
          <w:trHeight w:val="680"/>
        </w:trPr>
        <w:tc>
          <w:tcPr>
            <w:tcW w:w="1355" w:type="dxa"/>
            <w:tcBorders>
              <w:top w:val="nil"/>
              <w:left w:val="single" w:sz="4" w:space="0" w:color="auto"/>
              <w:bottom w:val="single" w:sz="4" w:space="0" w:color="auto"/>
              <w:right w:val="single" w:sz="4" w:space="0" w:color="auto"/>
            </w:tcBorders>
            <w:vAlign w:val="bottom"/>
            <w:hideMark/>
          </w:tcPr>
          <w:p w14:paraId="3A26F3C4"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Liquidity Ratios</w:t>
            </w:r>
          </w:p>
        </w:tc>
        <w:tc>
          <w:tcPr>
            <w:tcW w:w="1880" w:type="dxa"/>
            <w:tcBorders>
              <w:top w:val="nil"/>
              <w:left w:val="nil"/>
              <w:bottom w:val="single" w:sz="4" w:space="0" w:color="auto"/>
              <w:right w:val="single" w:sz="4" w:space="0" w:color="auto"/>
            </w:tcBorders>
            <w:vAlign w:val="bottom"/>
            <w:hideMark/>
          </w:tcPr>
          <w:p w14:paraId="036279A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Current Ratio</w:t>
            </w:r>
          </w:p>
        </w:tc>
        <w:tc>
          <w:tcPr>
            <w:tcW w:w="1530" w:type="dxa"/>
            <w:tcBorders>
              <w:top w:val="nil"/>
              <w:left w:val="nil"/>
              <w:bottom w:val="single" w:sz="4" w:space="0" w:color="auto"/>
              <w:right w:val="single" w:sz="4" w:space="0" w:color="auto"/>
            </w:tcBorders>
            <w:vAlign w:val="bottom"/>
            <w:hideMark/>
          </w:tcPr>
          <w:p w14:paraId="73E2A2A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153.20%</w:t>
            </w:r>
          </w:p>
        </w:tc>
        <w:tc>
          <w:tcPr>
            <w:tcW w:w="1530" w:type="dxa"/>
            <w:tcBorders>
              <w:top w:val="nil"/>
              <w:left w:val="nil"/>
              <w:bottom w:val="single" w:sz="4" w:space="0" w:color="auto"/>
              <w:right w:val="single" w:sz="4" w:space="0" w:color="auto"/>
            </w:tcBorders>
            <w:vAlign w:val="bottom"/>
            <w:hideMark/>
          </w:tcPr>
          <w:p w14:paraId="58870BCE"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160.63%</w:t>
            </w:r>
          </w:p>
        </w:tc>
        <w:tc>
          <w:tcPr>
            <w:tcW w:w="1350" w:type="dxa"/>
            <w:tcBorders>
              <w:top w:val="nil"/>
              <w:left w:val="nil"/>
              <w:bottom w:val="single" w:sz="4" w:space="0" w:color="auto"/>
              <w:right w:val="single" w:sz="4" w:space="0" w:color="auto"/>
            </w:tcBorders>
            <w:vAlign w:val="bottom"/>
            <w:hideMark/>
          </w:tcPr>
          <w:p w14:paraId="4FDCB29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156.16%</w:t>
            </w:r>
          </w:p>
        </w:tc>
        <w:tc>
          <w:tcPr>
            <w:tcW w:w="1620" w:type="dxa"/>
            <w:tcBorders>
              <w:top w:val="nil"/>
              <w:left w:val="nil"/>
              <w:bottom w:val="single" w:sz="4" w:space="0" w:color="auto"/>
              <w:right w:val="single" w:sz="4" w:space="0" w:color="auto"/>
            </w:tcBorders>
            <w:vAlign w:val="bottom"/>
            <w:hideMark/>
          </w:tcPr>
          <w:p w14:paraId="60BBC250"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155.52%</w:t>
            </w:r>
          </w:p>
        </w:tc>
      </w:tr>
      <w:tr w:rsidR="00C150CA" w:rsidRPr="00C150CA" w14:paraId="41ED16F9" w14:textId="77777777" w:rsidTr="00C150CA">
        <w:trPr>
          <w:trHeight w:val="680"/>
        </w:trPr>
        <w:tc>
          <w:tcPr>
            <w:tcW w:w="1355" w:type="dxa"/>
            <w:tcBorders>
              <w:top w:val="nil"/>
              <w:left w:val="single" w:sz="4" w:space="0" w:color="auto"/>
              <w:bottom w:val="single" w:sz="4" w:space="0" w:color="auto"/>
              <w:right w:val="single" w:sz="4" w:space="0" w:color="auto"/>
            </w:tcBorders>
            <w:vAlign w:val="bottom"/>
            <w:hideMark/>
          </w:tcPr>
          <w:p w14:paraId="744DAC30"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62D3A8D8"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Quick Ratio</w:t>
            </w:r>
          </w:p>
        </w:tc>
        <w:tc>
          <w:tcPr>
            <w:tcW w:w="1530" w:type="dxa"/>
            <w:tcBorders>
              <w:top w:val="nil"/>
              <w:left w:val="nil"/>
              <w:bottom w:val="single" w:sz="4" w:space="0" w:color="auto"/>
              <w:right w:val="single" w:sz="4" w:space="0" w:color="auto"/>
            </w:tcBorders>
            <w:vAlign w:val="bottom"/>
            <w:hideMark/>
          </w:tcPr>
          <w:p w14:paraId="6D01469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103.06%</w:t>
            </w:r>
          </w:p>
        </w:tc>
        <w:tc>
          <w:tcPr>
            <w:tcW w:w="1530" w:type="dxa"/>
            <w:tcBorders>
              <w:top w:val="nil"/>
              <w:left w:val="nil"/>
              <w:bottom w:val="single" w:sz="4" w:space="0" w:color="auto"/>
              <w:right w:val="single" w:sz="4" w:space="0" w:color="auto"/>
            </w:tcBorders>
            <w:vAlign w:val="bottom"/>
            <w:hideMark/>
          </w:tcPr>
          <w:p w14:paraId="64FE5D81"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105.85%</w:t>
            </w:r>
          </w:p>
        </w:tc>
        <w:tc>
          <w:tcPr>
            <w:tcW w:w="1350" w:type="dxa"/>
            <w:tcBorders>
              <w:top w:val="nil"/>
              <w:left w:val="nil"/>
              <w:bottom w:val="single" w:sz="4" w:space="0" w:color="auto"/>
              <w:right w:val="single" w:sz="4" w:space="0" w:color="auto"/>
            </w:tcBorders>
            <w:vAlign w:val="bottom"/>
            <w:hideMark/>
          </w:tcPr>
          <w:p w14:paraId="0D561CD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91.40%</w:t>
            </w:r>
          </w:p>
        </w:tc>
        <w:tc>
          <w:tcPr>
            <w:tcW w:w="1620" w:type="dxa"/>
            <w:tcBorders>
              <w:top w:val="nil"/>
              <w:left w:val="nil"/>
              <w:bottom w:val="single" w:sz="4" w:space="0" w:color="auto"/>
              <w:right w:val="single" w:sz="4" w:space="0" w:color="auto"/>
            </w:tcBorders>
            <w:vAlign w:val="bottom"/>
            <w:hideMark/>
          </w:tcPr>
          <w:p w14:paraId="3B9E45E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93.49%</w:t>
            </w:r>
          </w:p>
        </w:tc>
      </w:tr>
      <w:tr w:rsidR="00C150CA" w:rsidRPr="00C150CA" w14:paraId="35C3535F" w14:textId="77777777" w:rsidTr="00C150CA">
        <w:trPr>
          <w:trHeight w:val="340"/>
        </w:trPr>
        <w:tc>
          <w:tcPr>
            <w:tcW w:w="1355" w:type="dxa"/>
            <w:tcBorders>
              <w:top w:val="nil"/>
              <w:left w:val="single" w:sz="4" w:space="0" w:color="auto"/>
              <w:bottom w:val="single" w:sz="4" w:space="0" w:color="auto"/>
              <w:right w:val="single" w:sz="4" w:space="0" w:color="auto"/>
            </w:tcBorders>
            <w:vAlign w:val="bottom"/>
            <w:hideMark/>
          </w:tcPr>
          <w:p w14:paraId="3F9716B0"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224E3BA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Cash Ratio</w:t>
            </w:r>
          </w:p>
        </w:tc>
        <w:tc>
          <w:tcPr>
            <w:tcW w:w="1530" w:type="dxa"/>
            <w:tcBorders>
              <w:top w:val="nil"/>
              <w:left w:val="nil"/>
              <w:bottom w:val="single" w:sz="4" w:space="0" w:color="auto"/>
              <w:right w:val="single" w:sz="4" w:space="0" w:color="auto"/>
            </w:tcBorders>
            <w:vAlign w:val="bottom"/>
            <w:hideMark/>
          </w:tcPr>
          <w:p w14:paraId="2E54183E"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16.92%</w:t>
            </w:r>
          </w:p>
        </w:tc>
        <w:tc>
          <w:tcPr>
            <w:tcW w:w="1530" w:type="dxa"/>
            <w:tcBorders>
              <w:top w:val="nil"/>
              <w:left w:val="nil"/>
              <w:bottom w:val="single" w:sz="4" w:space="0" w:color="auto"/>
              <w:right w:val="single" w:sz="4" w:space="0" w:color="auto"/>
            </w:tcBorders>
            <w:vAlign w:val="bottom"/>
            <w:hideMark/>
          </w:tcPr>
          <w:p w14:paraId="6B32C56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26.53%</w:t>
            </w:r>
          </w:p>
        </w:tc>
        <w:tc>
          <w:tcPr>
            <w:tcW w:w="1350" w:type="dxa"/>
            <w:tcBorders>
              <w:top w:val="nil"/>
              <w:left w:val="nil"/>
              <w:bottom w:val="single" w:sz="4" w:space="0" w:color="auto"/>
              <w:right w:val="single" w:sz="4" w:space="0" w:color="auto"/>
            </w:tcBorders>
            <w:vAlign w:val="bottom"/>
            <w:hideMark/>
          </w:tcPr>
          <w:p w14:paraId="15CD150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30.83%</w:t>
            </w:r>
          </w:p>
        </w:tc>
        <w:tc>
          <w:tcPr>
            <w:tcW w:w="1620" w:type="dxa"/>
            <w:tcBorders>
              <w:top w:val="nil"/>
              <w:left w:val="nil"/>
              <w:bottom w:val="single" w:sz="4" w:space="0" w:color="auto"/>
              <w:right w:val="single" w:sz="4" w:space="0" w:color="auto"/>
            </w:tcBorders>
            <w:vAlign w:val="bottom"/>
            <w:hideMark/>
          </w:tcPr>
          <w:p w14:paraId="77ACA85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28.05%</w:t>
            </w:r>
          </w:p>
        </w:tc>
      </w:tr>
      <w:tr w:rsidR="00C150CA" w:rsidRPr="00C150CA" w14:paraId="08AD106A" w14:textId="77777777" w:rsidTr="00C150CA">
        <w:trPr>
          <w:trHeight w:val="680"/>
        </w:trPr>
        <w:tc>
          <w:tcPr>
            <w:tcW w:w="1355" w:type="dxa"/>
            <w:tcBorders>
              <w:top w:val="nil"/>
              <w:left w:val="single" w:sz="4" w:space="0" w:color="auto"/>
              <w:bottom w:val="single" w:sz="4" w:space="0" w:color="auto"/>
              <w:right w:val="single" w:sz="4" w:space="0" w:color="auto"/>
            </w:tcBorders>
            <w:vAlign w:val="bottom"/>
            <w:hideMark/>
          </w:tcPr>
          <w:p w14:paraId="216232D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Asset Efficiency</w:t>
            </w:r>
          </w:p>
        </w:tc>
        <w:tc>
          <w:tcPr>
            <w:tcW w:w="1880" w:type="dxa"/>
            <w:tcBorders>
              <w:top w:val="nil"/>
              <w:left w:val="nil"/>
              <w:bottom w:val="single" w:sz="4" w:space="0" w:color="auto"/>
              <w:right w:val="single" w:sz="4" w:space="0" w:color="auto"/>
            </w:tcBorders>
            <w:vAlign w:val="bottom"/>
            <w:hideMark/>
          </w:tcPr>
          <w:p w14:paraId="4F460979"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Fixed Asset Turnover</w:t>
            </w:r>
          </w:p>
        </w:tc>
        <w:tc>
          <w:tcPr>
            <w:tcW w:w="1530" w:type="dxa"/>
            <w:tcBorders>
              <w:top w:val="nil"/>
              <w:left w:val="nil"/>
              <w:bottom w:val="single" w:sz="4" w:space="0" w:color="auto"/>
              <w:right w:val="single" w:sz="4" w:space="0" w:color="auto"/>
            </w:tcBorders>
            <w:vAlign w:val="bottom"/>
            <w:hideMark/>
          </w:tcPr>
          <w:p w14:paraId="4CE641D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1154.38%</w:t>
            </w:r>
          </w:p>
        </w:tc>
        <w:tc>
          <w:tcPr>
            <w:tcW w:w="1530" w:type="dxa"/>
            <w:tcBorders>
              <w:top w:val="nil"/>
              <w:left w:val="nil"/>
              <w:bottom w:val="single" w:sz="4" w:space="0" w:color="auto"/>
              <w:right w:val="single" w:sz="4" w:space="0" w:color="auto"/>
            </w:tcBorders>
            <w:vAlign w:val="bottom"/>
            <w:hideMark/>
          </w:tcPr>
          <w:p w14:paraId="3878E1F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942.33%</w:t>
            </w:r>
          </w:p>
        </w:tc>
        <w:tc>
          <w:tcPr>
            <w:tcW w:w="1350" w:type="dxa"/>
            <w:tcBorders>
              <w:top w:val="nil"/>
              <w:left w:val="nil"/>
              <w:bottom w:val="single" w:sz="4" w:space="0" w:color="auto"/>
              <w:right w:val="single" w:sz="4" w:space="0" w:color="auto"/>
            </w:tcBorders>
            <w:vAlign w:val="bottom"/>
            <w:hideMark/>
          </w:tcPr>
          <w:p w14:paraId="1081D38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864.38%</w:t>
            </w:r>
          </w:p>
        </w:tc>
        <w:tc>
          <w:tcPr>
            <w:tcW w:w="1620" w:type="dxa"/>
            <w:tcBorders>
              <w:top w:val="nil"/>
              <w:left w:val="nil"/>
              <w:bottom w:val="single" w:sz="4" w:space="0" w:color="auto"/>
              <w:right w:val="single" w:sz="4" w:space="0" w:color="auto"/>
            </w:tcBorders>
            <w:vAlign w:val="bottom"/>
            <w:hideMark/>
          </w:tcPr>
          <w:p w14:paraId="5F9C426C"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805.93%</w:t>
            </w:r>
          </w:p>
        </w:tc>
      </w:tr>
      <w:tr w:rsidR="00C150CA" w:rsidRPr="00C150CA" w14:paraId="401B5EA5" w14:textId="77777777" w:rsidTr="00C150CA">
        <w:trPr>
          <w:trHeight w:val="1020"/>
        </w:trPr>
        <w:tc>
          <w:tcPr>
            <w:tcW w:w="1355" w:type="dxa"/>
            <w:tcBorders>
              <w:top w:val="nil"/>
              <w:left w:val="single" w:sz="4" w:space="0" w:color="auto"/>
              <w:bottom w:val="single" w:sz="4" w:space="0" w:color="auto"/>
              <w:right w:val="single" w:sz="4" w:space="0" w:color="auto"/>
            </w:tcBorders>
            <w:vAlign w:val="bottom"/>
            <w:hideMark/>
          </w:tcPr>
          <w:p w14:paraId="725B6A8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Working Capital Ratios</w:t>
            </w:r>
          </w:p>
        </w:tc>
        <w:tc>
          <w:tcPr>
            <w:tcW w:w="1880" w:type="dxa"/>
            <w:tcBorders>
              <w:top w:val="nil"/>
              <w:left w:val="nil"/>
              <w:bottom w:val="single" w:sz="4" w:space="0" w:color="auto"/>
              <w:right w:val="single" w:sz="4" w:space="0" w:color="auto"/>
            </w:tcBorders>
            <w:vAlign w:val="bottom"/>
            <w:hideMark/>
          </w:tcPr>
          <w:p w14:paraId="38139E55"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Accounts Receivable Days</w:t>
            </w:r>
          </w:p>
        </w:tc>
        <w:tc>
          <w:tcPr>
            <w:tcW w:w="1530" w:type="dxa"/>
            <w:tcBorders>
              <w:top w:val="nil"/>
              <w:left w:val="nil"/>
              <w:bottom w:val="single" w:sz="4" w:space="0" w:color="auto"/>
              <w:right w:val="single" w:sz="4" w:space="0" w:color="auto"/>
            </w:tcBorders>
            <w:vAlign w:val="bottom"/>
            <w:hideMark/>
          </w:tcPr>
          <w:p w14:paraId="63ADE723"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105.54</w:t>
            </w:r>
          </w:p>
        </w:tc>
        <w:tc>
          <w:tcPr>
            <w:tcW w:w="1530" w:type="dxa"/>
            <w:tcBorders>
              <w:top w:val="nil"/>
              <w:left w:val="nil"/>
              <w:bottom w:val="single" w:sz="4" w:space="0" w:color="auto"/>
              <w:right w:val="single" w:sz="4" w:space="0" w:color="auto"/>
            </w:tcBorders>
            <w:vAlign w:val="bottom"/>
            <w:hideMark/>
          </w:tcPr>
          <w:p w14:paraId="218915C3"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97.74</w:t>
            </w:r>
          </w:p>
        </w:tc>
        <w:tc>
          <w:tcPr>
            <w:tcW w:w="1350" w:type="dxa"/>
            <w:tcBorders>
              <w:top w:val="nil"/>
              <w:left w:val="nil"/>
              <w:bottom w:val="single" w:sz="4" w:space="0" w:color="auto"/>
              <w:right w:val="single" w:sz="4" w:space="0" w:color="auto"/>
            </w:tcBorders>
            <w:vAlign w:val="bottom"/>
            <w:hideMark/>
          </w:tcPr>
          <w:p w14:paraId="2314B0D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75.55</w:t>
            </w:r>
          </w:p>
        </w:tc>
        <w:tc>
          <w:tcPr>
            <w:tcW w:w="1620" w:type="dxa"/>
            <w:tcBorders>
              <w:top w:val="nil"/>
              <w:left w:val="nil"/>
              <w:bottom w:val="single" w:sz="4" w:space="0" w:color="auto"/>
              <w:right w:val="single" w:sz="4" w:space="0" w:color="auto"/>
            </w:tcBorders>
            <w:vAlign w:val="bottom"/>
            <w:hideMark/>
          </w:tcPr>
          <w:p w14:paraId="6BD0B0C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78.40</w:t>
            </w:r>
          </w:p>
        </w:tc>
      </w:tr>
      <w:tr w:rsidR="00C150CA" w:rsidRPr="00C150CA" w14:paraId="08997578" w14:textId="77777777" w:rsidTr="00C150CA">
        <w:trPr>
          <w:trHeight w:val="680"/>
        </w:trPr>
        <w:tc>
          <w:tcPr>
            <w:tcW w:w="1355" w:type="dxa"/>
            <w:tcBorders>
              <w:top w:val="nil"/>
              <w:left w:val="single" w:sz="4" w:space="0" w:color="auto"/>
              <w:bottom w:val="single" w:sz="4" w:space="0" w:color="auto"/>
              <w:right w:val="single" w:sz="4" w:space="0" w:color="auto"/>
            </w:tcBorders>
            <w:vAlign w:val="bottom"/>
            <w:hideMark/>
          </w:tcPr>
          <w:p w14:paraId="750AC65E"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3968E99A"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Inventory Days</w:t>
            </w:r>
          </w:p>
        </w:tc>
        <w:tc>
          <w:tcPr>
            <w:tcW w:w="1530" w:type="dxa"/>
            <w:tcBorders>
              <w:top w:val="nil"/>
              <w:left w:val="nil"/>
              <w:bottom w:val="single" w:sz="4" w:space="0" w:color="auto"/>
              <w:right w:val="single" w:sz="4" w:space="0" w:color="auto"/>
            </w:tcBorders>
            <w:vAlign w:val="bottom"/>
            <w:hideMark/>
          </w:tcPr>
          <w:p w14:paraId="08D690B1"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0.283</w:t>
            </w:r>
          </w:p>
        </w:tc>
        <w:tc>
          <w:tcPr>
            <w:tcW w:w="1530" w:type="dxa"/>
            <w:tcBorders>
              <w:top w:val="nil"/>
              <w:left w:val="nil"/>
              <w:bottom w:val="single" w:sz="4" w:space="0" w:color="auto"/>
              <w:right w:val="single" w:sz="4" w:space="0" w:color="auto"/>
            </w:tcBorders>
            <w:vAlign w:val="bottom"/>
            <w:hideMark/>
          </w:tcPr>
          <w:p w14:paraId="2A797E50"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0.273</w:t>
            </w:r>
          </w:p>
        </w:tc>
        <w:tc>
          <w:tcPr>
            <w:tcW w:w="1350" w:type="dxa"/>
            <w:tcBorders>
              <w:top w:val="nil"/>
              <w:left w:val="nil"/>
              <w:bottom w:val="single" w:sz="4" w:space="0" w:color="auto"/>
              <w:right w:val="single" w:sz="4" w:space="0" w:color="auto"/>
            </w:tcBorders>
            <w:vAlign w:val="bottom"/>
            <w:hideMark/>
          </w:tcPr>
          <w:p w14:paraId="11EF9CC1"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0.359</w:t>
            </w:r>
          </w:p>
        </w:tc>
        <w:tc>
          <w:tcPr>
            <w:tcW w:w="1620" w:type="dxa"/>
            <w:tcBorders>
              <w:top w:val="nil"/>
              <w:left w:val="nil"/>
              <w:bottom w:val="single" w:sz="4" w:space="0" w:color="auto"/>
              <w:right w:val="single" w:sz="4" w:space="0" w:color="auto"/>
            </w:tcBorders>
            <w:vAlign w:val="bottom"/>
            <w:hideMark/>
          </w:tcPr>
          <w:p w14:paraId="305D5BD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0.314</w:t>
            </w:r>
          </w:p>
        </w:tc>
      </w:tr>
      <w:tr w:rsidR="00C150CA" w:rsidRPr="00C150CA" w14:paraId="3C40AEC5" w14:textId="77777777" w:rsidTr="00C150CA">
        <w:trPr>
          <w:trHeight w:val="680"/>
        </w:trPr>
        <w:tc>
          <w:tcPr>
            <w:tcW w:w="1355" w:type="dxa"/>
            <w:tcBorders>
              <w:top w:val="nil"/>
              <w:left w:val="single" w:sz="4" w:space="0" w:color="auto"/>
              <w:bottom w:val="single" w:sz="4" w:space="0" w:color="auto"/>
              <w:right w:val="single" w:sz="4" w:space="0" w:color="auto"/>
            </w:tcBorders>
            <w:vAlign w:val="bottom"/>
            <w:hideMark/>
          </w:tcPr>
          <w:p w14:paraId="023C23B6"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5832A98C"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Inventory Turnover</w:t>
            </w:r>
          </w:p>
        </w:tc>
        <w:tc>
          <w:tcPr>
            <w:tcW w:w="1530" w:type="dxa"/>
            <w:tcBorders>
              <w:top w:val="nil"/>
              <w:left w:val="nil"/>
              <w:bottom w:val="single" w:sz="4" w:space="0" w:color="auto"/>
              <w:right w:val="single" w:sz="4" w:space="0" w:color="auto"/>
            </w:tcBorders>
            <w:vAlign w:val="bottom"/>
            <w:hideMark/>
          </w:tcPr>
          <w:p w14:paraId="2A9F550D"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3.540</w:t>
            </w:r>
          </w:p>
        </w:tc>
        <w:tc>
          <w:tcPr>
            <w:tcW w:w="1530" w:type="dxa"/>
            <w:tcBorders>
              <w:top w:val="nil"/>
              <w:left w:val="nil"/>
              <w:bottom w:val="single" w:sz="4" w:space="0" w:color="auto"/>
              <w:right w:val="single" w:sz="4" w:space="0" w:color="auto"/>
            </w:tcBorders>
            <w:vAlign w:val="bottom"/>
            <w:hideMark/>
          </w:tcPr>
          <w:p w14:paraId="3D8EA180"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3.658</w:t>
            </w:r>
          </w:p>
        </w:tc>
        <w:tc>
          <w:tcPr>
            <w:tcW w:w="1350" w:type="dxa"/>
            <w:tcBorders>
              <w:top w:val="nil"/>
              <w:left w:val="nil"/>
              <w:bottom w:val="single" w:sz="4" w:space="0" w:color="auto"/>
              <w:right w:val="single" w:sz="4" w:space="0" w:color="auto"/>
            </w:tcBorders>
            <w:vAlign w:val="bottom"/>
            <w:hideMark/>
          </w:tcPr>
          <w:p w14:paraId="23D673C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2.785</w:t>
            </w:r>
          </w:p>
        </w:tc>
        <w:tc>
          <w:tcPr>
            <w:tcW w:w="1620" w:type="dxa"/>
            <w:tcBorders>
              <w:top w:val="nil"/>
              <w:left w:val="nil"/>
              <w:bottom w:val="single" w:sz="4" w:space="0" w:color="auto"/>
              <w:right w:val="single" w:sz="4" w:space="0" w:color="auto"/>
            </w:tcBorders>
            <w:vAlign w:val="bottom"/>
            <w:hideMark/>
          </w:tcPr>
          <w:p w14:paraId="75258A8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3.187</w:t>
            </w:r>
          </w:p>
        </w:tc>
      </w:tr>
      <w:tr w:rsidR="00C150CA" w:rsidRPr="00C150CA" w14:paraId="5C31F111" w14:textId="77777777" w:rsidTr="00C150CA">
        <w:trPr>
          <w:trHeight w:val="1020"/>
        </w:trPr>
        <w:tc>
          <w:tcPr>
            <w:tcW w:w="1355" w:type="dxa"/>
            <w:tcBorders>
              <w:top w:val="nil"/>
              <w:left w:val="single" w:sz="4" w:space="0" w:color="auto"/>
              <w:bottom w:val="single" w:sz="4" w:space="0" w:color="auto"/>
              <w:right w:val="single" w:sz="4" w:space="0" w:color="auto"/>
            </w:tcBorders>
            <w:vAlign w:val="bottom"/>
            <w:hideMark/>
          </w:tcPr>
          <w:p w14:paraId="187D7EEE"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lastRenderedPageBreak/>
              <w:t>Gearing (Leverage) Ratios</w:t>
            </w:r>
          </w:p>
        </w:tc>
        <w:tc>
          <w:tcPr>
            <w:tcW w:w="1880" w:type="dxa"/>
            <w:tcBorders>
              <w:top w:val="nil"/>
              <w:left w:val="nil"/>
              <w:bottom w:val="single" w:sz="4" w:space="0" w:color="auto"/>
              <w:right w:val="single" w:sz="4" w:space="0" w:color="auto"/>
            </w:tcBorders>
            <w:vAlign w:val="bottom"/>
            <w:hideMark/>
          </w:tcPr>
          <w:p w14:paraId="217B2F41"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Interest Coverage Ratio</w:t>
            </w:r>
          </w:p>
        </w:tc>
        <w:tc>
          <w:tcPr>
            <w:tcW w:w="1530" w:type="dxa"/>
            <w:tcBorders>
              <w:top w:val="nil"/>
              <w:left w:val="nil"/>
              <w:bottom w:val="single" w:sz="4" w:space="0" w:color="auto"/>
              <w:right w:val="single" w:sz="4" w:space="0" w:color="auto"/>
            </w:tcBorders>
            <w:vAlign w:val="bottom"/>
            <w:hideMark/>
          </w:tcPr>
          <w:p w14:paraId="0DD08C56"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455.13%</w:t>
            </w:r>
          </w:p>
        </w:tc>
        <w:tc>
          <w:tcPr>
            <w:tcW w:w="1530" w:type="dxa"/>
            <w:tcBorders>
              <w:top w:val="nil"/>
              <w:left w:val="nil"/>
              <w:bottom w:val="single" w:sz="4" w:space="0" w:color="auto"/>
              <w:right w:val="single" w:sz="4" w:space="0" w:color="auto"/>
            </w:tcBorders>
            <w:vAlign w:val="bottom"/>
            <w:hideMark/>
          </w:tcPr>
          <w:p w14:paraId="14A469CE"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1969.09%</w:t>
            </w:r>
          </w:p>
        </w:tc>
        <w:tc>
          <w:tcPr>
            <w:tcW w:w="1350" w:type="dxa"/>
            <w:tcBorders>
              <w:top w:val="nil"/>
              <w:left w:val="nil"/>
              <w:bottom w:val="single" w:sz="4" w:space="0" w:color="auto"/>
              <w:right w:val="single" w:sz="4" w:space="0" w:color="auto"/>
            </w:tcBorders>
            <w:vAlign w:val="bottom"/>
            <w:hideMark/>
          </w:tcPr>
          <w:p w14:paraId="027BBDE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-661.27%</w:t>
            </w:r>
          </w:p>
        </w:tc>
        <w:tc>
          <w:tcPr>
            <w:tcW w:w="1620" w:type="dxa"/>
            <w:tcBorders>
              <w:top w:val="nil"/>
              <w:left w:val="nil"/>
              <w:bottom w:val="single" w:sz="4" w:space="0" w:color="auto"/>
              <w:right w:val="single" w:sz="4" w:space="0" w:color="auto"/>
            </w:tcBorders>
            <w:vAlign w:val="bottom"/>
            <w:hideMark/>
          </w:tcPr>
          <w:p w14:paraId="60313E5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-4108.30%</w:t>
            </w:r>
          </w:p>
        </w:tc>
      </w:tr>
      <w:tr w:rsidR="00C150CA" w:rsidRPr="00C150CA" w14:paraId="67C33E51" w14:textId="77777777" w:rsidTr="00C150CA">
        <w:trPr>
          <w:trHeight w:val="340"/>
        </w:trPr>
        <w:tc>
          <w:tcPr>
            <w:tcW w:w="1355" w:type="dxa"/>
            <w:tcBorders>
              <w:top w:val="nil"/>
              <w:left w:val="single" w:sz="4" w:space="0" w:color="auto"/>
              <w:bottom w:val="single" w:sz="4" w:space="0" w:color="auto"/>
              <w:right w:val="single" w:sz="4" w:space="0" w:color="auto"/>
            </w:tcBorders>
            <w:vAlign w:val="bottom"/>
            <w:hideMark/>
          </w:tcPr>
          <w:p w14:paraId="02F9F903"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4AD2A7C7"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Debt-Equity Ratio</w:t>
            </w:r>
          </w:p>
        </w:tc>
        <w:tc>
          <w:tcPr>
            <w:tcW w:w="1530" w:type="dxa"/>
            <w:tcBorders>
              <w:top w:val="nil"/>
              <w:left w:val="nil"/>
              <w:bottom w:val="single" w:sz="4" w:space="0" w:color="auto"/>
              <w:right w:val="single" w:sz="4" w:space="0" w:color="auto"/>
            </w:tcBorders>
            <w:vAlign w:val="bottom"/>
            <w:hideMark/>
          </w:tcPr>
          <w:p w14:paraId="0E7B6646"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24.14%</w:t>
            </w:r>
          </w:p>
        </w:tc>
        <w:tc>
          <w:tcPr>
            <w:tcW w:w="1530" w:type="dxa"/>
            <w:tcBorders>
              <w:top w:val="nil"/>
              <w:left w:val="nil"/>
              <w:bottom w:val="single" w:sz="4" w:space="0" w:color="auto"/>
              <w:right w:val="single" w:sz="4" w:space="0" w:color="auto"/>
            </w:tcBorders>
            <w:vAlign w:val="bottom"/>
            <w:hideMark/>
          </w:tcPr>
          <w:p w14:paraId="2F0F41E7"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30.74%</w:t>
            </w:r>
          </w:p>
        </w:tc>
        <w:tc>
          <w:tcPr>
            <w:tcW w:w="1350" w:type="dxa"/>
            <w:tcBorders>
              <w:top w:val="nil"/>
              <w:left w:val="nil"/>
              <w:bottom w:val="single" w:sz="4" w:space="0" w:color="auto"/>
              <w:right w:val="single" w:sz="4" w:space="0" w:color="auto"/>
            </w:tcBorders>
            <w:vAlign w:val="bottom"/>
            <w:hideMark/>
          </w:tcPr>
          <w:p w14:paraId="776016C7"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32.79%</w:t>
            </w:r>
          </w:p>
        </w:tc>
        <w:tc>
          <w:tcPr>
            <w:tcW w:w="1620" w:type="dxa"/>
            <w:tcBorders>
              <w:top w:val="nil"/>
              <w:left w:val="nil"/>
              <w:bottom w:val="single" w:sz="4" w:space="0" w:color="auto"/>
              <w:right w:val="single" w:sz="4" w:space="0" w:color="auto"/>
            </w:tcBorders>
            <w:vAlign w:val="bottom"/>
            <w:hideMark/>
          </w:tcPr>
          <w:p w14:paraId="3C56C4A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20.29%</w:t>
            </w:r>
          </w:p>
        </w:tc>
      </w:tr>
      <w:tr w:rsidR="00C150CA" w:rsidRPr="00C150CA" w14:paraId="2DB64F0E" w14:textId="77777777" w:rsidTr="00C150CA">
        <w:trPr>
          <w:trHeight w:val="680"/>
        </w:trPr>
        <w:tc>
          <w:tcPr>
            <w:tcW w:w="1355" w:type="dxa"/>
            <w:tcBorders>
              <w:top w:val="nil"/>
              <w:left w:val="single" w:sz="4" w:space="0" w:color="auto"/>
              <w:bottom w:val="single" w:sz="4" w:space="0" w:color="auto"/>
              <w:right w:val="single" w:sz="4" w:space="0" w:color="auto"/>
            </w:tcBorders>
            <w:vAlign w:val="bottom"/>
            <w:hideMark/>
          </w:tcPr>
          <w:p w14:paraId="483A88BC"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089C6FF0"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Debt-to-Capital Ratio</w:t>
            </w:r>
          </w:p>
        </w:tc>
        <w:tc>
          <w:tcPr>
            <w:tcW w:w="1530" w:type="dxa"/>
            <w:tcBorders>
              <w:top w:val="nil"/>
              <w:left w:val="nil"/>
              <w:bottom w:val="single" w:sz="4" w:space="0" w:color="auto"/>
              <w:right w:val="single" w:sz="4" w:space="0" w:color="auto"/>
            </w:tcBorders>
            <w:vAlign w:val="bottom"/>
            <w:hideMark/>
          </w:tcPr>
          <w:p w14:paraId="747F034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19.45%</w:t>
            </w:r>
          </w:p>
        </w:tc>
        <w:tc>
          <w:tcPr>
            <w:tcW w:w="1530" w:type="dxa"/>
            <w:tcBorders>
              <w:top w:val="nil"/>
              <w:left w:val="nil"/>
              <w:bottom w:val="single" w:sz="4" w:space="0" w:color="auto"/>
              <w:right w:val="single" w:sz="4" w:space="0" w:color="auto"/>
            </w:tcBorders>
            <w:vAlign w:val="bottom"/>
            <w:hideMark/>
          </w:tcPr>
          <w:p w14:paraId="47ADCAB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23.51%</w:t>
            </w:r>
          </w:p>
        </w:tc>
        <w:tc>
          <w:tcPr>
            <w:tcW w:w="1350" w:type="dxa"/>
            <w:tcBorders>
              <w:top w:val="nil"/>
              <w:left w:val="nil"/>
              <w:bottom w:val="single" w:sz="4" w:space="0" w:color="auto"/>
              <w:right w:val="single" w:sz="4" w:space="0" w:color="auto"/>
            </w:tcBorders>
            <w:vAlign w:val="bottom"/>
            <w:hideMark/>
          </w:tcPr>
          <w:p w14:paraId="71473F3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24.69%</w:t>
            </w:r>
          </w:p>
        </w:tc>
        <w:tc>
          <w:tcPr>
            <w:tcW w:w="1620" w:type="dxa"/>
            <w:tcBorders>
              <w:top w:val="nil"/>
              <w:left w:val="nil"/>
              <w:bottom w:val="single" w:sz="4" w:space="0" w:color="auto"/>
              <w:right w:val="single" w:sz="4" w:space="0" w:color="auto"/>
            </w:tcBorders>
            <w:vAlign w:val="bottom"/>
            <w:hideMark/>
          </w:tcPr>
          <w:p w14:paraId="55515EF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16.87%</w:t>
            </w:r>
          </w:p>
        </w:tc>
      </w:tr>
      <w:tr w:rsidR="00C150CA" w:rsidRPr="00C150CA" w14:paraId="360E4415" w14:textId="77777777" w:rsidTr="00C150CA">
        <w:trPr>
          <w:trHeight w:val="680"/>
        </w:trPr>
        <w:tc>
          <w:tcPr>
            <w:tcW w:w="1355" w:type="dxa"/>
            <w:tcBorders>
              <w:top w:val="nil"/>
              <w:left w:val="single" w:sz="4" w:space="0" w:color="auto"/>
              <w:bottom w:val="single" w:sz="4" w:space="0" w:color="auto"/>
              <w:right w:val="single" w:sz="4" w:space="0" w:color="auto"/>
            </w:tcBorders>
            <w:vAlign w:val="bottom"/>
            <w:hideMark/>
          </w:tcPr>
          <w:p w14:paraId="46038D93"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880" w:type="dxa"/>
            <w:tcBorders>
              <w:top w:val="nil"/>
              <w:left w:val="nil"/>
              <w:bottom w:val="single" w:sz="4" w:space="0" w:color="auto"/>
              <w:right w:val="single" w:sz="4" w:space="0" w:color="auto"/>
            </w:tcBorders>
            <w:vAlign w:val="bottom"/>
            <w:hideMark/>
          </w:tcPr>
          <w:p w14:paraId="115B10CE"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Equity Multiplier</w:t>
            </w:r>
          </w:p>
        </w:tc>
        <w:tc>
          <w:tcPr>
            <w:tcW w:w="1530" w:type="dxa"/>
            <w:tcBorders>
              <w:top w:val="nil"/>
              <w:left w:val="nil"/>
              <w:bottom w:val="single" w:sz="4" w:space="0" w:color="auto"/>
              <w:right w:val="single" w:sz="4" w:space="0" w:color="auto"/>
            </w:tcBorders>
            <w:vAlign w:val="bottom"/>
            <w:hideMark/>
          </w:tcPr>
          <w:p w14:paraId="6DA05E7D"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211.20%</w:t>
            </w:r>
          </w:p>
        </w:tc>
        <w:tc>
          <w:tcPr>
            <w:tcW w:w="1530" w:type="dxa"/>
            <w:tcBorders>
              <w:top w:val="nil"/>
              <w:left w:val="nil"/>
              <w:bottom w:val="single" w:sz="4" w:space="0" w:color="auto"/>
              <w:right w:val="single" w:sz="4" w:space="0" w:color="auto"/>
            </w:tcBorders>
            <w:vAlign w:val="bottom"/>
            <w:hideMark/>
          </w:tcPr>
          <w:p w14:paraId="3C55CF5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198.90%</w:t>
            </w:r>
          </w:p>
        </w:tc>
        <w:tc>
          <w:tcPr>
            <w:tcW w:w="1350" w:type="dxa"/>
            <w:tcBorders>
              <w:top w:val="nil"/>
              <w:left w:val="nil"/>
              <w:bottom w:val="single" w:sz="4" w:space="0" w:color="auto"/>
              <w:right w:val="single" w:sz="4" w:space="0" w:color="auto"/>
            </w:tcBorders>
            <w:vAlign w:val="bottom"/>
            <w:hideMark/>
          </w:tcPr>
          <w:p w14:paraId="42FFB556"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187.84%</w:t>
            </w:r>
          </w:p>
        </w:tc>
        <w:tc>
          <w:tcPr>
            <w:tcW w:w="1620" w:type="dxa"/>
            <w:tcBorders>
              <w:top w:val="nil"/>
              <w:left w:val="nil"/>
              <w:bottom w:val="single" w:sz="4" w:space="0" w:color="auto"/>
              <w:right w:val="single" w:sz="4" w:space="0" w:color="auto"/>
            </w:tcBorders>
            <w:vAlign w:val="bottom"/>
            <w:hideMark/>
          </w:tcPr>
          <w:p w14:paraId="66DC8CB1"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184.94%</w:t>
            </w:r>
          </w:p>
        </w:tc>
      </w:tr>
    </w:tbl>
    <w:p w14:paraId="5C56B50A" w14:textId="77777777" w:rsidR="00C150CA" w:rsidRDefault="00C150CA" w:rsidP="009B259B">
      <w:pPr>
        <w:rPr>
          <w:b/>
          <w:bCs/>
        </w:rPr>
      </w:pPr>
    </w:p>
    <w:tbl>
      <w:tblPr>
        <w:tblW w:w="9287" w:type="dxa"/>
        <w:tblLook w:val="04A0" w:firstRow="1" w:lastRow="0" w:firstColumn="1" w:lastColumn="0" w:noHBand="0" w:noVBand="1"/>
      </w:tblPr>
      <w:tblGrid>
        <w:gridCol w:w="1817"/>
        <w:gridCol w:w="1817"/>
        <w:gridCol w:w="1918"/>
        <w:gridCol w:w="1817"/>
        <w:gridCol w:w="1918"/>
      </w:tblGrid>
      <w:tr w:rsidR="00C150CA" w:rsidRPr="00C150CA" w14:paraId="1827D236" w14:textId="77777777" w:rsidTr="00C150CA">
        <w:trPr>
          <w:trHeight w:val="372"/>
        </w:trPr>
        <w:tc>
          <w:tcPr>
            <w:tcW w:w="1817" w:type="dxa"/>
            <w:tcBorders>
              <w:top w:val="nil"/>
              <w:left w:val="nil"/>
              <w:bottom w:val="nil"/>
              <w:right w:val="nil"/>
            </w:tcBorders>
            <w:noWrap/>
            <w:vAlign w:val="bottom"/>
            <w:hideMark/>
          </w:tcPr>
          <w:p w14:paraId="056C318E" w14:textId="77777777" w:rsidR="00C150CA" w:rsidRPr="00C150CA" w:rsidRDefault="00C150CA" w:rsidP="00C150CA">
            <w:pPr>
              <w:spacing w:line="240" w:lineRule="auto"/>
              <w:jc w:val="left"/>
              <w:rPr>
                <w:rFonts w:ascii="Times New Roman" w:eastAsia="Times New Roman" w:hAnsi="Times New Roman" w:cs="Times New Roman"/>
                <w:lang w:val="en-US"/>
              </w:rPr>
            </w:pPr>
          </w:p>
        </w:tc>
        <w:tc>
          <w:tcPr>
            <w:tcW w:w="1817" w:type="dxa"/>
            <w:tcBorders>
              <w:top w:val="nil"/>
              <w:left w:val="nil"/>
              <w:bottom w:val="nil"/>
              <w:right w:val="nil"/>
            </w:tcBorders>
            <w:noWrap/>
            <w:vAlign w:val="bottom"/>
            <w:hideMark/>
          </w:tcPr>
          <w:p w14:paraId="22B5BDCC"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X1</w:t>
            </w:r>
          </w:p>
        </w:tc>
        <w:tc>
          <w:tcPr>
            <w:tcW w:w="1918" w:type="dxa"/>
            <w:tcBorders>
              <w:top w:val="nil"/>
              <w:left w:val="nil"/>
              <w:bottom w:val="nil"/>
              <w:right w:val="nil"/>
            </w:tcBorders>
            <w:noWrap/>
            <w:vAlign w:val="bottom"/>
            <w:hideMark/>
          </w:tcPr>
          <w:p w14:paraId="313F113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0.26040501</w:t>
            </w:r>
          </w:p>
        </w:tc>
        <w:tc>
          <w:tcPr>
            <w:tcW w:w="1817" w:type="dxa"/>
            <w:tcBorders>
              <w:top w:val="nil"/>
              <w:left w:val="nil"/>
              <w:bottom w:val="nil"/>
              <w:right w:val="nil"/>
            </w:tcBorders>
            <w:noWrap/>
            <w:vAlign w:val="bottom"/>
            <w:hideMark/>
          </w:tcPr>
          <w:p w14:paraId="5B83C66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1.2</w:t>
            </w:r>
          </w:p>
        </w:tc>
        <w:tc>
          <w:tcPr>
            <w:tcW w:w="1918" w:type="dxa"/>
            <w:tcBorders>
              <w:top w:val="nil"/>
              <w:left w:val="nil"/>
              <w:bottom w:val="nil"/>
              <w:right w:val="nil"/>
            </w:tcBorders>
            <w:noWrap/>
            <w:vAlign w:val="bottom"/>
            <w:hideMark/>
          </w:tcPr>
          <w:p w14:paraId="695FB822"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0.31248601</w:t>
            </w:r>
          </w:p>
        </w:tc>
      </w:tr>
      <w:tr w:rsidR="00C150CA" w:rsidRPr="00C150CA" w14:paraId="651EE78E" w14:textId="77777777" w:rsidTr="00C150CA">
        <w:trPr>
          <w:trHeight w:val="372"/>
        </w:trPr>
        <w:tc>
          <w:tcPr>
            <w:tcW w:w="1817" w:type="dxa"/>
            <w:tcBorders>
              <w:top w:val="nil"/>
              <w:left w:val="nil"/>
              <w:bottom w:val="nil"/>
              <w:right w:val="nil"/>
            </w:tcBorders>
            <w:noWrap/>
            <w:vAlign w:val="bottom"/>
            <w:hideMark/>
          </w:tcPr>
          <w:p w14:paraId="4AB81DA2" w14:textId="77777777" w:rsidR="00C150CA" w:rsidRPr="00C150CA" w:rsidRDefault="00C150CA" w:rsidP="00C150CA">
            <w:pPr>
              <w:spacing w:line="240" w:lineRule="auto"/>
              <w:jc w:val="right"/>
              <w:rPr>
                <w:rFonts w:ascii="Calibri" w:eastAsia="Times New Roman" w:hAnsi="Calibri" w:cs="Calibri"/>
                <w:color w:val="000000"/>
                <w:lang w:val="en-US"/>
              </w:rPr>
            </w:pPr>
          </w:p>
        </w:tc>
        <w:tc>
          <w:tcPr>
            <w:tcW w:w="1817" w:type="dxa"/>
            <w:tcBorders>
              <w:top w:val="nil"/>
              <w:left w:val="nil"/>
              <w:bottom w:val="nil"/>
              <w:right w:val="nil"/>
            </w:tcBorders>
            <w:noWrap/>
            <w:vAlign w:val="bottom"/>
            <w:hideMark/>
          </w:tcPr>
          <w:p w14:paraId="1455BCA7"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X2</w:t>
            </w:r>
          </w:p>
        </w:tc>
        <w:tc>
          <w:tcPr>
            <w:tcW w:w="1918" w:type="dxa"/>
            <w:tcBorders>
              <w:top w:val="nil"/>
              <w:left w:val="nil"/>
              <w:bottom w:val="nil"/>
              <w:right w:val="nil"/>
            </w:tcBorders>
            <w:noWrap/>
            <w:vAlign w:val="bottom"/>
            <w:hideMark/>
          </w:tcPr>
          <w:p w14:paraId="3832FC41"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0.64459076</w:t>
            </w:r>
          </w:p>
        </w:tc>
        <w:tc>
          <w:tcPr>
            <w:tcW w:w="1817" w:type="dxa"/>
            <w:tcBorders>
              <w:top w:val="nil"/>
              <w:left w:val="nil"/>
              <w:bottom w:val="nil"/>
              <w:right w:val="nil"/>
            </w:tcBorders>
            <w:noWrap/>
            <w:vAlign w:val="bottom"/>
            <w:hideMark/>
          </w:tcPr>
          <w:p w14:paraId="17041C30"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1.4</w:t>
            </w:r>
          </w:p>
        </w:tc>
        <w:tc>
          <w:tcPr>
            <w:tcW w:w="1918" w:type="dxa"/>
            <w:tcBorders>
              <w:top w:val="nil"/>
              <w:left w:val="nil"/>
              <w:bottom w:val="nil"/>
              <w:right w:val="nil"/>
            </w:tcBorders>
            <w:noWrap/>
            <w:vAlign w:val="bottom"/>
            <w:hideMark/>
          </w:tcPr>
          <w:p w14:paraId="13BA175C"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0.90242706</w:t>
            </w:r>
          </w:p>
        </w:tc>
      </w:tr>
      <w:tr w:rsidR="00C150CA" w:rsidRPr="00C150CA" w14:paraId="10487E66" w14:textId="77777777" w:rsidTr="00C150CA">
        <w:trPr>
          <w:trHeight w:val="372"/>
        </w:trPr>
        <w:tc>
          <w:tcPr>
            <w:tcW w:w="1817" w:type="dxa"/>
            <w:tcBorders>
              <w:top w:val="nil"/>
              <w:left w:val="nil"/>
              <w:bottom w:val="nil"/>
              <w:right w:val="nil"/>
            </w:tcBorders>
            <w:noWrap/>
            <w:vAlign w:val="bottom"/>
            <w:hideMark/>
          </w:tcPr>
          <w:p w14:paraId="6DA62932" w14:textId="77777777" w:rsidR="00C150CA" w:rsidRPr="00C150CA" w:rsidRDefault="00C150CA" w:rsidP="00C150CA">
            <w:pPr>
              <w:spacing w:line="240" w:lineRule="auto"/>
              <w:jc w:val="right"/>
              <w:rPr>
                <w:rFonts w:ascii="Calibri" w:eastAsia="Times New Roman" w:hAnsi="Calibri" w:cs="Calibri"/>
                <w:color w:val="000000"/>
                <w:lang w:val="en-US"/>
              </w:rPr>
            </w:pPr>
          </w:p>
        </w:tc>
        <w:tc>
          <w:tcPr>
            <w:tcW w:w="1817" w:type="dxa"/>
            <w:tcBorders>
              <w:top w:val="nil"/>
              <w:left w:val="nil"/>
              <w:bottom w:val="nil"/>
              <w:right w:val="nil"/>
            </w:tcBorders>
            <w:noWrap/>
            <w:vAlign w:val="bottom"/>
            <w:hideMark/>
          </w:tcPr>
          <w:p w14:paraId="1A87519C"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X3</w:t>
            </w:r>
          </w:p>
        </w:tc>
        <w:tc>
          <w:tcPr>
            <w:tcW w:w="1918" w:type="dxa"/>
            <w:tcBorders>
              <w:top w:val="nil"/>
              <w:left w:val="nil"/>
              <w:bottom w:val="nil"/>
              <w:right w:val="nil"/>
            </w:tcBorders>
            <w:noWrap/>
            <w:vAlign w:val="bottom"/>
            <w:hideMark/>
          </w:tcPr>
          <w:p w14:paraId="54529D9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-0.0473073</w:t>
            </w:r>
          </w:p>
        </w:tc>
        <w:tc>
          <w:tcPr>
            <w:tcW w:w="1817" w:type="dxa"/>
            <w:tcBorders>
              <w:top w:val="nil"/>
              <w:left w:val="nil"/>
              <w:bottom w:val="nil"/>
              <w:right w:val="nil"/>
            </w:tcBorders>
            <w:noWrap/>
            <w:vAlign w:val="bottom"/>
            <w:hideMark/>
          </w:tcPr>
          <w:p w14:paraId="0075AF56"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3.3</w:t>
            </w:r>
          </w:p>
        </w:tc>
        <w:tc>
          <w:tcPr>
            <w:tcW w:w="1918" w:type="dxa"/>
            <w:tcBorders>
              <w:top w:val="nil"/>
              <w:left w:val="nil"/>
              <w:bottom w:val="nil"/>
              <w:right w:val="nil"/>
            </w:tcBorders>
            <w:noWrap/>
            <w:vAlign w:val="bottom"/>
            <w:hideMark/>
          </w:tcPr>
          <w:p w14:paraId="3DD4302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-0.156114</w:t>
            </w:r>
          </w:p>
        </w:tc>
      </w:tr>
      <w:tr w:rsidR="00C150CA" w:rsidRPr="00C150CA" w14:paraId="1229293A" w14:textId="77777777" w:rsidTr="00C150CA">
        <w:trPr>
          <w:trHeight w:val="372"/>
        </w:trPr>
        <w:tc>
          <w:tcPr>
            <w:tcW w:w="1817" w:type="dxa"/>
            <w:tcBorders>
              <w:top w:val="nil"/>
              <w:left w:val="nil"/>
              <w:bottom w:val="nil"/>
              <w:right w:val="nil"/>
            </w:tcBorders>
            <w:noWrap/>
            <w:vAlign w:val="bottom"/>
            <w:hideMark/>
          </w:tcPr>
          <w:p w14:paraId="4825C467" w14:textId="77777777" w:rsidR="00C150CA" w:rsidRPr="00C150CA" w:rsidRDefault="00C150CA" w:rsidP="00C150CA">
            <w:pPr>
              <w:spacing w:line="240" w:lineRule="auto"/>
              <w:jc w:val="right"/>
              <w:rPr>
                <w:rFonts w:ascii="Calibri" w:eastAsia="Times New Roman" w:hAnsi="Calibri" w:cs="Calibri"/>
                <w:color w:val="000000"/>
                <w:lang w:val="en-US"/>
              </w:rPr>
            </w:pPr>
          </w:p>
        </w:tc>
        <w:tc>
          <w:tcPr>
            <w:tcW w:w="1817" w:type="dxa"/>
            <w:tcBorders>
              <w:top w:val="nil"/>
              <w:left w:val="nil"/>
              <w:bottom w:val="nil"/>
              <w:right w:val="nil"/>
            </w:tcBorders>
            <w:noWrap/>
            <w:vAlign w:val="bottom"/>
            <w:hideMark/>
          </w:tcPr>
          <w:p w14:paraId="6BEC89D8"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X4</w:t>
            </w:r>
          </w:p>
        </w:tc>
        <w:tc>
          <w:tcPr>
            <w:tcW w:w="1918" w:type="dxa"/>
            <w:tcBorders>
              <w:top w:val="nil"/>
              <w:left w:val="nil"/>
              <w:bottom w:val="nil"/>
              <w:right w:val="nil"/>
            </w:tcBorders>
            <w:noWrap/>
            <w:vAlign w:val="bottom"/>
            <w:hideMark/>
          </w:tcPr>
          <w:p w14:paraId="6C7108E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0.89930044</w:t>
            </w:r>
          </w:p>
        </w:tc>
        <w:tc>
          <w:tcPr>
            <w:tcW w:w="1817" w:type="dxa"/>
            <w:tcBorders>
              <w:top w:val="nil"/>
              <w:left w:val="nil"/>
              <w:bottom w:val="nil"/>
              <w:right w:val="nil"/>
            </w:tcBorders>
            <w:noWrap/>
            <w:vAlign w:val="bottom"/>
            <w:hideMark/>
          </w:tcPr>
          <w:p w14:paraId="47701D7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0.6</w:t>
            </w:r>
          </w:p>
        </w:tc>
        <w:tc>
          <w:tcPr>
            <w:tcW w:w="1918" w:type="dxa"/>
            <w:tcBorders>
              <w:top w:val="nil"/>
              <w:left w:val="nil"/>
              <w:bottom w:val="nil"/>
              <w:right w:val="nil"/>
            </w:tcBorders>
            <w:noWrap/>
            <w:vAlign w:val="bottom"/>
            <w:hideMark/>
          </w:tcPr>
          <w:p w14:paraId="33279FC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0.53958026</w:t>
            </w:r>
          </w:p>
        </w:tc>
      </w:tr>
      <w:tr w:rsidR="00C150CA" w:rsidRPr="00C150CA" w14:paraId="5E343275" w14:textId="77777777" w:rsidTr="00C150CA">
        <w:trPr>
          <w:trHeight w:val="372"/>
        </w:trPr>
        <w:tc>
          <w:tcPr>
            <w:tcW w:w="1817" w:type="dxa"/>
            <w:tcBorders>
              <w:top w:val="nil"/>
              <w:left w:val="nil"/>
              <w:bottom w:val="nil"/>
              <w:right w:val="nil"/>
            </w:tcBorders>
            <w:noWrap/>
            <w:vAlign w:val="bottom"/>
            <w:hideMark/>
          </w:tcPr>
          <w:p w14:paraId="501F55AF" w14:textId="77777777" w:rsidR="00C150CA" w:rsidRPr="00C150CA" w:rsidRDefault="00C150CA" w:rsidP="00C150CA">
            <w:pPr>
              <w:spacing w:line="240" w:lineRule="auto"/>
              <w:jc w:val="right"/>
              <w:rPr>
                <w:rFonts w:ascii="Calibri" w:eastAsia="Times New Roman" w:hAnsi="Calibri" w:cs="Calibri"/>
                <w:color w:val="000000"/>
                <w:lang w:val="en-US"/>
              </w:rPr>
            </w:pPr>
          </w:p>
        </w:tc>
        <w:tc>
          <w:tcPr>
            <w:tcW w:w="1817" w:type="dxa"/>
            <w:tcBorders>
              <w:top w:val="nil"/>
              <w:left w:val="nil"/>
              <w:bottom w:val="nil"/>
              <w:right w:val="nil"/>
            </w:tcBorders>
            <w:noWrap/>
            <w:vAlign w:val="bottom"/>
            <w:hideMark/>
          </w:tcPr>
          <w:p w14:paraId="5D26FC94"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X5</w:t>
            </w:r>
          </w:p>
        </w:tc>
        <w:tc>
          <w:tcPr>
            <w:tcW w:w="1918" w:type="dxa"/>
            <w:tcBorders>
              <w:top w:val="nil"/>
              <w:left w:val="nil"/>
              <w:bottom w:val="nil"/>
              <w:right w:val="nil"/>
            </w:tcBorders>
            <w:noWrap/>
            <w:vAlign w:val="bottom"/>
            <w:hideMark/>
          </w:tcPr>
          <w:p w14:paraId="3BB4AA1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1.2211972</w:t>
            </w:r>
          </w:p>
        </w:tc>
        <w:tc>
          <w:tcPr>
            <w:tcW w:w="1817" w:type="dxa"/>
            <w:tcBorders>
              <w:top w:val="nil"/>
              <w:left w:val="nil"/>
              <w:bottom w:val="nil"/>
              <w:right w:val="nil"/>
            </w:tcBorders>
            <w:noWrap/>
            <w:vAlign w:val="bottom"/>
            <w:hideMark/>
          </w:tcPr>
          <w:p w14:paraId="1CEDCC2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w:t>
            </w:r>
          </w:p>
        </w:tc>
        <w:tc>
          <w:tcPr>
            <w:tcW w:w="1918" w:type="dxa"/>
            <w:tcBorders>
              <w:top w:val="nil"/>
              <w:left w:val="nil"/>
              <w:bottom w:val="nil"/>
              <w:right w:val="nil"/>
            </w:tcBorders>
            <w:noWrap/>
            <w:vAlign w:val="bottom"/>
            <w:hideMark/>
          </w:tcPr>
          <w:p w14:paraId="69BEF7C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1.2211972</w:t>
            </w:r>
          </w:p>
        </w:tc>
      </w:tr>
      <w:tr w:rsidR="00C150CA" w:rsidRPr="00C150CA" w14:paraId="216B0DFC" w14:textId="77777777" w:rsidTr="00C150CA">
        <w:trPr>
          <w:trHeight w:val="372"/>
        </w:trPr>
        <w:tc>
          <w:tcPr>
            <w:tcW w:w="1817" w:type="dxa"/>
            <w:tcBorders>
              <w:top w:val="nil"/>
              <w:left w:val="nil"/>
              <w:bottom w:val="nil"/>
              <w:right w:val="nil"/>
            </w:tcBorders>
            <w:noWrap/>
            <w:vAlign w:val="bottom"/>
            <w:hideMark/>
          </w:tcPr>
          <w:p w14:paraId="13808FF1"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Z-score</w:t>
            </w:r>
          </w:p>
        </w:tc>
        <w:tc>
          <w:tcPr>
            <w:tcW w:w="1817" w:type="dxa"/>
            <w:tcBorders>
              <w:top w:val="nil"/>
              <w:left w:val="nil"/>
              <w:bottom w:val="nil"/>
              <w:right w:val="nil"/>
            </w:tcBorders>
            <w:noWrap/>
            <w:vAlign w:val="bottom"/>
            <w:hideMark/>
          </w:tcPr>
          <w:p w14:paraId="461ED76F" w14:textId="77777777" w:rsidR="00C150CA" w:rsidRPr="00C150CA" w:rsidRDefault="00C150CA" w:rsidP="00C150CA">
            <w:pPr>
              <w:spacing w:line="240" w:lineRule="auto"/>
              <w:jc w:val="left"/>
              <w:rPr>
                <w:rFonts w:ascii="Calibri" w:eastAsia="Times New Roman" w:hAnsi="Calibri" w:cs="Calibri"/>
                <w:color w:val="000000"/>
                <w:lang w:val="en-US"/>
              </w:rPr>
            </w:pPr>
          </w:p>
        </w:tc>
        <w:tc>
          <w:tcPr>
            <w:tcW w:w="1918" w:type="dxa"/>
            <w:tcBorders>
              <w:top w:val="nil"/>
              <w:left w:val="nil"/>
              <w:bottom w:val="nil"/>
              <w:right w:val="nil"/>
            </w:tcBorders>
            <w:noWrap/>
            <w:vAlign w:val="bottom"/>
            <w:hideMark/>
          </w:tcPr>
          <w:p w14:paraId="283B90B9" w14:textId="77777777" w:rsidR="00C150CA" w:rsidRPr="00C150CA" w:rsidRDefault="00C150CA" w:rsidP="00C150CA">
            <w:pPr>
              <w:spacing w:line="240" w:lineRule="auto"/>
              <w:jc w:val="left"/>
              <w:rPr>
                <w:rFonts w:ascii="Times New Roman" w:eastAsia="Times New Roman" w:hAnsi="Times New Roman" w:cs="Times New Roman"/>
                <w:sz w:val="20"/>
                <w:szCs w:val="20"/>
                <w:lang w:val="en-US"/>
              </w:rPr>
            </w:pPr>
          </w:p>
        </w:tc>
        <w:tc>
          <w:tcPr>
            <w:tcW w:w="1817" w:type="dxa"/>
            <w:tcBorders>
              <w:top w:val="nil"/>
              <w:left w:val="nil"/>
              <w:bottom w:val="nil"/>
              <w:right w:val="nil"/>
            </w:tcBorders>
            <w:noWrap/>
            <w:vAlign w:val="bottom"/>
            <w:hideMark/>
          </w:tcPr>
          <w:p w14:paraId="102BC30E" w14:textId="77777777" w:rsidR="00C150CA" w:rsidRPr="00C150CA" w:rsidRDefault="00C150CA" w:rsidP="00C150CA">
            <w:pPr>
              <w:spacing w:line="240" w:lineRule="auto"/>
              <w:jc w:val="left"/>
              <w:rPr>
                <w:rFonts w:ascii="Times New Roman" w:eastAsia="Times New Roman" w:hAnsi="Times New Roman" w:cs="Times New Roman"/>
                <w:sz w:val="20"/>
                <w:szCs w:val="20"/>
                <w:lang w:val="en-US"/>
              </w:rPr>
            </w:pPr>
          </w:p>
        </w:tc>
        <w:tc>
          <w:tcPr>
            <w:tcW w:w="1918" w:type="dxa"/>
            <w:tcBorders>
              <w:top w:val="nil"/>
              <w:left w:val="nil"/>
              <w:bottom w:val="nil"/>
              <w:right w:val="nil"/>
            </w:tcBorders>
            <w:noWrap/>
            <w:vAlign w:val="bottom"/>
            <w:hideMark/>
          </w:tcPr>
          <w:p w14:paraId="79E6AC40"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2.81957649</w:t>
            </w:r>
          </w:p>
        </w:tc>
      </w:tr>
    </w:tbl>
    <w:p w14:paraId="23044468" w14:textId="77777777" w:rsidR="00C150CA" w:rsidRPr="00C150CA" w:rsidRDefault="00C150CA" w:rsidP="009B259B">
      <w:pPr>
        <w:rPr>
          <w:b/>
          <w:bCs/>
        </w:rPr>
      </w:pPr>
    </w:p>
    <w:tbl>
      <w:tblPr>
        <w:tblW w:w="9350" w:type="dxa"/>
        <w:tblLook w:val="04A0" w:firstRow="1" w:lastRow="0" w:firstColumn="1" w:lastColumn="0" w:noHBand="0" w:noVBand="1"/>
      </w:tblPr>
      <w:tblGrid>
        <w:gridCol w:w="1669"/>
        <w:gridCol w:w="1190"/>
        <w:gridCol w:w="1360"/>
        <w:gridCol w:w="1175"/>
        <w:gridCol w:w="1351"/>
        <w:gridCol w:w="1283"/>
        <w:gridCol w:w="1322"/>
      </w:tblGrid>
      <w:tr w:rsidR="00A6088E" w:rsidRPr="00C150CA" w14:paraId="1362741E" w14:textId="77777777" w:rsidTr="00A6088E">
        <w:trPr>
          <w:trHeight w:val="338"/>
        </w:trPr>
        <w:tc>
          <w:tcPr>
            <w:tcW w:w="166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5C104AC"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19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8DD31D9"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Project A</w:t>
            </w:r>
          </w:p>
        </w:tc>
        <w:tc>
          <w:tcPr>
            <w:tcW w:w="136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8CE12F2"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Cumulative</w:t>
            </w:r>
          </w:p>
        </w:tc>
        <w:tc>
          <w:tcPr>
            <w:tcW w:w="117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4B9A1D6"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Project B</w:t>
            </w:r>
          </w:p>
        </w:tc>
        <w:tc>
          <w:tcPr>
            <w:tcW w:w="135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0825300"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Cumulative</w:t>
            </w:r>
          </w:p>
        </w:tc>
        <w:tc>
          <w:tcPr>
            <w:tcW w:w="1283"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2B7130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Project C</w:t>
            </w:r>
          </w:p>
        </w:tc>
        <w:tc>
          <w:tcPr>
            <w:tcW w:w="13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4628A5A"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Cumulative</w:t>
            </w:r>
          </w:p>
        </w:tc>
      </w:tr>
      <w:tr w:rsidR="00A6088E" w:rsidRPr="00C150CA" w14:paraId="19B093E8"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430D7013"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Initial Cash Outlay (£m)</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7591662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40</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660A1EBF"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2D4A6107"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30</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197902A4"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526710C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50</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56FBEC99"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r>
      <w:tr w:rsidR="00A6088E" w:rsidRPr="00C150CA" w14:paraId="3C9E5712"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2626FB75"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Annual free cash inflows</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4089789E"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74E51951"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1409230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3D926F7B"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35CB9FA5"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5FB84E3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r>
      <w:tr w:rsidR="00A6088E" w:rsidRPr="00C150CA" w14:paraId="3F6425E1"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217F305F"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Year 1</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276F766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7A1DB7E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612560D3"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7200702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15DC029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5</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345BC367"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5</w:t>
            </w:r>
          </w:p>
        </w:tc>
      </w:tr>
      <w:tr w:rsidR="00A6088E" w:rsidRPr="00C150CA" w14:paraId="440677B0"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000DEBF4"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Year 2</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3121A07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12</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7216EC1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22</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746C58E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7B9B0C8C"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12</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063D627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7BF6BEE6"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15</w:t>
            </w:r>
          </w:p>
        </w:tc>
      </w:tr>
      <w:tr w:rsidR="00A6088E" w:rsidRPr="00C150CA" w14:paraId="35B1796B"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472A77C6"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Year 3</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4341C2C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14</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4CDAB3B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36</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7D2E839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7C7B5CE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18</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23A8A992"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20</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187E05CE"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35</w:t>
            </w:r>
          </w:p>
        </w:tc>
      </w:tr>
      <w:tr w:rsidR="00A6088E" w:rsidRPr="00C150CA" w14:paraId="28428819"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48BBF95"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Year 4</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30419C6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601B17F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46</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0A73C0DE"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15BABF7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24</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385028A0"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25</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7633474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60</w:t>
            </w:r>
          </w:p>
        </w:tc>
      </w:tr>
      <w:tr w:rsidR="00A6088E" w:rsidRPr="00C150CA" w14:paraId="3CD0CAEA"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1B6BF323"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Year 5</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175B473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8</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23C7664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54</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33ABFAE7"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67C53779"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30</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13EE08B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15</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2DD0C2E0"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75</w:t>
            </w:r>
          </w:p>
        </w:tc>
      </w:tr>
      <w:tr w:rsidR="00A6088E" w:rsidRPr="00C150CA" w14:paraId="6091410D"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31054E0C"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338FF070"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3407B681"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26F14716"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1140D0C4"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7E95A466"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4DD0DBE8"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r>
      <w:tr w:rsidR="00A6088E" w:rsidRPr="00C150CA" w14:paraId="68B81324"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3F796D89"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PBP</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306BE422"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3.4</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361BAB24"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5E81662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5</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253903D2"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1754495C"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3.6</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178F1F7F"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r>
      <w:tr w:rsidR="00A6088E" w:rsidRPr="00C150CA" w14:paraId="72A06C0A"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8C33B45"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74C5B52F"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5FC4B44C"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1845BAE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4620DE7A"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7603D9F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0CCEBFCA"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r>
      <w:tr w:rsidR="00A6088E" w:rsidRPr="00C150CA" w14:paraId="6A6D8E6C" w14:textId="77777777" w:rsidTr="00A6088E">
        <w:trPr>
          <w:trHeight w:val="338"/>
        </w:trPr>
        <w:tc>
          <w:tcPr>
            <w:tcW w:w="166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0F5DBCAA"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ARR</w:t>
            </w:r>
          </w:p>
        </w:tc>
        <w:tc>
          <w:tcPr>
            <w:tcW w:w="1190" w:type="dxa"/>
            <w:tcBorders>
              <w:top w:val="nil"/>
              <w:left w:val="nil"/>
              <w:bottom w:val="single" w:sz="4" w:space="0" w:color="auto"/>
              <w:right w:val="single" w:sz="4" w:space="0" w:color="auto"/>
            </w:tcBorders>
            <w:shd w:val="clear" w:color="auto" w:fill="FFFFFF" w:themeFill="background1"/>
            <w:noWrap/>
            <w:vAlign w:val="bottom"/>
            <w:hideMark/>
          </w:tcPr>
          <w:p w14:paraId="1A1B712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0.35</w:t>
            </w:r>
          </w:p>
        </w:tc>
        <w:tc>
          <w:tcPr>
            <w:tcW w:w="1360" w:type="dxa"/>
            <w:tcBorders>
              <w:top w:val="nil"/>
              <w:left w:val="nil"/>
              <w:bottom w:val="single" w:sz="4" w:space="0" w:color="auto"/>
              <w:right w:val="single" w:sz="4" w:space="0" w:color="auto"/>
            </w:tcBorders>
            <w:shd w:val="clear" w:color="auto" w:fill="FFFFFF" w:themeFill="background1"/>
            <w:noWrap/>
            <w:vAlign w:val="bottom"/>
            <w:hideMark/>
          </w:tcPr>
          <w:p w14:paraId="29D05270"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175" w:type="dxa"/>
            <w:tcBorders>
              <w:top w:val="nil"/>
              <w:left w:val="nil"/>
              <w:bottom w:val="single" w:sz="4" w:space="0" w:color="auto"/>
              <w:right w:val="single" w:sz="4" w:space="0" w:color="auto"/>
            </w:tcBorders>
            <w:shd w:val="clear" w:color="auto" w:fill="FFFFFF" w:themeFill="background1"/>
            <w:noWrap/>
            <w:vAlign w:val="bottom"/>
            <w:hideMark/>
          </w:tcPr>
          <w:p w14:paraId="37F75CC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w:t>
            </w:r>
          </w:p>
        </w:tc>
        <w:tc>
          <w:tcPr>
            <w:tcW w:w="1351" w:type="dxa"/>
            <w:tcBorders>
              <w:top w:val="nil"/>
              <w:left w:val="nil"/>
              <w:bottom w:val="single" w:sz="4" w:space="0" w:color="auto"/>
              <w:right w:val="single" w:sz="4" w:space="0" w:color="auto"/>
            </w:tcBorders>
            <w:shd w:val="clear" w:color="auto" w:fill="FFFFFF" w:themeFill="background1"/>
            <w:noWrap/>
            <w:vAlign w:val="bottom"/>
            <w:hideMark/>
          </w:tcPr>
          <w:p w14:paraId="27AFA3E0"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283" w:type="dxa"/>
            <w:tcBorders>
              <w:top w:val="nil"/>
              <w:left w:val="nil"/>
              <w:bottom w:val="single" w:sz="4" w:space="0" w:color="auto"/>
              <w:right w:val="single" w:sz="4" w:space="0" w:color="auto"/>
            </w:tcBorders>
            <w:shd w:val="clear" w:color="auto" w:fill="FFFFFF" w:themeFill="background1"/>
            <w:noWrap/>
            <w:vAlign w:val="bottom"/>
            <w:hideMark/>
          </w:tcPr>
          <w:p w14:paraId="182E90D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0.5</w:t>
            </w:r>
          </w:p>
        </w:tc>
        <w:tc>
          <w:tcPr>
            <w:tcW w:w="1322" w:type="dxa"/>
            <w:tcBorders>
              <w:top w:val="nil"/>
              <w:left w:val="nil"/>
              <w:bottom w:val="single" w:sz="4" w:space="0" w:color="auto"/>
              <w:right w:val="single" w:sz="4" w:space="0" w:color="auto"/>
            </w:tcBorders>
            <w:shd w:val="clear" w:color="auto" w:fill="FFFFFF" w:themeFill="background1"/>
            <w:noWrap/>
            <w:vAlign w:val="bottom"/>
            <w:hideMark/>
          </w:tcPr>
          <w:p w14:paraId="4D7707A8"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r>
    </w:tbl>
    <w:p w14:paraId="07FDAFA3" w14:textId="77777777" w:rsidR="00C150CA" w:rsidRDefault="00C150CA" w:rsidP="009B259B"/>
    <w:tbl>
      <w:tblPr>
        <w:tblW w:w="5200" w:type="dxa"/>
        <w:tblLook w:val="04A0" w:firstRow="1" w:lastRow="0" w:firstColumn="1" w:lastColumn="0" w:noHBand="0" w:noVBand="1"/>
      </w:tblPr>
      <w:tblGrid>
        <w:gridCol w:w="1300"/>
        <w:gridCol w:w="1300"/>
        <w:gridCol w:w="1300"/>
        <w:gridCol w:w="1300"/>
      </w:tblGrid>
      <w:tr w:rsidR="00C150CA" w:rsidRPr="00C150CA" w14:paraId="762BEFEA" w14:textId="77777777" w:rsidTr="00A6088E">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A47B0FF"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B5DE3A2"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Project A</w:t>
            </w:r>
          </w:p>
        </w:tc>
        <w:tc>
          <w:tcPr>
            <w:tcW w:w="130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BF26BC7"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Project B</w:t>
            </w:r>
          </w:p>
        </w:tc>
        <w:tc>
          <w:tcPr>
            <w:tcW w:w="130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E1DBEC3"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Project C</w:t>
            </w:r>
          </w:p>
        </w:tc>
      </w:tr>
      <w:tr w:rsidR="00C150CA" w:rsidRPr="00C150CA" w14:paraId="47DD0964" w14:textId="77777777" w:rsidTr="00A6088E">
        <w:trPr>
          <w:trHeight w:val="320"/>
        </w:trPr>
        <w:tc>
          <w:tcPr>
            <w:tcW w:w="130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0E9FE33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PI</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26DD5F1F"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1.033</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1596F870"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0.425</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5BC5A1CC"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1.285</w:t>
            </w:r>
          </w:p>
        </w:tc>
      </w:tr>
    </w:tbl>
    <w:p w14:paraId="05BE2BF4" w14:textId="77777777" w:rsidR="00C150CA" w:rsidRDefault="00C150CA" w:rsidP="009B259B"/>
    <w:tbl>
      <w:tblPr>
        <w:tblW w:w="6480" w:type="dxa"/>
        <w:tblLook w:val="04A0" w:firstRow="1" w:lastRow="0" w:firstColumn="1" w:lastColumn="0" w:noHBand="0" w:noVBand="1"/>
      </w:tblPr>
      <w:tblGrid>
        <w:gridCol w:w="2580"/>
        <w:gridCol w:w="1372"/>
        <w:gridCol w:w="1300"/>
        <w:gridCol w:w="1372"/>
      </w:tblGrid>
      <w:tr w:rsidR="00C150CA" w:rsidRPr="00C150CA" w14:paraId="7449A4BE" w14:textId="77777777" w:rsidTr="00A6088E">
        <w:trPr>
          <w:trHeight w:val="320"/>
        </w:trPr>
        <w:tc>
          <w:tcPr>
            <w:tcW w:w="2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BA8F552"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BD84825"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Project A</w:t>
            </w:r>
          </w:p>
        </w:tc>
        <w:tc>
          <w:tcPr>
            <w:tcW w:w="130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35488EF"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Project B</w:t>
            </w:r>
          </w:p>
        </w:tc>
        <w:tc>
          <w:tcPr>
            <w:tcW w:w="1300" w:type="dxa"/>
            <w:tcBorders>
              <w:top w:val="single" w:sz="4" w:space="0" w:color="auto"/>
              <w:left w:val="nil"/>
              <w:bottom w:val="single" w:sz="4" w:space="0" w:color="auto"/>
              <w:right w:val="nil"/>
            </w:tcBorders>
            <w:shd w:val="clear" w:color="auto" w:fill="FFFFFF" w:themeFill="background1"/>
            <w:noWrap/>
            <w:vAlign w:val="bottom"/>
            <w:hideMark/>
          </w:tcPr>
          <w:p w14:paraId="1D161C55"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Project C</w:t>
            </w:r>
          </w:p>
        </w:tc>
      </w:tr>
      <w:tr w:rsidR="00C150CA" w:rsidRPr="00C150CA" w14:paraId="28846F2E"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4842123F"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Initial Cash Outlay (£m)</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29C2D33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40</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322E37D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30</w:t>
            </w:r>
          </w:p>
        </w:tc>
        <w:tc>
          <w:tcPr>
            <w:tcW w:w="1300" w:type="dxa"/>
            <w:tcBorders>
              <w:top w:val="nil"/>
              <w:left w:val="nil"/>
              <w:bottom w:val="single" w:sz="4" w:space="0" w:color="auto"/>
              <w:right w:val="nil"/>
            </w:tcBorders>
            <w:shd w:val="clear" w:color="auto" w:fill="FFFFFF" w:themeFill="background1"/>
            <w:noWrap/>
            <w:vAlign w:val="bottom"/>
            <w:hideMark/>
          </w:tcPr>
          <w:p w14:paraId="32209F1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50</w:t>
            </w:r>
          </w:p>
        </w:tc>
      </w:tr>
      <w:tr w:rsidR="00C150CA" w:rsidRPr="00C150CA" w14:paraId="05045D3B"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BA9FD2B"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lastRenderedPageBreak/>
              <w:t>Annual free cash inflows</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43624312"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2BB3EB79"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nil"/>
              <w:left w:val="nil"/>
              <w:bottom w:val="single" w:sz="4" w:space="0" w:color="auto"/>
              <w:right w:val="nil"/>
            </w:tcBorders>
            <w:shd w:val="clear" w:color="auto" w:fill="FFFFFF" w:themeFill="background1"/>
            <w:noWrap/>
            <w:vAlign w:val="bottom"/>
            <w:hideMark/>
          </w:tcPr>
          <w:p w14:paraId="305D43F2"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r>
      <w:tr w:rsidR="00C150CA" w:rsidRPr="00C150CA" w14:paraId="56F9B70F"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13794A66"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Year 1</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2F27D3BE"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25F2EBB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300" w:type="dxa"/>
            <w:tcBorders>
              <w:top w:val="nil"/>
              <w:left w:val="nil"/>
              <w:bottom w:val="single" w:sz="4" w:space="0" w:color="auto"/>
              <w:right w:val="nil"/>
            </w:tcBorders>
            <w:shd w:val="clear" w:color="auto" w:fill="FFFFFF" w:themeFill="background1"/>
            <w:noWrap/>
            <w:vAlign w:val="bottom"/>
            <w:hideMark/>
          </w:tcPr>
          <w:p w14:paraId="73491D66"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5</w:t>
            </w:r>
          </w:p>
        </w:tc>
      </w:tr>
      <w:tr w:rsidR="00C150CA" w:rsidRPr="00C150CA" w14:paraId="5AE73511"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44F08E98"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Year 2</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5B9B3662"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12</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6C822D4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300" w:type="dxa"/>
            <w:tcBorders>
              <w:top w:val="nil"/>
              <w:left w:val="nil"/>
              <w:bottom w:val="single" w:sz="4" w:space="0" w:color="auto"/>
              <w:right w:val="nil"/>
            </w:tcBorders>
            <w:shd w:val="clear" w:color="auto" w:fill="FFFFFF" w:themeFill="background1"/>
            <w:noWrap/>
            <w:vAlign w:val="bottom"/>
            <w:hideMark/>
          </w:tcPr>
          <w:p w14:paraId="591021A2"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w:t>
            </w:r>
          </w:p>
        </w:tc>
      </w:tr>
      <w:tr w:rsidR="00C150CA" w:rsidRPr="00C150CA" w14:paraId="09566292"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2EBB89F"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Year 3</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581697B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14</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75C7D76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300" w:type="dxa"/>
            <w:tcBorders>
              <w:top w:val="nil"/>
              <w:left w:val="nil"/>
              <w:bottom w:val="single" w:sz="4" w:space="0" w:color="auto"/>
              <w:right w:val="nil"/>
            </w:tcBorders>
            <w:shd w:val="clear" w:color="auto" w:fill="FFFFFF" w:themeFill="background1"/>
            <w:noWrap/>
            <w:vAlign w:val="bottom"/>
            <w:hideMark/>
          </w:tcPr>
          <w:p w14:paraId="0E9F1E34"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20</w:t>
            </w:r>
          </w:p>
        </w:tc>
      </w:tr>
      <w:tr w:rsidR="00C150CA" w:rsidRPr="00C150CA" w14:paraId="4059A246"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52103EEC"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Year 4</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544AD34D"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10</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55991C92"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300" w:type="dxa"/>
            <w:tcBorders>
              <w:top w:val="nil"/>
              <w:left w:val="nil"/>
              <w:bottom w:val="single" w:sz="4" w:space="0" w:color="auto"/>
              <w:right w:val="nil"/>
            </w:tcBorders>
            <w:shd w:val="clear" w:color="auto" w:fill="FFFFFF" w:themeFill="background1"/>
            <w:noWrap/>
            <w:vAlign w:val="bottom"/>
            <w:hideMark/>
          </w:tcPr>
          <w:p w14:paraId="6DE9E09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25</w:t>
            </w:r>
          </w:p>
        </w:tc>
      </w:tr>
      <w:tr w:rsidR="00C150CA" w:rsidRPr="00C150CA" w14:paraId="5C9BE5DA"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49B331DE"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Year 5</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7A8CF4B3"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8</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0C947C2E"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6</w:t>
            </w:r>
          </w:p>
        </w:tc>
        <w:tc>
          <w:tcPr>
            <w:tcW w:w="1300" w:type="dxa"/>
            <w:tcBorders>
              <w:top w:val="nil"/>
              <w:left w:val="nil"/>
              <w:bottom w:val="single" w:sz="4" w:space="0" w:color="auto"/>
              <w:right w:val="nil"/>
            </w:tcBorders>
            <w:shd w:val="clear" w:color="auto" w:fill="FFFFFF" w:themeFill="background1"/>
            <w:noWrap/>
            <w:vAlign w:val="bottom"/>
            <w:hideMark/>
          </w:tcPr>
          <w:p w14:paraId="376C9BA5"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15</w:t>
            </w:r>
          </w:p>
        </w:tc>
      </w:tr>
      <w:tr w:rsidR="00C150CA" w:rsidRPr="00C150CA" w14:paraId="18887F54"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3CDBF06"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6726396C"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4075C1D2"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nil"/>
              <w:left w:val="nil"/>
              <w:bottom w:val="single" w:sz="4" w:space="0" w:color="auto"/>
              <w:right w:val="nil"/>
            </w:tcBorders>
            <w:shd w:val="clear" w:color="auto" w:fill="FFFFFF" w:themeFill="background1"/>
            <w:noWrap/>
            <w:vAlign w:val="bottom"/>
            <w:hideMark/>
          </w:tcPr>
          <w:p w14:paraId="00996A1D"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r>
      <w:tr w:rsidR="00C150CA" w:rsidRPr="00C150CA" w14:paraId="2835B431"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4789741C"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NPV</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7F383D28"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1.32417681</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2B8F2E1B"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-17.255279</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2EE87DFA"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14.2253696</w:t>
            </w:r>
          </w:p>
        </w:tc>
      </w:tr>
      <w:tr w:rsidR="00C150CA" w:rsidRPr="00C150CA" w14:paraId="0028BE2B"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2F4E8382"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r= 10%</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7217E58B"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19CE051A"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nil"/>
              <w:left w:val="nil"/>
              <w:bottom w:val="single" w:sz="4" w:space="0" w:color="auto"/>
              <w:right w:val="nil"/>
            </w:tcBorders>
            <w:shd w:val="clear" w:color="auto" w:fill="FFFFFF" w:themeFill="background1"/>
            <w:noWrap/>
            <w:vAlign w:val="bottom"/>
            <w:hideMark/>
          </w:tcPr>
          <w:p w14:paraId="0FA676D0"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r>
      <w:tr w:rsidR="00C150CA" w:rsidRPr="00C150CA" w14:paraId="677FA5DD" w14:textId="77777777" w:rsidTr="00A6088E">
        <w:trPr>
          <w:trHeight w:val="320"/>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3614185E" w14:textId="77777777" w:rsidR="00C150CA" w:rsidRPr="00C150CA" w:rsidRDefault="00C150CA" w:rsidP="00C150CA">
            <w:pPr>
              <w:spacing w:line="240" w:lineRule="auto"/>
              <w:jc w:val="right"/>
              <w:rPr>
                <w:rFonts w:ascii="Calibri" w:eastAsia="Times New Roman" w:hAnsi="Calibri" w:cs="Calibri"/>
                <w:color w:val="000000"/>
                <w:lang w:val="en-US"/>
              </w:rPr>
            </w:pPr>
            <w:r w:rsidRPr="00C150CA">
              <w:rPr>
                <w:rFonts w:ascii="Calibri" w:eastAsia="Times New Roman" w:hAnsi="Calibri" w:cs="Calibri"/>
                <w:color w:val="000000"/>
                <w:lang w:val="en-US"/>
              </w:rPr>
              <w:t>1.1</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3BF79016"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nil"/>
              <w:left w:val="nil"/>
              <w:bottom w:val="single" w:sz="4" w:space="0" w:color="auto"/>
              <w:right w:val="single" w:sz="4" w:space="0" w:color="auto"/>
            </w:tcBorders>
            <w:shd w:val="clear" w:color="auto" w:fill="FFFFFF" w:themeFill="background1"/>
            <w:noWrap/>
            <w:vAlign w:val="bottom"/>
            <w:hideMark/>
          </w:tcPr>
          <w:p w14:paraId="235F7E3A"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c>
          <w:tcPr>
            <w:tcW w:w="1300" w:type="dxa"/>
            <w:tcBorders>
              <w:top w:val="nil"/>
              <w:left w:val="nil"/>
              <w:bottom w:val="single" w:sz="4" w:space="0" w:color="auto"/>
              <w:right w:val="nil"/>
            </w:tcBorders>
            <w:shd w:val="clear" w:color="auto" w:fill="FFFFFF" w:themeFill="background1"/>
            <w:noWrap/>
            <w:vAlign w:val="bottom"/>
            <w:hideMark/>
          </w:tcPr>
          <w:p w14:paraId="217A2F92" w14:textId="77777777" w:rsidR="00C150CA" w:rsidRPr="00C150CA" w:rsidRDefault="00C150CA" w:rsidP="00C150CA">
            <w:pPr>
              <w:spacing w:line="240" w:lineRule="auto"/>
              <w:jc w:val="left"/>
              <w:rPr>
                <w:rFonts w:ascii="Calibri" w:eastAsia="Times New Roman" w:hAnsi="Calibri" w:cs="Calibri"/>
                <w:color w:val="000000"/>
                <w:lang w:val="en-US"/>
              </w:rPr>
            </w:pPr>
            <w:r w:rsidRPr="00C150CA">
              <w:rPr>
                <w:rFonts w:ascii="Calibri" w:eastAsia="Times New Roman" w:hAnsi="Calibri" w:cs="Calibri"/>
                <w:color w:val="000000"/>
                <w:lang w:val="en-US"/>
              </w:rPr>
              <w:t> </w:t>
            </w:r>
          </w:p>
        </w:tc>
      </w:tr>
    </w:tbl>
    <w:p w14:paraId="270B0779" w14:textId="77777777" w:rsidR="00C150CA" w:rsidRDefault="00C150CA" w:rsidP="009B259B"/>
    <w:p w14:paraId="6D2A6DEB" w14:textId="77777777" w:rsidR="00C150CA" w:rsidRPr="009B259B" w:rsidRDefault="00C150CA" w:rsidP="009B259B"/>
    <w:sectPr w:rsidR="00C150CA" w:rsidRPr="009B259B" w:rsidSect="00A6088E">
      <w:pgSz w:w="12240" w:h="15840"/>
      <w:pgMar w:top="1440" w:right="1440" w:bottom="1440" w:left="1440" w:header="720" w:footer="720"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22BA7" w14:textId="77777777" w:rsidR="00E4354C" w:rsidRDefault="00E4354C">
      <w:pPr>
        <w:spacing w:line="240" w:lineRule="auto"/>
      </w:pPr>
      <w:r>
        <w:separator/>
      </w:r>
    </w:p>
  </w:endnote>
  <w:endnote w:type="continuationSeparator" w:id="0">
    <w:p w14:paraId="0F66A4B9" w14:textId="77777777" w:rsidR="00E4354C" w:rsidRDefault="00E435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8D64FD2-101D-4726-A46B-230239896CA1}"/>
    <w:embedBold r:id="rId2" w:fontKey="{A79E2E6E-D67F-4536-8017-0E0031D33931}"/>
    <w:embedItalic r:id="rId3" w:fontKey="{C91235E1-7F8E-471F-BE46-A6B450059D56}"/>
  </w:font>
  <w:font w:name="Cambria">
    <w:panose1 w:val="02040503050406030204"/>
    <w:charset w:val="00"/>
    <w:family w:val="roman"/>
    <w:pitch w:val="variable"/>
    <w:sig w:usb0="E00006FF" w:usb1="420024FF" w:usb2="02000000" w:usb3="00000000" w:csb0="0000019F" w:csb1="00000000"/>
    <w:embedRegular r:id="rId4" w:fontKey="{E34DDE7B-0BF3-4A40-9A70-699F9E59D1A2}"/>
    <w:embedBold r:id="rId5" w:fontKey="{533EA9D4-9A0F-4A3F-B0C6-24DF92A69653}"/>
    <w:embedBoldItalic r:id="rId6" w:fontKey="{98C21204-2DCC-478B-A8B7-D2C4C97BA70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03188"/>
      <w:docPartObj>
        <w:docPartGallery w:val="Page Numbers (Bottom of Page)"/>
        <w:docPartUnique/>
      </w:docPartObj>
    </w:sdtPr>
    <w:sdtEndPr>
      <w:rPr>
        <w:noProof/>
      </w:rPr>
    </w:sdtEndPr>
    <w:sdtContent>
      <w:p w14:paraId="199ED868" w14:textId="33880575" w:rsidR="00D87215" w:rsidRDefault="00D872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734EC1" w14:textId="77777777" w:rsidR="00D87215" w:rsidRDefault="00D87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8A682" w14:textId="77777777" w:rsidR="00E4354C" w:rsidRDefault="00E4354C">
      <w:pPr>
        <w:spacing w:line="240" w:lineRule="auto"/>
      </w:pPr>
      <w:r>
        <w:separator/>
      </w:r>
    </w:p>
  </w:footnote>
  <w:footnote w:type="continuationSeparator" w:id="0">
    <w:p w14:paraId="74702F49" w14:textId="77777777" w:rsidR="00E4354C" w:rsidRDefault="00E435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CFF"/>
    <w:multiLevelType w:val="multilevel"/>
    <w:tmpl w:val="8F02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B01EA"/>
    <w:multiLevelType w:val="multilevel"/>
    <w:tmpl w:val="27FE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34075"/>
    <w:multiLevelType w:val="hybridMultilevel"/>
    <w:tmpl w:val="08502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FA0FF7"/>
    <w:multiLevelType w:val="multilevel"/>
    <w:tmpl w:val="59F69E34"/>
    <w:lvl w:ilvl="0">
      <w:start w:val="1"/>
      <w:numFmt w:val="decimal"/>
      <w:lvlText w:val="%1."/>
      <w:lvlJc w:val="left"/>
      <w:pPr>
        <w:ind w:left="720" w:hanging="360"/>
      </w:pPr>
      <w:rPr>
        <w:rFonts w:hint="default"/>
        <w:b/>
      </w:rPr>
    </w:lvl>
    <w:lvl w:ilv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DB14F4"/>
    <w:multiLevelType w:val="multilevel"/>
    <w:tmpl w:val="B46E74AE"/>
    <w:lvl w:ilvl="0">
      <w:start w:val="1"/>
      <w:numFmt w:val="decimal"/>
      <w:lvlText w:val="%1."/>
      <w:lvlJc w:val="left"/>
      <w:pPr>
        <w:ind w:left="720" w:hanging="360"/>
      </w:pPr>
      <w:rPr>
        <w:rFonts w:hint="default"/>
        <w:b/>
      </w:rPr>
    </w:lvl>
    <w:lvl w:ilvl="1">
      <w:start w:val="3"/>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949412E"/>
    <w:multiLevelType w:val="hybridMultilevel"/>
    <w:tmpl w:val="71400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0E2E7A"/>
    <w:multiLevelType w:val="multilevel"/>
    <w:tmpl w:val="8418FB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654A6B"/>
    <w:multiLevelType w:val="hybridMultilevel"/>
    <w:tmpl w:val="7E3EB69A"/>
    <w:lvl w:ilvl="0" w:tplc="04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216975DC"/>
    <w:multiLevelType w:val="multilevel"/>
    <w:tmpl w:val="A3662F9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281D43"/>
    <w:multiLevelType w:val="multilevel"/>
    <w:tmpl w:val="BA6A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C2293C"/>
    <w:multiLevelType w:val="multilevel"/>
    <w:tmpl w:val="3A589448"/>
    <w:lvl w:ilvl="0">
      <w:start w:val="1"/>
      <w:numFmt w:val="decimal"/>
      <w:lvlText w:val="%1."/>
      <w:lvlJc w:val="left"/>
      <w:pPr>
        <w:ind w:left="720" w:hanging="360"/>
      </w:pPr>
    </w:lvl>
    <w:lvl w:ilvl="1">
      <w:start w:val="4"/>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8FF4B13"/>
    <w:multiLevelType w:val="hybridMultilevel"/>
    <w:tmpl w:val="E7880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FB54F2"/>
    <w:multiLevelType w:val="multilevel"/>
    <w:tmpl w:val="3380290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256E80"/>
    <w:multiLevelType w:val="multilevel"/>
    <w:tmpl w:val="C6D20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D37A31"/>
    <w:multiLevelType w:val="multilevel"/>
    <w:tmpl w:val="FB26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6D285F"/>
    <w:multiLevelType w:val="multilevel"/>
    <w:tmpl w:val="E4AAD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202FC4"/>
    <w:multiLevelType w:val="hybridMultilevel"/>
    <w:tmpl w:val="41E2E568"/>
    <w:lvl w:ilvl="0" w:tplc="04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7" w15:restartNumberingAfterBreak="0">
    <w:nsid w:val="66244EE5"/>
    <w:multiLevelType w:val="multilevel"/>
    <w:tmpl w:val="FE42B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3F0FF2"/>
    <w:multiLevelType w:val="multilevel"/>
    <w:tmpl w:val="F3F6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121219"/>
    <w:multiLevelType w:val="multilevel"/>
    <w:tmpl w:val="59F69E34"/>
    <w:lvl w:ilvl="0">
      <w:start w:val="1"/>
      <w:numFmt w:val="decimal"/>
      <w:lvlText w:val="%1."/>
      <w:lvlJc w:val="left"/>
      <w:pPr>
        <w:ind w:left="720" w:hanging="360"/>
      </w:pPr>
      <w:rPr>
        <w:rFonts w:hint="default"/>
        <w:b/>
      </w:rPr>
    </w:lvl>
    <w:lvl w:ilv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1B576D5"/>
    <w:multiLevelType w:val="multilevel"/>
    <w:tmpl w:val="2BA4BF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4"/>
  </w:num>
  <w:num w:numId="3">
    <w:abstractNumId w:val="0"/>
  </w:num>
  <w:num w:numId="4">
    <w:abstractNumId w:val="18"/>
  </w:num>
  <w:num w:numId="5">
    <w:abstractNumId w:val="10"/>
  </w:num>
  <w:num w:numId="6">
    <w:abstractNumId w:val="12"/>
  </w:num>
  <w:num w:numId="7">
    <w:abstractNumId w:val="4"/>
  </w:num>
  <w:num w:numId="8">
    <w:abstractNumId w:val="19"/>
  </w:num>
  <w:num w:numId="9">
    <w:abstractNumId w:val="9"/>
  </w:num>
  <w:num w:numId="10">
    <w:abstractNumId w:val="3"/>
  </w:num>
  <w:num w:numId="11">
    <w:abstractNumId w:val="13"/>
  </w:num>
  <w:num w:numId="12">
    <w:abstractNumId w:val="20"/>
  </w:num>
  <w:num w:numId="13">
    <w:abstractNumId w:val="17"/>
  </w:num>
  <w:num w:numId="14">
    <w:abstractNumId w:val="15"/>
  </w:num>
  <w:num w:numId="15">
    <w:abstractNumId w:val="1"/>
  </w:num>
  <w:num w:numId="16">
    <w:abstractNumId w:val="11"/>
  </w:num>
  <w:num w:numId="17">
    <w:abstractNumId w:val="2"/>
  </w:num>
  <w:num w:numId="18">
    <w:abstractNumId w:val="6"/>
  </w:num>
  <w:num w:numId="19">
    <w:abstractNumId w:val="8"/>
  </w:num>
  <w:num w:numId="20">
    <w:abstractNumId w:val="16"/>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739"/>
    <w:rsid w:val="00024886"/>
    <w:rsid w:val="000305B4"/>
    <w:rsid w:val="00042D8B"/>
    <w:rsid w:val="0004549B"/>
    <w:rsid w:val="00055938"/>
    <w:rsid w:val="0006276D"/>
    <w:rsid w:val="00087739"/>
    <w:rsid w:val="00091078"/>
    <w:rsid w:val="000A1995"/>
    <w:rsid w:val="000B3DD4"/>
    <w:rsid w:val="000D7A06"/>
    <w:rsid w:val="00113122"/>
    <w:rsid w:val="00174CC3"/>
    <w:rsid w:val="001756A1"/>
    <w:rsid w:val="001838C6"/>
    <w:rsid w:val="001C4018"/>
    <w:rsid w:val="001D5F5E"/>
    <w:rsid w:val="001E5952"/>
    <w:rsid w:val="00203872"/>
    <w:rsid w:val="00216A69"/>
    <w:rsid w:val="002315A4"/>
    <w:rsid w:val="00263377"/>
    <w:rsid w:val="00270EF0"/>
    <w:rsid w:val="002A60C6"/>
    <w:rsid w:val="002B0A3B"/>
    <w:rsid w:val="002F3BF4"/>
    <w:rsid w:val="00314563"/>
    <w:rsid w:val="00337D39"/>
    <w:rsid w:val="0034244B"/>
    <w:rsid w:val="00343930"/>
    <w:rsid w:val="0034617A"/>
    <w:rsid w:val="00350170"/>
    <w:rsid w:val="00367D0D"/>
    <w:rsid w:val="00377D91"/>
    <w:rsid w:val="00381AB1"/>
    <w:rsid w:val="003B3B5A"/>
    <w:rsid w:val="003C54F0"/>
    <w:rsid w:val="003E3476"/>
    <w:rsid w:val="00401F23"/>
    <w:rsid w:val="004048B4"/>
    <w:rsid w:val="00411D0E"/>
    <w:rsid w:val="00447A9B"/>
    <w:rsid w:val="0046405A"/>
    <w:rsid w:val="004D2D4A"/>
    <w:rsid w:val="00502120"/>
    <w:rsid w:val="00513341"/>
    <w:rsid w:val="00513B81"/>
    <w:rsid w:val="0052637E"/>
    <w:rsid w:val="00536770"/>
    <w:rsid w:val="0054458A"/>
    <w:rsid w:val="005508DD"/>
    <w:rsid w:val="00573E2D"/>
    <w:rsid w:val="005B21EF"/>
    <w:rsid w:val="005F53C1"/>
    <w:rsid w:val="00600421"/>
    <w:rsid w:val="0060214D"/>
    <w:rsid w:val="0060631D"/>
    <w:rsid w:val="00615B64"/>
    <w:rsid w:val="006163B6"/>
    <w:rsid w:val="006351BF"/>
    <w:rsid w:val="00640A1B"/>
    <w:rsid w:val="00642BC7"/>
    <w:rsid w:val="0065597A"/>
    <w:rsid w:val="0068600B"/>
    <w:rsid w:val="006B22D1"/>
    <w:rsid w:val="006C5724"/>
    <w:rsid w:val="006D795D"/>
    <w:rsid w:val="007056CB"/>
    <w:rsid w:val="00712EF3"/>
    <w:rsid w:val="00720ADD"/>
    <w:rsid w:val="00725C60"/>
    <w:rsid w:val="00731DFB"/>
    <w:rsid w:val="00791846"/>
    <w:rsid w:val="007919F9"/>
    <w:rsid w:val="007E29C9"/>
    <w:rsid w:val="007E3114"/>
    <w:rsid w:val="007F25FC"/>
    <w:rsid w:val="00866BF7"/>
    <w:rsid w:val="00887B74"/>
    <w:rsid w:val="008D5E3D"/>
    <w:rsid w:val="008F6EFC"/>
    <w:rsid w:val="0094342C"/>
    <w:rsid w:val="00944B27"/>
    <w:rsid w:val="009A0436"/>
    <w:rsid w:val="009A1BED"/>
    <w:rsid w:val="009A206E"/>
    <w:rsid w:val="009A23CD"/>
    <w:rsid w:val="009A4BD1"/>
    <w:rsid w:val="009B259B"/>
    <w:rsid w:val="00A37FF8"/>
    <w:rsid w:val="00A6088E"/>
    <w:rsid w:val="00A73B9F"/>
    <w:rsid w:val="00A74E2B"/>
    <w:rsid w:val="00A92A0B"/>
    <w:rsid w:val="00AA2B3D"/>
    <w:rsid w:val="00AA7814"/>
    <w:rsid w:val="00AE24E8"/>
    <w:rsid w:val="00B05073"/>
    <w:rsid w:val="00B10E9D"/>
    <w:rsid w:val="00B14E4A"/>
    <w:rsid w:val="00B217B9"/>
    <w:rsid w:val="00B4739D"/>
    <w:rsid w:val="00B60B58"/>
    <w:rsid w:val="00B6219F"/>
    <w:rsid w:val="00B76658"/>
    <w:rsid w:val="00BB17E9"/>
    <w:rsid w:val="00BD57AC"/>
    <w:rsid w:val="00C07BE7"/>
    <w:rsid w:val="00C150CA"/>
    <w:rsid w:val="00C156F6"/>
    <w:rsid w:val="00C27F84"/>
    <w:rsid w:val="00C32A76"/>
    <w:rsid w:val="00C923C9"/>
    <w:rsid w:val="00CB40D4"/>
    <w:rsid w:val="00D14167"/>
    <w:rsid w:val="00D2043F"/>
    <w:rsid w:val="00D2210C"/>
    <w:rsid w:val="00D32FA4"/>
    <w:rsid w:val="00D46474"/>
    <w:rsid w:val="00D87215"/>
    <w:rsid w:val="00D94F73"/>
    <w:rsid w:val="00DE5DF4"/>
    <w:rsid w:val="00E164C6"/>
    <w:rsid w:val="00E219EF"/>
    <w:rsid w:val="00E23F5E"/>
    <w:rsid w:val="00E26288"/>
    <w:rsid w:val="00E265CF"/>
    <w:rsid w:val="00E35F53"/>
    <w:rsid w:val="00E4354C"/>
    <w:rsid w:val="00E54270"/>
    <w:rsid w:val="00E55CA3"/>
    <w:rsid w:val="00E76EA0"/>
    <w:rsid w:val="00E81E46"/>
    <w:rsid w:val="00E959B7"/>
    <w:rsid w:val="00E9723D"/>
    <w:rsid w:val="00EA11F7"/>
    <w:rsid w:val="00EA7107"/>
    <w:rsid w:val="00EE318C"/>
    <w:rsid w:val="00EE7B7D"/>
    <w:rsid w:val="00F152AE"/>
    <w:rsid w:val="00F4655C"/>
    <w:rsid w:val="00F638CF"/>
    <w:rsid w:val="00F7560B"/>
    <w:rsid w:val="00FC2CB3"/>
    <w:rsid w:val="00FC37E8"/>
    <w:rsid w:val="00FF7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E8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D57AC"/>
    <w:pPr>
      <w:shd w:val="clear" w:color="auto" w:fill="FFFFFF"/>
      <w:outlineLvl w:val="0"/>
    </w:pPr>
    <w:rPr>
      <w:b/>
      <w:bCs/>
      <w:sz w:val="32"/>
      <w:szCs w:val="32"/>
    </w:rPr>
  </w:style>
  <w:style w:type="paragraph" w:styleId="Heading2">
    <w:name w:val="heading 2"/>
    <w:basedOn w:val="Normal"/>
    <w:next w:val="Normal"/>
    <w:uiPriority w:val="9"/>
    <w:unhideWhenUsed/>
    <w:qFormat/>
    <w:rsid w:val="00BD57AC"/>
    <w:pPr>
      <w:keepNext/>
      <w:keepLines/>
      <w:spacing w:before="360" w:after="120"/>
      <w:outlineLvl w:val="1"/>
    </w:pPr>
    <w:rPr>
      <w:b/>
      <w:bCs/>
      <w:sz w:val="28"/>
      <w:szCs w:val="28"/>
    </w:rPr>
  </w:style>
  <w:style w:type="paragraph" w:styleId="Heading3">
    <w:name w:val="heading 3"/>
    <w:basedOn w:val="Normal"/>
    <w:next w:val="Normal"/>
    <w:uiPriority w:val="9"/>
    <w:unhideWhenUsed/>
    <w:qFormat/>
    <w:rsid w:val="00216A69"/>
    <w:pPr>
      <w:keepNext/>
      <w:keepLines/>
      <w:spacing w:before="320" w:after="80"/>
      <w:outlineLvl w:val="2"/>
    </w:pPr>
    <w:rPr>
      <w:b/>
      <w:bCs/>
      <w:color w:val="000000" w:themeColor="text1"/>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styleId="PlainTable4">
    <w:name w:val="Plain Table 4"/>
    <w:basedOn w:val="TableNormal"/>
    <w:uiPriority w:val="44"/>
    <w:rsid w:val="00D32FA4"/>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D32FA4"/>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D32FA4"/>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32FA4"/>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720ADD"/>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720ADD"/>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20ADD"/>
    <w:pPr>
      <w:spacing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720ADD"/>
    <w:pPr>
      <w:spacing w:after="200" w:line="240" w:lineRule="auto"/>
    </w:pPr>
    <w:rPr>
      <w:i/>
      <w:iCs/>
      <w:color w:val="1F497D" w:themeColor="text2"/>
      <w:sz w:val="18"/>
      <w:szCs w:val="18"/>
    </w:rPr>
  </w:style>
  <w:style w:type="character" w:styleId="Strong">
    <w:name w:val="Strong"/>
    <w:basedOn w:val="DefaultParagraphFont"/>
    <w:uiPriority w:val="22"/>
    <w:qFormat/>
    <w:rsid w:val="00B10E9D"/>
    <w:rPr>
      <w:b/>
      <w:bCs/>
    </w:rPr>
  </w:style>
  <w:style w:type="paragraph" w:styleId="NormalWeb">
    <w:name w:val="Normal (Web)"/>
    <w:basedOn w:val="Normal"/>
    <w:uiPriority w:val="99"/>
    <w:semiHidden/>
    <w:unhideWhenUsed/>
    <w:rsid w:val="00E23F5E"/>
    <w:pPr>
      <w:spacing w:before="100" w:beforeAutospacing="1" w:after="100" w:afterAutospacing="1" w:line="240" w:lineRule="auto"/>
      <w:jc w:val="left"/>
    </w:pPr>
    <w:rPr>
      <w:rFonts w:ascii="Times New Roman" w:eastAsia="Times New Roman" w:hAnsi="Times New Roman" w:cs="Times New Roman"/>
      <w:lang w:val="en-US"/>
    </w:rPr>
  </w:style>
  <w:style w:type="paragraph" w:styleId="ListParagraph">
    <w:name w:val="List Paragraph"/>
    <w:basedOn w:val="Normal"/>
    <w:uiPriority w:val="34"/>
    <w:qFormat/>
    <w:rsid w:val="00BD57AC"/>
    <w:pPr>
      <w:ind w:left="720"/>
      <w:contextualSpacing/>
    </w:pPr>
  </w:style>
  <w:style w:type="character" w:customStyle="1" w:styleId="url">
    <w:name w:val="url"/>
    <w:basedOn w:val="DefaultParagraphFont"/>
    <w:rsid w:val="009B259B"/>
  </w:style>
  <w:style w:type="character" w:styleId="Hyperlink">
    <w:name w:val="Hyperlink"/>
    <w:basedOn w:val="DefaultParagraphFont"/>
    <w:uiPriority w:val="99"/>
    <w:unhideWhenUsed/>
    <w:rsid w:val="00091078"/>
    <w:rPr>
      <w:color w:val="0000FF" w:themeColor="hyperlink"/>
      <w:u w:val="single"/>
    </w:rPr>
  </w:style>
  <w:style w:type="character" w:styleId="UnresolvedMention">
    <w:name w:val="Unresolved Mention"/>
    <w:basedOn w:val="DefaultParagraphFont"/>
    <w:uiPriority w:val="99"/>
    <w:semiHidden/>
    <w:unhideWhenUsed/>
    <w:rsid w:val="00091078"/>
    <w:rPr>
      <w:color w:val="605E5C"/>
      <w:shd w:val="clear" w:color="auto" w:fill="E1DFDD"/>
    </w:rPr>
  </w:style>
  <w:style w:type="character" w:customStyle="1" w:styleId="mord">
    <w:name w:val="mord"/>
    <w:basedOn w:val="DefaultParagraphFont"/>
    <w:rsid w:val="009A0436"/>
  </w:style>
  <w:style w:type="character" w:customStyle="1" w:styleId="mrel">
    <w:name w:val="mrel"/>
    <w:basedOn w:val="DefaultParagraphFont"/>
    <w:rsid w:val="009A0436"/>
  </w:style>
  <w:style w:type="character" w:customStyle="1" w:styleId="mopen">
    <w:name w:val="mopen"/>
    <w:basedOn w:val="DefaultParagraphFont"/>
    <w:rsid w:val="009A0436"/>
  </w:style>
  <w:style w:type="character" w:customStyle="1" w:styleId="vlist-s">
    <w:name w:val="vlist-s"/>
    <w:basedOn w:val="DefaultParagraphFont"/>
    <w:rsid w:val="009A0436"/>
  </w:style>
  <w:style w:type="character" w:customStyle="1" w:styleId="mclose">
    <w:name w:val="mclose"/>
    <w:basedOn w:val="DefaultParagraphFont"/>
    <w:rsid w:val="009A0436"/>
  </w:style>
  <w:style w:type="character" w:customStyle="1" w:styleId="mbin">
    <w:name w:val="mbin"/>
    <w:basedOn w:val="DefaultParagraphFont"/>
    <w:rsid w:val="009A0436"/>
  </w:style>
  <w:style w:type="character" w:customStyle="1" w:styleId="katex-mathml">
    <w:name w:val="katex-mathml"/>
    <w:basedOn w:val="DefaultParagraphFont"/>
    <w:rsid w:val="00A37FF8"/>
  </w:style>
  <w:style w:type="paragraph" w:styleId="Header">
    <w:name w:val="header"/>
    <w:basedOn w:val="Normal"/>
    <w:link w:val="HeaderChar"/>
    <w:uiPriority w:val="99"/>
    <w:unhideWhenUsed/>
    <w:rsid w:val="00C150CA"/>
    <w:pPr>
      <w:tabs>
        <w:tab w:val="center" w:pos="4680"/>
        <w:tab w:val="right" w:pos="9360"/>
      </w:tabs>
      <w:spacing w:line="240" w:lineRule="auto"/>
    </w:pPr>
  </w:style>
  <w:style w:type="character" w:customStyle="1" w:styleId="HeaderChar">
    <w:name w:val="Header Char"/>
    <w:basedOn w:val="DefaultParagraphFont"/>
    <w:link w:val="Header"/>
    <w:uiPriority w:val="99"/>
    <w:rsid w:val="00C150CA"/>
  </w:style>
  <w:style w:type="paragraph" w:styleId="Footer">
    <w:name w:val="footer"/>
    <w:basedOn w:val="Normal"/>
    <w:link w:val="FooterChar"/>
    <w:uiPriority w:val="99"/>
    <w:unhideWhenUsed/>
    <w:rsid w:val="00C150CA"/>
    <w:pPr>
      <w:tabs>
        <w:tab w:val="center" w:pos="4680"/>
        <w:tab w:val="right" w:pos="9360"/>
      </w:tabs>
      <w:spacing w:line="240" w:lineRule="auto"/>
    </w:pPr>
  </w:style>
  <w:style w:type="character" w:customStyle="1" w:styleId="FooterChar">
    <w:name w:val="Footer Char"/>
    <w:basedOn w:val="DefaultParagraphFont"/>
    <w:link w:val="Footer"/>
    <w:uiPriority w:val="99"/>
    <w:rsid w:val="00C150CA"/>
  </w:style>
  <w:style w:type="character" w:styleId="PageNumber">
    <w:name w:val="page number"/>
    <w:basedOn w:val="DefaultParagraphFont"/>
    <w:uiPriority w:val="99"/>
    <w:semiHidden/>
    <w:unhideWhenUsed/>
    <w:rsid w:val="00C150CA"/>
  </w:style>
  <w:style w:type="paragraph" w:styleId="TOCHeading">
    <w:name w:val="TOC Heading"/>
    <w:basedOn w:val="Heading1"/>
    <w:next w:val="Normal"/>
    <w:uiPriority w:val="39"/>
    <w:unhideWhenUsed/>
    <w:qFormat/>
    <w:rsid w:val="00A6088E"/>
    <w:pPr>
      <w:keepNext/>
      <w:keepLines/>
      <w:shd w:val="clear" w:color="auto" w:fill="auto"/>
      <w:spacing w:before="48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A6088E"/>
    <w:pPr>
      <w:spacing w:before="120"/>
      <w:jc w:val="left"/>
    </w:pPr>
    <w:rPr>
      <w:rFonts w:asciiTheme="minorHAnsi" w:hAnsiTheme="minorHAnsi"/>
      <w:b/>
      <w:bCs/>
      <w:i/>
      <w:iCs/>
    </w:rPr>
  </w:style>
  <w:style w:type="paragraph" w:styleId="TOC2">
    <w:name w:val="toc 2"/>
    <w:basedOn w:val="Normal"/>
    <w:next w:val="Normal"/>
    <w:autoRedefine/>
    <w:uiPriority w:val="39"/>
    <w:unhideWhenUsed/>
    <w:rsid w:val="00A6088E"/>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A6088E"/>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A6088E"/>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A6088E"/>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A6088E"/>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A6088E"/>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A6088E"/>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A6088E"/>
    <w:pPr>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9009">
      <w:bodyDiv w:val="1"/>
      <w:marLeft w:val="0"/>
      <w:marRight w:val="0"/>
      <w:marTop w:val="0"/>
      <w:marBottom w:val="0"/>
      <w:divBdr>
        <w:top w:val="none" w:sz="0" w:space="0" w:color="auto"/>
        <w:left w:val="none" w:sz="0" w:space="0" w:color="auto"/>
        <w:bottom w:val="none" w:sz="0" w:space="0" w:color="auto"/>
        <w:right w:val="none" w:sz="0" w:space="0" w:color="auto"/>
      </w:divBdr>
      <w:divsChild>
        <w:div w:id="193350224">
          <w:marLeft w:val="0"/>
          <w:marRight w:val="0"/>
          <w:marTop w:val="0"/>
          <w:marBottom w:val="0"/>
          <w:divBdr>
            <w:top w:val="none" w:sz="0" w:space="0" w:color="auto"/>
            <w:left w:val="none" w:sz="0" w:space="0" w:color="auto"/>
            <w:bottom w:val="none" w:sz="0" w:space="0" w:color="auto"/>
            <w:right w:val="none" w:sz="0" w:space="0" w:color="auto"/>
          </w:divBdr>
          <w:divsChild>
            <w:div w:id="890118780">
              <w:marLeft w:val="0"/>
              <w:marRight w:val="0"/>
              <w:marTop w:val="0"/>
              <w:marBottom w:val="0"/>
              <w:divBdr>
                <w:top w:val="none" w:sz="0" w:space="0" w:color="auto"/>
                <w:left w:val="none" w:sz="0" w:space="0" w:color="auto"/>
                <w:bottom w:val="none" w:sz="0" w:space="0" w:color="auto"/>
                <w:right w:val="none" w:sz="0" w:space="0" w:color="auto"/>
              </w:divBdr>
              <w:divsChild>
                <w:div w:id="2072149496">
                  <w:marLeft w:val="0"/>
                  <w:marRight w:val="0"/>
                  <w:marTop w:val="0"/>
                  <w:marBottom w:val="0"/>
                  <w:divBdr>
                    <w:top w:val="none" w:sz="0" w:space="0" w:color="auto"/>
                    <w:left w:val="none" w:sz="0" w:space="0" w:color="auto"/>
                    <w:bottom w:val="none" w:sz="0" w:space="0" w:color="auto"/>
                    <w:right w:val="none" w:sz="0" w:space="0" w:color="auto"/>
                  </w:divBdr>
                  <w:divsChild>
                    <w:div w:id="1944220306">
                      <w:marLeft w:val="0"/>
                      <w:marRight w:val="0"/>
                      <w:marTop w:val="0"/>
                      <w:marBottom w:val="0"/>
                      <w:divBdr>
                        <w:top w:val="none" w:sz="0" w:space="0" w:color="auto"/>
                        <w:left w:val="none" w:sz="0" w:space="0" w:color="auto"/>
                        <w:bottom w:val="none" w:sz="0" w:space="0" w:color="auto"/>
                        <w:right w:val="none" w:sz="0" w:space="0" w:color="auto"/>
                      </w:divBdr>
                      <w:divsChild>
                        <w:div w:id="708646389">
                          <w:marLeft w:val="0"/>
                          <w:marRight w:val="0"/>
                          <w:marTop w:val="0"/>
                          <w:marBottom w:val="0"/>
                          <w:divBdr>
                            <w:top w:val="none" w:sz="0" w:space="0" w:color="auto"/>
                            <w:left w:val="none" w:sz="0" w:space="0" w:color="auto"/>
                            <w:bottom w:val="none" w:sz="0" w:space="0" w:color="auto"/>
                            <w:right w:val="none" w:sz="0" w:space="0" w:color="auto"/>
                          </w:divBdr>
                          <w:divsChild>
                            <w:div w:id="1030648684">
                              <w:marLeft w:val="0"/>
                              <w:marRight w:val="0"/>
                              <w:marTop w:val="0"/>
                              <w:marBottom w:val="0"/>
                              <w:divBdr>
                                <w:top w:val="none" w:sz="0" w:space="0" w:color="auto"/>
                                <w:left w:val="none" w:sz="0" w:space="0" w:color="auto"/>
                                <w:bottom w:val="none" w:sz="0" w:space="0" w:color="auto"/>
                                <w:right w:val="none" w:sz="0" w:space="0" w:color="auto"/>
                              </w:divBdr>
                              <w:divsChild>
                                <w:div w:id="204185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39807">
      <w:bodyDiv w:val="1"/>
      <w:marLeft w:val="0"/>
      <w:marRight w:val="0"/>
      <w:marTop w:val="0"/>
      <w:marBottom w:val="0"/>
      <w:divBdr>
        <w:top w:val="none" w:sz="0" w:space="0" w:color="auto"/>
        <w:left w:val="none" w:sz="0" w:space="0" w:color="auto"/>
        <w:bottom w:val="none" w:sz="0" w:space="0" w:color="auto"/>
        <w:right w:val="none" w:sz="0" w:space="0" w:color="auto"/>
      </w:divBdr>
    </w:div>
    <w:div w:id="137497176">
      <w:bodyDiv w:val="1"/>
      <w:marLeft w:val="0"/>
      <w:marRight w:val="0"/>
      <w:marTop w:val="0"/>
      <w:marBottom w:val="0"/>
      <w:divBdr>
        <w:top w:val="none" w:sz="0" w:space="0" w:color="auto"/>
        <w:left w:val="none" w:sz="0" w:space="0" w:color="auto"/>
        <w:bottom w:val="none" w:sz="0" w:space="0" w:color="auto"/>
        <w:right w:val="none" w:sz="0" w:space="0" w:color="auto"/>
      </w:divBdr>
    </w:div>
    <w:div w:id="178392549">
      <w:bodyDiv w:val="1"/>
      <w:marLeft w:val="0"/>
      <w:marRight w:val="0"/>
      <w:marTop w:val="0"/>
      <w:marBottom w:val="0"/>
      <w:divBdr>
        <w:top w:val="none" w:sz="0" w:space="0" w:color="auto"/>
        <w:left w:val="none" w:sz="0" w:space="0" w:color="auto"/>
        <w:bottom w:val="none" w:sz="0" w:space="0" w:color="auto"/>
        <w:right w:val="none" w:sz="0" w:space="0" w:color="auto"/>
      </w:divBdr>
    </w:div>
    <w:div w:id="196045437">
      <w:bodyDiv w:val="1"/>
      <w:marLeft w:val="0"/>
      <w:marRight w:val="0"/>
      <w:marTop w:val="0"/>
      <w:marBottom w:val="0"/>
      <w:divBdr>
        <w:top w:val="none" w:sz="0" w:space="0" w:color="auto"/>
        <w:left w:val="none" w:sz="0" w:space="0" w:color="auto"/>
        <w:bottom w:val="none" w:sz="0" w:space="0" w:color="auto"/>
        <w:right w:val="none" w:sz="0" w:space="0" w:color="auto"/>
      </w:divBdr>
    </w:div>
    <w:div w:id="208879144">
      <w:bodyDiv w:val="1"/>
      <w:marLeft w:val="0"/>
      <w:marRight w:val="0"/>
      <w:marTop w:val="0"/>
      <w:marBottom w:val="0"/>
      <w:divBdr>
        <w:top w:val="none" w:sz="0" w:space="0" w:color="auto"/>
        <w:left w:val="none" w:sz="0" w:space="0" w:color="auto"/>
        <w:bottom w:val="none" w:sz="0" w:space="0" w:color="auto"/>
        <w:right w:val="none" w:sz="0" w:space="0" w:color="auto"/>
      </w:divBdr>
      <w:divsChild>
        <w:div w:id="1310093934">
          <w:marLeft w:val="-720"/>
          <w:marRight w:val="0"/>
          <w:marTop w:val="0"/>
          <w:marBottom w:val="0"/>
          <w:divBdr>
            <w:top w:val="none" w:sz="0" w:space="0" w:color="auto"/>
            <w:left w:val="none" w:sz="0" w:space="0" w:color="auto"/>
            <w:bottom w:val="none" w:sz="0" w:space="0" w:color="auto"/>
            <w:right w:val="none" w:sz="0" w:space="0" w:color="auto"/>
          </w:divBdr>
        </w:div>
      </w:divsChild>
    </w:div>
    <w:div w:id="221866862">
      <w:bodyDiv w:val="1"/>
      <w:marLeft w:val="0"/>
      <w:marRight w:val="0"/>
      <w:marTop w:val="0"/>
      <w:marBottom w:val="0"/>
      <w:divBdr>
        <w:top w:val="none" w:sz="0" w:space="0" w:color="auto"/>
        <w:left w:val="none" w:sz="0" w:space="0" w:color="auto"/>
        <w:bottom w:val="none" w:sz="0" w:space="0" w:color="auto"/>
        <w:right w:val="none" w:sz="0" w:space="0" w:color="auto"/>
      </w:divBdr>
    </w:div>
    <w:div w:id="248316716">
      <w:bodyDiv w:val="1"/>
      <w:marLeft w:val="0"/>
      <w:marRight w:val="0"/>
      <w:marTop w:val="0"/>
      <w:marBottom w:val="0"/>
      <w:divBdr>
        <w:top w:val="none" w:sz="0" w:space="0" w:color="auto"/>
        <w:left w:val="none" w:sz="0" w:space="0" w:color="auto"/>
        <w:bottom w:val="none" w:sz="0" w:space="0" w:color="auto"/>
        <w:right w:val="none" w:sz="0" w:space="0" w:color="auto"/>
      </w:divBdr>
    </w:div>
    <w:div w:id="293799090">
      <w:bodyDiv w:val="1"/>
      <w:marLeft w:val="0"/>
      <w:marRight w:val="0"/>
      <w:marTop w:val="0"/>
      <w:marBottom w:val="0"/>
      <w:divBdr>
        <w:top w:val="none" w:sz="0" w:space="0" w:color="auto"/>
        <w:left w:val="none" w:sz="0" w:space="0" w:color="auto"/>
        <w:bottom w:val="none" w:sz="0" w:space="0" w:color="auto"/>
        <w:right w:val="none" w:sz="0" w:space="0" w:color="auto"/>
      </w:divBdr>
      <w:divsChild>
        <w:div w:id="686325259">
          <w:marLeft w:val="0"/>
          <w:marRight w:val="0"/>
          <w:marTop w:val="0"/>
          <w:marBottom w:val="0"/>
          <w:divBdr>
            <w:top w:val="none" w:sz="0" w:space="0" w:color="auto"/>
            <w:left w:val="none" w:sz="0" w:space="0" w:color="auto"/>
            <w:bottom w:val="none" w:sz="0" w:space="0" w:color="auto"/>
            <w:right w:val="none" w:sz="0" w:space="0" w:color="auto"/>
          </w:divBdr>
          <w:divsChild>
            <w:div w:id="928849493">
              <w:marLeft w:val="0"/>
              <w:marRight w:val="0"/>
              <w:marTop w:val="0"/>
              <w:marBottom w:val="0"/>
              <w:divBdr>
                <w:top w:val="none" w:sz="0" w:space="0" w:color="auto"/>
                <w:left w:val="none" w:sz="0" w:space="0" w:color="auto"/>
                <w:bottom w:val="none" w:sz="0" w:space="0" w:color="auto"/>
                <w:right w:val="none" w:sz="0" w:space="0" w:color="auto"/>
              </w:divBdr>
              <w:divsChild>
                <w:div w:id="164514265">
                  <w:marLeft w:val="0"/>
                  <w:marRight w:val="0"/>
                  <w:marTop w:val="0"/>
                  <w:marBottom w:val="0"/>
                  <w:divBdr>
                    <w:top w:val="none" w:sz="0" w:space="0" w:color="auto"/>
                    <w:left w:val="none" w:sz="0" w:space="0" w:color="auto"/>
                    <w:bottom w:val="none" w:sz="0" w:space="0" w:color="auto"/>
                    <w:right w:val="none" w:sz="0" w:space="0" w:color="auto"/>
                  </w:divBdr>
                  <w:divsChild>
                    <w:div w:id="1103069133">
                      <w:marLeft w:val="0"/>
                      <w:marRight w:val="0"/>
                      <w:marTop w:val="0"/>
                      <w:marBottom w:val="0"/>
                      <w:divBdr>
                        <w:top w:val="none" w:sz="0" w:space="0" w:color="auto"/>
                        <w:left w:val="none" w:sz="0" w:space="0" w:color="auto"/>
                        <w:bottom w:val="none" w:sz="0" w:space="0" w:color="auto"/>
                        <w:right w:val="none" w:sz="0" w:space="0" w:color="auto"/>
                      </w:divBdr>
                      <w:divsChild>
                        <w:div w:id="513760858">
                          <w:marLeft w:val="0"/>
                          <w:marRight w:val="0"/>
                          <w:marTop w:val="0"/>
                          <w:marBottom w:val="0"/>
                          <w:divBdr>
                            <w:top w:val="none" w:sz="0" w:space="0" w:color="auto"/>
                            <w:left w:val="none" w:sz="0" w:space="0" w:color="auto"/>
                            <w:bottom w:val="none" w:sz="0" w:space="0" w:color="auto"/>
                            <w:right w:val="none" w:sz="0" w:space="0" w:color="auto"/>
                          </w:divBdr>
                          <w:divsChild>
                            <w:div w:id="1187058783">
                              <w:marLeft w:val="0"/>
                              <w:marRight w:val="0"/>
                              <w:marTop w:val="0"/>
                              <w:marBottom w:val="0"/>
                              <w:divBdr>
                                <w:top w:val="none" w:sz="0" w:space="0" w:color="auto"/>
                                <w:left w:val="none" w:sz="0" w:space="0" w:color="auto"/>
                                <w:bottom w:val="none" w:sz="0" w:space="0" w:color="auto"/>
                                <w:right w:val="none" w:sz="0" w:space="0" w:color="auto"/>
                              </w:divBdr>
                              <w:divsChild>
                                <w:div w:id="137943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9139440">
      <w:bodyDiv w:val="1"/>
      <w:marLeft w:val="0"/>
      <w:marRight w:val="0"/>
      <w:marTop w:val="0"/>
      <w:marBottom w:val="0"/>
      <w:divBdr>
        <w:top w:val="none" w:sz="0" w:space="0" w:color="auto"/>
        <w:left w:val="none" w:sz="0" w:space="0" w:color="auto"/>
        <w:bottom w:val="none" w:sz="0" w:space="0" w:color="auto"/>
        <w:right w:val="none" w:sz="0" w:space="0" w:color="auto"/>
      </w:divBdr>
      <w:divsChild>
        <w:div w:id="1313171417">
          <w:marLeft w:val="-720"/>
          <w:marRight w:val="0"/>
          <w:marTop w:val="0"/>
          <w:marBottom w:val="0"/>
          <w:divBdr>
            <w:top w:val="none" w:sz="0" w:space="0" w:color="auto"/>
            <w:left w:val="none" w:sz="0" w:space="0" w:color="auto"/>
            <w:bottom w:val="none" w:sz="0" w:space="0" w:color="auto"/>
            <w:right w:val="none" w:sz="0" w:space="0" w:color="auto"/>
          </w:divBdr>
        </w:div>
      </w:divsChild>
    </w:div>
    <w:div w:id="327293673">
      <w:bodyDiv w:val="1"/>
      <w:marLeft w:val="0"/>
      <w:marRight w:val="0"/>
      <w:marTop w:val="0"/>
      <w:marBottom w:val="0"/>
      <w:divBdr>
        <w:top w:val="none" w:sz="0" w:space="0" w:color="auto"/>
        <w:left w:val="none" w:sz="0" w:space="0" w:color="auto"/>
        <w:bottom w:val="none" w:sz="0" w:space="0" w:color="auto"/>
        <w:right w:val="none" w:sz="0" w:space="0" w:color="auto"/>
      </w:divBdr>
    </w:div>
    <w:div w:id="361055049">
      <w:bodyDiv w:val="1"/>
      <w:marLeft w:val="0"/>
      <w:marRight w:val="0"/>
      <w:marTop w:val="0"/>
      <w:marBottom w:val="0"/>
      <w:divBdr>
        <w:top w:val="none" w:sz="0" w:space="0" w:color="auto"/>
        <w:left w:val="none" w:sz="0" w:space="0" w:color="auto"/>
        <w:bottom w:val="none" w:sz="0" w:space="0" w:color="auto"/>
        <w:right w:val="none" w:sz="0" w:space="0" w:color="auto"/>
      </w:divBdr>
    </w:div>
    <w:div w:id="377439582">
      <w:bodyDiv w:val="1"/>
      <w:marLeft w:val="0"/>
      <w:marRight w:val="0"/>
      <w:marTop w:val="0"/>
      <w:marBottom w:val="0"/>
      <w:divBdr>
        <w:top w:val="none" w:sz="0" w:space="0" w:color="auto"/>
        <w:left w:val="none" w:sz="0" w:space="0" w:color="auto"/>
        <w:bottom w:val="none" w:sz="0" w:space="0" w:color="auto"/>
        <w:right w:val="none" w:sz="0" w:space="0" w:color="auto"/>
      </w:divBdr>
    </w:div>
    <w:div w:id="396783879">
      <w:bodyDiv w:val="1"/>
      <w:marLeft w:val="0"/>
      <w:marRight w:val="0"/>
      <w:marTop w:val="0"/>
      <w:marBottom w:val="0"/>
      <w:divBdr>
        <w:top w:val="none" w:sz="0" w:space="0" w:color="auto"/>
        <w:left w:val="none" w:sz="0" w:space="0" w:color="auto"/>
        <w:bottom w:val="none" w:sz="0" w:space="0" w:color="auto"/>
        <w:right w:val="none" w:sz="0" w:space="0" w:color="auto"/>
      </w:divBdr>
    </w:div>
    <w:div w:id="414740609">
      <w:bodyDiv w:val="1"/>
      <w:marLeft w:val="0"/>
      <w:marRight w:val="0"/>
      <w:marTop w:val="0"/>
      <w:marBottom w:val="0"/>
      <w:divBdr>
        <w:top w:val="none" w:sz="0" w:space="0" w:color="auto"/>
        <w:left w:val="none" w:sz="0" w:space="0" w:color="auto"/>
        <w:bottom w:val="none" w:sz="0" w:space="0" w:color="auto"/>
        <w:right w:val="none" w:sz="0" w:space="0" w:color="auto"/>
      </w:divBdr>
    </w:div>
    <w:div w:id="427849424">
      <w:bodyDiv w:val="1"/>
      <w:marLeft w:val="0"/>
      <w:marRight w:val="0"/>
      <w:marTop w:val="0"/>
      <w:marBottom w:val="0"/>
      <w:divBdr>
        <w:top w:val="none" w:sz="0" w:space="0" w:color="auto"/>
        <w:left w:val="none" w:sz="0" w:space="0" w:color="auto"/>
        <w:bottom w:val="none" w:sz="0" w:space="0" w:color="auto"/>
        <w:right w:val="none" w:sz="0" w:space="0" w:color="auto"/>
      </w:divBdr>
    </w:div>
    <w:div w:id="433941416">
      <w:bodyDiv w:val="1"/>
      <w:marLeft w:val="0"/>
      <w:marRight w:val="0"/>
      <w:marTop w:val="0"/>
      <w:marBottom w:val="0"/>
      <w:divBdr>
        <w:top w:val="none" w:sz="0" w:space="0" w:color="auto"/>
        <w:left w:val="none" w:sz="0" w:space="0" w:color="auto"/>
        <w:bottom w:val="none" w:sz="0" w:space="0" w:color="auto"/>
        <w:right w:val="none" w:sz="0" w:space="0" w:color="auto"/>
      </w:divBdr>
    </w:div>
    <w:div w:id="471871589">
      <w:bodyDiv w:val="1"/>
      <w:marLeft w:val="0"/>
      <w:marRight w:val="0"/>
      <w:marTop w:val="0"/>
      <w:marBottom w:val="0"/>
      <w:divBdr>
        <w:top w:val="none" w:sz="0" w:space="0" w:color="auto"/>
        <w:left w:val="none" w:sz="0" w:space="0" w:color="auto"/>
        <w:bottom w:val="none" w:sz="0" w:space="0" w:color="auto"/>
        <w:right w:val="none" w:sz="0" w:space="0" w:color="auto"/>
      </w:divBdr>
    </w:div>
    <w:div w:id="602301097">
      <w:bodyDiv w:val="1"/>
      <w:marLeft w:val="0"/>
      <w:marRight w:val="0"/>
      <w:marTop w:val="0"/>
      <w:marBottom w:val="0"/>
      <w:divBdr>
        <w:top w:val="none" w:sz="0" w:space="0" w:color="auto"/>
        <w:left w:val="none" w:sz="0" w:space="0" w:color="auto"/>
        <w:bottom w:val="none" w:sz="0" w:space="0" w:color="auto"/>
        <w:right w:val="none" w:sz="0" w:space="0" w:color="auto"/>
      </w:divBdr>
      <w:divsChild>
        <w:div w:id="2008896422">
          <w:marLeft w:val="-720"/>
          <w:marRight w:val="0"/>
          <w:marTop w:val="0"/>
          <w:marBottom w:val="0"/>
          <w:divBdr>
            <w:top w:val="none" w:sz="0" w:space="0" w:color="auto"/>
            <w:left w:val="none" w:sz="0" w:space="0" w:color="auto"/>
            <w:bottom w:val="none" w:sz="0" w:space="0" w:color="auto"/>
            <w:right w:val="none" w:sz="0" w:space="0" w:color="auto"/>
          </w:divBdr>
        </w:div>
      </w:divsChild>
    </w:div>
    <w:div w:id="621695135">
      <w:bodyDiv w:val="1"/>
      <w:marLeft w:val="0"/>
      <w:marRight w:val="0"/>
      <w:marTop w:val="0"/>
      <w:marBottom w:val="0"/>
      <w:divBdr>
        <w:top w:val="none" w:sz="0" w:space="0" w:color="auto"/>
        <w:left w:val="none" w:sz="0" w:space="0" w:color="auto"/>
        <w:bottom w:val="none" w:sz="0" w:space="0" w:color="auto"/>
        <w:right w:val="none" w:sz="0" w:space="0" w:color="auto"/>
      </w:divBdr>
    </w:div>
    <w:div w:id="665205867">
      <w:bodyDiv w:val="1"/>
      <w:marLeft w:val="0"/>
      <w:marRight w:val="0"/>
      <w:marTop w:val="0"/>
      <w:marBottom w:val="0"/>
      <w:divBdr>
        <w:top w:val="none" w:sz="0" w:space="0" w:color="auto"/>
        <w:left w:val="none" w:sz="0" w:space="0" w:color="auto"/>
        <w:bottom w:val="none" w:sz="0" w:space="0" w:color="auto"/>
        <w:right w:val="none" w:sz="0" w:space="0" w:color="auto"/>
      </w:divBdr>
      <w:divsChild>
        <w:div w:id="281109929">
          <w:marLeft w:val="-720"/>
          <w:marRight w:val="0"/>
          <w:marTop w:val="0"/>
          <w:marBottom w:val="0"/>
          <w:divBdr>
            <w:top w:val="none" w:sz="0" w:space="0" w:color="auto"/>
            <w:left w:val="none" w:sz="0" w:space="0" w:color="auto"/>
            <w:bottom w:val="none" w:sz="0" w:space="0" w:color="auto"/>
            <w:right w:val="none" w:sz="0" w:space="0" w:color="auto"/>
          </w:divBdr>
        </w:div>
      </w:divsChild>
    </w:div>
    <w:div w:id="706298053">
      <w:bodyDiv w:val="1"/>
      <w:marLeft w:val="0"/>
      <w:marRight w:val="0"/>
      <w:marTop w:val="0"/>
      <w:marBottom w:val="0"/>
      <w:divBdr>
        <w:top w:val="none" w:sz="0" w:space="0" w:color="auto"/>
        <w:left w:val="none" w:sz="0" w:space="0" w:color="auto"/>
        <w:bottom w:val="none" w:sz="0" w:space="0" w:color="auto"/>
        <w:right w:val="none" w:sz="0" w:space="0" w:color="auto"/>
      </w:divBdr>
    </w:div>
    <w:div w:id="711150734">
      <w:bodyDiv w:val="1"/>
      <w:marLeft w:val="0"/>
      <w:marRight w:val="0"/>
      <w:marTop w:val="0"/>
      <w:marBottom w:val="0"/>
      <w:divBdr>
        <w:top w:val="none" w:sz="0" w:space="0" w:color="auto"/>
        <w:left w:val="none" w:sz="0" w:space="0" w:color="auto"/>
        <w:bottom w:val="none" w:sz="0" w:space="0" w:color="auto"/>
        <w:right w:val="none" w:sz="0" w:space="0" w:color="auto"/>
      </w:divBdr>
      <w:divsChild>
        <w:div w:id="721946479">
          <w:marLeft w:val="-720"/>
          <w:marRight w:val="0"/>
          <w:marTop w:val="0"/>
          <w:marBottom w:val="0"/>
          <w:divBdr>
            <w:top w:val="none" w:sz="0" w:space="0" w:color="auto"/>
            <w:left w:val="none" w:sz="0" w:space="0" w:color="auto"/>
            <w:bottom w:val="none" w:sz="0" w:space="0" w:color="auto"/>
            <w:right w:val="none" w:sz="0" w:space="0" w:color="auto"/>
          </w:divBdr>
        </w:div>
      </w:divsChild>
    </w:div>
    <w:div w:id="754665818">
      <w:bodyDiv w:val="1"/>
      <w:marLeft w:val="0"/>
      <w:marRight w:val="0"/>
      <w:marTop w:val="0"/>
      <w:marBottom w:val="0"/>
      <w:divBdr>
        <w:top w:val="none" w:sz="0" w:space="0" w:color="auto"/>
        <w:left w:val="none" w:sz="0" w:space="0" w:color="auto"/>
        <w:bottom w:val="none" w:sz="0" w:space="0" w:color="auto"/>
        <w:right w:val="none" w:sz="0" w:space="0" w:color="auto"/>
      </w:divBdr>
    </w:div>
    <w:div w:id="797449995">
      <w:bodyDiv w:val="1"/>
      <w:marLeft w:val="0"/>
      <w:marRight w:val="0"/>
      <w:marTop w:val="0"/>
      <w:marBottom w:val="0"/>
      <w:divBdr>
        <w:top w:val="none" w:sz="0" w:space="0" w:color="auto"/>
        <w:left w:val="none" w:sz="0" w:space="0" w:color="auto"/>
        <w:bottom w:val="none" w:sz="0" w:space="0" w:color="auto"/>
        <w:right w:val="none" w:sz="0" w:space="0" w:color="auto"/>
      </w:divBdr>
      <w:divsChild>
        <w:div w:id="1920629096">
          <w:marLeft w:val="-720"/>
          <w:marRight w:val="0"/>
          <w:marTop w:val="0"/>
          <w:marBottom w:val="0"/>
          <w:divBdr>
            <w:top w:val="none" w:sz="0" w:space="0" w:color="auto"/>
            <w:left w:val="none" w:sz="0" w:space="0" w:color="auto"/>
            <w:bottom w:val="none" w:sz="0" w:space="0" w:color="auto"/>
            <w:right w:val="none" w:sz="0" w:space="0" w:color="auto"/>
          </w:divBdr>
        </w:div>
      </w:divsChild>
    </w:div>
    <w:div w:id="797457696">
      <w:bodyDiv w:val="1"/>
      <w:marLeft w:val="0"/>
      <w:marRight w:val="0"/>
      <w:marTop w:val="0"/>
      <w:marBottom w:val="0"/>
      <w:divBdr>
        <w:top w:val="none" w:sz="0" w:space="0" w:color="auto"/>
        <w:left w:val="none" w:sz="0" w:space="0" w:color="auto"/>
        <w:bottom w:val="none" w:sz="0" w:space="0" w:color="auto"/>
        <w:right w:val="none" w:sz="0" w:space="0" w:color="auto"/>
      </w:divBdr>
    </w:div>
    <w:div w:id="812986157">
      <w:bodyDiv w:val="1"/>
      <w:marLeft w:val="0"/>
      <w:marRight w:val="0"/>
      <w:marTop w:val="0"/>
      <w:marBottom w:val="0"/>
      <w:divBdr>
        <w:top w:val="none" w:sz="0" w:space="0" w:color="auto"/>
        <w:left w:val="none" w:sz="0" w:space="0" w:color="auto"/>
        <w:bottom w:val="none" w:sz="0" w:space="0" w:color="auto"/>
        <w:right w:val="none" w:sz="0" w:space="0" w:color="auto"/>
      </w:divBdr>
    </w:div>
    <w:div w:id="856651371">
      <w:bodyDiv w:val="1"/>
      <w:marLeft w:val="0"/>
      <w:marRight w:val="0"/>
      <w:marTop w:val="0"/>
      <w:marBottom w:val="0"/>
      <w:divBdr>
        <w:top w:val="none" w:sz="0" w:space="0" w:color="auto"/>
        <w:left w:val="none" w:sz="0" w:space="0" w:color="auto"/>
        <w:bottom w:val="none" w:sz="0" w:space="0" w:color="auto"/>
        <w:right w:val="none" w:sz="0" w:space="0" w:color="auto"/>
      </w:divBdr>
    </w:div>
    <w:div w:id="877471086">
      <w:bodyDiv w:val="1"/>
      <w:marLeft w:val="0"/>
      <w:marRight w:val="0"/>
      <w:marTop w:val="0"/>
      <w:marBottom w:val="0"/>
      <w:divBdr>
        <w:top w:val="none" w:sz="0" w:space="0" w:color="auto"/>
        <w:left w:val="none" w:sz="0" w:space="0" w:color="auto"/>
        <w:bottom w:val="none" w:sz="0" w:space="0" w:color="auto"/>
        <w:right w:val="none" w:sz="0" w:space="0" w:color="auto"/>
      </w:divBdr>
    </w:div>
    <w:div w:id="902521921">
      <w:bodyDiv w:val="1"/>
      <w:marLeft w:val="0"/>
      <w:marRight w:val="0"/>
      <w:marTop w:val="0"/>
      <w:marBottom w:val="0"/>
      <w:divBdr>
        <w:top w:val="none" w:sz="0" w:space="0" w:color="auto"/>
        <w:left w:val="none" w:sz="0" w:space="0" w:color="auto"/>
        <w:bottom w:val="none" w:sz="0" w:space="0" w:color="auto"/>
        <w:right w:val="none" w:sz="0" w:space="0" w:color="auto"/>
      </w:divBdr>
    </w:div>
    <w:div w:id="909119552">
      <w:bodyDiv w:val="1"/>
      <w:marLeft w:val="0"/>
      <w:marRight w:val="0"/>
      <w:marTop w:val="0"/>
      <w:marBottom w:val="0"/>
      <w:divBdr>
        <w:top w:val="none" w:sz="0" w:space="0" w:color="auto"/>
        <w:left w:val="none" w:sz="0" w:space="0" w:color="auto"/>
        <w:bottom w:val="none" w:sz="0" w:space="0" w:color="auto"/>
        <w:right w:val="none" w:sz="0" w:space="0" w:color="auto"/>
      </w:divBdr>
    </w:div>
    <w:div w:id="935020015">
      <w:bodyDiv w:val="1"/>
      <w:marLeft w:val="0"/>
      <w:marRight w:val="0"/>
      <w:marTop w:val="0"/>
      <w:marBottom w:val="0"/>
      <w:divBdr>
        <w:top w:val="none" w:sz="0" w:space="0" w:color="auto"/>
        <w:left w:val="none" w:sz="0" w:space="0" w:color="auto"/>
        <w:bottom w:val="none" w:sz="0" w:space="0" w:color="auto"/>
        <w:right w:val="none" w:sz="0" w:space="0" w:color="auto"/>
      </w:divBdr>
      <w:divsChild>
        <w:div w:id="97024800">
          <w:marLeft w:val="-720"/>
          <w:marRight w:val="0"/>
          <w:marTop w:val="0"/>
          <w:marBottom w:val="0"/>
          <w:divBdr>
            <w:top w:val="none" w:sz="0" w:space="0" w:color="auto"/>
            <w:left w:val="none" w:sz="0" w:space="0" w:color="auto"/>
            <w:bottom w:val="none" w:sz="0" w:space="0" w:color="auto"/>
            <w:right w:val="none" w:sz="0" w:space="0" w:color="auto"/>
          </w:divBdr>
        </w:div>
      </w:divsChild>
    </w:div>
    <w:div w:id="1006249397">
      <w:bodyDiv w:val="1"/>
      <w:marLeft w:val="0"/>
      <w:marRight w:val="0"/>
      <w:marTop w:val="0"/>
      <w:marBottom w:val="0"/>
      <w:divBdr>
        <w:top w:val="none" w:sz="0" w:space="0" w:color="auto"/>
        <w:left w:val="none" w:sz="0" w:space="0" w:color="auto"/>
        <w:bottom w:val="none" w:sz="0" w:space="0" w:color="auto"/>
        <w:right w:val="none" w:sz="0" w:space="0" w:color="auto"/>
      </w:divBdr>
      <w:divsChild>
        <w:div w:id="842671769">
          <w:marLeft w:val="-720"/>
          <w:marRight w:val="0"/>
          <w:marTop w:val="0"/>
          <w:marBottom w:val="0"/>
          <w:divBdr>
            <w:top w:val="none" w:sz="0" w:space="0" w:color="auto"/>
            <w:left w:val="none" w:sz="0" w:space="0" w:color="auto"/>
            <w:bottom w:val="none" w:sz="0" w:space="0" w:color="auto"/>
            <w:right w:val="none" w:sz="0" w:space="0" w:color="auto"/>
          </w:divBdr>
        </w:div>
      </w:divsChild>
    </w:div>
    <w:div w:id="1016037242">
      <w:bodyDiv w:val="1"/>
      <w:marLeft w:val="0"/>
      <w:marRight w:val="0"/>
      <w:marTop w:val="0"/>
      <w:marBottom w:val="0"/>
      <w:divBdr>
        <w:top w:val="none" w:sz="0" w:space="0" w:color="auto"/>
        <w:left w:val="none" w:sz="0" w:space="0" w:color="auto"/>
        <w:bottom w:val="none" w:sz="0" w:space="0" w:color="auto"/>
        <w:right w:val="none" w:sz="0" w:space="0" w:color="auto"/>
      </w:divBdr>
    </w:div>
    <w:div w:id="1021053288">
      <w:bodyDiv w:val="1"/>
      <w:marLeft w:val="0"/>
      <w:marRight w:val="0"/>
      <w:marTop w:val="0"/>
      <w:marBottom w:val="0"/>
      <w:divBdr>
        <w:top w:val="none" w:sz="0" w:space="0" w:color="auto"/>
        <w:left w:val="none" w:sz="0" w:space="0" w:color="auto"/>
        <w:bottom w:val="none" w:sz="0" w:space="0" w:color="auto"/>
        <w:right w:val="none" w:sz="0" w:space="0" w:color="auto"/>
      </w:divBdr>
    </w:div>
    <w:div w:id="1041367299">
      <w:bodyDiv w:val="1"/>
      <w:marLeft w:val="0"/>
      <w:marRight w:val="0"/>
      <w:marTop w:val="0"/>
      <w:marBottom w:val="0"/>
      <w:divBdr>
        <w:top w:val="none" w:sz="0" w:space="0" w:color="auto"/>
        <w:left w:val="none" w:sz="0" w:space="0" w:color="auto"/>
        <w:bottom w:val="none" w:sz="0" w:space="0" w:color="auto"/>
        <w:right w:val="none" w:sz="0" w:space="0" w:color="auto"/>
      </w:divBdr>
    </w:div>
    <w:div w:id="1041516231">
      <w:bodyDiv w:val="1"/>
      <w:marLeft w:val="0"/>
      <w:marRight w:val="0"/>
      <w:marTop w:val="0"/>
      <w:marBottom w:val="0"/>
      <w:divBdr>
        <w:top w:val="none" w:sz="0" w:space="0" w:color="auto"/>
        <w:left w:val="none" w:sz="0" w:space="0" w:color="auto"/>
        <w:bottom w:val="none" w:sz="0" w:space="0" w:color="auto"/>
        <w:right w:val="none" w:sz="0" w:space="0" w:color="auto"/>
      </w:divBdr>
    </w:div>
    <w:div w:id="1054239667">
      <w:bodyDiv w:val="1"/>
      <w:marLeft w:val="0"/>
      <w:marRight w:val="0"/>
      <w:marTop w:val="0"/>
      <w:marBottom w:val="0"/>
      <w:divBdr>
        <w:top w:val="none" w:sz="0" w:space="0" w:color="auto"/>
        <w:left w:val="none" w:sz="0" w:space="0" w:color="auto"/>
        <w:bottom w:val="none" w:sz="0" w:space="0" w:color="auto"/>
        <w:right w:val="none" w:sz="0" w:space="0" w:color="auto"/>
      </w:divBdr>
      <w:divsChild>
        <w:div w:id="604924116">
          <w:marLeft w:val="-720"/>
          <w:marRight w:val="0"/>
          <w:marTop w:val="0"/>
          <w:marBottom w:val="0"/>
          <w:divBdr>
            <w:top w:val="none" w:sz="0" w:space="0" w:color="auto"/>
            <w:left w:val="none" w:sz="0" w:space="0" w:color="auto"/>
            <w:bottom w:val="none" w:sz="0" w:space="0" w:color="auto"/>
            <w:right w:val="none" w:sz="0" w:space="0" w:color="auto"/>
          </w:divBdr>
        </w:div>
      </w:divsChild>
    </w:div>
    <w:div w:id="1132359918">
      <w:bodyDiv w:val="1"/>
      <w:marLeft w:val="0"/>
      <w:marRight w:val="0"/>
      <w:marTop w:val="0"/>
      <w:marBottom w:val="0"/>
      <w:divBdr>
        <w:top w:val="none" w:sz="0" w:space="0" w:color="auto"/>
        <w:left w:val="none" w:sz="0" w:space="0" w:color="auto"/>
        <w:bottom w:val="none" w:sz="0" w:space="0" w:color="auto"/>
        <w:right w:val="none" w:sz="0" w:space="0" w:color="auto"/>
      </w:divBdr>
    </w:div>
    <w:div w:id="1136027621">
      <w:bodyDiv w:val="1"/>
      <w:marLeft w:val="0"/>
      <w:marRight w:val="0"/>
      <w:marTop w:val="0"/>
      <w:marBottom w:val="0"/>
      <w:divBdr>
        <w:top w:val="none" w:sz="0" w:space="0" w:color="auto"/>
        <w:left w:val="none" w:sz="0" w:space="0" w:color="auto"/>
        <w:bottom w:val="none" w:sz="0" w:space="0" w:color="auto"/>
        <w:right w:val="none" w:sz="0" w:space="0" w:color="auto"/>
      </w:divBdr>
    </w:div>
    <w:div w:id="1141965239">
      <w:bodyDiv w:val="1"/>
      <w:marLeft w:val="0"/>
      <w:marRight w:val="0"/>
      <w:marTop w:val="0"/>
      <w:marBottom w:val="0"/>
      <w:divBdr>
        <w:top w:val="none" w:sz="0" w:space="0" w:color="auto"/>
        <w:left w:val="none" w:sz="0" w:space="0" w:color="auto"/>
        <w:bottom w:val="none" w:sz="0" w:space="0" w:color="auto"/>
        <w:right w:val="none" w:sz="0" w:space="0" w:color="auto"/>
      </w:divBdr>
      <w:divsChild>
        <w:div w:id="1908877196">
          <w:marLeft w:val="0"/>
          <w:marRight w:val="0"/>
          <w:marTop w:val="0"/>
          <w:marBottom w:val="0"/>
          <w:divBdr>
            <w:top w:val="none" w:sz="0" w:space="0" w:color="auto"/>
            <w:left w:val="none" w:sz="0" w:space="0" w:color="auto"/>
            <w:bottom w:val="none" w:sz="0" w:space="0" w:color="auto"/>
            <w:right w:val="none" w:sz="0" w:space="0" w:color="auto"/>
          </w:divBdr>
          <w:divsChild>
            <w:div w:id="1255868846">
              <w:marLeft w:val="0"/>
              <w:marRight w:val="0"/>
              <w:marTop w:val="0"/>
              <w:marBottom w:val="0"/>
              <w:divBdr>
                <w:top w:val="none" w:sz="0" w:space="0" w:color="auto"/>
                <w:left w:val="none" w:sz="0" w:space="0" w:color="auto"/>
                <w:bottom w:val="none" w:sz="0" w:space="0" w:color="auto"/>
                <w:right w:val="none" w:sz="0" w:space="0" w:color="auto"/>
              </w:divBdr>
              <w:divsChild>
                <w:div w:id="1048266368">
                  <w:marLeft w:val="0"/>
                  <w:marRight w:val="0"/>
                  <w:marTop w:val="0"/>
                  <w:marBottom w:val="0"/>
                  <w:divBdr>
                    <w:top w:val="none" w:sz="0" w:space="0" w:color="auto"/>
                    <w:left w:val="none" w:sz="0" w:space="0" w:color="auto"/>
                    <w:bottom w:val="none" w:sz="0" w:space="0" w:color="auto"/>
                    <w:right w:val="none" w:sz="0" w:space="0" w:color="auto"/>
                  </w:divBdr>
                  <w:divsChild>
                    <w:div w:id="1707438820">
                      <w:marLeft w:val="0"/>
                      <w:marRight w:val="0"/>
                      <w:marTop w:val="0"/>
                      <w:marBottom w:val="0"/>
                      <w:divBdr>
                        <w:top w:val="none" w:sz="0" w:space="0" w:color="auto"/>
                        <w:left w:val="none" w:sz="0" w:space="0" w:color="auto"/>
                        <w:bottom w:val="none" w:sz="0" w:space="0" w:color="auto"/>
                        <w:right w:val="none" w:sz="0" w:space="0" w:color="auto"/>
                      </w:divBdr>
                      <w:divsChild>
                        <w:div w:id="1158813867">
                          <w:marLeft w:val="0"/>
                          <w:marRight w:val="0"/>
                          <w:marTop w:val="0"/>
                          <w:marBottom w:val="0"/>
                          <w:divBdr>
                            <w:top w:val="none" w:sz="0" w:space="0" w:color="auto"/>
                            <w:left w:val="none" w:sz="0" w:space="0" w:color="auto"/>
                            <w:bottom w:val="none" w:sz="0" w:space="0" w:color="auto"/>
                            <w:right w:val="none" w:sz="0" w:space="0" w:color="auto"/>
                          </w:divBdr>
                          <w:divsChild>
                            <w:div w:id="12689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448458">
      <w:bodyDiv w:val="1"/>
      <w:marLeft w:val="0"/>
      <w:marRight w:val="0"/>
      <w:marTop w:val="0"/>
      <w:marBottom w:val="0"/>
      <w:divBdr>
        <w:top w:val="none" w:sz="0" w:space="0" w:color="auto"/>
        <w:left w:val="none" w:sz="0" w:space="0" w:color="auto"/>
        <w:bottom w:val="none" w:sz="0" w:space="0" w:color="auto"/>
        <w:right w:val="none" w:sz="0" w:space="0" w:color="auto"/>
      </w:divBdr>
    </w:div>
    <w:div w:id="1170801630">
      <w:bodyDiv w:val="1"/>
      <w:marLeft w:val="0"/>
      <w:marRight w:val="0"/>
      <w:marTop w:val="0"/>
      <w:marBottom w:val="0"/>
      <w:divBdr>
        <w:top w:val="none" w:sz="0" w:space="0" w:color="auto"/>
        <w:left w:val="none" w:sz="0" w:space="0" w:color="auto"/>
        <w:bottom w:val="none" w:sz="0" w:space="0" w:color="auto"/>
        <w:right w:val="none" w:sz="0" w:space="0" w:color="auto"/>
      </w:divBdr>
      <w:divsChild>
        <w:div w:id="1153907735">
          <w:marLeft w:val="-720"/>
          <w:marRight w:val="0"/>
          <w:marTop w:val="0"/>
          <w:marBottom w:val="0"/>
          <w:divBdr>
            <w:top w:val="none" w:sz="0" w:space="0" w:color="auto"/>
            <w:left w:val="none" w:sz="0" w:space="0" w:color="auto"/>
            <w:bottom w:val="none" w:sz="0" w:space="0" w:color="auto"/>
            <w:right w:val="none" w:sz="0" w:space="0" w:color="auto"/>
          </w:divBdr>
        </w:div>
      </w:divsChild>
    </w:div>
    <w:div w:id="1187135792">
      <w:bodyDiv w:val="1"/>
      <w:marLeft w:val="0"/>
      <w:marRight w:val="0"/>
      <w:marTop w:val="0"/>
      <w:marBottom w:val="0"/>
      <w:divBdr>
        <w:top w:val="none" w:sz="0" w:space="0" w:color="auto"/>
        <w:left w:val="none" w:sz="0" w:space="0" w:color="auto"/>
        <w:bottom w:val="none" w:sz="0" w:space="0" w:color="auto"/>
        <w:right w:val="none" w:sz="0" w:space="0" w:color="auto"/>
      </w:divBdr>
    </w:div>
    <w:div w:id="1205750227">
      <w:bodyDiv w:val="1"/>
      <w:marLeft w:val="0"/>
      <w:marRight w:val="0"/>
      <w:marTop w:val="0"/>
      <w:marBottom w:val="0"/>
      <w:divBdr>
        <w:top w:val="none" w:sz="0" w:space="0" w:color="auto"/>
        <w:left w:val="none" w:sz="0" w:space="0" w:color="auto"/>
        <w:bottom w:val="none" w:sz="0" w:space="0" w:color="auto"/>
        <w:right w:val="none" w:sz="0" w:space="0" w:color="auto"/>
      </w:divBdr>
    </w:div>
    <w:div w:id="1242905816">
      <w:bodyDiv w:val="1"/>
      <w:marLeft w:val="0"/>
      <w:marRight w:val="0"/>
      <w:marTop w:val="0"/>
      <w:marBottom w:val="0"/>
      <w:divBdr>
        <w:top w:val="none" w:sz="0" w:space="0" w:color="auto"/>
        <w:left w:val="none" w:sz="0" w:space="0" w:color="auto"/>
        <w:bottom w:val="none" w:sz="0" w:space="0" w:color="auto"/>
        <w:right w:val="none" w:sz="0" w:space="0" w:color="auto"/>
      </w:divBdr>
    </w:div>
    <w:div w:id="1292636694">
      <w:bodyDiv w:val="1"/>
      <w:marLeft w:val="0"/>
      <w:marRight w:val="0"/>
      <w:marTop w:val="0"/>
      <w:marBottom w:val="0"/>
      <w:divBdr>
        <w:top w:val="none" w:sz="0" w:space="0" w:color="auto"/>
        <w:left w:val="none" w:sz="0" w:space="0" w:color="auto"/>
        <w:bottom w:val="none" w:sz="0" w:space="0" w:color="auto"/>
        <w:right w:val="none" w:sz="0" w:space="0" w:color="auto"/>
      </w:divBdr>
    </w:div>
    <w:div w:id="1322657335">
      <w:bodyDiv w:val="1"/>
      <w:marLeft w:val="0"/>
      <w:marRight w:val="0"/>
      <w:marTop w:val="0"/>
      <w:marBottom w:val="0"/>
      <w:divBdr>
        <w:top w:val="none" w:sz="0" w:space="0" w:color="auto"/>
        <w:left w:val="none" w:sz="0" w:space="0" w:color="auto"/>
        <w:bottom w:val="none" w:sz="0" w:space="0" w:color="auto"/>
        <w:right w:val="none" w:sz="0" w:space="0" w:color="auto"/>
      </w:divBdr>
    </w:div>
    <w:div w:id="1331133166">
      <w:bodyDiv w:val="1"/>
      <w:marLeft w:val="0"/>
      <w:marRight w:val="0"/>
      <w:marTop w:val="0"/>
      <w:marBottom w:val="0"/>
      <w:divBdr>
        <w:top w:val="none" w:sz="0" w:space="0" w:color="auto"/>
        <w:left w:val="none" w:sz="0" w:space="0" w:color="auto"/>
        <w:bottom w:val="none" w:sz="0" w:space="0" w:color="auto"/>
        <w:right w:val="none" w:sz="0" w:space="0" w:color="auto"/>
      </w:divBdr>
      <w:divsChild>
        <w:div w:id="295532344">
          <w:marLeft w:val="-720"/>
          <w:marRight w:val="0"/>
          <w:marTop w:val="0"/>
          <w:marBottom w:val="0"/>
          <w:divBdr>
            <w:top w:val="none" w:sz="0" w:space="0" w:color="auto"/>
            <w:left w:val="none" w:sz="0" w:space="0" w:color="auto"/>
            <w:bottom w:val="none" w:sz="0" w:space="0" w:color="auto"/>
            <w:right w:val="none" w:sz="0" w:space="0" w:color="auto"/>
          </w:divBdr>
        </w:div>
      </w:divsChild>
    </w:div>
    <w:div w:id="1332567177">
      <w:bodyDiv w:val="1"/>
      <w:marLeft w:val="0"/>
      <w:marRight w:val="0"/>
      <w:marTop w:val="0"/>
      <w:marBottom w:val="0"/>
      <w:divBdr>
        <w:top w:val="none" w:sz="0" w:space="0" w:color="auto"/>
        <w:left w:val="none" w:sz="0" w:space="0" w:color="auto"/>
        <w:bottom w:val="none" w:sz="0" w:space="0" w:color="auto"/>
        <w:right w:val="none" w:sz="0" w:space="0" w:color="auto"/>
      </w:divBdr>
      <w:divsChild>
        <w:div w:id="1503743140">
          <w:marLeft w:val="-720"/>
          <w:marRight w:val="0"/>
          <w:marTop w:val="0"/>
          <w:marBottom w:val="0"/>
          <w:divBdr>
            <w:top w:val="none" w:sz="0" w:space="0" w:color="auto"/>
            <w:left w:val="none" w:sz="0" w:space="0" w:color="auto"/>
            <w:bottom w:val="none" w:sz="0" w:space="0" w:color="auto"/>
            <w:right w:val="none" w:sz="0" w:space="0" w:color="auto"/>
          </w:divBdr>
        </w:div>
      </w:divsChild>
    </w:div>
    <w:div w:id="1358002512">
      <w:bodyDiv w:val="1"/>
      <w:marLeft w:val="0"/>
      <w:marRight w:val="0"/>
      <w:marTop w:val="0"/>
      <w:marBottom w:val="0"/>
      <w:divBdr>
        <w:top w:val="none" w:sz="0" w:space="0" w:color="auto"/>
        <w:left w:val="none" w:sz="0" w:space="0" w:color="auto"/>
        <w:bottom w:val="none" w:sz="0" w:space="0" w:color="auto"/>
        <w:right w:val="none" w:sz="0" w:space="0" w:color="auto"/>
      </w:divBdr>
      <w:divsChild>
        <w:div w:id="427040472">
          <w:marLeft w:val="0"/>
          <w:marRight w:val="0"/>
          <w:marTop w:val="0"/>
          <w:marBottom w:val="0"/>
          <w:divBdr>
            <w:top w:val="none" w:sz="0" w:space="0" w:color="auto"/>
            <w:left w:val="none" w:sz="0" w:space="0" w:color="auto"/>
            <w:bottom w:val="none" w:sz="0" w:space="0" w:color="auto"/>
            <w:right w:val="none" w:sz="0" w:space="0" w:color="auto"/>
          </w:divBdr>
          <w:divsChild>
            <w:div w:id="448740694">
              <w:marLeft w:val="0"/>
              <w:marRight w:val="0"/>
              <w:marTop w:val="0"/>
              <w:marBottom w:val="0"/>
              <w:divBdr>
                <w:top w:val="none" w:sz="0" w:space="0" w:color="auto"/>
                <w:left w:val="none" w:sz="0" w:space="0" w:color="auto"/>
                <w:bottom w:val="none" w:sz="0" w:space="0" w:color="auto"/>
                <w:right w:val="none" w:sz="0" w:space="0" w:color="auto"/>
              </w:divBdr>
              <w:divsChild>
                <w:div w:id="175122088">
                  <w:marLeft w:val="0"/>
                  <w:marRight w:val="0"/>
                  <w:marTop w:val="0"/>
                  <w:marBottom w:val="0"/>
                  <w:divBdr>
                    <w:top w:val="none" w:sz="0" w:space="0" w:color="auto"/>
                    <w:left w:val="none" w:sz="0" w:space="0" w:color="auto"/>
                    <w:bottom w:val="none" w:sz="0" w:space="0" w:color="auto"/>
                    <w:right w:val="none" w:sz="0" w:space="0" w:color="auto"/>
                  </w:divBdr>
                  <w:divsChild>
                    <w:div w:id="998533368">
                      <w:marLeft w:val="0"/>
                      <w:marRight w:val="0"/>
                      <w:marTop w:val="0"/>
                      <w:marBottom w:val="0"/>
                      <w:divBdr>
                        <w:top w:val="none" w:sz="0" w:space="0" w:color="auto"/>
                        <w:left w:val="none" w:sz="0" w:space="0" w:color="auto"/>
                        <w:bottom w:val="none" w:sz="0" w:space="0" w:color="auto"/>
                        <w:right w:val="none" w:sz="0" w:space="0" w:color="auto"/>
                      </w:divBdr>
                      <w:divsChild>
                        <w:div w:id="1416394555">
                          <w:marLeft w:val="0"/>
                          <w:marRight w:val="0"/>
                          <w:marTop w:val="0"/>
                          <w:marBottom w:val="0"/>
                          <w:divBdr>
                            <w:top w:val="none" w:sz="0" w:space="0" w:color="auto"/>
                            <w:left w:val="none" w:sz="0" w:space="0" w:color="auto"/>
                            <w:bottom w:val="none" w:sz="0" w:space="0" w:color="auto"/>
                            <w:right w:val="none" w:sz="0" w:space="0" w:color="auto"/>
                          </w:divBdr>
                          <w:divsChild>
                            <w:div w:id="1062366208">
                              <w:marLeft w:val="0"/>
                              <w:marRight w:val="0"/>
                              <w:marTop w:val="0"/>
                              <w:marBottom w:val="0"/>
                              <w:divBdr>
                                <w:top w:val="none" w:sz="0" w:space="0" w:color="auto"/>
                                <w:left w:val="none" w:sz="0" w:space="0" w:color="auto"/>
                                <w:bottom w:val="none" w:sz="0" w:space="0" w:color="auto"/>
                                <w:right w:val="none" w:sz="0" w:space="0" w:color="auto"/>
                              </w:divBdr>
                              <w:divsChild>
                                <w:div w:id="53033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4139128">
      <w:bodyDiv w:val="1"/>
      <w:marLeft w:val="0"/>
      <w:marRight w:val="0"/>
      <w:marTop w:val="0"/>
      <w:marBottom w:val="0"/>
      <w:divBdr>
        <w:top w:val="none" w:sz="0" w:space="0" w:color="auto"/>
        <w:left w:val="none" w:sz="0" w:space="0" w:color="auto"/>
        <w:bottom w:val="none" w:sz="0" w:space="0" w:color="auto"/>
        <w:right w:val="none" w:sz="0" w:space="0" w:color="auto"/>
      </w:divBdr>
    </w:div>
    <w:div w:id="1428187696">
      <w:bodyDiv w:val="1"/>
      <w:marLeft w:val="0"/>
      <w:marRight w:val="0"/>
      <w:marTop w:val="0"/>
      <w:marBottom w:val="0"/>
      <w:divBdr>
        <w:top w:val="none" w:sz="0" w:space="0" w:color="auto"/>
        <w:left w:val="none" w:sz="0" w:space="0" w:color="auto"/>
        <w:bottom w:val="none" w:sz="0" w:space="0" w:color="auto"/>
        <w:right w:val="none" w:sz="0" w:space="0" w:color="auto"/>
      </w:divBdr>
      <w:divsChild>
        <w:div w:id="725224698">
          <w:marLeft w:val="-720"/>
          <w:marRight w:val="0"/>
          <w:marTop w:val="0"/>
          <w:marBottom w:val="0"/>
          <w:divBdr>
            <w:top w:val="none" w:sz="0" w:space="0" w:color="auto"/>
            <w:left w:val="none" w:sz="0" w:space="0" w:color="auto"/>
            <w:bottom w:val="none" w:sz="0" w:space="0" w:color="auto"/>
            <w:right w:val="none" w:sz="0" w:space="0" w:color="auto"/>
          </w:divBdr>
        </w:div>
      </w:divsChild>
    </w:div>
    <w:div w:id="1558466123">
      <w:bodyDiv w:val="1"/>
      <w:marLeft w:val="0"/>
      <w:marRight w:val="0"/>
      <w:marTop w:val="0"/>
      <w:marBottom w:val="0"/>
      <w:divBdr>
        <w:top w:val="none" w:sz="0" w:space="0" w:color="auto"/>
        <w:left w:val="none" w:sz="0" w:space="0" w:color="auto"/>
        <w:bottom w:val="none" w:sz="0" w:space="0" w:color="auto"/>
        <w:right w:val="none" w:sz="0" w:space="0" w:color="auto"/>
      </w:divBdr>
    </w:div>
    <w:div w:id="1593317156">
      <w:bodyDiv w:val="1"/>
      <w:marLeft w:val="0"/>
      <w:marRight w:val="0"/>
      <w:marTop w:val="0"/>
      <w:marBottom w:val="0"/>
      <w:divBdr>
        <w:top w:val="none" w:sz="0" w:space="0" w:color="auto"/>
        <w:left w:val="none" w:sz="0" w:space="0" w:color="auto"/>
        <w:bottom w:val="none" w:sz="0" w:space="0" w:color="auto"/>
        <w:right w:val="none" w:sz="0" w:space="0" w:color="auto"/>
      </w:divBdr>
    </w:div>
    <w:div w:id="1596740678">
      <w:bodyDiv w:val="1"/>
      <w:marLeft w:val="0"/>
      <w:marRight w:val="0"/>
      <w:marTop w:val="0"/>
      <w:marBottom w:val="0"/>
      <w:divBdr>
        <w:top w:val="none" w:sz="0" w:space="0" w:color="auto"/>
        <w:left w:val="none" w:sz="0" w:space="0" w:color="auto"/>
        <w:bottom w:val="none" w:sz="0" w:space="0" w:color="auto"/>
        <w:right w:val="none" w:sz="0" w:space="0" w:color="auto"/>
      </w:divBdr>
      <w:divsChild>
        <w:div w:id="1815026979">
          <w:marLeft w:val="-720"/>
          <w:marRight w:val="0"/>
          <w:marTop w:val="0"/>
          <w:marBottom w:val="0"/>
          <w:divBdr>
            <w:top w:val="none" w:sz="0" w:space="0" w:color="auto"/>
            <w:left w:val="none" w:sz="0" w:space="0" w:color="auto"/>
            <w:bottom w:val="none" w:sz="0" w:space="0" w:color="auto"/>
            <w:right w:val="none" w:sz="0" w:space="0" w:color="auto"/>
          </w:divBdr>
        </w:div>
      </w:divsChild>
    </w:div>
    <w:div w:id="1604141682">
      <w:bodyDiv w:val="1"/>
      <w:marLeft w:val="0"/>
      <w:marRight w:val="0"/>
      <w:marTop w:val="0"/>
      <w:marBottom w:val="0"/>
      <w:divBdr>
        <w:top w:val="none" w:sz="0" w:space="0" w:color="auto"/>
        <w:left w:val="none" w:sz="0" w:space="0" w:color="auto"/>
        <w:bottom w:val="none" w:sz="0" w:space="0" w:color="auto"/>
        <w:right w:val="none" w:sz="0" w:space="0" w:color="auto"/>
      </w:divBdr>
    </w:div>
    <w:div w:id="1604801688">
      <w:bodyDiv w:val="1"/>
      <w:marLeft w:val="0"/>
      <w:marRight w:val="0"/>
      <w:marTop w:val="0"/>
      <w:marBottom w:val="0"/>
      <w:divBdr>
        <w:top w:val="none" w:sz="0" w:space="0" w:color="auto"/>
        <w:left w:val="none" w:sz="0" w:space="0" w:color="auto"/>
        <w:bottom w:val="none" w:sz="0" w:space="0" w:color="auto"/>
        <w:right w:val="none" w:sz="0" w:space="0" w:color="auto"/>
      </w:divBdr>
    </w:div>
    <w:div w:id="1613627556">
      <w:bodyDiv w:val="1"/>
      <w:marLeft w:val="0"/>
      <w:marRight w:val="0"/>
      <w:marTop w:val="0"/>
      <w:marBottom w:val="0"/>
      <w:divBdr>
        <w:top w:val="none" w:sz="0" w:space="0" w:color="auto"/>
        <w:left w:val="none" w:sz="0" w:space="0" w:color="auto"/>
        <w:bottom w:val="none" w:sz="0" w:space="0" w:color="auto"/>
        <w:right w:val="none" w:sz="0" w:space="0" w:color="auto"/>
      </w:divBdr>
      <w:divsChild>
        <w:div w:id="223413464">
          <w:marLeft w:val="-720"/>
          <w:marRight w:val="0"/>
          <w:marTop w:val="0"/>
          <w:marBottom w:val="0"/>
          <w:divBdr>
            <w:top w:val="none" w:sz="0" w:space="0" w:color="auto"/>
            <w:left w:val="none" w:sz="0" w:space="0" w:color="auto"/>
            <w:bottom w:val="none" w:sz="0" w:space="0" w:color="auto"/>
            <w:right w:val="none" w:sz="0" w:space="0" w:color="auto"/>
          </w:divBdr>
        </w:div>
      </w:divsChild>
    </w:div>
    <w:div w:id="1618371338">
      <w:bodyDiv w:val="1"/>
      <w:marLeft w:val="0"/>
      <w:marRight w:val="0"/>
      <w:marTop w:val="0"/>
      <w:marBottom w:val="0"/>
      <w:divBdr>
        <w:top w:val="none" w:sz="0" w:space="0" w:color="auto"/>
        <w:left w:val="none" w:sz="0" w:space="0" w:color="auto"/>
        <w:bottom w:val="none" w:sz="0" w:space="0" w:color="auto"/>
        <w:right w:val="none" w:sz="0" w:space="0" w:color="auto"/>
      </w:divBdr>
    </w:div>
    <w:div w:id="1635600528">
      <w:bodyDiv w:val="1"/>
      <w:marLeft w:val="0"/>
      <w:marRight w:val="0"/>
      <w:marTop w:val="0"/>
      <w:marBottom w:val="0"/>
      <w:divBdr>
        <w:top w:val="none" w:sz="0" w:space="0" w:color="auto"/>
        <w:left w:val="none" w:sz="0" w:space="0" w:color="auto"/>
        <w:bottom w:val="none" w:sz="0" w:space="0" w:color="auto"/>
        <w:right w:val="none" w:sz="0" w:space="0" w:color="auto"/>
      </w:divBdr>
    </w:div>
    <w:div w:id="1636981618">
      <w:bodyDiv w:val="1"/>
      <w:marLeft w:val="0"/>
      <w:marRight w:val="0"/>
      <w:marTop w:val="0"/>
      <w:marBottom w:val="0"/>
      <w:divBdr>
        <w:top w:val="none" w:sz="0" w:space="0" w:color="auto"/>
        <w:left w:val="none" w:sz="0" w:space="0" w:color="auto"/>
        <w:bottom w:val="none" w:sz="0" w:space="0" w:color="auto"/>
        <w:right w:val="none" w:sz="0" w:space="0" w:color="auto"/>
      </w:divBdr>
    </w:div>
    <w:div w:id="1693259678">
      <w:bodyDiv w:val="1"/>
      <w:marLeft w:val="0"/>
      <w:marRight w:val="0"/>
      <w:marTop w:val="0"/>
      <w:marBottom w:val="0"/>
      <w:divBdr>
        <w:top w:val="none" w:sz="0" w:space="0" w:color="auto"/>
        <w:left w:val="none" w:sz="0" w:space="0" w:color="auto"/>
        <w:bottom w:val="none" w:sz="0" w:space="0" w:color="auto"/>
        <w:right w:val="none" w:sz="0" w:space="0" w:color="auto"/>
      </w:divBdr>
      <w:divsChild>
        <w:div w:id="1547453067">
          <w:marLeft w:val="0"/>
          <w:marRight w:val="0"/>
          <w:marTop w:val="0"/>
          <w:marBottom w:val="0"/>
          <w:divBdr>
            <w:top w:val="none" w:sz="0" w:space="0" w:color="auto"/>
            <w:left w:val="none" w:sz="0" w:space="0" w:color="auto"/>
            <w:bottom w:val="none" w:sz="0" w:space="0" w:color="auto"/>
            <w:right w:val="none" w:sz="0" w:space="0" w:color="auto"/>
          </w:divBdr>
          <w:divsChild>
            <w:div w:id="1100301289">
              <w:marLeft w:val="0"/>
              <w:marRight w:val="0"/>
              <w:marTop w:val="0"/>
              <w:marBottom w:val="0"/>
              <w:divBdr>
                <w:top w:val="none" w:sz="0" w:space="0" w:color="auto"/>
                <w:left w:val="none" w:sz="0" w:space="0" w:color="auto"/>
                <w:bottom w:val="none" w:sz="0" w:space="0" w:color="auto"/>
                <w:right w:val="none" w:sz="0" w:space="0" w:color="auto"/>
              </w:divBdr>
              <w:divsChild>
                <w:div w:id="2057273241">
                  <w:marLeft w:val="0"/>
                  <w:marRight w:val="0"/>
                  <w:marTop w:val="0"/>
                  <w:marBottom w:val="0"/>
                  <w:divBdr>
                    <w:top w:val="none" w:sz="0" w:space="0" w:color="auto"/>
                    <w:left w:val="none" w:sz="0" w:space="0" w:color="auto"/>
                    <w:bottom w:val="none" w:sz="0" w:space="0" w:color="auto"/>
                    <w:right w:val="none" w:sz="0" w:space="0" w:color="auto"/>
                  </w:divBdr>
                  <w:divsChild>
                    <w:div w:id="1287391172">
                      <w:marLeft w:val="0"/>
                      <w:marRight w:val="0"/>
                      <w:marTop w:val="0"/>
                      <w:marBottom w:val="0"/>
                      <w:divBdr>
                        <w:top w:val="none" w:sz="0" w:space="0" w:color="auto"/>
                        <w:left w:val="none" w:sz="0" w:space="0" w:color="auto"/>
                        <w:bottom w:val="none" w:sz="0" w:space="0" w:color="auto"/>
                        <w:right w:val="none" w:sz="0" w:space="0" w:color="auto"/>
                      </w:divBdr>
                      <w:divsChild>
                        <w:div w:id="1934781923">
                          <w:marLeft w:val="0"/>
                          <w:marRight w:val="0"/>
                          <w:marTop w:val="0"/>
                          <w:marBottom w:val="0"/>
                          <w:divBdr>
                            <w:top w:val="none" w:sz="0" w:space="0" w:color="auto"/>
                            <w:left w:val="none" w:sz="0" w:space="0" w:color="auto"/>
                            <w:bottom w:val="none" w:sz="0" w:space="0" w:color="auto"/>
                            <w:right w:val="none" w:sz="0" w:space="0" w:color="auto"/>
                          </w:divBdr>
                          <w:divsChild>
                            <w:div w:id="1797407101">
                              <w:marLeft w:val="0"/>
                              <w:marRight w:val="0"/>
                              <w:marTop w:val="0"/>
                              <w:marBottom w:val="0"/>
                              <w:divBdr>
                                <w:top w:val="none" w:sz="0" w:space="0" w:color="auto"/>
                                <w:left w:val="none" w:sz="0" w:space="0" w:color="auto"/>
                                <w:bottom w:val="none" w:sz="0" w:space="0" w:color="auto"/>
                                <w:right w:val="none" w:sz="0" w:space="0" w:color="auto"/>
                              </w:divBdr>
                              <w:divsChild>
                                <w:div w:id="128237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1275105">
      <w:bodyDiv w:val="1"/>
      <w:marLeft w:val="0"/>
      <w:marRight w:val="0"/>
      <w:marTop w:val="0"/>
      <w:marBottom w:val="0"/>
      <w:divBdr>
        <w:top w:val="none" w:sz="0" w:space="0" w:color="auto"/>
        <w:left w:val="none" w:sz="0" w:space="0" w:color="auto"/>
        <w:bottom w:val="none" w:sz="0" w:space="0" w:color="auto"/>
        <w:right w:val="none" w:sz="0" w:space="0" w:color="auto"/>
      </w:divBdr>
    </w:div>
    <w:div w:id="1725177557">
      <w:bodyDiv w:val="1"/>
      <w:marLeft w:val="0"/>
      <w:marRight w:val="0"/>
      <w:marTop w:val="0"/>
      <w:marBottom w:val="0"/>
      <w:divBdr>
        <w:top w:val="none" w:sz="0" w:space="0" w:color="auto"/>
        <w:left w:val="none" w:sz="0" w:space="0" w:color="auto"/>
        <w:bottom w:val="none" w:sz="0" w:space="0" w:color="auto"/>
        <w:right w:val="none" w:sz="0" w:space="0" w:color="auto"/>
      </w:divBdr>
    </w:div>
    <w:div w:id="1727871927">
      <w:bodyDiv w:val="1"/>
      <w:marLeft w:val="0"/>
      <w:marRight w:val="0"/>
      <w:marTop w:val="0"/>
      <w:marBottom w:val="0"/>
      <w:divBdr>
        <w:top w:val="none" w:sz="0" w:space="0" w:color="auto"/>
        <w:left w:val="none" w:sz="0" w:space="0" w:color="auto"/>
        <w:bottom w:val="none" w:sz="0" w:space="0" w:color="auto"/>
        <w:right w:val="none" w:sz="0" w:space="0" w:color="auto"/>
      </w:divBdr>
    </w:div>
    <w:div w:id="1769960135">
      <w:bodyDiv w:val="1"/>
      <w:marLeft w:val="0"/>
      <w:marRight w:val="0"/>
      <w:marTop w:val="0"/>
      <w:marBottom w:val="0"/>
      <w:divBdr>
        <w:top w:val="none" w:sz="0" w:space="0" w:color="auto"/>
        <w:left w:val="none" w:sz="0" w:space="0" w:color="auto"/>
        <w:bottom w:val="none" w:sz="0" w:space="0" w:color="auto"/>
        <w:right w:val="none" w:sz="0" w:space="0" w:color="auto"/>
      </w:divBdr>
    </w:div>
    <w:div w:id="1782795013">
      <w:bodyDiv w:val="1"/>
      <w:marLeft w:val="0"/>
      <w:marRight w:val="0"/>
      <w:marTop w:val="0"/>
      <w:marBottom w:val="0"/>
      <w:divBdr>
        <w:top w:val="none" w:sz="0" w:space="0" w:color="auto"/>
        <w:left w:val="none" w:sz="0" w:space="0" w:color="auto"/>
        <w:bottom w:val="none" w:sz="0" w:space="0" w:color="auto"/>
        <w:right w:val="none" w:sz="0" w:space="0" w:color="auto"/>
      </w:divBdr>
    </w:div>
    <w:div w:id="1801799691">
      <w:bodyDiv w:val="1"/>
      <w:marLeft w:val="0"/>
      <w:marRight w:val="0"/>
      <w:marTop w:val="0"/>
      <w:marBottom w:val="0"/>
      <w:divBdr>
        <w:top w:val="none" w:sz="0" w:space="0" w:color="auto"/>
        <w:left w:val="none" w:sz="0" w:space="0" w:color="auto"/>
        <w:bottom w:val="none" w:sz="0" w:space="0" w:color="auto"/>
        <w:right w:val="none" w:sz="0" w:space="0" w:color="auto"/>
      </w:divBdr>
    </w:div>
    <w:div w:id="1819345582">
      <w:bodyDiv w:val="1"/>
      <w:marLeft w:val="0"/>
      <w:marRight w:val="0"/>
      <w:marTop w:val="0"/>
      <w:marBottom w:val="0"/>
      <w:divBdr>
        <w:top w:val="none" w:sz="0" w:space="0" w:color="auto"/>
        <w:left w:val="none" w:sz="0" w:space="0" w:color="auto"/>
        <w:bottom w:val="none" w:sz="0" w:space="0" w:color="auto"/>
        <w:right w:val="none" w:sz="0" w:space="0" w:color="auto"/>
      </w:divBdr>
    </w:div>
    <w:div w:id="1842888818">
      <w:bodyDiv w:val="1"/>
      <w:marLeft w:val="0"/>
      <w:marRight w:val="0"/>
      <w:marTop w:val="0"/>
      <w:marBottom w:val="0"/>
      <w:divBdr>
        <w:top w:val="none" w:sz="0" w:space="0" w:color="auto"/>
        <w:left w:val="none" w:sz="0" w:space="0" w:color="auto"/>
        <w:bottom w:val="none" w:sz="0" w:space="0" w:color="auto"/>
        <w:right w:val="none" w:sz="0" w:space="0" w:color="auto"/>
      </w:divBdr>
    </w:div>
    <w:div w:id="1857957416">
      <w:bodyDiv w:val="1"/>
      <w:marLeft w:val="0"/>
      <w:marRight w:val="0"/>
      <w:marTop w:val="0"/>
      <w:marBottom w:val="0"/>
      <w:divBdr>
        <w:top w:val="none" w:sz="0" w:space="0" w:color="auto"/>
        <w:left w:val="none" w:sz="0" w:space="0" w:color="auto"/>
        <w:bottom w:val="none" w:sz="0" w:space="0" w:color="auto"/>
        <w:right w:val="none" w:sz="0" w:space="0" w:color="auto"/>
      </w:divBdr>
    </w:div>
    <w:div w:id="1872499929">
      <w:bodyDiv w:val="1"/>
      <w:marLeft w:val="0"/>
      <w:marRight w:val="0"/>
      <w:marTop w:val="0"/>
      <w:marBottom w:val="0"/>
      <w:divBdr>
        <w:top w:val="none" w:sz="0" w:space="0" w:color="auto"/>
        <w:left w:val="none" w:sz="0" w:space="0" w:color="auto"/>
        <w:bottom w:val="none" w:sz="0" w:space="0" w:color="auto"/>
        <w:right w:val="none" w:sz="0" w:space="0" w:color="auto"/>
      </w:divBdr>
    </w:div>
    <w:div w:id="1929803800">
      <w:bodyDiv w:val="1"/>
      <w:marLeft w:val="0"/>
      <w:marRight w:val="0"/>
      <w:marTop w:val="0"/>
      <w:marBottom w:val="0"/>
      <w:divBdr>
        <w:top w:val="none" w:sz="0" w:space="0" w:color="auto"/>
        <w:left w:val="none" w:sz="0" w:space="0" w:color="auto"/>
        <w:bottom w:val="none" w:sz="0" w:space="0" w:color="auto"/>
        <w:right w:val="none" w:sz="0" w:space="0" w:color="auto"/>
      </w:divBdr>
    </w:div>
    <w:div w:id="1929804454">
      <w:bodyDiv w:val="1"/>
      <w:marLeft w:val="0"/>
      <w:marRight w:val="0"/>
      <w:marTop w:val="0"/>
      <w:marBottom w:val="0"/>
      <w:divBdr>
        <w:top w:val="none" w:sz="0" w:space="0" w:color="auto"/>
        <w:left w:val="none" w:sz="0" w:space="0" w:color="auto"/>
        <w:bottom w:val="none" w:sz="0" w:space="0" w:color="auto"/>
        <w:right w:val="none" w:sz="0" w:space="0" w:color="auto"/>
      </w:divBdr>
    </w:div>
    <w:div w:id="1978022859">
      <w:bodyDiv w:val="1"/>
      <w:marLeft w:val="0"/>
      <w:marRight w:val="0"/>
      <w:marTop w:val="0"/>
      <w:marBottom w:val="0"/>
      <w:divBdr>
        <w:top w:val="none" w:sz="0" w:space="0" w:color="auto"/>
        <w:left w:val="none" w:sz="0" w:space="0" w:color="auto"/>
        <w:bottom w:val="none" w:sz="0" w:space="0" w:color="auto"/>
        <w:right w:val="none" w:sz="0" w:space="0" w:color="auto"/>
      </w:divBdr>
    </w:div>
    <w:div w:id="1983389084">
      <w:bodyDiv w:val="1"/>
      <w:marLeft w:val="0"/>
      <w:marRight w:val="0"/>
      <w:marTop w:val="0"/>
      <w:marBottom w:val="0"/>
      <w:divBdr>
        <w:top w:val="none" w:sz="0" w:space="0" w:color="auto"/>
        <w:left w:val="none" w:sz="0" w:space="0" w:color="auto"/>
        <w:bottom w:val="none" w:sz="0" w:space="0" w:color="auto"/>
        <w:right w:val="none" w:sz="0" w:space="0" w:color="auto"/>
      </w:divBdr>
    </w:div>
    <w:div w:id="1983461099">
      <w:bodyDiv w:val="1"/>
      <w:marLeft w:val="0"/>
      <w:marRight w:val="0"/>
      <w:marTop w:val="0"/>
      <w:marBottom w:val="0"/>
      <w:divBdr>
        <w:top w:val="none" w:sz="0" w:space="0" w:color="auto"/>
        <w:left w:val="none" w:sz="0" w:space="0" w:color="auto"/>
        <w:bottom w:val="none" w:sz="0" w:space="0" w:color="auto"/>
        <w:right w:val="none" w:sz="0" w:space="0" w:color="auto"/>
      </w:divBdr>
    </w:div>
    <w:div w:id="2020307791">
      <w:bodyDiv w:val="1"/>
      <w:marLeft w:val="0"/>
      <w:marRight w:val="0"/>
      <w:marTop w:val="0"/>
      <w:marBottom w:val="0"/>
      <w:divBdr>
        <w:top w:val="none" w:sz="0" w:space="0" w:color="auto"/>
        <w:left w:val="none" w:sz="0" w:space="0" w:color="auto"/>
        <w:bottom w:val="none" w:sz="0" w:space="0" w:color="auto"/>
        <w:right w:val="none" w:sz="0" w:space="0" w:color="auto"/>
      </w:divBdr>
    </w:div>
    <w:div w:id="2029018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2.xml"/><Relationship Id="rId39" Type="http://schemas.openxmlformats.org/officeDocument/2006/relationships/image" Target="media/image9.png"/><Relationship Id="rId34" Type="http://schemas.openxmlformats.org/officeDocument/2006/relationships/chart" Target="charts/chart17.xml"/><Relationship Id="rId42" Type="http://schemas.openxmlformats.org/officeDocument/2006/relationships/hyperlink" Target="https://nasreenalissalaw.com/6-benefits-of-mergers-acquisitions-for-growing-businesses/" TargetMode="External"/><Relationship Id="rId47" Type="http://schemas.openxmlformats.org/officeDocument/2006/relationships/hyperlink" Target="https://www.investopedia.com/terms/j/jointventure.asp" TargetMode="External"/><Relationship Id="rId50" Type="http://schemas.openxmlformats.org/officeDocument/2006/relationships/hyperlink" Target="https://365financialanalyst.com/knowledge-hub/corporate-finance/cash-conversion-cycle/" TargetMode="External"/><Relationship Id="rId55" Type="http://schemas.openxmlformats.org/officeDocument/2006/relationships/hyperlink" Target="https://doi.org/10.55606/ijemr.v4i2.39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image" Target="media/image4.png"/><Relationship Id="rId11" Type="http://schemas.openxmlformats.org/officeDocument/2006/relationships/chart" Target="charts/chart2.xml"/><Relationship Id="rId24" Type="http://schemas.openxmlformats.org/officeDocument/2006/relationships/image" Target="media/image2.png"/><Relationship Id="rId32" Type="http://schemas.openxmlformats.org/officeDocument/2006/relationships/chart" Target="charts/chart15.xml"/><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hyperlink" Target="https://alternativebridging.co.uk/how-to-use-short-term-loans-for-funding-business-growth-or-cover-expenses/" TargetMode="External"/><Relationship Id="rId53" Type="http://schemas.openxmlformats.org/officeDocument/2006/relationships/hyperlink" Target="https://payrofinance.com/the-role-of-short-term-loans-in-business-cash-flow-management/" TargetMode="External"/><Relationship Id="rId58"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image" Target="media/image6.png"/><Relationship Id="rId44" Type="http://schemas.openxmlformats.org/officeDocument/2006/relationships/hyperlink" Target="https://www.investopedia.com/terms/c/capital-injection.asp" TargetMode="External"/><Relationship Id="rId52" Type="http://schemas.openxmlformats.org/officeDocument/2006/relationships/hyperlink" Target="https://www.researchgate.net/publication/378613628_Financial_Distress_Assessment_Through_Altman_Z-Scor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5.xml"/><Relationship Id="rId27" Type="http://schemas.openxmlformats.org/officeDocument/2006/relationships/chart" Target="charts/chart13.xml"/><Relationship Id="rId30" Type="http://schemas.openxmlformats.org/officeDocument/2006/relationships/image" Target="media/image5.png"/><Relationship Id="rId35" Type="http://schemas.openxmlformats.org/officeDocument/2006/relationships/chart" Target="charts/chart18.xml"/><Relationship Id="rId43" Type="http://schemas.openxmlformats.org/officeDocument/2006/relationships/hyperlink" Target="https://365financialanalyst.com/knowledge-hub/financial-analysis/profitabilityratios/" TargetMode="External"/><Relationship Id="rId48" Type="http://schemas.openxmlformats.org/officeDocument/2006/relationships/hyperlink" Target="https://www.investopedia.com/ask/answers/100715/why-working-capital-management-important-company.asp" TargetMode="External"/><Relationship Id="rId56" Type="http://schemas.openxmlformats.org/officeDocument/2006/relationships/hyperlink" Target="https://corporatefinanceinstitute.com/resources/accounting/profitability-ratios/" TargetMode="External"/><Relationship Id="rId8" Type="http://schemas.openxmlformats.org/officeDocument/2006/relationships/image" Target="media/image1.png"/><Relationship Id="rId51" Type="http://schemas.openxmlformats.org/officeDocument/2006/relationships/hyperlink" Target="https://sunwisecapital.com/short-term-financing-options-for-business/" TargetMode="Externa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3.png"/><Relationship Id="rId33" Type="http://schemas.openxmlformats.org/officeDocument/2006/relationships/chart" Target="charts/chart16.xml"/><Relationship Id="rId38" Type="http://schemas.openxmlformats.org/officeDocument/2006/relationships/image" Target="media/image8.png"/><Relationship Id="rId46" Type="http://schemas.openxmlformats.org/officeDocument/2006/relationships/hyperlink" Target="https://www.investopedia.com/terms/d/divestment.asp" TargetMode="External"/><Relationship Id="rId20" Type="http://schemas.openxmlformats.org/officeDocument/2006/relationships/chart" Target="charts/chart11.xml"/><Relationship Id="rId41" Type="http://schemas.openxmlformats.org/officeDocument/2006/relationships/chart" Target="charts/chart20.xml"/><Relationship Id="rId54" Type="http://schemas.openxmlformats.org/officeDocument/2006/relationships/hyperlink" Target="https://pwskills.com/blog/long-term-financ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8" Type="http://schemas.openxmlformats.org/officeDocument/2006/relationships/chart" Target="charts/chart14.xml"/><Relationship Id="rId36" Type="http://schemas.openxmlformats.org/officeDocument/2006/relationships/chart" Target="charts/chart19.xml"/><Relationship Id="rId49" Type="http://schemas.openxmlformats.org/officeDocument/2006/relationships/hyperlink" Target="https://www.investopedia.com/terms/p/profitabilityratios.asp" TargetMode="External"/><Relationship Id="rId5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6.4729221347331611E-2"/>
                  <c:y val="-5.55555555555555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35A-0243-B697-15B5C7372DE4}"/>
                </c:ext>
              </c:extLst>
            </c:dLbl>
            <c:dLbl>
              <c:idx val="1"/>
              <c:layout>
                <c:manualLayout>
                  <c:x val="-6.4729221347331584E-2"/>
                  <c:y val="-6.01851851851851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35A-0243-B697-15B5C7372DE4}"/>
                </c:ext>
              </c:extLst>
            </c:dLbl>
            <c:dLbl>
              <c:idx val="2"/>
              <c:layout>
                <c:manualLayout>
                  <c:x val="-6.4729221347331584E-2"/>
                  <c:y val="-7.87037037037037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35A-0243-B697-15B5C7372DE4}"/>
                </c:ext>
              </c:extLst>
            </c:dLbl>
            <c:dLbl>
              <c:idx val="3"/>
              <c:layout>
                <c:manualLayout>
                  <c:x val="-6.4729221347331681E-2"/>
                  <c:y val="-6.48148148148148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35A-0243-B697-15B5C7372DE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Sheet10!$C$3:$F$3</c:f>
              <c:numCache>
                <c:formatCode>#,##0</c:formatCode>
                <c:ptCount val="4"/>
                <c:pt idx="0">
                  <c:v>601602</c:v>
                </c:pt>
                <c:pt idx="1">
                  <c:v>542751</c:v>
                </c:pt>
                <c:pt idx="2">
                  <c:v>420457</c:v>
                </c:pt>
                <c:pt idx="3">
                  <c:v>394879</c:v>
                </c:pt>
              </c:numCache>
            </c:numRef>
          </c:val>
          <c:smooth val="0"/>
          <c:extLst>
            <c:ext xmlns:c15="http://schemas.microsoft.com/office/drawing/2012/chart" uri="{02D57815-91ED-43cb-92C2-25804820EDAC}">
              <c15:filteredSeriesTitle>
                <c15:tx>
                  <c:strRef>
                    <c:extLst>
                      <c:ext uri="{02D57815-91ED-43cb-92C2-25804820EDAC}">
                        <c15:formulaRef>
                          <c15:sqref>Sheet10!$B$3</c15:sqref>
                        </c15:formulaRef>
                      </c:ext>
                    </c:extLst>
                    <c:strCache>
                      <c:ptCount val="1"/>
                      <c:pt idx="0">
                        <c:v>Net Sales</c:v>
                      </c:pt>
                    </c:strCache>
                  </c:strRef>
                </c15:tx>
              </c15:filteredSeriesTitle>
            </c:ext>
            <c:ext xmlns:c15="http://schemas.microsoft.com/office/drawing/2012/chart" uri="{02D57815-91ED-43cb-92C2-25804820EDAC}">
              <c15:filteredCategoryTitle>
                <c15:cat>
                  <c:strRef>
                    <c:extLst>
                      <c:ext uri="{02D57815-91ED-43cb-92C2-25804820EDAC}">
                        <c15:formulaRef>
                          <c15:sqref>Sheet10!$C$2:$F$2</c15:sqref>
                        </c15:formulaRef>
                      </c:ext>
                    </c:extLst>
                    <c:strCache>
                      <c:ptCount val="4"/>
                      <c:pt idx="0">
                        <c:v>2021 (£m)</c:v>
                      </c:pt>
                      <c:pt idx="1">
                        <c:v>2022 (£m)</c:v>
                      </c:pt>
                      <c:pt idx="2">
                        <c:v>2023 (£m)</c:v>
                      </c:pt>
                      <c:pt idx="3">
                        <c:v>2024 (£m)</c:v>
                      </c:pt>
                    </c:strCache>
                  </c:strRef>
                </c15:cat>
              </c15:filteredCategoryTitle>
            </c:ext>
            <c:ext xmlns:c16="http://schemas.microsoft.com/office/drawing/2014/chart" uri="{C3380CC4-5D6E-409C-BE32-E72D297353CC}">
              <c16:uniqueId val="{00000004-A35A-0243-B697-15B5C7372DE4}"/>
            </c:ext>
          </c:extLst>
        </c:ser>
        <c:dLbls>
          <c:dLblPos val="ctr"/>
          <c:showLegendKey val="0"/>
          <c:showVal val="1"/>
          <c:showCatName val="0"/>
          <c:showSerName val="0"/>
          <c:showPercent val="0"/>
          <c:showBubbleSize val="0"/>
        </c:dLbls>
        <c:marker val="1"/>
        <c:smooth val="0"/>
        <c:axId val="1100027584"/>
        <c:axId val="1136964288"/>
      </c:lineChart>
      <c:catAx>
        <c:axId val="110002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6964288"/>
        <c:crosses val="autoZero"/>
        <c:auto val="1"/>
        <c:lblAlgn val="ctr"/>
        <c:lblOffset val="100"/>
        <c:noMultiLvlLbl val="0"/>
      </c:catAx>
      <c:valAx>
        <c:axId val="11369642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0027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7.0284776902887161E-2"/>
                  <c:y val="-7.4074074074074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43B-574A-8E21-2187FF9B62F3}"/>
                </c:ext>
              </c:extLst>
            </c:dLbl>
            <c:dLbl>
              <c:idx val="1"/>
              <c:layout>
                <c:manualLayout>
                  <c:x val="-6.4729221347331584E-2"/>
                  <c:y val="-5.55555555555556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43B-574A-8E21-2187FF9B62F3}"/>
                </c:ext>
              </c:extLst>
            </c:dLbl>
            <c:dLbl>
              <c:idx val="2"/>
              <c:layout>
                <c:manualLayout>
                  <c:x val="-5.8395888013998247E-2"/>
                  <c:y val="-7.87037037037037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43B-574A-8E21-2187FF9B62F3}"/>
                </c:ext>
              </c:extLst>
            </c:dLbl>
            <c:dLbl>
              <c:idx val="3"/>
              <c:layout>
                <c:manualLayout>
                  <c:x val="-6.4729221347331681E-2"/>
                  <c:y val="-8.33333333333333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43B-574A-8E21-2187FF9B62F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Sheet10!$C$16:$F$16</c:f>
              <c:numCache>
                <c:formatCode>#,##0</c:formatCode>
                <c:ptCount val="4"/>
                <c:pt idx="0">
                  <c:v>173016</c:v>
                </c:pt>
                <c:pt idx="1">
                  <c:v>152292</c:v>
                </c:pt>
                <c:pt idx="2">
                  <c:v>97560</c:v>
                </c:pt>
                <c:pt idx="3">
                  <c:v>113994</c:v>
                </c:pt>
              </c:numCache>
            </c:numRef>
          </c:val>
          <c:smooth val="0"/>
          <c:extLst>
            <c:ext xmlns:c15="http://schemas.microsoft.com/office/drawing/2012/chart" uri="{02D57815-91ED-43cb-92C2-25804820EDAC}">
              <c15:filteredSeriesTitle>
                <c15:tx>
                  <c:strRef>
                    <c:extLst>
                      <c:ext uri="{02D57815-91ED-43cb-92C2-25804820EDAC}">
                        <c15:formulaRef>
                          <c15:sqref>Sheet10!$B$16</c15:sqref>
                        </c15:formulaRef>
                      </c:ext>
                    </c:extLst>
                    <c:strCache>
                      <c:ptCount val="1"/>
                      <c:pt idx="0">
                        <c:v>Gross Profit</c:v>
                      </c:pt>
                    </c:strCache>
                  </c:strRef>
                </c15:tx>
              </c15:filteredSeriesTitle>
            </c:ext>
            <c:ext xmlns:c15="http://schemas.microsoft.com/office/drawing/2012/chart" uri="{02D57815-91ED-43cb-92C2-25804820EDAC}">
              <c15:filteredCategoryTitle>
                <c15:cat>
                  <c:strRef>
                    <c:extLst>
                      <c:ext uri="{02D57815-91ED-43cb-92C2-25804820EDAC}">
                        <c15:formulaRef>
                          <c15:sqref>Sheet10!$C$15:$F$15</c15:sqref>
                        </c15:formulaRef>
                      </c:ext>
                    </c:extLst>
                    <c:strCache>
                      <c:ptCount val="4"/>
                      <c:pt idx="0">
                        <c:v>2021 (£m)</c:v>
                      </c:pt>
                      <c:pt idx="1">
                        <c:v>2022 (Cm)</c:v>
                      </c:pt>
                      <c:pt idx="2">
                        <c:v>2023 (£m)</c:v>
                      </c:pt>
                      <c:pt idx="3">
                        <c:v>2024 (£m)</c:v>
                      </c:pt>
                    </c:strCache>
                  </c:strRef>
                </c15:cat>
              </c15:filteredCategoryTitle>
            </c:ext>
            <c:ext xmlns:c16="http://schemas.microsoft.com/office/drawing/2014/chart" uri="{C3380CC4-5D6E-409C-BE32-E72D297353CC}">
              <c16:uniqueId val="{00000004-043B-574A-8E21-2187FF9B62F3}"/>
            </c:ext>
          </c:extLst>
        </c:ser>
        <c:dLbls>
          <c:dLblPos val="ctr"/>
          <c:showLegendKey val="0"/>
          <c:showVal val="1"/>
          <c:showCatName val="0"/>
          <c:showSerName val="0"/>
          <c:showPercent val="0"/>
          <c:showBubbleSize val="0"/>
        </c:dLbls>
        <c:marker val="1"/>
        <c:smooth val="0"/>
        <c:axId val="1148192960"/>
        <c:axId val="1148203712"/>
      </c:lineChart>
      <c:catAx>
        <c:axId val="1148192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8203712"/>
        <c:crosses val="autoZero"/>
        <c:auto val="1"/>
        <c:lblAlgn val="ctr"/>
        <c:lblOffset val="100"/>
        <c:noMultiLvlLbl val="0"/>
      </c:catAx>
      <c:valAx>
        <c:axId val="1148203712"/>
        <c:scaling>
          <c:orientation val="minMax"/>
          <c:min val="80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8192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spPr>
            <a:ln w="28575" cap="rnd">
              <a:solidFill>
                <a:schemeClr val="accent1"/>
              </a:solidFill>
              <a:round/>
            </a:ln>
            <a:effectLst/>
          </c:spPr>
          <c:marker>
            <c:symbol val="none"/>
          </c:marker>
          <c:val>
            <c:numRef>
              <c:f>Sheet10!$C$21:$F$21</c:f>
              <c:numCache>
                <c:formatCode>#,##0</c:formatCode>
                <c:ptCount val="4"/>
                <c:pt idx="0">
                  <c:v>23253</c:v>
                </c:pt>
                <c:pt idx="1">
                  <c:v>14548</c:v>
                </c:pt>
                <c:pt idx="2">
                  <c:v>-85301</c:v>
                </c:pt>
                <c:pt idx="3">
                  <c:v>-15297</c:v>
                </c:pt>
              </c:numCache>
            </c:numRef>
          </c:val>
          <c:smooth val="0"/>
          <c:extLst>
            <c:ext xmlns:c15="http://schemas.microsoft.com/office/drawing/2012/chart" uri="{02D57815-91ED-43cb-92C2-25804820EDAC}">
              <c15:filteredSeriesTitle>
                <c15:tx>
                  <c:strRef>
                    <c:extLst>
                      <c:ext uri="{02D57815-91ED-43cb-92C2-25804820EDAC}">
                        <c15:formulaRef>
                          <c15:sqref>Sheet10!$B$21</c15:sqref>
                        </c15:formulaRef>
                      </c:ext>
                    </c:extLst>
                    <c:strCache>
                      <c:ptCount val="1"/>
                      <c:pt idx="0">
                        <c:v>Operating Income / (Loss) (£m)</c:v>
                      </c:pt>
                    </c:strCache>
                  </c:strRef>
                </c15:tx>
              </c15:filteredSeriesTitle>
            </c:ext>
            <c:ext xmlns:c15="http://schemas.microsoft.com/office/drawing/2012/chart" uri="{02D57815-91ED-43cb-92C2-25804820EDAC}">
              <c15:filteredCategoryTitle>
                <c15:cat>
                  <c:numRef>
                    <c:extLst>
                      <c:ext uri="{02D57815-91ED-43cb-92C2-25804820EDAC}">
                        <c15:formulaRef>
                          <c15:sqref>Sheet10!$C$20:$F$20</c15:sqref>
                        </c15:formulaRef>
                      </c:ext>
                    </c:extLst>
                    <c:numCache>
                      <c:formatCode>General</c:formatCode>
                      <c:ptCount val="4"/>
                      <c:pt idx="0">
                        <c:v>2021</c:v>
                      </c:pt>
                      <c:pt idx="1">
                        <c:v>2022</c:v>
                      </c:pt>
                      <c:pt idx="2">
                        <c:v>2023</c:v>
                      </c:pt>
                      <c:pt idx="3">
                        <c:v>2024</c:v>
                      </c:pt>
                    </c:numCache>
                  </c:numRef>
                </c15:cat>
              </c15:filteredCategoryTitle>
            </c:ext>
            <c:ext xmlns:c16="http://schemas.microsoft.com/office/drawing/2014/chart" uri="{C3380CC4-5D6E-409C-BE32-E72D297353CC}">
              <c16:uniqueId val="{00000000-6252-5C40-9724-FBF3C2299F89}"/>
            </c:ext>
          </c:extLst>
        </c:ser>
        <c:dLbls>
          <c:showLegendKey val="0"/>
          <c:showVal val="0"/>
          <c:showCatName val="0"/>
          <c:showSerName val="0"/>
          <c:showPercent val="0"/>
          <c:showBubbleSize val="0"/>
        </c:dLbls>
        <c:smooth val="0"/>
        <c:axId val="1075098304"/>
        <c:axId val="1075096064"/>
      </c:lineChart>
      <c:catAx>
        <c:axId val="1075098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096064"/>
        <c:crosses val="autoZero"/>
        <c:auto val="1"/>
        <c:lblAlgn val="ctr"/>
        <c:lblOffset val="100"/>
        <c:noMultiLvlLbl val="0"/>
      </c:catAx>
      <c:valAx>
        <c:axId val="10750960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0983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Trend in Current Assets,</a:t>
            </a:r>
            <a:r>
              <a:rPr lang="en-US" baseline="0"/>
              <a:t> Current Liabilities, and Cash and Cash Equivlents (numbers in £m)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Sheet10!$C$28:$F$28</c:f>
              <c:numCache>
                <c:formatCode>#,##0</c:formatCode>
                <c:ptCount val="4"/>
                <c:pt idx="0">
                  <c:v>234399</c:v>
                </c:pt>
                <c:pt idx="1">
                  <c:v>232034</c:v>
                </c:pt>
                <c:pt idx="2">
                  <c:v>196678</c:v>
                </c:pt>
                <c:pt idx="3">
                  <c:v>170249</c:v>
                </c:pt>
              </c:numCache>
            </c:numRef>
          </c:val>
          <c:extLst>
            <c:ext xmlns:c15="http://schemas.microsoft.com/office/drawing/2012/chart" uri="{02D57815-91ED-43cb-92C2-25804820EDAC}">
              <c15:filteredSeriesTitle>
                <c15:tx>
                  <c:strRef>
                    <c:extLst>
                      <c:ext uri="{02D57815-91ED-43cb-92C2-25804820EDAC}">
                        <c15:formulaRef>
                          <c15:sqref>Sheet10!$B$28</c15:sqref>
                        </c15:formulaRef>
                      </c:ext>
                    </c:extLst>
                    <c:strCache>
                      <c:ptCount val="1"/>
                      <c:pt idx="0">
                        <c:v>Total Liabilities</c:v>
                      </c:pt>
                    </c:strCache>
                  </c:strRef>
                </c15:tx>
              </c15:filteredSeriesTitle>
            </c:ext>
            <c:ext xmlns:c15="http://schemas.microsoft.com/office/drawing/2012/chart" uri="{02D57815-91ED-43cb-92C2-25804820EDAC}">
              <c15:filteredCategoryTitle>
                <c15:cat>
                  <c:numRef>
                    <c:extLst>
                      <c:ext uri="{02D57815-91ED-43cb-92C2-25804820EDAC}">
                        <c15:formulaRef>
                          <c15:sqref>Sheet10!$C$27:$F$27</c15:sqref>
                        </c15:formulaRef>
                      </c:ext>
                    </c:extLst>
                    <c:numCache>
                      <c:formatCode>General</c:formatCode>
                      <c:ptCount val="4"/>
                      <c:pt idx="0">
                        <c:v>2021</c:v>
                      </c:pt>
                      <c:pt idx="1">
                        <c:v>2022</c:v>
                      </c:pt>
                      <c:pt idx="2">
                        <c:v>2023</c:v>
                      </c:pt>
                      <c:pt idx="3">
                        <c:v>2024</c:v>
                      </c:pt>
                    </c:numCache>
                  </c:numRef>
                </c15:cat>
              </c15:filteredCategoryTitle>
            </c:ext>
            <c:ext xmlns:c16="http://schemas.microsoft.com/office/drawing/2014/chart" uri="{C3380CC4-5D6E-409C-BE32-E72D297353CC}">
              <c16:uniqueId val="{00000000-6195-AA48-93D2-0FB120937F34}"/>
            </c:ext>
          </c:extLst>
        </c:ser>
        <c:ser>
          <c:idx val="1"/>
          <c:order val="1"/>
          <c:spPr>
            <a:solidFill>
              <a:schemeClr val="accent2"/>
            </a:solidFill>
            <a:ln>
              <a:noFill/>
            </a:ln>
            <a:effectLst/>
          </c:spPr>
          <c:invertIfNegative val="0"/>
          <c:val>
            <c:numRef>
              <c:f>Sheet10!$C$29:$F$29</c:f>
              <c:numCache>
                <c:formatCode>#,##0</c:formatCode>
                <c:ptCount val="4"/>
                <c:pt idx="0">
                  <c:v>283483</c:v>
                </c:pt>
                <c:pt idx="1">
                  <c:v>272621</c:v>
                </c:pt>
                <c:pt idx="2">
                  <c:v>247021</c:v>
                </c:pt>
                <c:pt idx="3">
                  <c:v>242494</c:v>
                </c:pt>
              </c:numCache>
            </c:numRef>
          </c:val>
          <c:extLst>
            <c:ext xmlns:c15="http://schemas.microsoft.com/office/drawing/2012/chart" uri="{02D57815-91ED-43cb-92C2-25804820EDAC}">
              <c15:filteredSeriesTitle>
                <c15:tx>
                  <c:strRef>
                    <c:extLst>
                      <c:ext uri="{02D57815-91ED-43cb-92C2-25804820EDAC}">
                        <c15:formulaRef>
                          <c15:sqref>Sheet10!$B$29</c15:sqref>
                        </c15:formulaRef>
                      </c:ext>
                    </c:extLst>
                    <c:strCache>
                      <c:ptCount val="1"/>
                      <c:pt idx="0">
                        <c:v>Current Assets</c:v>
                      </c:pt>
                    </c:strCache>
                  </c:strRef>
                </c15:tx>
              </c15:filteredSeriesTitle>
            </c:ext>
            <c:ext xmlns:c15="http://schemas.microsoft.com/office/drawing/2012/chart" uri="{02D57815-91ED-43cb-92C2-25804820EDAC}">
              <c15:filteredCategoryTitle>
                <c15:cat>
                  <c:numRef>
                    <c:extLst>
                      <c:ext uri="{02D57815-91ED-43cb-92C2-25804820EDAC}">
                        <c15:formulaRef>
                          <c15:sqref>Sheet10!$C$27:$F$27</c15:sqref>
                        </c15:formulaRef>
                      </c:ext>
                    </c:extLst>
                    <c:numCache>
                      <c:formatCode>General</c:formatCode>
                      <c:ptCount val="4"/>
                      <c:pt idx="0">
                        <c:v>2021</c:v>
                      </c:pt>
                      <c:pt idx="1">
                        <c:v>2022</c:v>
                      </c:pt>
                      <c:pt idx="2">
                        <c:v>2023</c:v>
                      </c:pt>
                      <c:pt idx="3">
                        <c:v>2024</c:v>
                      </c:pt>
                    </c:numCache>
                  </c:numRef>
                </c15:cat>
              </c15:filteredCategoryTitle>
            </c:ext>
            <c:ext xmlns:c16="http://schemas.microsoft.com/office/drawing/2014/chart" uri="{C3380CC4-5D6E-409C-BE32-E72D297353CC}">
              <c16:uniqueId val="{00000001-6195-AA48-93D2-0FB120937F34}"/>
            </c:ext>
          </c:extLst>
        </c:ser>
        <c:ser>
          <c:idx val="2"/>
          <c:order val="2"/>
          <c:spPr>
            <a:solidFill>
              <a:schemeClr val="accent3"/>
            </a:solidFill>
            <a:ln>
              <a:noFill/>
            </a:ln>
            <a:effectLst/>
          </c:spPr>
          <c:invertIfNegative val="0"/>
          <c:val>
            <c:numRef>
              <c:f>Sheet10!$C$30:$F$30</c:f>
              <c:numCache>
                <c:formatCode>#,##0</c:formatCode>
                <c:ptCount val="4"/>
                <c:pt idx="0">
                  <c:v>60813</c:v>
                </c:pt>
                <c:pt idx="1">
                  <c:v>34383</c:v>
                </c:pt>
                <c:pt idx="2">
                  <c:v>42789</c:v>
                </c:pt>
                <c:pt idx="3">
                  <c:v>26783</c:v>
                </c:pt>
              </c:numCache>
            </c:numRef>
          </c:val>
          <c:extLst>
            <c:ext xmlns:c15="http://schemas.microsoft.com/office/drawing/2012/chart" uri="{02D57815-91ED-43cb-92C2-25804820EDAC}">
              <c15:filteredSeriesTitle>
                <c15:tx>
                  <c:strRef>
                    <c:extLst>
                      <c:ext uri="{02D57815-91ED-43cb-92C2-25804820EDAC}">
                        <c15:formulaRef>
                          <c15:sqref>Sheet10!$B$30</c15:sqref>
                        </c15:formulaRef>
                      </c:ext>
                    </c:extLst>
                    <c:strCache>
                      <c:ptCount val="1"/>
                      <c:pt idx="0">
                        <c:v>Cash &amp; Cash Equivalents</c:v>
                      </c:pt>
                    </c:strCache>
                  </c:strRef>
                </c15:tx>
              </c15:filteredSeriesTitle>
            </c:ext>
            <c:ext xmlns:c15="http://schemas.microsoft.com/office/drawing/2012/chart" uri="{02D57815-91ED-43cb-92C2-25804820EDAC}">
              <c15:filteredCategoryTitle>
                <c15:cat>
                  <c:numRef>
                    <c:extLst>
                      <c:ext uri="{02D57815-91ED-43cb-92C2-25804820EDAC}">
                        <c15:formulaRef>
                          <c15:sqref>Sheet10!$C$27:$F$27</c15:sqref>
                        </c15:formulaRef>
                      </c:ext>
                    </c:extLst>
                    <c:numCache>
                      <c:formatCode>General</c:formatCode>
                      <c:ptCount val="4"/>
                      <c:pt idx="0">
                        <c:v>2021</c:v>
                      </c:pt>
                      <c:pt idx="1">
                        <c:v>2022</c:v>
                      </c:pt>
                      <c:pt idx="2">
                        <c:v>2023</c:v>
                      </c:pt>
                      <c:pt idx="3">
                        <c:v>2024</c:v>
                      </c:pt>
                    </c:numCache>
                  </c:numRef>
                </c15:cat>
              </c15:filteredCategoryTitle>
            </c:ext>
            <c:ext xmlns:c16="http://schemas.microsoft.com/office/drawing/2014/chart" uri="{C3380CC4-5D6E-409C-BE32-E72D297353CC}">
              <c16:uniqueId val="{00000002-6195-AA48-93D2-0FB120937F34}"/>
            </c:ext>
          </c:extLst>
        </c:ser>
        <c:dLbls>
          <c:showLegendKey val="0"/>
          <c:showVal val="0"/>
          <c:showCatName val="0"/>
          <c:showSerName val="0"/>
          <c:showPercent val="0"/>
          <c:showBubbleSize val="0"/>
        </c:dLbls>
        <c:gapWidth val="219"/>
        <c:overlap val="-27"/>
        <c:axId val="1168728832"/>
        <c:axId val="1168723904"/>
      </c:barChart>
      <c:catAx>
        <c:axId val="1168728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8723904"/>
        <c:crosses val="autoZero"/>
        <c:auto val="1"/>
        <c:lblAlgn val="ctr"/>
        <c:lblOffset val="100"/>
        <c:noMultiLvlLbl val="0"/>
      </c:catAx>
      <c:valAx>
        <c:axId val="11687239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8728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Net Income (£m)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Sheet10!$C$40:$F$40</c:f>
              <c:numCache>
                <c:formatCode>General</c:formatCode>
                <c:ptCount val="4"/>
                <c:pt idx="0" formatCode="#,##0">
                  <c:v>5301</c:v>
                </c:pt>
                <c:pt idx="1">
                  <c:v>407</c:v>
                </c:pt>
                <c:pt idx="2" formatCode="#,##0">
                  <c:v>-98238</c:v>
                </c:pt>
                <c:pt idx="3" formatCode="#,##0">
                  <c:v>-24029</c:v>
                </c:pt>
              </c:numCache>
            </c:numRef>
          </c:val>
          <c:smooth val="0"/>
          <c:extLst>
            <c:ext xmlns:c15="http://schemas.microsoft.com/office/drawing/2012/chart" uri="{02D57815-91ED-43cb-92C2-25804820EDAC}">
              <c15:filteredSeriesTitle>
                <c15:tx>
                  <c:strRef>
                    <c:extLst>
                      <c:ext uri="{02D57815-91ED-43cb-92C2-25804820EDAC}">
                        <c15:formulaRef>
                          <c15:sqref>Sheet10!$B$40</c15:sqref>
                        </c15:formulaRef>
                      </c:ext>
                    </c:extLst>
                    <c:strCache>
                      <c:ptCount val="1"/>
                      <c:pt idx="0">
                        <c:v>Net Income / (Loss) (£m)</c:v>
                      </c:pt>
                    </c:strCache>
                  </c:strRef>
                </c15:tx>
              </c15:filteredSeriesTitle>
            </c:ext>
            <c:ext xmlns:c15="http://schemas.microsoft.com/office/drawing/2012/chart" uri="{02D57815-91ED-43cb-92C2-25804820EDAC}">
              <c15:filteredCategoryTitle>
                <c15:cat>
                  <c:numRef>
                    <c:extLst>
                      <c:ext uri="{02D57815-91ED-43cb-92C2-25804820EDAC}">
                        <c15:formulaRef>
                          <c15:sqref>Sheet10!$C$39:$F$39</c15:sqref>
                        </c15:formulaRef>
                      </c:ext>
                    </c:extLst>
                    <c:numCache>
                      <c:formatCode>General</c:formatCode>
                      <c:ptCount val="4"/>
                      <c:pt idx="0">
                        <c:v>2021</c:v>
                      </c:pt>
                      <c:pt idx="1">
                        <c:v>2022</c:v>
                      </c:pt>
                      <c:pt idx="2">
                        <c:v>2023</c:v>
                      </c:pt>
                      <c:pt idx="3">
                        <c:v>2024</c:v>
                      </c:pt>
                    </c:numCache>
                  </c:numRef>
                </c15:cat>
              </c15:filteredCategoryTitle>
            </c:ext>
            <c:ext xmlns:c16="http://schemas.microsoft.com/office/drawing/2014/chart" uri="{C3380CC4-5D6E-409C-BE32-E72D297353CC}">
              <c16:uniqueId val="{00000000-D7FA-7449-A9C5-77DE4C38B684}"/>
            </c:ext>
          </c:extLst>
        </c:ser>
        <c:dLbls>
          <c:showLegendKey val="0"/>
          <c:showVal val="0"/>
          <c:showCatName val="0"/>
          <c:showSerName val="0"/>
          <c:showPercent val="0"/>
          <c:showBubbleSize val="0"/>
        </c:dLbls>
        <c:smooth val="0"/>
        <c:axId val="1168723456"/>
        <c:axId val="1094347712"/>
      </c:lineChart>
      <c:catAx>
        <c:axId val="1168723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4347712"/>
        <c:crosses val="autoZero"/>
        <c:auto val="1"/>
        <c:lblAlgn val="ctr"/>
        <c:lblOffset val="100"/>
        <c:noMultiLvlLbl val="0"/>
      </c:catAx>
      <c:valAx>
        <c:axId val="1094347712"/>
        <c:scaling>
          <c:orientation val="minMax"/>
          <c:max val="10000"/>
          <c:min val="-100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8723456"/>
        <c:crosses val="autoZero"/>
        <c:crossBetween val="between"/>
        <c:majorUnit val="1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spPr>
            <a:ln w="28575" cap="rnd">
              <a:solidFill>
                <a:schemeClr val="accent1"/>
              </a:solidFill>
              <a:round/>
            </a:ln>
            <a:effectLst/>
          </c:spPr>
          <c:marker>
            <c:symbol val="none"/>
          </c:marker>
          <c:val>
            <c:numRef>
              <c:f>Sheet10!$C$59:$F$59</c:f>
              <c:numCache>
                <c:formatCode>#,##0</c:formatCode>
                <c:ptCount val="4"/>
                <c:pt idx="0">
                  <c:v>40283</c:v>
                </c:pt>
                <c:pt idx="1">
                  <c:v>10926</c:v>
                </c:pt>
                <c:pt idx="2">
                  <c:v>25190</c:v>
                </c:pt>
                <c:pt idx="3">
                  <c:v>14822</c:v>
                </c:pt>
              </c:numCache>
            </c:numRef>
          </c:val>
          <c:smooth val="0"/>
          <c:extLst>
            <c:ext xmlns:c15="http://schemas.microsoft.com/office/drawing/2012/chart" uri="{02D57815-91ED-43cb-92C2-25804820EDAC}">
              <c15:filteredSeriesTitle>
                <c15:tx>
                  <c:strRef>
                    <c:extLst>
                      <c:ext uri="{02D57815-91ED-43cb-92C2-25804820EDAC}">
                        <c15:formulaRef>
                          <c15:sqref>Sheet10!$B$59</c15:sqref>
                        </c15:formulaRef>
                      </c:ext>
                    </c:extLst>
                    <c:strCache>
                      <c:ptCount val="1"/>
                      <c:pt idx="0">
                        <c:v>Operating Cash Flow (£m)</c:v>
                      </c:pt>
                    </c:strCache>
                  </c:strRef>
                </c15:tx>
              </c15:filteredSeriesTitle>
            </c:ext>
            <c:ext xmlns:c15="http://schemas.microsoft.com/office/drawing/2012/chart" uri="{02D57815-91ED-43cb-92C2-25804820EDAC}">
              <c15:filteredCategoryTitle>
                <c15:cat>
                  <c:numRef>
                    <c:extLst>
                      <c:ext uri="{02D57815-91ED-43cb-92C2-25804820EDAC}">
                        <c15:formulaRef>
                          <c15:sqref>Sheet10!$C$58:$F$58</c15:sqref>
                        </c15:formulaRef>
                      </c:ext>
                    </c:extLst>
                    <c:numCache>
                      <c:formatCode>General</c:formatCode>
                      <c:ptCount val="4"/>
                      <c:pt idx="0">
                        <c:v>2021</c:v>
                      </c:pt>
                      <c:pt idx="1">
                        <c:v>2022</c:v>
                      </c:pt>
                      <c:pt idx="2">
                        <c:v>2023</c:v>
                      </c:pt>
                      <c:pt idx="3">
                        <c:v>2024</c:v>
                      </c:pt>
                    </c:numCache>
                  </c:numRef>
                </c15:cat>
              </c15:filteredCategoryTitle>
            </c:ext>
            <c:ext xmlns:c16="http://schemas.microsoft.com/office/drawing/2014/chart" uri="{C3380CC4-5D6E-409C-BE32-E72D297353CC}">
              <c16:uniqueId val="{00000000-EA12-0A4A-896F-6A29A634271D}"/>
            </c:ext>
          </c:extLst>
        </c:ser>
        <c:dLbls>
          <c:showLegendKey val="0"/>
          <c:showVal val="0"/>
          <c:showCatName val="0"/>
          <c:showSerName val="0"/>
          <c:showPercent val="0"/>
          <c:showBubbleSize val="0"/>
        </c:dLbls>
        <c:smooth val="0"/>
        <c:axId val="1148289024"/>
        <c:axId val="966792448"/>
      </c:lineChart>
      <c:catAx>
        <c:axId val="1148289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6792448"/>
        <c:crosses val="autoZero"/>
        <c:auto val="1"/>
        <c:lblAlgn val="ctr"/>
        <c:lblOffset val="100"/>
        <c:noMultiLvlLbl val="0"/>
      </c:catAx>
      <c:valAx>
        <c:axId val="966792448"/>
        <c:scaling>
          <c:orientation val="minMax"/>
          <c:max val="42000"/>
          <c:min val="10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8289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'Profitability Ratio'!$C$4:$C$7</c:f>
              <c:numCache>
                <c:formatCode>0.00%</c:formatCode>
                <c:ptCount val="4"/>
                <c:pt idx="0">
                  <c:v>0.28868083640811487</c:v>
                </c:pt>
                <c:pt idx="1">
                  <c:v>0.23203324002216635</c:v>
                </c:pt>
                <c:pt idx="2">
                  <c:v>0.28059275800505207</c:v>
                </c:pt>
                <c:pt idx="3">
                  <c:v>0.28759212901552855</c:v>
                </c:pt>
              </c:numCache>
            </c:numRef>
          </c:val>
          <c:extLst>
            <c:ext xmlns:c15="http://schemas.microsoft.com/office/drawing/2012/chart" uri="{02D57815-91ED-43cb-92C2-25804820EDAC}">
              <c15:filteredSeriesTitle>
                <c15:tx>
                  <c:strRef>
                    <c:extLst>
                      <c:ext uri="{02D57815-91ED-43cb-92C2-25804820EDAC}">
                        <c15:formulaRef>
                          <c15:sqref>'Profitability Ratio'!$C$3</c15:sqref>
                        </c15:formulaRef>
                      </c:ext>
                    </c:extLst>
                    <c:strCache>
                      <c:ptCount val="1"/>
                      <c:pt idx="0">
                        <c:v>Gross Margin</c:v>
                      </c:pt>
                    </c:strCache>
                  </c:strRef>
                </c15:tx>
              </c15:filteredSeriesTitle>
            </c:ext>
            <c:ext xmlns:c15="http://schemas.microsoft.com/office/drawing/2012/chart" uri="{02D57815-91ED-43cb-92C2-25804820EDAC}">
              <c15:filteredCategoryTitle>
                <c15:cat>
                  <c:numRef>
                    <c:extLst>
                      <c:ext uri="{02D57815-91ED-43cb-92C2-25804820EDAC}">
                        <c15:formulaRef>
                          <c15:sqref>'Profitability Ratio'!$B$4:$B$7</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0289-9645-BBED-696D57EF7711}"/>
            </c:ext>
          </c:extLst>
        </c:ser>
        <c:dLbls>
          <c:showLegendKey val="0"/>
          <c:showVal val="0"/>
          <c:showCatName val="0"/>
          <c:showSerName val="0"/>
          <c:showPercent val="0"/>
          <c:showBubbleSize val="0"/>
        </c:dLbls>
        <c:gapWidth val="219"/>
        <c:overlap val="-27"/>
        <c:axId val="1076738496"/>
        <c:axId val="1076735360"/>
      </c:barChart>
      <c:catAx>
        <c:axId val="1076738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6735360"/>
        <c:crosses val="autoZero"/>
        <c:auto val="1"/>
        <c:lblAlgn val="ctr"/>
        <c:lblOffset val="100"/>
        <c:noMultiLvlLbl val="0"/>
      </c:catAx>
      <c:valAx>
        <c:axId val="1076735360"/>
        <c:scaling>
          <c:orientation val="minMax"/>
          <c:max val="0.3"/>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6738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'Profitability Ratio'!$C$10:$C$13</c:f>
              <c:numCache>
                <c:formatCode>0.00%</c:formatCode>
                <c:ptCount val="4"/>
                <c:pt idx="0">
                  <c:v>-3.8738448993235905E-2</c:v>
                </c:pt>
                <c:pt idx="1">
                  <c:v>-0.20287686969178775</c:v>
                </c:pt>
                <c:pt idx="2">
                  <c:v>2.6804188292605634E-2</c:v>
                </c:pt>
                <c:pt idx="3">
                  <c:v>3.8651799694814845E-2</c:v>
                </c:pt>
              </c:numCache>
            </c:numRef>
          </c:val>
          <c:extLst>
            <c:ext xmlns:c15="http://schemas.microsoft.com/office/drawing/2012/chart" uri="{02D57815-91ED-43cb-92C2-25804820EDAC}">
              <c15:filteredSeriesTitle>
                <c15:tx>
                  <c:strRef>
                    <c:extLst>
                      <c:ext uri="{02D57815-91ED-43cb-92C2-25804820EDAC}">
                        <c15:formulaRef>
                          <c15:sqref>'Profitability Ratio'!$C$9</c15:sqref>
                        </c15:formulaRef>
                      </c:ext>
                    </c:extLst>
                    <c:strCache>
                      <c:ptCount val="1"/>
                      <c:pt idx="0">
                        <c:v>Operating Margin</c:v>
                      </c:pt>
                    </c:strCache>
                  </c:strRef>
                </c15:tx>
              </c15:filteredSeriesTitle>
            </c:ext>
            <c:ext xmlns:c15="http://schemas.microsoft.com/office/drawing/2012/chart" uri="{02D57815-91ED-43cb-92C2-25804820EDAC}">
              <c15:filteredCategoryTitle>
                <c15:cat>
                  <c:numRef>
                    <c:extLst>
                      <c:ext uri="{02D57815-91ED-43cb-92C2-25804820EDAC}">
                        <c15:formulaRef>
                          <c15:sqref>'Profitability Ratio'!$B$10:$B$13</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42C8-1F45-B637-CEF65E09CCCF}"/>
            </c:ext>
          </c:extLst>
        </c:ser>
        <c:dLbls>
          <c:showLegendKey val="0"/>
          <c:showVal val="0"/>
          <c:showCatName val="0"/>
          <c:showSerName val="0"/>
          <c:showPercent val="0"/>
          <c:showBubbleSize val="0"/>
        </c:dLbls>
        <c:gapWidth val="219"/>
        <c:overlap val="-27"/>
        <c:axId val="1072104768"/>
        <c:axId val="1074896768"/>
      </c:barChart>
      <c:catAx>
        <c:axId val="1072104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896768"/>
        <c:crosses val="autoZero"/>
        <c:auto val="1"/>
        <c:lblAlgn val="ctr"/>
        <c:lblOffset val="100"/>
        <c:noMultiLvlLbl val="0"/>
      </c:catAx>
      <c:valAx>
        <c:axId val="1074896768"/>
        <c:scaling>
          <c:orientation val="minMax"/>
          <c:max val="0.05"/>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21047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'Profitability Ratio'!$C$16:$C$19</c:f>
              <c:numCache>
                <c:formatCode>0.00%</c:formatCode>
                <c:ptCount val="4"/>
                <c:pt idx="0">
                  <c:v>-6.0851551994408414E-2</c:v>
                </c:pt>
                <c:pt idx="1">
                  <c:v>-0.23364577114901167</c:v>
                </c:pt>
                <c:pt idx="2">
                  <c:v>7.4988346405626153E-4</c:v>
                </c:pt>
                <c:pt idx="3">
                  <c:v>8.8114733661124791E-3</c:v>
                </c:pt>
              </c:numCache>
            </c:numRef>
          </c:val>
          <c:extLst>
            <c:ext xmlns:c15="http://schemas.microsoft.com/office/drawing/2012/chart" uri="{02D57815-91ED-43cb-92C2-25804820EDAC}">
              <c15:filteredSeriesTitle>
                <c15:tx>
                  <c:strRef>
                    <c:extLst>
                      <c:ext uri="{02D57815-91ED-43cb-92C2-25804820EDAC}">
                        <c15:formulaRef>
                          <c15:sqref>'Profitability Ratio'!$C$15</c15:sqref>
                        </c15:formulaRef>
                      </c:ext>
                    </c:extLst>
                    <c:strCache>
                      <c:ptCount val="1"/>
                      <c:pt idx="0">
                        <c:v>Net Profit Margin</c:v>
                      </c:pt>
                    </c:strCache>
                  </c:strRef>
                </c15:tx>
              </c15:filteredSeriesTitle>
            </c:ext>
            <c:ext xmlns:c15="http://schemas.microsoft.com/office/drawing/2012/chart" uri="{02D57815-91ED-43cb-92C2-25804820EDAC}">
              <c15:filteredCategoryTitle>
                <c15:cat>
                  <c:numRef>
                    <c:extLst>
                      <c:ext uri="{02D57815-91ED-43cb-92C2-25804820EDAC}">
                        <c15:formulaRef>
                          <c15:sqref>'Profitability Ratio'!$B$16:$B$19</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E5FD-0648-A93E-8985389FA6C9}"/>
            </c:ext>
          </c:extLst>
        </c:ser>
        <c:dLbls>
          <c:showLegendKey val="0"/>
          <c:showVal val="0"/>
          <c:showCatName val="0"/>
          <c:showSerName val="0"/>
          <c:showPercent val="0"/>
          <c:showBubbleSize val="0"/>
        </c:dLbls>
        <c:gapWidth val="219"/>
        <c:overlap val="-27"/>
        <c:axId val="1090024576"/>
        <c:axId val="1090017856"/>
      </c:barChart>
      <c:catAx>
        <c:axId val="1090024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017856"/>
        <c:crosses val="autoZero"/>
        <c:auto val="1"/>
        <c:lblAlgn val="ctr"/>
        <c:lblOffset val="100"/>
        <c:noMultiLvlLbl val="0"/>
      </c:catAx>
      <c:valAx>
        <c:axId val="10900178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0245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'Profitability Ratio'!$C$22:$C$25</c:f>
              <c:numCache>
                <c:formatCode>0.00%</c:formatCode>
                <c:ptCount val="4"/>
                <c:pt idx="0">
                  <c:v>-7.4311745022483097E-2</c:v>
                </c:pt>
                <c:pt idx="1">
                  <c:v>-0.27604869166441864</c:v>
                </c:pt>
                <c:pt idx="2">
                  <c:v>8.0727859838980649E-4</c:v>
                </c:pt>
                <c:pt idx="3">
                  <c:v>1.0387030026570106E-2</c:v>
                </c:pt>
              </c:numCache>
            </c:numRef>
          </c:val>
          <c:extLst>
            <c:ext xmlns:c15="http://schemas.microsoft.com/office/drawing/2012/chart" uri="{02D57815-91ED-43cb-92C2-25804820EDAC}">
              <c15:filteredSeriesTitle>
                <c15:tx>
                  <c:strRef>
                    <c:extLst>
                      <c:ext uri="{02D57815-91ED-43cb-92C2-25804820EDAC}">
                        <c15:formulaRef>
                          <c15:sqref>'Profitability Ratio'!$C$21</c15:sqref>
                        </c15:formulaRef>
                      </c:ext>
                    </c:extLst>
                    <c:strCache>
                      <c:ptCount val="1"/>
                      <c:pt idx="0">
                        <c:v>ROA</c:v>
                      </c:pt>
                    </c:strCache>
                  </c:strRef>
                </c15:tx>
              </c15:filteredSeriesTitle>
            </c:ext>
            <c:ext xmlns:c15="http://schemas.microsoft.com/office/drawing/2012/chart" uri="{02D57815-91ED-43cb-92C2-25804820EDAC}">
              <c15:filteredCategoryTitle>
                <c15:cat>
                  <c:numRef>
                    <c:extLst>
                      <c:ext uri="{02D57815-91ED-43cb-92C2-25804820EDAC}">
                        <c15:formulaRef>
                          <c15:sqref>'Profitability Ratio'!$B$22:$B$25</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1C8D-2E4C-95C9-7AB696D33F6C}"/>
            </c:ext>
          </c:extLst>
        </c:ser>
        <c:dLbls>
          <c:showLegendKey val="0"/>
          <c:showVal val="0"/>
          <c:showCatName val="0"/>
          <c:showSerName val="0"/>
          <c:showPercent val="0"/>
          <c:showBubbleSize val="0"/>
        </c:dLbls>
        <c:gapWidth val="219"/>
        <c:overlap val="-27"/>
        <c:axId val="1067096192"/>
        <c:axId val="1062069888"/>
      </c:barChart>
      <c:catAx>
        <c:axId val="1067096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2069888"/>
        <c:crosses val="autoZero"/>
        <c:auto val="1"/>
        <c:lblAlgn val="ctr"/>
        <c:lblOffset val="100"/>
        <c:noMultiLvlLbl val="0"/>
      </c:catAx>
      <c:valAx>
        <c:axId val="10620698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7096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'Profitability Ratio'!$C$28:$C$31</c:f>
              <c:numCache>
                <c:formatCode>0.00%</c:formatCode>
                <c:ptCount val="4"/>
                <c:pt idx="0">
                  <c:v>-0.1569445805166389</c:v>
                </c:pt>
                <c:pt idx="1">
                  <c:v>-0.54906103286384977</c:v>
                </c:pt>
                <c:pt idx="2">
                  <c:v>1.5163595448685946E-3</c:v>
                </c:pt>
                <c:pt idx="3">
                  <c:v>1.9210071426241804E-2</c:v>
                </c:pt>
              </c:numCache>
            </c:numRef>
          </c:val>
          <c:extLst>
            <c:ext xmlns:c15="http://schemas.microsoft.com/office/drawing/2012/chart" uri="{02D57815-91ED-43cb-92C2-25804820EDAC}">
              <c15:filteredSeriesTitle>
                <c15:tx>
                  <c:strRef>
                    <c:extLst>
                      <c:ext uri="{02D57815-91ED-43cb-92C2-25804820EDAC}">
                        <c15:formulaRef>
                          <c15:sqref>'Profitability Ratio'!$C$27</c15:sqref>
                        </c15:formulaRef>
                      </c:ext>
                    </c:extLst>
                    <c:strCache>
                      <c:ptCount val="1"/>
                      <c:pt idx="0">
                        <c:v>ROE</c:v>
                      </c:pt>
                    </c:strCache>
                  </c:strRef>
                </c15:tx>
              </c15:filteredSeriesTitle>
            </c:ext>
            <c:ext xmlns:c15="http://schemas.microsoft.com/office/drawing/2012/chart" uri="{02D57815-91ED-43cb-92C2-25804820EDAC}">
              <c15:filteredCategoryTitle>
                <c15:cat>
                  <c:numRef>
                    <c:extLst>
                      <c:ext uri="{02D57815-91ED-43cb-92C2-25804820EDAC}">
                        <c15:formulaRef>
                          <c15:sqref>'Profitability Ratio'!$B$28:$B$31</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9BD2-3A41-BC45-5F1625345783}"/>
            </c:ext>
          </c:extLst>
        </c:ser>
        <c:dLbls>
          <c:showLegendKey val="0"/>
          <c:showVal val="0"/>
          <c:showCatName val="0"/>
          <c:showSerName val="0"/>
          <c:showPercent val="0"/>
          <c:showBubbleSize val="0"/>
        </c:dLbls>
        <c:gapWidth val="219"/>
        <c:overlap val="-27"/>
        <c:axId val="1093923968"/>
        <c:axId val="1072134144"/>
      </c:barChart>
      <c:catAx>
        <c:axId val="1093923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2134144"/>
        <c:crosses val="autoZero"/>
        <c:auto val="1"/>
        <c:lblAlgn val="ctr"/>
        <c:lblOffset val="100"/>
        <c:noMultiLvlLbl val="0"/>
      </c:catAx>
      <c:valAx>
        <c:axId val="10721341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39239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'Liquidity Ratio'!$C$7:$C$10</c:f>
              <c:numCache>
                <c:formatCode>0.000</c:formatCode>
                <c:ptCount val="4"/>
                <c:pt idx="0">
                  <c:v>1.5319506478574272</c:v>
                </c:pt>
                <c:pt idx="1">
                  <c:v>1.6062935934668752</c:v>
                </c:pt>
                <c:pt idx="2">
                  <c:v>1.5615804280441441</c:v>
                </c:pt>
                <c:pt idx="3">
                  <c:v>1.5551947303113194</c:v>
                </c:pt>
              </c:numCache>
            </c:numRef>
          </c:val>
          <c:extLst>
            <c:ext xmlns:c15="http://schemas.microsoft.com/office/drawing/2012/chart" uri="{02D57815-91ED-43cb-92C2-25804820EDAC}">
              <c15:filteredSeriesTitle>
                <c15:tx>
                  <c:strRef>
                    <c:extLst>
                      <c:ext uri="{02D57815-91ED-43cb-92C2-25804820EDAC}">
                        <c15:formulaRef>
                          <c15:sqref>'Liquidity Ratio'!$C$6</c15:sqref>
                        </c15:formulaRef>
                      </c:ext>
                    </c:extLst>
                    <c:strCache>
                      <c:ptCount val="1"/>
                      <c:pt idx="0">
                        <c:v>Current Ratio</c:v>
                      </c:pt>
                    </c:strCache>
                  </c:strRef>
                </c15:tx>
              </c15:filteredSeriesTitle>
            </c:ext>
            <c:ext xmlns:c15="http://schemas.microsoft.com/office/drawing/2012/chart" uri="{02D57815-91ED-43cb-92C2-25804820EDAC}">
              <c15:filteredCategoryTitle>
                <c15:cat>
                  <c:numRef>
                    <c:extLst>
                      <c:ext uri="{02D57815-91ED-43cb-92C2-25804820EDAC}">
                        <c15:formulaRef>
                          <c15:sqref>'Liquidity Ratio'!$B$7:$B$10</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D066-5D4D-9B86-410525A566BF}"/>
            </c:ext>
          </c:extLst>
        </c:ser>
        <c:dLbls>
          <c:showLegendKey val="0"/>
          <c:showVal val="0"/>
          <c:showCatName val="0"/>
          <c:showSerName val="0"/>
          <c:showPercent val="0"/>
          <c:showBubbleSize val="0"/>
        </c:dLbls>
        <c:gapWidth val="219"/>
        <c:overlap val="-27"/>
        <c:axId val="1075051392"/>
        <c:axId val="934309248"/>
      </c:barChart>
      <c:catAx>
        <c:axId val="1075051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4309248"/>
        <c:crosses val="autoZero"/>
        <c:auto val="1"/>
        <c:lblAlgn val="ctr"/>
        <c:lblOffset val="100"/>
        <c:noMultiLvlLbl val="0"/>
      </c:catAx>
      <c:valAx>
        <c:axId val="934309248"/>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0513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'Liquidity Ratio'!$C$13:$C$16</c:f>
              <c:numCache>
                <c:formatCode>0.000</c:formatCode>
                <c:ptCount val="4"/>
                <c:pt idx="0">
                  <c:v>1.0306271360974408</c:v>
                </c:pt>
                <c:pt idx="1">
                  <c:v>1.0585176359619728</c:v>
                </c:pt>
                <c:pt idx="2">
                  <c:v>0.9140123710578224</c:v>
                </c:pt>
                <c:pt idx="3">
                  <c:v>0.93491307135575474</c:v>
                </c:pt>
              </c:numCache>
            </c:numRef>
          </c:val>
          <c:extLst>
            <c:ext xmlns:c15="http://schemas.microsoft.com/office/drawing/2012/chart" uri="{02D57815-91ED-43cb-92C2-25804820EDAC}">
              <c15:filteredSeriesTitle>
                <c15:tx>
                  <c:strRef>
                    <c:extLst>
                      <c:ext uri="{02D57815-91ED-43cb-92C2-25804820EDAC}">
                        <c15:formulaRef>
                          <c15:sqref>'Liquidity Ratio'!$C$12</c15:sqref>
                        </c15:formulaRef>
                      </c:ext>
                    </c:extLst>
                    <c:strCache>
                      <c:ptCount val="1"/>
                      <c:pt idx="0">
                        <c:v>Quick Ratio</c:v>
                      </c:pt>
                    </c:strCache>
                  </c:strRef>
                </c15:tx>
              </c15:filteredSeriesTitle>
            </c:ext>
            <c:ext xmlns:c15="http://schemas.microsoft.com/office/drawing/2012/chart" uri="{02D57815-91ED-43cb-92C2-25804820EDAC}">
              <c15:filteredCategoryTitle>
                <c15:cat>
                  <c:numRef>
                    <c:extLst>
                      <c:ext uri="{02D57815-91ED-43cb-92C2-25804820EDAC}">
                        <c15:formulaRef>
                          <c15:sqref>'Liquidity Ratio'!$B$13:$B$16</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B702-2549-B8EE-B8FB24A786E5}"/>
            </c:ext>
          </c:extLst>
        </c:ser>
        <c:dLbls>
          <c:showLegendKey val="0"/>
          <c:showVal val="0"/>
          <c:showCatName val="0"/>
          <c:showSerName val="0"/>
          <c:showPercent val="0"/>
          <c:showBubbleSize val="0"/>
        </c:dLbls>
        <c:gapWidth val="219"/>
        <c:overlap val="-27"/>
        <c:axId val="1074999552"/>
        <c:axId val="1074996416"/>
      </c:barChart>
      <c:catAx>
        <c:axId val="1074999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996416"/>
        <c:crosses val="autoZero"/>
        <c:auto val="1"/>
        <c:lblAlgn val="ctr"/>
        <c:lblOffset val="100"/>
        <c:noMultiLvlLbl val="0"/>
      </c:catAx>
      <c:valAx>
        <c:axId val="1074996416"/>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999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'Liquidity Ratio'!$C$19:$C$22</c:f>
              <c:numCache>
                <c:formatCode>0.000</c:formatCode>
                <c:ptCount val="4"/>
                <c:pt idx="0">
                  <c:v>0.16920102848551086</c:v>
                </c:pt>
                <c:pt idx="1">
                  <c:v>0.26529029215379651</c:v>
                </c:pt>
                <c:pt idx="2">
                  <c:v>0.30830634767384385</c:v>
                </c:pt>
                <c:pt idx="3">
                  <c:v>0.28051958835170004</c:v>
                </c:pt>
              </c:numCache>
            </c:numRef>
          </c:val>
          <c:extLst>
            <c:ext xmlns:c15="http://schemas.microsoft.com/office/drawing/2012/chart" uri="{02D57815-91ED-43cb-92C2-25804820EDAC}">
              <c15:filteredSeriesTitle>
                <c15:tx>
                  <c:strRef>
                    <c:extLst>
                      <c:ext uri="{02D57815-91ED-43cb-92C2-25804820EDAC}">
                        <c15:formulaRef>
                          <c15:sqref>'Liquidity Ratio'!$C$18</c15:sqref>
                        </c15:formulaRef>
                      </c:ext>
                    </c:extLst>
                    <c:strCache>
                      <c:ptCount val="1"/>
                      <c:pt idx="0">
                        <c:v>Cash Ratio</c:v>
                      </c:pt>
                    </c:strCache>
                  </c:strRef>
                </c15:tx>
              </c15:filteredSeriesTitle>
            </c:ext>
            <c:ext xmlns:c15="http://schemas.microsoft.com/office/drawing/2012/chart" uri="{02D57815-91ED-43cb-92C2-25804820EDAC}">
              <c15:filteredCategoryTitle>
                <c15:cat>
                  <c:numRef>
                    <c:extLst>
                      <c:ext uri="{02D57815-91ED-43cb-92C2-25804820EDAC}">
                        <c15:formulaRef>
                          <c15:sqref>'Liquidity Ratio'!$B$19:$B$22</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298D-D84F-AD42-18E6667BA9F9}"/>
            </c:ext>
          </c:extLst>
        </c:ser>
        <c:dLbls>
          <c:showLegendKey val="0"/>
          <c:showVal val="0"/>
          <c:showCatName val="0"/>
          <c:showSerName val="0"/>
          <c:showPercent val="0"/>
          <c:showBubbleSize val="0"/>
        </c:dLbls>
        <c:gapWidth val="219"/>
        <c:overlap val="-27"/>
        <c:axId val="1097885312"/>
        <c:axId val="1097882176"/>
      </c:barChart>
      <c:catAx>
        <c:axId val="109788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7882176"/>
        <c:crosses val="autoZero"/>
        <c:auto val="1"/>
        <c:lblAlgn val="ctr"/>
        <c:lblOffset val="100"/>
        <c:noMultiLvlLbl val="0"/>
      </c:catAx>
      <c:valAx>
        <c:axId val="1097882176"/>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7885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'Asset Efficiency'!$B$4:$B$7</c:f>
              <c:numCache>
                <c:formatCode>0.00</c:formatCode>
                <c:ptCount val="4"/>
                <c:pt idx="0">
                  <c:v>5.4415781277991373</c:v>
                </c:pt>
                <c:pt idx="1">
                  <c:v>4.7422993198813455</c:v>
                </c:pt>
                <c:pt idx="2">
                  <c:v>4.985770714679405</c:v>
                </c:pt>
                <c:pt idx="3">
                  <c:v>5.2466968420501816</c:v>
                </c:pt>
              </c:numCache>
            </c:numRef>
          </c:val>
          <c:extLst>
            <c:ext xmlns:c15="http://schemas.microsoft.com/office/drawing/2012/chart" uri="{02D57815-91ED-43cb-92C2-25804820EDAC}">
              <c15:filteredSeriesTitle>
                <c15:tx>
                  <c:strRef>
                    <c:extLst>
                      <c:ext uri="{02D57815-91ED-43cb-92C2-25804820EDAC}">
                        <c15:formulaRef>
                          <c15:sqref>'Asset Efficiency'!$B$3</c15:sqref>
                        </c15:formulaRef>
                      </c:ext>
                    </c:extLst>
                    <c:strCache>
                      <c:ptCount val="1"/>
                      <c:pt idx="0">
                        <c:v>Fixed Asset Turnover</c:v>
                      </c:pt>
                    </c:strCache>
                  </c:strRef>
                </c15:tx>
              </c15:filteredSeriesTitle>
            </c:ext>
            <c:ext xmlns:c15="http://schemas.microsoft.com/office/drawing/2012/chart" uri="{02D57815-91ED-43cb-92C2-25804820EDAC}">
              <c15:filteredCategoryTitle>
                <c15:cat>
                  <c:numRef>
                    <c:extLst>
                      <c:ext uri="{02D57815-91ED-43cb-92C2-25804820EDAC}">
                        <c15:formulaRef>
                          <c15:sqref>'Asset Efficiency'!$A$4:$A$7</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D70A-3041-BC1B-F54F0B229A73}"/>
            </c:ext>
          </c:extLst>
        </c:ser>
        <c:dLbls>
          <c:showLegendKey val="0"/>
          <c:showVal val="0"/>
          <c:showCatName val="0"/>
          <c:showSerName val="0"/>
          <c:showPercent val="0"/>
          <c:showBubbleSize val="0"/>
        </c:dLbls>
        <c:gapWidth val="219"/>
        <c:overlap val="-27"/>
        <c:axId val="1097889344"/>
        <c:axId val="1094351744"/>
      </c:barChart>
      <c:catAx>
        <c:axId val="1097889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4351744"/>
        <c:crosses val="autoZero"/>
        <c:auto val="1"/>
        <c:lblAlgn val="ctr"/>
        <c:lblOffset val="100"/>
        <c:noMultiLvlLbl val="0"/>
      </c:catAx>
      <c:valAx>
        <c:axId val="10943517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7889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Interest</a:t>
            </a:r>
            <a:r>
              <a:rPr lang="en-US" baseline="0"/>
              <a:t> Coverage Ratio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'Gearing (Leverage) Ratio'!$B$3:$B$6</c:f>
              <c:numCache>
                <c:formatCode>0.00</c:formatCode>
                <c:ptCount val="4"/>
                <c:pt idx="0">
                  <c:v>4.5513240107110979</c:v>
                </c:pt>
                <c:pt idx="1">
                  <c:v>19.690904893813482</c:v>
                </c:pt>
                <c:pt idx="2">
                  <c:v>-6.6127272727272723</c:v>
                </c:pt>
                <c:pt idx="3">
                  <c:v>-41.083038869257948</c:v>
                </c:pt>
              </c:numCache>
            </c:numRef>
          </c:val>
          <c:extLst>
            <c:ext xmlns:c15="http://schemas.microsoft.com/office/drawing/2012/chart" uri="{02D57815-91ED-43cb-92C2-25804820EDAC}">
              <c15:filteredSeriesTitle>
                <c15:tx>
                  <c:strRef>
                    <c:extLst>
                      <c:ext uri="{02D57815-91ED-43cb-92C2-25804820EDAC}">
                        <c15:formulaRef>
                          <c15:sqref>'Gearing (Leverage) Ratio'!$B$2</c15:sqref>
                        </c15:formulaRef>
                      </c:ext>
                    </c:extLst>
                    <c:strCache>
                      <c:ptCount val="1"/>
                      <c:pt idx="0">
                        <c:v>Interest Coverage Ratio</c:v>
                      </c:pt>
                    </c:strCache>
                  </c:strRef>
                </c15:tx>
              </c15:filteredSeriesTitle>
            </c:ext>
            <c:ext xmlns:c15="http://schemas.microsoft.com/office/drawing/2012/chart" uri="{02D57815-91ED-43cb-92C2-25804820EDAC}">
              <c15:filteredCategoryTitle>
                <c15:cat>
                  <c:numRef>
                    <c:extLst>
                      <c:ext uri="{02D57815-91ED-43cb-92C2-25804820EDAC}">
                        <c15:formulaRef>
                          <c15:sqref>'Gearing (Leverage) Ratio'!$A$3:$A$6</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FD9D-754C-B7BD-47B810DAF76E}"/>
            </c:ext>
          </c:extLst>
        </c:ser>
        <c:ser>
          <c:idx val="1"/>
          <c:order val="1"/>
          <c:spPr>
            <a:solidFill>
              <a:schemeClr val="accent2"/>
            </a:solidFill>
            <a:ln>
              <a:noFill/>
            </a:ln>
            <a:effectLst/>
          </c:spPr>
          <c:invertIfNegative val="0"/>
          <c:val>
            <c:numRef>
              <c:f>'Gearing (Leverage) Ratio'!$C$3:$C$6</c:f>
              <c:numCache>
                <c:formatCode>0.00</c:formatCode>
                <c:ptCount val="4"/>
                <c:pt idx="0">
                  <c:v>0.24140295875379641</c:v>
                </c:pt>
                <c:pt idx="1">
                  <c:v>0.30739995528727926</c:v>
                </c:pt>
                <c:pt idx="2">
                  <c:v>0.32786152321483125</c:v>
                </c:pt>
                <c:pt idx="3">
                  <c:v>0.20293604977731391</c:v>
                </c:pt>
              </c:numCache>
            </c:numRef>
          </c:val>
          <c:extLst>
            <c:ext xmlns:c15="http://schemas.microsoft.com/office/drawing/2012/chart" uri="{02D57815-91ED-43cb-92C2-25804820EDAC}">
              <c15:filteredSeriesTitle>
                <c15:tx>
                  <c:strRef>
                    <c:extLst>
                      <c:ext uri="{02D57815-91ED-43cb-92C2-25804820EDAC}">
                        <c15:formulaRef>
                          <c15:sqref>'Gearing (Leverage) Ratio'!$C$2</c15:sqref>
                        </c15:formulaRef>
                      </c:ext>
                    </c:extLst>
                    <c:strCache>
                      <c:ptCount val="1"/>
                      <c:pt idx="0">
                        <c:v>Debt-Equity Ratio</c:v>
                      </c:pt>
                    </c:strCache>
                  </c:strRef>
                </c15:tx>
              </c15:filteredSeriesTitle>
            </c:ext>
            <c:ext xmlns:c15="http://schemas.microsoft.com/office/drawing/2012/chart" uri="{02D57815-91ED-43cb-92C2-25804820EDAC}">
              <c15:filteredCategoryTitle>
                <c15:cat>
                  <c:numRef>
                    <c:extLst>
                      <c:ext uri="{02D57815-91ED-43cb-92C2-25804820EDAC}">
                        <c15:formulaRef>
                          <c15:sqref>'Gearing (Leverage) Ratio'!$A$3:$A$6</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1-FD9D-754C-B7BD-47B810DAF76E}"/>
            </c:ext>
          </c:extLst>
        </c:ser>
        <c:dLbls>
          <c:showLegendKey val="0"/>
          <c:showVal val="0"/>
          <c:showCatName val="0"/>
          <c:showSerName val="0"/>
          <c:showPercent val="0"/>
          <c:showBubbleSize val="0"/>
        </c:dLbls>
        <c:gapWidth val="219"/>
        <c:overlap val="-27"/>
        <c:axId val="1075038400"/>
        <c:axId val="1127365056"/>
      </c:barChart>
      <c:catAx>
        <c:axId val="1075038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365056"/>
        <c:crosses val="autoZero"/>
        <c:auto val="1"/>
        <c:lblAlgn val="ctr"/>
        <c:lblOffset val="100"/>
        <c:noMultiLvlLbl val="0"/>
      </c:catAx>
      <c:valAx>
        <c:axId val="1127365056"/>
        <c:scaling>
          <c:orientation val="minMax"/>
          <c:max val="2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038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'Gearing (Leverage) Ratio'!$B$12:$B$15</c:f>
              <c:numCache>
                <c:formatCode>General</c:formatCode>
                <c:ptCount val="4"/>
                <c:pt idx="0">
                  <c:v>0.24140295875379641</c:v>
                </c:pt>
                <c:pt idx="1">
                  <c:v>0.30739995528727926</c:v>
                </c:pt>
                <c:pt idx="2">
                  <c:v>0.32786152321483125</c:v>
                </c:pt>
                <c:pt idx="3">
                  <c:v>0.20293604977731391</c:v>
                </c:pt>
              </c:numCache>
            </c:numRef>
          </c:val>
          <c:extLst>
            <c:ext xmlns:c15="http://schemas.microsoft.com/office/drawing/2012/chart" uri="{02D57815-91ED-43cb-92C2-25804820EDAC}">
              <c15:filteredSeriesTitle>
                <c15:tx>
                  <c:strRef>
                    <c:extLst>
                      <c:ext uri="{02D57815-91ED-43cb-92C2-25804820EDAC}">
                        <c15:formulaRef>
                          <c15:sqref>'Gearing (Leverage) Ratio'!$B$11</c15:sqref>
                        </c15:formulaRef>
                      </c:ext>
                    </c:extLst>
                    <c:strCache>
                      <c:ptCount val="1"/>
                      <c:pt idx="0">
                        <c:v>Debt-Equity Ratio</c:v>
                      </c:pt>
                    </c:strCache>
                  </c:strRef>
                </c15:tx>
              </c15:filteredSeriesTitle>
            </c:ext>
            <c:ext xmlns:c15="http://schemas.microsoft.com/office/drawing/2012/chart" uri="{02D57815-91ED-43cb-92C2-25804820EDAC}">
              <c15:filteredCategoryTitle>
                <c15:cat>
                  <c:numRef>
                    <c:extLst>
                      <c:ext uri="{02D57815-91ED-43cb-92C2-25804820EDAC}">
                        <c15:formulaRef>
                          <c15:sqref>'Gearing (Leverage) Ratio'!$A$12:$A$15</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E88D-764F-AD59-5B018D157908}"/>
            </c:ext>
          </c:extLst>
        </c:ser>
        <c:dLbls>
          <c:showLegendKey val="0"/>
          <c:showVal val="0"/>
          <c:showCatName val="0"/>
          <c:showSerName val="0"/>
          <c:showPercent val="0"/>
          <c:showBubbleSize val="0"/>
        </c:dLbls>
        <c:gapWidth val="219"/>
        <c:overlap val="-27"/>
        <c:axId val="1098605760"/>
        <c:axId val="1075090240"/>
      </c:barChart>
      <c:catAx>
        <c:axId val="1098605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090240"/>
        <c:crosses val="autoZero"/>
        <c:auto val="1"/>
        <c:lblAlgn val="ctr"/>
        <c:lblOffset val="100"/>
        <c:noMultiLvlLbl val="0"/>
      </c:catAx>
      <c:valAx>
        <c:axId val="1075090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6057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'Gearing (Leverage) Ratio'!$B$20:$B$23</c:f>
              <c:numCache>
                <c:formatCode>General</c:formatCode>
                <c:ptCount val="4"/>
                <c:pt idx="0">
                  <c:v>0.19445979007181755</c:v>
                </c:pt>
                <c:pt idx="1">
                  <c:v>0.23512311901504787</c:v>
                </c:pt>
                <c:pt idx="2">
                  <c:v>0.24690942352261186</c:v>
                </c:pt>
                <c:pt idx="3">
                  <c:v>0.16870061364848216</c:v>
                </c:pt>
              </c:numCache>
            </c:numRef>
          </c:val>
          <c:extLst>
            <c:ext xmlns:c15="http://schemas.microsoft.com/office/drawing/2012/chart" uri="{02D57815-91ED-43cb-92C2-25804820EDAC}">
              <c15:filteredSeriesTitle>
                <c15:tx>
                  <c:strRef>
                    <c:extLst>
                      <c:ext uri="{02D57815-91ED-43cb-92C2-25804820EDAC}">
                        <c15:formulaRef>
                          <c15:sqref>'Gearing (Leverage) Ratio'!$B$19</c15:sqref>
                        </c15:formulaRef>
                      </c:ext>
                    </c:extLst>
                    <c:strCache>
                      <c:ptCount val="1"/>
                      <c:pt idx="0">
                        <c:v>Debt-to-Capital Ratio</c:v>
                      </c:pt>
                    </c:strCache>
                  </c:strRef>
                </c15:tx>
              </c15:filteredSeriesTitle>
            </c:ext>
            <c:ext xmlns:c15="http://schemas.microsoft.com/office/drawing/2012/chart" uri="{02D57815-91ED-43cb-92C2-25804820EDAC}">
              <c15:filteredCategoryTitle>
                <c15:cat>
                  <c:numRef>
                    <c:extLst>
                      <c:ext uri="{02D57815-91ED-43cb-92C2-25804820EDAC}">
                        <c15:formulaRef>
                          <c15:sqref>'Gearing (Leverage) Ratio'!$A$20:$A$23</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6039-EB40-9C09-A3D0A68DC917}"/>
            </c:ext>
          </c:extLst>
        </c:ser>
        <c:dLbls>
          <c:showLegendKey val="0"/>
          <c:showVal val="0"/>
          <c:showCatName val="0"/>
          <c:showSerName val="0"/>
          <c:showPercent val="0"/>
          <c:showBubbleSize val="0"/>
        </c:dLbls>
        <c:gapWidth val="219"/>
        <c:overlap val="-27"/>
        <c:axId val="1099345728"/>
        <c:axId val="1099337216"/>
      </c:barChart>
      <c:catAx>
        <c:axId val="1099345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9337216"/>
        <c:crosses val="autoZero"/>
        <c:auto val="1"/>
        <c:lblAlgn val="ctr"/>
        <c:lblOffset val="100"/>
        <c:noMultiLvlLbl val="0"/>
      </c:catAx>
      <c:valAx>
        <c:axId val="1099337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9345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val>
            <c:numRef>
              <c:f>'Gearing (Leverage) Ratio'!$B$27:$B$30</c:f>
              <c:numCache>
                <c:formatCode>General</c:formatCode>
                <c:ptCount val="4"/>
                <c:pt idx="0">
                  <c:v>2.1119754416903431</c:v>
                </c:pt>
                <c:pt idx="1">
                  <c:v>1.9890006706908114</c:v>
                </c:pt>
                <c:pt idx="2">
                  <c:v>1.8783596491881702</c:v>
                </c:pt>
                <c:pt idx="3">
                  <c:v>1.8494286987812965</c:v>
                </c:pt>
              </c:numCache>
            </c:numRef>
          </c:val>
          <c:extLst>
            <c:ext xmlns:c15="http://schemas.microsoft.com/office/drawing/2012/chart" uri="{02D57815-91ED-43cb-92C2-25804820EDAC}">
              <c15:filteredSeriesTitle>
                <c15:tx>
                  <c:strRef>
                    <c:extLst>
                      <c:ext uri="{02D57815-91ED-43cb-92C2-25804820EDAC}">
                        <c15:formulaRef>
                          <c15:sqref>'Gearing (Leverage) Ratio'!$B$26</c15:sqref>
                        </c15:formulaRef>
                      </c:ext>
                    </c:extLst>
                    <c:strCache>
                      <c:ptCount val="1"/>
                      <c:pt idx="0">
                        <c:v>Equity Multiplier</c:v>
                      </c:pt>
                    </c:strCache>
                  </c:strRef>
                </c15:tx>
              </c15:filteredSeriesTitle>
            </c:ext>
            <c:ext xmlns:c15="http://schemas.microsoft.com/office/drawing/2012/chart" uri="{02D57815-91ED-43cb-92C2-25804820EDAC}">
              <c15:filteredCategoryTitle>
                <c15:cat>
                  <c:numRef>
                    <c:extLst>
                      <c:ext uri="{02D57815-91ED-43cb-92C2-25804820EDAC}">
                        <c15:formulaRef>
                          <c15:sqref>'Gearing (Leverage) Ratio'!$A$27:$A$30</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8C67-F84B-B578-78CFCA13F29C}"/>
            </c:ext>
          </c:extLst>
        </c:ser>
        <c:dLbls>
          <c:showLegendKey val="0"/>
          <c:showVal val="0"/>
          <c:showCatName val="0"/>
          <c:showSerName val="0"/>
          <c:showPercent val="0"/>
          <c:showBubbleSize val="0"/>
        </c:dLbls>
        <c:gapWidth val="219"/>
        <c:overlap val="-27"/>
        <c:axId val="1090084736"/>
        <c:axId val="1130263232"/>
      </c:barChart>
      <c:catAx>
        <c:axId val="1090084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0263232"/>
        <c:crosses val="autoZero"/>
        <c:auto val="1"/>
        <c:lblAlgn val="ctr"/>
        <c:lblOffset val="100"/>
        <c:noMultiLvlLbl val="0"/>
      </c:catAx>
      <c:valAx>
        <c:axId val="1130263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084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Cash</a:t>
            </a:r>
            <a:r>
              <a:rPr lang="en-US" baseline="0"/>
              <a:t> Operating Cycle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'Working Capital Ratio'!$B$22:$B$25</c:f>
              <c:numCache>
                <c:formatCode>0.00</c:formatCode>
                <c:ptCount val="4"/>
                <c:pt idx="0">
                  <c:v>115.05955579363706</c:v>
                </c:pt>
                <c:pt idx="1">
                  <c:v>133.05835804253189</c:v>
                </c:pt>
                <c:pt idx="2">
                  <c:v>139.87420444488413</c:v>
                </c:pt>
                <c:pt idx="3">
                  <c:v>113.96256716966803</c:v>
                </c:pt>
              </c:numCache>
            </c:numRef>
          </c:val>
          <c:extLst>
            <c:ext xmlns:c15="http://schemas.microsoft.com/office/drawing/2012/chart" uri="{02D57815-91ED-43cb-92C2-25804820EDAC}">
              <c15:filteredCategoryTitle>
                <c15:cat>
                  <c:numRef>
                    <c:extLst>
                      <c:ext uri="{02D57815-91ED-43cb-92C2-25804820EDAC}">
                        <c15:formulaRef>
                          <c15:sqref>'Working Capital Ratio'!$A$22:$A$25</c15:sqref>
                        </c15:formulaRef>
                      </c:ext>
                    </c:extLst>
                    <c:numCache>
                      <c:formatCode>General</c:formatCode>
                      <c:ptCount val="4"/>
                      <c:pt idx="0">
                        <c:v>2024</c:v>
                      </c:pt>
                      <c:pt idx="1">
                        <c:v>2023</c:v>
                      </c:pt>
                      <c:pt idx="2">
                        <c:v>2022</c:v>
                      </c:pt>
                      <c:pt idx="3">
                        <c:v>2021</c:v>
                      </c:pt>
                    </c:numCache>
                  </c:numRef>
                </c15:cat>
              </c15:filteredCategoryTitle>
            </c:ext>
            <c:ext xmlns:c16="http://schemas.microsoft.com/office/drawing/2014/chart" uri="{C3380CC4-5D6E-409C-BE32-E72D297353CC}">
              <c16:uniqueId val="{00000000-D810-754A-B590-90E07EDD8858}"/>
            </c:ext>
          </c:extLst>
        </c:ser>
        <c:dLbls>
          <c:showLegendKey val="0"/>
          <c:showVal val="0"/>
          <c:showCatName val="0"/>
          <c:showSerName val="0"/>
          <c:showPercent val="0"/>
          <c:showBubbleSize val="0"/>
        </c:dLbls>
        <c:gapWidth val="219"/>
        <c:overlap val="-27"/>
        <c:axId val="1099288960"/>
        <c:axId val="1097630592"/>
      </c:barChart>
      <c:catAx>
        <c:axId val="1099288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7630592"/>
        <c:crosses val="autoZero"/>
        <c:auto val="1"/>
        <c:lblAlgn val="ctr"/>
        <c:lblOffset val="100"/>
        <c:noMultiLvlLbl val="0"/>
      </c:catAx>
      <c:valAx>
        <c:axId val="10976305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9288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C9879-7B6D-4DD1-8D5F-D7D4A6F61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7430</Words>
  <Characters>42355</Characters>
  <Application>Microsoft Office Word</Application>
  <DocSecurity>0</DocSecurity>
  <Lines>352</Lines>
  <Paragraphs>99</Paragraphs>
  <ScaleCrop>false</ScaleCrop>
  <Company/>
  <LinksUpToDate>false</LinksUpToDate>
  <CharactersWithSpaces>49686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2025-12-20T12:03:00Z</dcterms:created>
  <dcterms:modified xsi:type="dcterms:W3CDTF">2025-12-20T12:04:00Z</dcterms:modified>
</cp:coreProperties>
</file>