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BCFBC" w14:textId="77777777" w:rsidR="00BD103F" w:rsidRPr="00934501" w:rsidRDefault="00F86970" w:rsidP="00934501">
      <w:pPr>
        <w:jc w:val="center"/>
        <w:rPr>
          <w:rFonts w:ascii="Times New Roman" w:hAnsi="Times New Roman" w:cs="Times New Roman"/>
          <w:b/>
          <w:bCs/>
          <w:sz w:val="32"/>
          <w:szCs w:val="32"/>
        </w:rPr>
      </w:pPr>
      <w:bookmarkStart w:id="0" w:name="_Toc225278101"/>
      <w:r w:rsidRPr="00BD103F">
        <w:t>‌</w:t>
      </w:r>
      <w:bookmarkEnd w:id="0"/>
    </w:p>
    <w:p w14:paraId="48004988" w14:textId="77777777" w:rsidR="00A27110" w:rsidRDefault="00A27110" w:rsidP="00934501">
      <w:pPr>
        <w:jc w:val="center"/>
        <w:rPr>
          <w:rFonts w:ascii="Times New Roman" w:hAnsi="Times New Roman" w:cs="Times New Roman"/>
          <w:b/>
          <w:bCs/>
          <w:sz w:val="32"/>
          <w:szCs w:val="32"/>
        </w:rPr>
      </w:pPr>
    </w:p>
    <w:p w14:paraId="1A3FA01B" w14:textId="59111ABE" w:rsidR="00A27110" w:rsidRPr="0068133E" w:rsidRDefault="00A27110" w:rsidP="00BE45E8">
      <w:pPr>
        <w:spacing w:line="360" w:lineRule="auto"/>
        <w:rPr>
          <w:rFonts w:ascii="Arial" w:hAnsi="Arial" w:cs="Arial"/>
          <w:b/>
          <w:bCs/>
          <w:sz w:val="32"/>
          <w:szCs w:val="32"/>
          <w:lang w:val="en-GB"/>
        </w:rPr>
      </w:pPr>
      <w:r w:rsidRPr="00A27110">
        <w:rPr>
          <w:rFonts w:ascii="Arial" w:hAnsi="Arial" w:cs="Arial"/>
          <w:b/>
          <w:bCs/>
          <w:sz w:val="32"/>
          <w:szCs w:val="32"/>
          <w:lang w:val="en-GB"/>
        </w:rPr>
        <w:t>Module:</w:t>
      </w:r>
      <w:r w:rsidRPr="0068133E">
        <w:rPr>
          <w:rFonts w:ascii="Arial" w:hAnsi="Arial" w:cs="Arial"/>
          <w:b/>
          <w:bCs/>
          <w:sz w:val="32"/>
          <w:szCs w:val="32"/>
          <w:lang w:val="en-GB"/>
        </w:rPr>
        <w:t xml:space="preserve"> </w:t>
      </w:r>
      <w:r w:rsidRPr="00A27110">
        <w:rPr>
          <w:rFonts w:ascii="Arial" w:hAnsi="Arial" w:cs="Arial"/>
          <w:b/>
          <w:bCs/>
          <w:sz w:val="32"/>
          <w:szCs w:val="32"/>
          <w:lang w:val="en-GB"/>
        </w:rPr>
        <w:t>Introduction to Independent Research Skills</w:t>
      </w:r>
    </w:p>
    <w:p w14:paraId="727E5378" w14:textId="1FAD295F" w:rsidR="00A27110" w:rsidRPr="0068133E" w:rsidRDefault="00A27110" w:rsidP="00BE45E8">
      <w:pPr>
        <w:spacing w:line="360" w:lineRule="auto"/>
        <w:rPr>
          <w:rFonts w:ascii="Arial" w:hAnsi="Arial" w:cs="Arial"/>
          <w:b/>
          <w:bCs/>
          <w:sz w:val="28"/>
          <w:szCs w:val="28"/>
          <w:lang w:val="en-GB"/>
        </w:rPr>
      </w:pPr>
      <w:r w:rsidRPr="0068133E">
        <w:rPr>
          <w:rFonts w:ascii="Arial" w:hAnsi="Arial" w:cs="Arial"/>
          <w:b/>
          <w:sz w:val="28"/>
          <w:szCs w:val="28"/>
        </w:rPr>
        <w:t xml:space="preserve">Module Code: </w:t>
      </w:r>
      <w:r w:rsidRPr="0068133E">
        <w:rPr>
          <w:rFonts w:ascii="Arial" w:hAnsi="Arial" w:cs="Arial"/>
          <w:b/>
          <w:sz w:val="28"/>
          <w:szCs w:val="28"/>
        </w:rPr>
        <w:t>BMHP5019</w:t>
      </w:r>
      <w:r w:rsidRPr="0068133E">
        <w:rPr>
          <w:rFonts w:ascii="Arial" w:hAnsi="Arial" w:cs="Arial"/>
          <w:b/>
          <w:bCs/>
          <w:sz w:val="28"/>
          <w:szCs w:val="28"/>
          <w:lang w:val="en-GB"/>
        </w:rPr>
        <w:t xml:space="preserve">   </w:t>
      </w:r>
    </w:p>
    <w:p w14:paraId="7017B85C" w14:textId="2715F1E8" w:rsidR="00A27110" w:rsidRPr="0068133E" w:rsidRDefault="00A27110" w:rsidP="00BE45E8">
      <w:pPr>
        <w:spacing w:line="360" w:lineRule="auto"/>
        <w:rPr>
          <w:rFonts w:ascii="Arial" w:hAnsi="Arial" w:cs="Arial"/>
          <w:b/>
          <w:bCs/>
          <w:sz w:val="28"/>
          <w:szCs w:val="28"/>
          <w:lang w:val="en-GB"/>
        </w:rPr>
      </w:pPr>
      <w:r w:rsidRPr="0068133E">
        <w:rPr>
          <w:rFonts w:ascii="Arial" w:hAnsi="Arial" w:cs="Arial"/>
          <w:b/>
          <w:bCs/>
          <w:sz w:val="28"/>
          <w:szCs w:val="28"/>
          <w:lang w:val="en-GB"/>
        </w:rPr>
        <w:t xml:space="preserve">Assignment Title: </w:t>
      </w:r>
      <w:r w:rsidRPr="0068133E">
        <w:rPr>
          <w:rFonts w:ascii="Arial" w:hAnsi="Arial" w:cs="Arial"/>
          <w:b/>
          <w:bCs/>
          <w:sz w:val="28"/>
          <w:szCs w:val="28"/>
        </w:rPr>
        <w:t xml:space="preserve">Component 2: Written Assignment (Research </w:t>
      </w:r>
      <w:r w:rsidR="00BE45E8">
        <w:rPr>
          <w:rFonts w:ascii="Arial" w:hAnsi="Arial" w:cs="Arial"/>
          <w:b/>
          <w:bCs/>
          <w:sz w:val="28"/>
          <w:szCs w:val="28"/>
        </w:rPr>
        <w:t xml:space="preserve">  </w:t>
      </w:r>
      <w:r w:rsidRPr="0068133E">
        <w:rPr>
          <w:rFonts w:ascii="Arial" w:hAnsi="Arial" w:cs="Arial"/>
          <w:b/>
          <w:bCs/>
          <w:sz w:val="28"/>
          <w:szCs w:val="28"/>
        </w:rPr>
        <w:t>Report)</w:t>
      </w:r>
      <w:r w:rsidRPr="0068133E">
        <w:rPr>
          <w:rFonts w:ascii="Arial" w:hAnsi="Arial" w:cs="Arial"/>
          <w:b/>
          <w:bCs/>
          <w:sz w:val="28"/>
          <w:szCs w:val="28"/>
          <w:lang w:val="en-GB"/>
        </w:rPr>
        <w:t xml:space="preserve">  </w:t>
      </w:r>
    </w:p>
    <w:p w14:paraId="0C470DE1" w14:textId="44FC7664" w:rsidR="00A27110" w:rsidRPr="0068133E" w:rsidRDefault="00A27110" w:rsidP="00BE45E8">
      <w:pPr>
        <w:spacing w:line="360" w:lineRule="auto"/>
        <w:rPr>
          <w:rFonts w:ascii="Arial" w:hAnsi="Arial" w:cs="Arial"/>
          <w:b/>
          <w:bCs/>
          <w:sz w:val="28"/>
          <w:szCs w:val="28"/>
          <w:lang w:val="en-GB"/>
        </w:rPr>
      </w:pPr>
      <w:r w:rsidRPr="0068133E">
        <w:rPr>
          <w:rFonts w:ascii="Arial" w:hAnsi="Arial" w:cs="Arial"/>
          <w:b/>
          <w:bCs/>
          <w:sz w:val="28"/>
          <w:szCs w:val="28"/>
          <w:lang w:val="en-GB"/>
        </w:rPr>
        <w:t>Student Name: S. Hortense Assoh</w:t>
      </w:r>
    </w:p>
    <w:p w14:paraId="0AA07DD0" w14:textId="2E1F02EE" w:rsidR="00A27110" w:rsidRPr="0068133E" w:rsidRDefault="00A27110" w:rsidP="00BE45E8">
      <w:pPr>
        <w:spacing w:line="360" w:lineRule="auto"/>
        <w:rPr>
          <w:rFonts w:ascii="Arial" w:hAnsi="Arial" w:cs="Arial"/>
          <w:b/>
          <w:bCs/>
          <w:sz w:val="28"/>
          <w:szCs w:val="28"/>
        </w:rPr>
      </w:pPr>
      <w:r w:rsidRPr="0068133E">
        <w:rPr>
          <w:rFonts w:ascii="Arial" w:hAnsi="Arial" w:cs="Arial"/>
          <w:b/>
          <w:bCs/>
          <w:sz w:val="28"/>
          <w:szCs w:val="28"/>
          <w:lang w:val="en-GB"/>
        </w:rPr>
        <w:t xml:space="preserve">Student ID: </w:t>
      </w:r>
      <w:r w:rsidR="0068133E" w:rsidRPr="0068133E">
        <w:rPr>
          <w:rFonts w:ascii="Arial" w:hAnsi="Arial" w:cs="Arial"/>
          <w:b/>
          <w:bCs/>
          <w:sz w:val="28"/>
          <w:szCs w:val="28"/>
          <w:lang w:val="en-GB"/>
        </w:rPr>
        <w:t>2245799</w:t>
      </w:r>
      <w:r w:rsidRPr="0068133E">
        <w:rPr>
          <w:rFonts w:ascii="Arial" w:hAnsi="Arial" w:cs="Arial"/>
          <w:b/>
          <w:bCs/>
          <w:sz w:val="28"/>
          <w:szCs w:val="28"/>
          <w:lang w:val="en-GB"/>
        </w:rPr>
        <w:t xml:space="preserve">        </w:t>
      </w:r>
    </w:p>
    <w:p w14:paraId="5B70340A" w14:textId="4A0751A1" w:rsidR="00A27110" w:rsidRPr="003C0C73" w:rsidRDefault="00A27110" w:rsidP="00A27110">
      <w:pPr>
        <w:spacing w:before="120" w:after="120" w:line="360" w:lineRule="auto"/>
        <w:rPr>
          <w:rFonts w:ascii="Arial" w:hAnsi="Arial" w:cs="Arial"/>
          <w:b/>
          <w:bCs/>
          <w:sz w:val="22"/>
          <w:szCs w:val="22"/>
        </w:rPr>
      </w:pPr>
    </w:p>
    <w:p w14:paraId="614E28AE" w14:textId="77777777" w:rsidR="00A27110" w:rsidRDefault="00A27110" w:rsidP="00934501">
      <w:pPr>
        <w:jc w:val="center"/>
        <w:rPr>
          <w:rFonts w:ascii="Times New Roman" w:hAnsi="Times New Roman" w:cs="Times New Roman"/>
          <w:b/>
          <w:bCs/>
          <w:sz w:val="32"/>
          <w:szCs w:val="32"/>
        </w:rPr>
      </w:pPr>
    </w:p>
    <w:p w14:paraId="36622A8D" w14:textId="77777777" w:rsidR="00A27110" w:rsidRDefault="00A27110" w:rsidP="00934501">
      <w:pPr>
        <w:jc w:val="center"/>
        <w:rPr>
          <w:rFonts w:ascii="Times New Roman" w:hAnsi="Times New Roman" w:cs="Times New Roman"/>
          <w:b/>
          <w:bCs/>
          <w:sz w:val="32"/>
          <w:szCs w:val="32"/>
        </w:rPr>
      </w:pPr>
    </w:p>
    <w:p w14:paraId="0462391E" w14:textId="77777777" w:rsidR="00A27110" w:rsidRDefault="00A27110" w:rsidP="00934501">
      <w:pPr>
        <w:jc w:val="center"/>
        <w:rPr>
          <w:rFonts w:ascii="Times New Roman" w:hAnsi="Times New Roman" w:cs="Times New Roman"/>
          <w:b/>
          <w:bCs/>
          <w:sz w:val="32"/>
          <w:szCs w:val="32"/>
        </w:rPr>
      </w:pPr>
    </w:p>
    <w:p w14:paraId="284EDB3A" w14:textId="6F074154" w:rsidR="00BD103F" w:rsidRPr="0068133E" w:rsidRDefault="005F6BB0" w:rsidP="007B2908">
      <w:pPr>
        <w:rPr>
          <w:rFonts w:ascii="Arial" w:eastAsiaTheme="majorEastAsia" w:hAnsi="Arial" w:cs="Arial"/>
        </w:rPr>
      </w:pPr>
      <w:r w:rsidRPr="0068133E">
        <w:rPr>
          <w:rFonts w:ascii="Arial" w:hAnsi="Arial" w:cs="Arial"/>
          <w:b/>
          <w:bCs/>
          <w:sz w:val="32"/>
          <w:szCs w:val="32"/>
        </w:rPr>
        <w:t>Barriers to Accessing Maternity Services Among Migrant Women in the UK: A Scoping Review and Thematic Analysis</w:t>
      </w:r>
      <w:r w:rsidR="00BD103F" w:rsidRPr="0068133E">
        <w:rPr>
          <w:rFonts w:ascii="Arial" w:hAnsi="Arial" w:cs="Arial"/>
        </w:rPr>
        <w:br w:type="page"/>
      </w:r>
    </w:p>
    <w:sdt>
      <w:sdtPr>
        <w:rPr>
          <w:rFonts w:ascii="Arial" w:eastAsiaTheme="minorHAnsi" w:hAnsi="Arial" w:cs="Arial"/>
          <w:color w:val="auto"/>
          <w:kern w:val="2"/>
          <w:sz w:val="24"/>
          <w:szCs w:val="24"/>
          <w14:ligatures w14:val="standardContextual"/>
        </w:rPr>
        <w:id w:val="-158384342"/>
        <w:docPartObj>
          <w:docPartGallery w:val="Table of Contents"/>
          <w:docPartUnique/>
        </w:docPartObj>
      </w:sdtPr>
      <w:sdtEndPr>
        <w:rPr>
          <w:b/>
          <w:bCs/>
          <w:noProof/>
        </w:rPr>
      </w:sdtEndPr>
      <w:sdtContent>
        <w:p w14:paraId="19D0B522" w14:textId="29700BE1" w:rsidR="005F6BB0" w:rsidRPr="007B2908" w:rsidRDefault="005F6BB0">
          <w:pPr>
            <w:pStyle w:val="TOCHeading"/>
            <w:rPr>
              <w:rFonts w:ascii="Arial" w:hAnsi="Arial" w:cs="Arial"/>
              <w:color w:val="auto"/>
              <w:sz w:val="22"/>
              <w:szCs w:val="22"/>
            </w:rPr>
          </w:pPr>
          <w:r w:rsidRPr="007B2908">
            <w:rPr>
              <w:rFonts w:ascii="Arial" w:hAnsi="Arial" w:cs="Arial"/>
              <w:color w:val="auto"/>
              <w:sz w:val="22"/>
              <w:szCs w:val="22"/>
            </w:rPr>
            <w:t>Table of Contents</w:t>
          </w:r>
        </w:p>
        <w:p w14:paraId="3C2B5709" w14:textId="6E8EA14F" w:rsidR="005F6BB0" w:rsidRPr="0068133E" w:rsidRDefault="005F6BB0">
          <w:pPr>
            <w:pStyle w:val="TOC1"/>
            <w:tabs>
              <w:tab w:val="right" w:leader="dot" w:pos="9350"/>
            </w:tabs>
            <w:rPr>
              <w:rFonts w:ascii="Arial" w:hAnsi="Arial" w:cs="Arial"/>
              <w:noProof/>
            </w:rPr>
          </w:pPr>
          <w:r w:rsidRPr="0068133E">
            <w:rPr>
              <w:rFonts w:ascii="Arial" w:hAnsi="Arial" w:cs="Arial"/>
            </w:rPr>
            <w:fldChar w:fldCharType="begin"/>
          </w:r>
          <w:r w:rsidRPr="0068133E">
            <w:rPr>
              <w:rFonts w:ascii="Arial" w:hAnsi="Arial" w:cs="Arial"/>
            </w:rPr>
            <w:instrText xml:space="preserve"> TOC \o "1-3" \h \z \u </w:instrText>
          </w:r>
          <w:r w:rsidRPr="0068133E">
            <w:rPr>
              <w:rFonts w:ascii="Arial" w:hAnsi="Arial" w:cs="Arial"/>
            </w:rPr>
            <w:fldChar w:fldCharType="separate"/>
          </w:r>
          <w:hyperlink w:anchor="_Toc225278101" w:history="1">
            <w:r w:rsidRPr="0068133E">
              <w:rPr>
                <w:rStyle w:val="Hyperlink"/>
                <w:rFonts w:ascii="Arial" w:hAnsi="Arial" w:cs="Arial"/>
                <w:b/>
                <w:bCs/>
                <w:noProof/>
              </w:rPr>
              <w:t>‌</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_Toc225278101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1</w:t>
            </w:r>
            <w:r w:rsidRPr="0068133E">
              <w:rPr>
                <w:rFonts w:ascii="Arial" w:hAnsi="Arial" w:cs="Arial"/>
                <w:noProof/>
                <w:webHidden/>
              </w:rPr>
              <w:fldChar w:fldCharType="end"/>
            </w:r>
          </w:hyperlink>
        </w:p>
        <w:p w14:paraId="65B6CE1B" w14:textId="59743D76" w:rsidR="005F6BB0" w:rsidRPr="0068133E" w:rsidRDefault="005F6BB0">
          <w:pPr>
            <w:pStyle w:val="TOC1"/>
            <w:tabs>
              <w:tab w:val="right" w:leader="dot" w:pos="9350"/>
            </w:tabs>
            <w:rPr>
              <w:rFonts w:ascii="Arial" w:hAnsi="Arial" w:cs="Arial"/>
              <w:noProof/>
            </w:rPr>
          </w:pPr>
          <w:hyperlink w:anchor="_Toc225278102" w:history="1">
            <w:r w:rsidRPr="0068133E">
              <w:rPr>
                <w:rStyle w:val="Hyperlink"/>
                <w:rFonts w:ascii="Arial" w:hAnsi="Arial" w:cs="Arial"/>
                <w:b/>
                <w:bCs/>
                <w:noProof/>
              </w:rPr>
              <w:t>1. Introduction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_Toc225278102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3</w:t>
            </w:r>
            <w:r w:rsidRPr="0068133E">
              <w:rPr>
                <w:rFonts w:ascii="Arial" w:hAnsi="Arial" w:cs="Arial"/>
                <w:noProof/>
                <w:webHidden/>
              </w:rPr>
              <w:fldChar w:fldCharType="end"/>
            </w:r>
          </w:hyperlink>
        </w:p>
        <w:p w14:paraId="310DD9D8" w14:textId="1006A40C" w:rsidR="005F6BB0" w:rsidRPr="0068133E" w:rsidRDefault="005F6BB0">
          <w:pPr>
            <w:pStyle w:val="TOC1"/>
            <w:tabs>
              <w:tab w:val="right" w:leader="dot" w:pos="9350"/>
            </w:tabs>
            <w:rPr>
              <w:rFonts w:ascii="Arial" w:hAnsi="Arial" w:cs="Arial"/>
              <w:noProof/>
            </w:rPr>
          </w:pPr>
          <w:hyperlink w:anchor="_Toc225278103" w:history="1">
            <w:r w:rsidRPr="0068133E">
              <w:rPr>
                <w:rStyle w:val="Hyperlink"/>
                <w:rFonts w:ascii="Arial" w:hAnsi="Arial" w:cs="Arial"/>
                <w:b/>
                <w:bCs/>
                <w:noProof/>
              </w:rPr>
              <w:t>2. Methodology: Scoping Review and Thematic Analysis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_Toc225278103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3</w:t>
            </w:r>
            <w:r w:rsidRPr="0068133E">
              <w:rPr>
                <w:rFonts w:ascii="Arial" w:hAnsi="Arial" w:cs="Arial"/>
                <w:noProof/>
                <w:webHidden/>
              </w:rPr>
              <w:fldChar w:fldCharType="end"/>
            </w:r>
          </w:hyperlink>
        </w:p>
        <w:p w14:paraId="7B6B0CDB" w14:textId="6F03057F" w:rsidR="005F6BB0" w:rsidRPr="0068133E" w:rsidRDefault="005F6BB0">
          <w:pPr>
            <w:pStyle w:val="TOC2"/>
            <w:tabs>
              <w:tab w:val="right" w:leader="dot" w:pos="9350"/>
            </w:tabs>
            <w:rPr>
              <w:rFonts w:ascii="Arial" w:hAnsi="Arial" w:cs="Arial"/>
              <w:noProof/>
            </w:rPr>
          </w:pPr>
          <w:hyperlink w:anchor="_Toc225278104" w:history="1">
            <w:r w:rsidRPr="0068133E">
              <w:rPr>
                <w:rStyle w:val="Hyperlink"/>
                <w:rFonts w:ascii="Arial" w:hAnsi="Arial" w:cs="Arial"/>
                <w:i/>
                <w:iCs/>
                <w:noProof/>
              </w:rPr>
              <w:t>2.1 Research Design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_Toc225278104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3</w:t>
            </w:r>
            <w:r w:rsidRPr="0068133E">
              <w:rPr>
                <w:rFonts w:ascii="Arial" w:hAnsi="Arial" w:cs="Arial"/>
                <w:noProof/>
                <w:webHidden/>
              </w:rPr>
              <w:fldChar w:fldCharType="end"/>
            </w:r>
          </w:hyperlink>
        </w:p>
        <w:p w14:paraId="54D92225" w14:textId="5572B68F" w:rsidR="005F6BB0" w:rsidRPr="0068133E" w:rsidRDefault="005F6BB0">
          <w:pPr>
            <w:pStyle w:val="TOC2"/>
            <w:tabs>
              <w:tab w:val="right" w:leader="dot" w:pos="9350"/>
            </w:tabs>
            <w:rPr>
              <w:rFonts w:ascii="Arial" w:hAnsi="Arial" w:cs="Arial"/>
              <w:noProof/>
            </w:rPr>
          </w:pPr>
          <w:hyperlink w:anchor="_Toc225278105" w:history="1">
            <w:r w:rsidRPr="0068133E">
              <w:rPr>
                <w:rStyle w:val="Hyperlink"/>
                <w:rFonts w:ascii="Arial" w:hAnsi="Arial" w:cs="Arial"/>
                <w:i/>
                <w:iCs/>
                <w:noProof/>
              </w:rPr>
              <w:t>2.2 Data Sources and Selection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_Toc225278105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3</w:t>
            </w:r>
            <w:r w:rsidRPr="0068133E">
              <w:rPr>
                <w:rFonts w:ascii="Arial" w:hAnsi="Arial" w:cs="Arial"/>
                <w:noProof/>
                <w:webHidden/>
              </w:rPr>
              <w:fldChar w:fldCharType="end"/>
            </w:r>
          </w:hyperlink>
        </w:p>
        <w:p w14:paraId="28FFD78F" w14:textId="2077D276" w:rsidR="005F6BB0" w:rsidRPr="0068133E" w:rsidRDefault="005F6BB0">
          <w:pPr>
            <w:pStyle w:val="TOC2"/>
            <w:tabs>
              <w:tab w:val="right" w:leader="dot" w:pos="9350"/>
            </w:tabs>
            <w:rPr>
              <w:rFonts w:ascii="Arial" w:hAnsi="Arial" w:cs="Arial"/>
              <w:noProof/>
            </w:rPr>
          </w:pPr>
          <w:hyperlink w:anchor="_Toc225278106" w:history="1">
            <w:r w:rsidRPr="0068133E">
              <w:rPr>
                <w:rStyle w:val="Hyperlink"/>
                <w:rFonts w:ascii="Arial" w:hAnsi="Arial" w:cs="Arial"/>
                <w:i/>
                <w:iCs/>
                <w:noProof/>
              </w:rPr>
              <w:t>2.3 Analytical Approach</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_Toc225278106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4</w:t>
            </w:r>
            <w:r w:rsidRPr="0068133E">
              <w:rPr>
                <w:rFonts w:ascii="Arial" w:hAnsi="Arial" w:cs="Arial"/>
                <w:noProof/>
                <w:webHidden/>
              </w:rPr>
              <w:fldChar w:fldCharType="end"/>
            </w:r>
          </w:hyperlink>
        </w:p>
        <w:p w14:paraId="79FD54EC" w14:textId="1A155A69" w:rsidR="005F6BB0" w:rsidRPr="0068133E" w:rsidRDefault="005F6BB0">
          <w:pPr>
            <w:pStyle w:val="TOC2"/>
            <w:tabs>
              <w:tab w:val="right" w:leader="dot" w:pos="9350"/>
            </w:tabs>
            <w:rPr>
              <w:rFonts w:ascii="Arial" w:hAnsi="Arial" w:cs="Arial"/>
              <w:noProof/>
            </w:rPr>
          </w:pPr>
          <w:hyperlink w:anchor="_Toc225278107" w:history="1">
            <w:r w:rsidRPr="0068133E">
              <w:rPr>
                <w:rStyle w:val="Hyperlink"/>
                <w:rFonts w:ascii="Arial" w:hAnsi="Arial" w:cs="Arial"/>
                <w:i/>
                <w:iCs/>
                <w:noProof/>
              </w:rPr>
              <w:t>2.4 Limitations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_Toc225278107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4</w:t>
            </w:r>
            <w:r w:rsidRPr="0068133E">
              <w:rPr>
                <w:rFonts w:ascii="Arial" w:hAnsi="Arial" w:cs="Arial"/>
                <w:noProof/>
                <w:webHidden/>
              </w:rPr>
              <w:fldChar w:fldCharType="end"/>
            </w:r>
          </w:hyperlink>
        </w:p>
        <w:p w14:paraId="06AFE8FC" w14:textId="12E62E64" w:rsidR="005F6BB0" w:rsidRPr="0068133E" w:rsidRDefault="005F6BB0">
          <w:pPr>
            <w:pStyle w:val="TOC1"/>
            <w:tabs>
              <w:tab w:val="right" w:leader="dot" w:pos="9350"/>
            </w:tabs>
            <w:rPr>
              <w:rFonts w:ascii="Arial" w:hAnsi="Arial" w:cs="Arial"/>
              <w:noProof/>
            </w:rPr>
          </w:pPr>
          <w:hyperlink w:anchor="_Toc225278108" w:history="1">
            <w:r w:rsidRPr="0068133E">
              <w:rPr>
                <w:rStyle w:val="Hyperlink"/>
                <w:rFonts w:ascii="Arial" w:hAnsi="Arial" w:cs="Arial"/>
                <w:b/>
                <w:bCs/>
                <w:noProof/>
              </w:rPr>
              <w:t>3. Findings: Thematic Analysis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_Toc225278108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4</w:t>
            </w:r>
            <w:r w:rsidRPr="0068133E">
              <w:rPr>
                <w:rFonts w:ascii="Arial" w:hAnsi="Arial" w:cs="Arial"/>
                <w:noProof/>
                <w:webHidden/>
              </w:rPr>
              <w:fldChar w:fldCharType="end"/>
            </w:r>
          </w:hyperlink>
        </w:p>
        <w:p w14:paraId="2589B9C8" w14:textId="2AD5AB23" w:rsidR="005F6BB0" w:rsidRPr="0068133E" w:rsidRDefault="005F6BB0">
          <w:pPr>
            <w:pStyle w:val="TOC2"/>
            <w:tabs>
              <w:tab w:val="right" w:leader="dot" w:pos="9350"/>
            </w:tabs>
            <w:rPr>
              <w:rFonts w:ascii="Arial" w:hAnsi="Arial" w:cs="Arial"/>
              <w:noProof/>
            </w:rPr>
          </w:pPr>
          <w:hyperlink w:anchor="_Toc225278109" w:history="1">
            <w:r w:rsidRPr="0068133E">
              <w:rPr>
                <w:rStyle w:val="Hyperlink"/>
                <w:rFonts w:ascii="Arial" w:hAnsi="Arial" w:cs="Arial"/>
                <w:i/>
                <w:iCs/>
                <w:noProof/>
              </w:rPr>
              <w:t>Theme 1: Structural and Legal Barriers to Access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_Toc225278109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4</w:t>
            </w:r>
            <w:r w:rsidRPr="0068133E">
              <w:rPr>
                <w:rFonts w:ascii="Arial" w:hAnsi="Arial" w:cs="Arial"/>
                <w:noProof/>
                <w:webHidden/>
              </w:rPr>
              <w:fldChar w:fldCharType="end"/>
            </w:r>
          </w:hyperlink>
        </w:p>
        <w:p w14:paraId="2FA8E3E8" w14:textId="12DA5BB5" w:rsidR="005F6BB0" w:rsidRPr="0068133E" w:rsidRDefault="005F6BB0">
          <w:pPr>
            <w:pStyle w:val="TOC2"/>
            <w:tabs>
              <w:tab w:val="right" w:leader="dot" w:pos="9350"/>
            </w:tabs>
            <w:rPr>
              <w:rFonts w:ascii="Arial" w:hAnsi="Arial" w:cs="Arial"/>
              <w:noProof/>
            </w:rPr>
          </w:pPr>
          <w:hyperlink w:anchor="_Toc225278110" w:history="1">
            <w:r w:rsidRPr="0068133E">
              <w:rPr>
                <w:rStyle w:val="Hyperlink"/>
                <w:rFonts w:ascii="Arial" w:hAnsi="Arial" w:cs="Arial"/>
                <w:i/>
                <w:iCs/>
                <w:noProof/>
              </w:rPr>
              <w:t>Theme 2: Language Barriers and Health Literacy</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_Toc225278110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5</w:t>
            </w:r>
            <w:r w:rsidRPr="0068133E">
              <w:rPr>
                <w:rFonts w:ascii="Arial" w:hAnsi="Arial" w:cs="Arial"/>
                <w:noProof/>
                <w:webHidden/>
              </w:rPr>
              <w:fldChar w:fldCharType="end"/>
            </w:r>
          </w:hyperlink>
        </w:p>
        <w:p w14:paraId="7D3C023C" w14:textId="4812B388" w:rsidR="005F6BB0" w:rsidRPr="0068133E" w:rsidRDefault="005F6BB0">
          <w:pPr>
            <w:pStyle w:val="TOC2"/>
            <w:tabs>
              <w:tab w:val="right" w:leader="dot" w:pos="9350"/>
            </w:tabs>
            <w:rPr>
              <w:rFonts w:ascii="Arial" w:hAnsi="Arial" w:cs="Arial"/>
              <w:noProof/>
            </w:rPr>
          </w:pPr>
          <w:hyperlink w:anchor="_Toc225278111" w:history="1">
            <w:r w:rsidRPr="0068133E">
              <w:rPr>
                <w:rStyle w:val="Hyperlink"/>
                <w:rFonts w:ascii="Arial" w:hAnsi="Arial" w:cs="Arial"/>
                <w:i/>
                <w:iCs/>
                <w:noProof/>
              </w:rPr>
              <w:t>Theme 3: Discrimination, Cultural Incongruence, and Quality of Care</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_Toc225278111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5</w:t>
            </w:r>
            <w:r w:rsidRPr="0068133E">
              <w:rPr>
                <w:rFonts w:ascii="Arial" w:hAnsi="Arial" w:cs="Arial"/>
                <w:noProof/>
                <w:webHidden/>
              </w:rPr>
              <w:fldChar w:fldCharType="end"/>
            </w:r>
          </w:hyperlink>
        </w:p>
        <w:p w14:paraId="022EB887" w14:textId="54A0F500" w:rsidR="005F6BB0" w:rsidRPr="0068133E" w:rsidRDefault="005F6BB0">
          <w:pPr>
            <w:pStyle w:val="TOC2"/>
            <w:tabs>
              <w:tab w:val="right" w:leader="dot" w:pos="9350"/>
            </w:tabs>
            <w:rPr>
              <w:rFonts w:ascii="Arial" w:hAnsi="Arial" w:cs="Arial"/>
              <w:noProof/>
            </w:rPr>
          </w:pPr>
          <w:hyperlink w:anchor="_Toc225278112" w:history="1">
            <w:r w:rsidRPr="0068133E">
              <w:rPr>
                <w:rStyle w:val="Hyperlink"/>
                <w:rFonts w:ascii="Arial" w:hAnsi="Arial" w:cs="Arial"/>
                <w:i/>
                <w:iCs/>
                <w:noProof/>
              </w:rPr>
              <w:t>Theme 4: Psychosocial Vulnerability and Precarity</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_Toc225278112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6</w:t>
            </w:r>
            <w:r w:rsidRPr="0068133E">
              <w:rPr>
                <w:rFonts w:ascii="Arial" w:hAnsi="Arial" w:cs="Arial"/>
                <w:noProof/>
                <w:webHidden/>
              </w:rPr>
              <w:fldChar w:fldCharType="end"/>
            </w:r>
          </w:hyperlink>
        </w:p>
        <w:p w14:paraId="5569C8EA" w14:textId="6AFB8881" w:rsidR="005F6BB0" w:rsidRPr="0068133E" w:rsidRDefault="005F6BB0">
          <w:pPr>
            <w:pStyle w:val="TOC1"/>
            <w:tabs>
              <w:tab w:val="right" w:leader="dot" w:pos="9350"/>
            </w:tabs>
            <w:rPr>
              <w:rFonts w:ascii="Arial" w:hAnsi="Arial" w:cs="Arial"/>
              <w:noProof/>
            </w:rPr>
          </w:pPr>
          <w:hyperlink w:anchor="_Toc225278113" w:history="1">
            <w:r w:rsidRPr="0068133E">
              <w:rPr>
                <w:rStyle w:val="Hyperlink"/>
                <w:rFonts w:ascii="Arial" w:hAnsi="Arial" w:cs="Arial"/>
                <w:b/>
                <w:bCs/>
                <w:noProof/>
              </w:rPr>
              <w:t>4. Discussion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_Toc225278113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7</w:t>
            </w:r>
            <w:r w:rsidRPr="0068133E">
              <w:rPr>
                <w:rFonts w:ascii="Arial" w:hAnsi="Arial" w:cs="Arial"/>
                <w:noProof/>
                <w:webHidden/>
              </w:rPr>
              <w:fldChar w:fldCharType="end"/>
            </w:r>
          </w:hyperlink>
        </w:p>
        <w:p w14:paraId="564DA9DA" w14:textId="6D382829" w:rsidR="005F6BB0" w:rsidRPr="0068133E" w:rsidRDefault="005F6BB0">
          <w:pPr>
            <w:pStyle w:val="TOC2"/>
            <w:tabs>
              <w:tab w:val="right" w:leader="dot" w:pos="9350"/>
            </w:tabs>
            <w:rPr>
              <w:rFonts w:ascii="Arial" w:hAnsi="Arial" w:cs="Arial"/>
              <w:noProof/>
            </w:rPr>
          </w:pPr>
          <w:hyperlink w:anchor="_Toc225278114" w:history="1">
            <w:r w:rsidRPr="0068133E">
              <w:rPr>
                <w:rStyle w:val="Hyperlink"/>
                <w:rFonts w:ascii="Arial" w:hAnsi="Arial" w:cs="Arial"/>
                <w:i/>
                <w:iCs/>
                <w:noProof/>
              </w:rPr>
              <w:t>4.1 Linking Findings to UK Policy Context</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_Toc225278114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7</w:t>
            </w:r>
            <w:r w:rsidRPr="0068133E">
              <w:rPr>
                <w:rFonts w:ascii="Arial" w:hAnsi="Arial" w:cs="Arial"/>
                <w:noProof/>
                <w:webHidden/>
              </w:rPr>
              <w:fldChar w:fldCharType="end"/>
            </w:r>
          </w:hyperlink>
        </w:p>
        <w:p w14:paraId="7C79EFCD" w14:textId="5337370A" w:rsidR="005F6BB0" w:rsidRPr="0068133E" w:rsidRDefault="005F6BB0">
          <w:pPr>
            <w:pStyle w:val="TOC2"/>
            <w:tabs>
              <w:tab w:val="right" w:leader="dot" w:pos="9350"/>
            </w:tabs>
            <w:rPr>
              <w:rFonts w:ascii="Arial" w:hAnsi="Arial" w:cs="Arial"/>
              <w:noProof/>
            </w:rPr>
          </w:pPr>
          <w:hyperlink w:anchor="_Toc225278115" w:history="1">
            <w:r w:rsidRPr="0068133E">
              <w:rPr>
                <w:rStyle w:val="Hyperlink"/>
                <w:rFonts w:ascii="Arial" w:hAnsi="Arial" w:cs="Arial"/>
                <w:i/>
                <w:iCs/>
                <w:noProof/>
              </w:rPr>
              <w:t>4.2 Structural Inequalities and Health Outcomes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_Toc225278115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7</w:t>
            </w:r>
            <w:r w:rsidRPr="0068133E">
              <w:rPr>
                <w:rFonts w:ascii="Arial" w:hAnsi="Arial" w:cs="Arial"/>
                <w:noProof/>
                <w:webHidden/>
              </w:rPr>
              <w:fldChar w:fldCharType="end"/>
            </w:r>
          </w:hyperlink>
        </w:p>
        <w:p w14:paraId="6CF182FB" w14:textId="3297A21B" w:rsidR="005F6BB0" w:rsidRPr="0068133E" w:rsidRDefault="005F6BB0">
          <w:pPr>
            <w:pStyle w:val="TOC2"/>
            <w:tabs>
              <w:tab w:val="right" w:leader="dot" w:pos="9350"/>
            </w:tabs>
            <w:rPr>
              <w:rFonts w:ascii="Arial" w:hAnsi="Arial" w:cs="Arial"/>
              <w:noProof/>
            </w:rPr>
          </w:pPr>
          <w:hyperlink w:anchor="_Toc225278116" w:history="1">
            <w:r w:rsidRPr="0068133E">
              <w:rPr>
                <w:rStyle w:val="Hyperlink"/>
                <w:rFonts w:ascii="Arial" w:hAnsi="Arial" w:cs="Arial"/>
                <w:i/>
                <w:iCs/>
                <w:noProof/>
              </w:rPr>
              <w:t>4.3 Intersectionality and Social Determinants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_Toc225278116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8</w:t>
            </w:r>
            <w:r w:rsidRPr="0068133E">
              <w:rPr>
                <w:rFonts w:ascii="Arial" w:hAnsi="Arial" w:cs="Arial"/>
                <w:noProof/>
                <w:webHidden/>
              </w:rPr>
              <w:fldChar w:fldCharType="end"/>
            </w:r>
          </w:hyperlink>
        </w:p>
        <w:p w14:paraId="083ACC9A" w14:textId="7A260989" w:rsidR="005F6BB0" w:rsidRPr="0068133E" w:rsidRDefault="005F6BB0">
          <w:pPr>
            <w:pStyle w:val="TOC2"/>
            <w:tabs>
              <w:tab w:val="right" w:leader="dot" w:pos="9350"/>
            </w:tabs>
            <w:rPr>
              <w:rFonts w:ascii="Arial" w:hAnsi="Arial" w:cs="Arial"/>
              <w:noProof/>
            </w:rPr>
          </w:pPr>
          <w:hyperlink w:anchor="_Toc225278117" w:history="1">
            <w:r w:rsidRPr="0068133E">
              <w:rPr>
                <w:rStyle w:val="Hyperlink"/>
                <w:rFonts w:ascii="Arial" w:hAnsi="Arial" w:cs="Arial"/>
                <w:i/>
                <w:iCs/>
                <w:noProof/>
              </w:rPr>
              <w:t>4.4 Discrimination and Institutional Bias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_Toc225278117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8</w:t>
            </w:r>
            <w:r w:rsidRPr="0068133E">
              <w:rPr>
                <w:rFonts w:ascii="Arial" w:hAnsi="Arial" w:cs="Arial"/>
                <w:noProof/>
                <w:webHidden/>
              </w:rPr>
              <w:fldChar w:fldCharType="end"/>
            </w:r>
          </w:hyperlink>
        </w:p>
        <w:p w14:paraId="52C7D555" w14:textId="2453B98D" w:rsidR="005F6BB0" w:rsidRPr="0068133E" w:rsidRDefault="005F6BB0">
          <w:pPr>
            <w:pStyle w:val="TOC2"/>
            <w:tabs>
              <w:tab w:val="right" w:leader="dot" w:pos="9350"/>
            </w:tabs>
            <w:rPr>
              <w:rFonts w:ascii="Arial" w:hAnsi="Arial" w:cs="Arial"/>
              <w:noProof/>
            </w:rPr>
          </w:pPr>
          <w:hyperlink w:anchor="_Toc225278118" w:history="1">
            <w:r w:rsidRPr="0068133E">
              <w:rPr>
                <w:rStyle w:val="Hyperlink"/>
                <w:rFonts w:ascii="Arial" w:hAnsi="Arial" w:cs="Arial"/>
                <w:i/>
                <w:iCs/>
                <w:noProof/>
              </w:rPr>
              <w:t>4.5 Gaps in Service Provision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_Toc225278118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8</w:t>
            </w:r>
            <w:r w:rsidRPr="0068133E">
              <w:rPr>
                <w:rFonts w:ascii="Arial" w:hAnsi="Arial" w:cs="Arial"/>
                <w:noProof/>
                <w:webHidden/>
              </w:rPr>
              <w:fldChar w:fldCharType="end"/>
            </w:r>
          </w:hyperlink>
        </w:p>
        <w:p w14:paraId="57501038" w14:textId="59F875A7" w:rsidR="005F6BB0" w:rsidRPr="0068133E" w:rsidRDefault="005F6BB0">
          <w:pPr>
            <w:pStyle w:val="TOC2"/>
            <w:tabs>
              <w:tab w:val="right" w:leader="dot" w:pos="9350"/>
            </w:tabs>
            <w:rPr>
              <w:rFonts w:ascii="Arial" w:hAnsi="Arial" w:cs="Arial"/>
              <w:noProof/>
            </w:rPr>
          </w:pPr>
          <w:hyperlink w:anchor="_Toc225278119" w:history="1">
            <w:r w:rsidRPr="0068133E">
              <w:rPr>
                <w:rStyle w:val="Hyperlink"/>
                <w:rFonts w:ascii="Arial" w:hAnsi="Arial" w:cs="Arial"/>
                <w:i/>
                <w:iCs/>
                <w:noProof/>
              </w:rPr>
              <w:t>Critical Synthesis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_Toc225278119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9</w:t>
            </w:r>
            <w:r w:rsidRPr="0068133E">
              <w:rPr>
                <w:rFonts w:ascii="Arial" w:hAnsi="Arial" w:cs="Arial"/>
                <w:noProof/>
                <w:webHidden/>
              </w:rPr>
              <w:fldChar w:fldCharType="end"/>
            </w:r>
          </w:hyperlink>
        </w:p>
        <w:p w14:paraId="358B153A" w14:textId="7688D386" w:rsidR="005F6BB0" w:rsidRPr="0068133E" w:rsidRDefault="005F6BB0">
          <w:pPr>
            <w:pStyle w:val="TOC1"/>
            <w:tabs>
              <w:tab w:val="right" w:leader="dot" w:pos="9350"/>
            </w:tabs>
            <w:rPr>
              <w:rFonts w:ascii="Arial" w:hAnsi="Arial" w:cs="Arial"/>
              <w:noProof/>
            </w:rPr>
          </w:pPr>
          <w:hyperlink w:anchor="_Toc225278120" w:history="1">
            <w:r w:rsidRPr="0068133E">
              <w:rPr>
                <w:rStyle w:val="Hyperlink"/>
                <w:rFonts w:ascii="Arial" w:hAnsi="Arial" w:cs="Arial"/>
                <w:b/>
                <w:bCs/>
                <w:noProof/>
              </w:rPr>
              <w:t>5. Implications for Practice and Policy</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_Toc225278120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9</w:t>
            </w:r>
            <w:r w:rsidRPr="0068133E">
              <w:rPr>
                <w:rFonts w:ascii="Arial" w:hAnsi="Arial" w:cs="Arial"/>
                <w:noProof/>
                <w:webHidden/>
              </w:rPr>
              <w:fldChar w:fldCharType="end"/>
            </w:r>
          </w:hyperlink>
        </w:p>
        <w:p w14:paraId="33BA2697" w14:textId="5DF2E65E" w:rsidR="005F6BB0" w:rsidRPr="0068133E" w:rsidRDefault="005F6BB0">
          <w:pPr>
            <w:pStyle w:val="TOC2"/>
            <w:tabs>
              <w:tab w:val="right" w:leader="dot" w:pos="9350"/>
            </w:tabs>
            <w:rPr>
              <w:rFonts w:ascii="Arial" w:hAnsi="Arial" w:cs="Arial"/>
              <w:noProof/>
            </w:rPr>
          </w:pPr>
          <w:hyperlink w:anchor="_Toc225278121" w:history="1">
            <w:r w:rsidRPr="0068133E">
              <w:rPr>
                <w:rStyle w:val="Hyperlink"/>
                <w:rFonts w:ascii="Arial" w:hAnsi="Arial" w:cs="Arial"/>
                <w:i/>
                <w:iCs/>
                <w:noProof/>
              </w:rPr>
              <w:t>5.1 Policy-Level Implications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_Toc225278121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9</w:t>
            </w:r>
            <w:r w:rsidRPr="0068133E">
              <w:rPr>
                <w:rFonts w:ascii="Arial" w:hAnsi="Arial" w:cs="Arial"/>
                <w:noProof/>
                <w:webHidden/>
              </w:rPr>
              <w:fldChar w:fldCharType="end"/>
            </w:r>
          </w:hyperlink>
        </w:p>
        <w:p w14:paraId="07674481" w14:textId="25A69CD3" w:rsidR="005F6BB0" w:rsidRPr="0068133E" w:rsidRDefault="005F6BB0">
          <w:pPr>
            <w:pStyle w:val="TOC2"/>
            <w:tabs>
              <w:tab w:val="right" w:leader="dot" w:pos="9350"/>
            </w:tabs>
            <w:rPr>
              <w:rFonts w:ascii="Arial" w:hAnsi="Arial" w:cs="Arial"/>
              <w:noProof/>
            </w:rPr>
          </w:pPr>
          <w:hyperlink w:anchor="_Toc225278122" w:history="1">
            <w:r w:rsidRPr="0068133E">
              <w:rPr>
                <w:rStyle w:val="Hyperlink"/>
                <w:rFonts w:ascii="Arial" w:hAnsi="Arial" w:cs="Arial"/>
                <w:i/>
                <w:iCs/>
                <w:noProof/>
              </w:rPr>
              <w:t>5.2 Clinical Practice Implications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_Toc225278122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9</w:t>
            </w:r>
            <w:r w:rsidRPr="0068133E">
              <w:rPr>
                <w:rFonts w:ascii="Arial" w:hAnsi="Arial" w:cs="Arial"/>
                <w:noProof/>
                <w:webHidden/>
              </w:rPr>
              <w:fldChar w:fldCharType="end"/>
            </w:r>
          </w:hyperlink>
        </w:p>
        <w:p w14:paraId="1FBBAD95" w14:textId="067325B6" w:rsidR="005F6BB0" w:rsidRPr="0068133E" w:rsidRDefault="005F6BB0">
          <w:pPr>
            <w:pStyle w:val="TOC2"/>
            <w:tabs>
              <w:tab w:val="right" w:leader="dot" w:pos="9350"/>
            </w:tabs>
            <w:rPr>
              <w:rFonts w:ascii="Arial" w:hAnsi="Arial" w:cs="Arial"/>
              <w:noProof/>
            </w:rPr>
          </w:pPr>
          <w:hyperlink w:anchor="_Toc225278123" w:history="1">
            <w:r w:rsidRPr="0068133E">
              <w:rPr>
                <w:rStyle w:val="Hyperlink"/>
                <w:rFonts w:ascii="Arial" w:hAnsi="Arial" w:cs="Arial"/>
                <w:i/>
                <w:iCs/>
                <w:noProof/>
              </w:rPr>
              <w:t>5.3 System-Level Recommendations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_Toc225278123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10</w:t>
            </w:r>
            <w:r w:rsidRPr="0068133E">
              <w:rPr>
                <w:rFonts w:ascii="Arial" w:hAnsi="Arial" w:cs="Arial"/>
                <w:noProof/>
                <w:webHidden/>
              </w:rPr>
              <w:fldChar w:fldCharType="end"/>
            </w:r>
          </w:hyperlink>
        </w:p>
        <w:p w14:paraId="7DFEE0C0" w14:textId="1610129E" w:rsidR="005F6BB0" w:rsidRPr="0068133E" w:rsidRDefault="005F6BB0">
          <w:pPr>
            <w:pStyle w:val="TOC1"/>
            <w:tabs>
              <w:tab w:val="right" w:leader="dot" w:pos="9350"/>
            </w:tabs>
            <w:rPr>
              <w:rFonts w:ascii="Arial" w:hAnsi="Arial" w:cs="Arial"/>
              <w:noProof/>
            </w:rPr>
          </w:pPr>
          <w:hyperlink w:anchor="_Toc225278124" w:history="1">
            <w:r w:rsidRPr="0068133E">
              <w:rPr>
                <w:rStyle w:val="Hyperlink"/>
                <w:rFonts w:ascii="Arial" w:hAnsi="Arial" w:cs="Arial"/>
                <w:b/>
                <w:bCs/>
                <w:noProof/>
              </w:rPr>
              <w:t>6. Strengths and Limitations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_Toc225278124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10</w:t>
            </w:r>
            <w:r w:rsidRPr="0068133E">
              <w:rPr>
                <w:rFonts w:ascii="Arial" w:hAnsi="Arial" w:cs="Arial"/>
                <w:noProof/>
                <w:webHidden/>
              </w:rPr>
              <w:fldChar w:fldCharType="end"/>
            </w:r>
          </w:hyperlink>
        </w:p>
        <w:p w14:paraId="36012BB9" w14:textId="7C341D8B" w:rsidR="005F6BB0" w:rsidRPr="0068133E" w:rsidRDefault="005F6BB0">
          <w:pPr>
            <w:pStyle w:val="TOC1"/>
            <w:tabs>
              <w:tab w:val="right" w:leader="dot" w:pos="9350"/>
            </w:tabs>
            <w:rPr>
              <w:rFonts w:ascii="Arial" w:hAnsi="Arial" w:cs="Arial"/>
              <w:noProof/>
            </w:rPr>
          </w:pPr>
          <w:hyperlink w:anchor="_Toc225278125" w:history="1">
            <w:r w:rsidRPr="0068133E">
              <w:rPr>
                <w:rStyle w:val="Hyperlink"/>
                <w:rFonts w:ascii="Arial" w:hAnsi="Arial" w:cs="Arial"/>
                <w:b/>
                <w:bCs/>
                <w:noProof/>
              </w:rPr>
              <w:t>7. Conclusion</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_Toc225278125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11</w:t>
            </w:r>
            <w:r w:rsidRPr="0068133E">
              <w:rPr>
                <w:rFonts w:ascii="Arial" w:hAnsi="Arial" w:cs="Arial"/>
                <w:noProof/>
                <w:webHidden/>
              </w:rPr>
              <w:fldChar w:fldCharType="end"/>
            </w:r>
          </w:hyperlink>
        </w:p>
        <w:p w14:paraId="65F7295A" w14:textId="1BD9095A" w:rsidR="005F6BB0" w:rsidRPr="0068133E" w:rsidRDefault="005F6BB0">
          <w:pPr>
            <w:pStyle w:val="TOC1"/>
            <w:tabs>
              <w:tab w:val="right" w:leader="dot" w:pos="9350"/>
            </w:tabs>
            <w:rPr>
              <w:rFonts w:ascii="Arial" w:hAnsi="Arial" w:cs="Arial"/>
              <w:noProof/>
            </w:rPr>
          </w:pPr>
          <w:hyperlink w:anchor="_Toc225278126" w:history="1">
            <w:r w:rsidRPr="0068133E">
              <w:rPr>
                <w:rStyle w:val="Hyperlink"/>
                <w:rFonts w:ascii="Arial" w:hAnsi="Arial" w:cs="Arial"/>
                <w:b/>
                <w:bCs/>
                <w:noProof/>
              </w:rPr>
              <w:t>References:</w:t>
            </w:r>
            <w:r w:rsidRPr="0068133E">
              <w:rPr>
                <w:rFonts w:ascii="Arial" w:hAnsi="Arial" w:cs="Arial"/>
                <w:noProof/>
                <w:webHidden/>
              </w:rPr>
              <w:tab/>
            </w:r>
            <w:r w:rsidRPr="0068133E">
              <w:rPr>
                <w:rFonts w:ascii="Arial" w:hAnsi="Arial" w:cs="Arial"/>
                <w:noProof/>
                <w:webHidden/>
              </w:rPr>
              <w:fldChar w:fldCharType="begin"/>
            </w:r>
            <w:r w:rsidRPr="0068133E">
              <w:rPr>
                <w:rFonts w:ascii="Arial" w:hAnsi="Arial" w:cs="Arial"/>
                <w:noProof/>
                <w:webHidden/>
              </w:rPr>
              <w:instrText xml:space="preserve"> PAGEREF _Toc225278126 \h </w:instrText>
            </w:r>
            <w:r w:rsidRPr="0068133E">
              <w:rPr>
                <w:rFonts w:ascii="Arial" w:hAnsi="Arial" w:cs="Arial"/>
                <w:noProof/>
                <w:webHidden/>
              </w:rPr>
            </w:r>
            <w:r w:rsidRPr="0068133E">
              <w:rPr>
                <w:rFonts w:ascii="Arial" w:hAnsi="Arial" w:cs="Arial"/>
                <w:noProof/>
                <w:webHidden/>
              </w:rPr>
              <w:fldChar w:fldCharType="separate"/>
            </w:r>
            <w:r w:rsidRPr="0068133E">
              <w:rPr>
                <w:rFonts w:ascii="Arial" w:hAnsi="Arial" w:cs="Arial"/>
                <w:noProof/>
                <w:webHidden/>
              </w:rPr>
              <w:t>12</w:t>
            </w:r>
            <w:r w:rsidRPr="0068133E">
              <w:rPr>
                <w:rFonts w:ascii="Arial" w:hAnsi="Arial" w:cs="Arial"/>
                <w:noProof/>
                <w:webHidden/>
              </w:rPr>
              <w:fldChar w:fldCharType="end"/>
            </w:r>
          </w:hyperlink>
        </w:p>
        <w:p w14:paraId="76C1893B" w14:textId="70488700" w:rsidR="005F6BB0" w:rsidRPr="0068133E" w:rsidRDefault="005F6BB0">
          <w:pPr>
            <w:rPr>
              <w:rFonts w:ascii="Arial" w:hAnsi="Arial" w:cs="Arial"/>
            </w:rPr>
          </w:pPr>
          <w:r w:rsidRPr="0068133E">
            <w:rPr>
              <w:rFonts w:ascii="Arial" w:hAnsi="Arial" w:cs="Arial"/>
              <w:b/>
              <w:bCs/>
              <w:noProof/>
            </w:rPr>
            <w:fldChar w:fldCharType="end"/>
          </w:r>
        </w:p>
      </w:sdtContent>
    </w:sdt>
    <w:p w14:paraId="66E9D362" w14:textId="77777777" w:rsidR="00BD103F" w:rsidRPr="0068133E" w:rsidRDefault="00BD103F">
      <w:pPr>
        <w:rPr>
          <w:rFonts w:ascii="Arial" w:eastAsia="Times New Roman" w:hAnsi="Arial" w:cs="Arial"/>
          <w:b/>
          <w:bCs/>
          <w:kern w:val="0"/>
          <w14:ligatures w14:val="none"/>
        </w:rPr>
      </w:pPr>
      <w:r w:rsidRPr="0068133E">
        <w:rPr>
          <w:rFonts w:ascii="Arial" w:eastAsia="Times New Roman" w:hAnsi="Arial" w:cs="Arial"/>
          <w:b/>
          <w:bCs/>
          <w:kern w:val="0"/>
          <w14:ligatures w14:val="none"/>
        </w:rPr>
        <w:br w:type="page"/>
      </w:r>
    </w:p>
    <w:p w14:paraId="01A920FA" w14:textId="743D18B5" w:rsidR="00BD103F" w:rsidRPr="0068133E" w:rsidRDefault="00BD103F" w:rsidP="00BD103F">
      <w:pPr>
        <w:pStyle w:val="Heading1"/>
        <w:jc w:val="both"/>
        <w:rPr>
          <w:rFonts w:ascii="Arial" w:eastAsiaTheme="minorHAnsi" w:hAnsi="Arial" w:cs="Arial"/>
          <w:b/>
          <w:bCs/>
          <w:color w:val="auto"/>
          <w:sz w:val="22"/>
          <w:szCs w:val="22"/>
        </w:rPr>
      </w:pPr>
      <w:r w:rsidRPr="00BD103F">
        <w:rPr>
          <w:rFonts w:ascii="Times New Roman" w:eastAsia="Times New Roman" w:hAnsi="Times New Roman" w:cs="Times New Roman"/>
          <w:b/>
          <w:bCs/>
          <w:color w:val="auto"/>
          <w:kern w:val="0"/>
          <w:sz w:val="24"/>
          <w:szCs w:val="24"/>
          <w14:ligatures w14:val="none"/>
        </w:rPr>
        <w:lastRenderedPageBreak/>
        <w:t xml:space="preserve"> </w:t>
      </w:r>
      <w:bookmarkStart w:id="1" w:name="_Toc225278102"/>
      <w:r w:rsidRPr="0068133E">
        <w:rPr>
          <w:rFonts w:ascii="Arial" w:eastAsiaTheme="minorHAnsi" w:hAnsi="Arial" w:cs="Arial"/>
          <w:b/>
          <w:bCs/>
          <w:color w:val="auto"/>
          <w:sz w:val="22"/>
          <w:szCs w:val="22"/>
        </w:rPr>
        <w:t>1. Introduction</w:t>
      </w:r>
      <w:bookmarkEnd w:id="1"/>
    </w:p>
    <w:p w14:paraId="1859606A" w14:textId="77777777" w:rsidR="005F6BB0" w:rsidRPr="0068133E" w:rsidRDefault="005F6BB0" w:rsidP="0068133E">
      <w:pPr>
        <w:spacing w:line="360" w:lineRule="auto"/>
        <w:jc w:val="both"/>
        <w:rPr>
          <w:rFonts w:ascii="Arial" w:hAnsi="Arial" w:cs="Arial"/>
          <w:sz w:val="22"/>
          <w:szCs w:val="22"/>
        </w:rPr>
      </w:pPr>
      <w:r w:rsidRPr="0068133E">
        <w:rPr>
          <w:rFonts w:ascii="Arial" w:hAnsi="Arial" w:cs="Arial"/>
          <w:sz w:val="22"/>
          <w:szCs w:val="22"/>
        </w:rPr>
        <w:t>The rate of births per migrant woman in the United Kingdom has grown considerably over the past few years as part of larger trends of international migration and population transition. This change has heightened awareness of the underlying inequalities in access to maternity care and maternal health inequality. As evidenced by MBRRACE-UK (2025), migrant and minority ethnic women still face disproportionately high incidences of maternal mortality and morbidity relative to UK-born women, creating gaps in the provision and access to care within the system.</w:t>
      </w:r>
    </w:p>
    <w:p w14:paraId="37D47C0E" w14:textId="77777777" w:rsidR="005F6BB0" w:rsidRPr="0068133E" w:rsidRDefault="005F6BB0" w:rsidP="00CF3E7E">
      <w:pPr>
        <w:spacing w:line="360" w:lineRule="auto"/>
        <w:jc w:val="both"/>
        <w:rPr>
          <w:rFonts w:ascii="Arial" w:hAnsi="Arial" w:cs="Arial"/>
          <w:sz w:val="22"/>
          <w:szCs w:val="22"/>
        </w:rPr>
      </w:pPr>
      <w:r w:rsidRPr="0068133E">
        <w:rPr>
          <w:rFonts w:ascii="Arial" w:hAnsi="Arial" w:cs="Arial"/>
          <w:sz w:val="22"/>
          <w:szCs w:val="22"/>
        </w:rPr>
        <w:t xml:space="preserve">In the UK, the principles of universal healthcare that govern maternity services include the NHS England, and the policy frameworks that underpin these principles include the National Institute of Health and Care Excellence (NICE, 2021), which underlines the importance of booking antenatal care early, sustaining care, and equal service provision. Yet, </w:t>
      </w:r>
      <w:proofErr w:type="gramStart"/>
      <w:r w:rsidRPr="0068133E">
        <w:rPr>
          <w:rFonts w:ascii="Arial" w:hAnsi="Arial" w:cs="Arial"/>
          <w:sz w:val="22"/>
          <w:szCs w:val="22"/>
        </w:rPr>
        <w:t>in spite of</w:t>
      </w:r>
      <w:proofErr w:type="gramEnd"/>
      <w:r w:rsidRPr="0068133E">
        <w:rPr>
          <w:rFonts w:ascii="Arial" w:hAnsi="Arial" w:cs="Arial"/>
          <w:sz w:val="22"/>
          <w:szCs w:val="22"/>
        </w:rPr>
        <w:t xml:space="preserve"> these policy undertakings, there is evidence to show that migrant women tend to be subjected to hurdles that inhibit their capacity to receive timely and suitable care and negate such standards in practice.</w:t>
      </w:r>
    </w:p>
    <w:p w14:paraId="6DA7EBBE" w14:textId="77777777" w:rsidR="005F6BB0" w:rsidRPr="0068133E" w:rsidRDefault="005F6BB0" w:rsidP="00CF3E7E">
      <w:pPr>
        <w:spacing w:line="360" w:lineRule="auto"/>
        <w:jc w:val="both"/>
        <w:rPr>
          <w:rFonts w:ascii="Arial" w:hAnsi="Arial" w:cs="Arial"/>
          <w:sz w:val="22"/>
          <w:szCs w:val="22"/>
        </w:rPr>
      </w:pPr>
      <w:r w:rsidRPr="0068133E">
        <w:rPr>
          <w:rFonts w:ascii="Arial" w:hAnsi="Arial" w:cs="Arial"/>
          <w:sz w:val="22"/>
          <w:szCs w:val="22"/>
        </w:rPr>
        <w:t>To facilitate the objectives of this report, the definition of migrant women is broad, as this would include individuals born outside the United Kingdom, which covers refugees, asylum seekers, and illegal migrants, whose legal and social status would affect their healthcare access. These populations tend to have an accumulated vulnerability which is connected to immigration status, socioeconomic disadvantage, and unfamiliarity with the healthcare system.</w:t>
      </w:r>
    </w:p>
    <w:p w14:paraId="736CA496" w14:textId="0359CA1A" w:rsidR="00BD103F" w:rsidRPr="0068133E" w:rsidRDefault="005F6BB0" w:rsidP="00CF3E7E">
      <w:pPr>
        <w:spacing w:line="360" w:lineRule="auto"/>
        <w:jc w:val="both"/>
        <w:rPr>
          <w:rFonts w:ascii="Arial" w:hAnsi="Arial" w:cs="Arial"/>
          <w:sz w:val="22"/>
          <w:szCs w:val="22"/>
        </w:rPr>
      </w:pPr>
      <w:r w:rsidRPr="0068133E">
        <w:rPr>
          <w:rFonts w:ascii="Arial" w:hAnsi="Arial" w:cs="Arial"/>
          <w:sz w:val="22"/>
          <w:szCs w:val="22"/>
        </w:rPr>
        <w:t>The report will critically examine obstacles to accessing maternity services by migrant women in the UK using qualitative evidence from selected studies through thematic analysis</w:t>
      </w:r>
      <w:r w:rsidR="00BD103F" w:rsidRPr="0068133E">
        <w:rPr>
          <w:rFonts w:ascii="Arial" w:hAnsi="Arial" w:cs="Arial"/>
          <w:sz w:val="22"/>
          <w:szCs w:val="22"/>
        </w:rPr>
        <w:t>.</w:t>
      </w:r>
    </w:p>
    <w:p w14:paraId="7102A262" w14:textId="05E23E82" w:rsidR="00BD103F" w:rsidRPr="00CF3E7E" w:rsidRDefault="00BD103F" w:rsidP="00BD103F">
      <w:pPr>
        <w:pStyle w:val="Heading1"/>
        <w:jc w:val="both"/>
        <w:rPr>
          <w:rFonts w:ascii="Arial" w:hAnsi="Arial" w:cs="Arial"/>
          <w:b/>
          <w:bCs/>
          <w:color w:val="auto"/>
          <w:sz w:val="22"/>
          <w:szCs w:val="22"/>
        </w:rPr>
      </w:pPr>
      <w:bookmarkStart w:id="2" w:name="_Toc225278103"/>
      <w:r w:rsidRPr="00CF3E7E">
        <w:rPr>
          <w:rFonts w:ascii="Arial" w:hAnsi="Arial" w:cs="Arial"/>
          <w:b/>
          <w:bCs/>
          <w:color w:val="auto"/>
          <w:sz w:val="22"/>
          <w:szCs w:val="22"/>
        </w:rPr>
        <w:t>2. Methodology: Scoping Review and Thematic Analysis</w:t>
      </w:r>
      <w:bookmarkEnd w:id="2"/>
    </w:p>
    <w:p w14:paraId="0D1C6C83" w14:textId="77777777" w:rsidR="00BD103F" w:rsidRPr="00CF3E7E" w:rsidRDefault="00BD103F" w:rsidP="00BD103F">
      <w:pPr>
        <w:pStyle w:val="Heading2"/>
        <w:jc w:val="both"/>
        <w:rPr>
          <w:rFonts w:ascii="Arial" w:hAnsi="Arial" w:cs="Arial"/>
          <w:i/>
          <w:iCs/>
          <w:color w:val="auto"/>
          <w:sz w:val="22"/>
          <w:szCs w:val="22"/>
        </w:rPr>
      </w:pPr>
      <w:bookmarkStart w:id="3" w:name="_Toc225278104"/>
      <w:r w:rsidRPr="00CF3E7E">
        <w:rPr>
          <w:rFonts w:ascii="Arial" w:hAnsi="Arial" w:cs="Arial"/>
          <w:i/>
          <w:iCs/>
          <w:color w:val="auto"/>
          <w:sz w:val="22"/>
          <w:szCs w:val="22"/>
        </w:rPr>
        <w:t>2.1 Research Design</w:t>
      </w:r>
      <w:bookmarkEnd w:id="3"/>
    </w:p>
    <w:p w14:paraId="167B8814" w14:textId="5F0A0837" w:rsidR="00BD103F"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 xml:space="preserve">The proposed study will use a scoping review approach to map and </w:t>
      </w:r>
      <w:proofErr w:type="spellStart"/>
      <w:r w:rsidRPr="00CF3E7E">
        <w:rPr>
          <w:rFonts w:ascii="Arial" w:hAnsi="Arial" w:cs="Arial"/>
          <w:sz w:val="22"/>
          <w:szCs w:val="22"/>
        </w:rPr>
        <w:t>synthesise</w:t>
      </w:r>
      <w:proofErr w:type="spellEnd"/>
      <w:r w:rsidRPr="00CF3E7E">
        <w:rPr>
          <w:rFonts w:ascii="Arial" w:hAnsi="Arial" w:cs="Arial"/>
          <w:sz w:val="22"/>
          <w:szCs w:val="22"/>
        </w:rPr>
        <w:t xml:space="preserve"> evidence on the barriers to accessing maternity services in the UK for migrant women. The scoping approach is suitable because of the complex nature and multidimensional character of the problem that cuts across the structural, social, and experiential aspects. In contrast to systematic reviews, which </w:t>
      </w:r>
      <w:proofErr w:type="gramStart"/>
      <w:r w:rsidRPr="00CF3E7E">
        <w:rPr>
          <w:rFonts w:ascii="Arial" w:hAnsi="Arial" w:cs="Arial"/>
          <w:sz w:val="22"/>
          <w:szCs w:val="22"/>
        </w:rPr>
        <w:t>have a tendency to</w:t>
      </w:r>
      <w:proofErr w:type="gramEnd"/>
      <w:r w:rsidRPr="00CF3E7E">
        <w:rPr>
          <w:rFonts w:ascii="Arial" w:hAnsi="Arial" w:cs="Arial"/>
          <w:sz w:val="22"/>
          <w:szCs w:val="22"/>
        </w:rPr>
        <w:t xml:space="preserve"> have narrow questions, scoping reviews allow more wide-ranging searches of heterogeneous evidence and the discovery of critical themes in a wide range of study designs. This methodology aligns with qualitative evidence synthesis procedures that give precedence to depth of insight as opposed to statistical aggregation (Higginbottom et al., 2019)</w:t>
      </w:r>
      <w:r w:rsidR="00BD103F" w:rsidRPr="00CF3E7E">
        <w:rPr>
          <w:rFonts w:ascii="Arial" w:hAnsi="Arial" w:cs="Arial"/>
          <w:sz w:val="22"/>
          <w:szCs w:val="22"/>
        </w:rPr>
        <w:t>.</w:t>
      </w:r>
    </w:p>
    <w:p w14:paraId="1C201A5F" w14:textId="77777777" w:rsidR="00BD103F" w:rsidRPr="00CF3E7E" w:rsidRDefault="00BD103F" w:rsidP="00BD103F">
      <w:pPr>
        <w:pStyle w:val="Heading2"/>
        <w:jc w:val="both"/>
        <w:rPr>
          <w:rFonts w:ascii="Arial" w:hAnsi="Arial" w:cs="Arial"/>
          <w:i/>
          <w:iCs/>
          <w:color w:val="auto"/>
          <w:sz w:val="22"/>
          <w:szCs w:val="22"/>
        </w:rPr>
      </w:pPr>
      <w:bookmarkStart w:id="4" w:name="_Toc225278105"/>
      <w:r w:rsidRPr="00CF3E7E">
        <w:rPr>
          <w:rFonts w:ascii="Arial" w:hAnsi="Arial" w:cs="Arial"/>
          <w:i/>
          <w:iCs/>
          <w:color w:val="auto"/>
          <w:sz w:val="22"/>
          <w:szCs w:val="22"/>
        </w:rPr>
        <w:lastRenderedPageBreak/>
        <w:t>2.2 Data Sources and Selection</w:t>
      </w:r>
      <w:bookmarkEnd w:id="4"/>
    </w:p>
    <w:p w14:paraId="16A05D58" w14:textId="16861714" w:rsidR="00BD103F" w:rsidRPr="00CF3E7E" w:rsidRDefault="005F6BB0" w:rsidP="00CF3E7E">
      <w:pPr>
        <w:spacing w:line="360" w:lineRule="auto"/>
        <w:jc w:val="both"/>
        <w:rPr>
          <w:rFonts w:ascii="Arial" w:hAnsi="Arial" w:cs="Arial"/>
        </w:rPr>
      </w:pPr>
      <w:r w:rsidRPr="00CF3E7E">
        <w:rPr>
          <w:rFonts w:ascii="Arial" w:hAnsi="Arial" w:cs="Arial"/>
          <w:sz w:val="22"/>
          <w:szCs w:val="22"/>
        </w:rPr>
        <w:t>The chosen three peer-reviewed studies are used as the basis of the thematic analysis, which offers in-depth qualitative and narrative data on the maternity experiences of migrant women. These are</w:t>
      </w:r>
      <w:r w:rsidRPr="005F6BB0">
        <w:rPr>
          <w:rFonts w:ascii="Times New Roman" w:hAnsi="Times New Roman" w:cs="Times New Roman"/>
        </w:rPr>
        <w:t xml:space="preserve"> </w:t>
      </w:r>
      <w:r w:rsidRPr="00CF3E7E">
        <w:rPr>
          <w:rFonts w:ascii="Arial" w:hAnsi="Arial" w:cs="Arial"/>
        </w:rPr>
        <w:t xml:space="preserve">Higginbottom et al. (2019), a narrative synthesis systematic review of UK-based studies; Nellums et al. (2020), a qualitative study on the experiences of undocumented migrant females in England, and Garti et al. (2021), which, though retracted, </w:t>
      </w:r>
      <w:proofErr w:type="spellStart"/>
      <w:r w:rsidRPr="00CF3E7E">
        <w:rPr>
          <w:rFonts w:ascii="Arial" w:hAnsi="Arial" w:cs="Arial"/>
        </w:rPr>
        <w:t>contextualises</w:t>
      </w:r>
      <w:proofErr w:type="spellEnd"/>
      <w:r w:rsidRPr="00CF3E7E">
        <w:rPr>
          <w:rFonts w:ascii="Arial" w:hAnsi="Arial" w:cs="Arial"/>
        </w:rPr>
        <w:t xml:space="preserve"> the experiences of maternal care in resource-constrained settings. These articles were chosen because of their usefulness in terms of access, lived experience, and structural barriers</w:t>
      </w:r>
      <w:r w:rsidR="00BD103F" w:rsidRPr="00CF3E7E">
        <w:rPr>
          <w:rFonts w:ascii="Arial" w:hAnsi="Arial" w:cs="Arial"/>
        </w:rPr>
        <w:t>.</w:t>
      </w:r>
    </w:p>
    <w:p w14:paraId="2129C09A" w14:textId="77777777" w:rsidR="00BD103F" w:rsidRPr="00CF3E7E" w:rsidRDefault="00BD103F" w:rsidP="00CF3E7E">
      <w:pPr>
        <w:pStyle w:val="Heading2"/>
        <w:spacing w:line="360" w:lineRule="auto"/>
        <w:jc w:val="both"/>
        <w:rPr>
          <w:rFonts w:ascii="Arial" w:hAnsi="Arial" w:cs="Arial"/>
          <w:i/>
          <w:iCs/>
          <w:color w:val="auto"/>
          <w:sz w:val="24"/>
          <w:szCs w:val="24"/>
        </w:rPr>
      </w:pPr>
      <w:bookmarkStart w:id="5" w:name="_Toc225278106"/>
      <w:r w:rsidRPr="00CF3E7E">
        <w:rPr>
          <w:rFonts w:ascii="Arial" w:hAnsi="Arial" w:cs="Arial"/>
          <w:i/>
          <w:iCs/>
          <w:color w:val="auto"/>
          <w:sz w:val="24"/>
          <w:szCs w:val="24"/>
        </w:rPr>
        <w:t>2.3 Analytical Approach</w:t>
      </w:r>
      <w:bookmarkEnd w:id="5"/>
    </w:p>
    <w:p w14:paraId="59CEA04C" w14:textId="29166E3A" w:rsidR="00BD103F" w:rsidRPr="00CF3E7E" w:rsidRDefault="005F6BB0" w:rsidP="00CF3E7E">
      <w:pPr>
        <w:spacing w:line="360" w:lineRule="auto"/>
        <w:jc w:val="both"/>
        <w:rPr>
          <w:rFonts w:ascii="Arial" w:hAnsi="Arial" w:cs="Arial"/>
        </w:rPr>
      </w:pPr>
      <w:r w:rsidRPr="00CF3E7E">
        <w:rPr>
          <w:rFonts w:ascii="Arial" w:hAnsi="Arial" w:cs="Arial"/>
        </w:rPr>
        <w:t xml:space="preserve">An inductive approach was observed in which thematic analysis was carried out in a systematic manner after completing the </w:t>
      </w:r>
      <w:proofErr w:type="spellStart"/>
      <w:r w:rsidRPr="00CF3E7E">
        <w:rPr>
          <w:rFonts w:ascii="Arial" w:hAnsi="Arial" w:cs="Arial"/>
        </w:rPr>
        <w:t>familiarisation</w:t>
      </w:r>
      <w:proofErr w:type="spellEnd"/>
      <w:r w:rsidRPr="00CF3E7E">
        <w:rPr>
          <w:rFonts w:ascii="Arial" w:hAnsi="Arial" w:cs="Arial"/>
        </w:rPr>
        <w:t xml:space="preserve"> process of data, coding, </w:t>
      </w:r>
      <w:proofErr w:type="spellStart"/>
      <w:r w:rsidRPr="00CF3E7E">
        <w:rPr>
          <w:rFonts w:ascii="Arial" w:hAnsi="Arial" w:cs="Arial"/>
        </w:rPr>
        <w:t>categorisation</w:t>
      </w:r>
      <w:proofErr w:type="spellEnd"/>
      <w:r w:rsidRPr="00CF3E7E">
        <w:rPr>
          <w:rFonts w:ascii="Arial" w:hAnsi="Arial" w:cs="Arial"/>
        </w:rPr>
        <w:t xml:space="preserve">, and development of themes. Principal results of both studies were extracted in a methodical manner and </w:t>
      </w:r>
      <w:proofErr w:type="spellStart"/>
      <w:r w:rsidRPr="00CF3E7E">
        <w:rPr>
          <w:rFonts w:ascii="Arial" w:hAnsi="Arial" w:cs="Arial"/>
        </w:rPr>
        <w:t>summarised</w:t>
      </w:r>
      <w:proofErr w:type="spellEnd"/>
      <w:r w:rsidRPr="00CF3E7E">
        <w:rPr>
          <w:rFonts w:ascii="Arial" w:hAnsi="Arial" w:cs="Arial"/>
        </w:rPr>
        <w:t xml:space="preserve"> into common themes. It is consistent with the narrative synthesis method outlined by Higginbottom et al. (2019) in which units of meaning are grouped into larger conceptual themes produced to generate interpretative meaning across studies</w:t>
      </w:r>
      <w:r w:rsidR="00BD103F" w:rsidRPr="00CF3E7E">
        <w:rPr>
          <w:rFonts w:ascii="Arial" w:hAnsi="Arial" w:cs="Arial"/>
        </w:rPr>
        <w:t>.</w:t>
      </w:r>
    </w:p>
    <w:p w14:paraId="66E860F8" w14:textId="77777777" w:rsidR="00BD103F" w:rsidRPr="00CF3E7E" w:rsidRDefault="00BD103F" w:rsidP="00CF3E7E">
      <w:pPr>
        <w:pStyle w:val="Heading2"/>
        <w:spacing w:line="360" w:lineRule="auto"/>
        <w:jc w:val="both"/>
        <w:rPr>
          <w:rFonts w:ascii="Arial" w:hAnsi="Arial" w:cs="Arial"/>
          <w:i/>
          <w:iCs/>
          <w:color w:val="auto"/>
          <w:sz w:val="24"/>
          <w:szCs w:val="24"/>
        </w:rPr>
      </w:pPr>
      <w:bookmarkStart w:id="6" w:name="_Toc225278107"/>
      <w:r w:rsidRPr="00CF3E7E">
        <w:rPr>
          <w:rFonts w:ascii="Arial" w:hAnsi="Arial" w:cs="Arial"/>
          <w:i/>
          <w:iCs/>
          <w:color w:val="auto"/>
          <w:sz w:val="24"/>
          <w:szCs w:val="24"/>
        </w:rPr>
        <w:t>2.4 Limitations</w:t>
      </w:r>
      <w:bookmarkEnd w:id="6"/>
    </w:p>
    <w:p w14:paraId="7BDCF05E" w14:textId="14380DF3" w:rsidR="00BD103F" w:rsidRPr="00CF3E7E" w:rsidRDefault="005F6BB0" w:rsidP="00CF3E7E">
      <w:pPr>
        <w:spacing w:line="360" w:lineRule="auto"/>
        <w:jc w:val="both"/>
        <w:rPr>
          <w:rFonts w:ascii="Arial" w:hAnsi="Arial" w:cs="Arial"/>
        </w:rPr>
      </w:pPr>
      <w:r w:rsidRPr="00CF3E7E">
        <w:rPr>
          <w:rFonts w:ascii="Arial" w:hAnsi="Arial" w:cs="Arial"/>
        </w:rPr>
        <w:t xml:space="preserve">The analysis is limited in </w:t>
      </w:r>
      <w:proofErr w:type="gramStart"/>
      <w:r w:rsidRPr="00CF3E7E">
        <w:rPr>
          <w:rFonts w:ascii="Arial" w:hAnsi="Arial" w:cs="Arial"/>
        </w:rPr>
        <w:t>a number of</w:t>
      </w:r>
      <w:proofErr w:type="gramEnd"/>
      <w:r w:rsidRPr="00CF3E7E">
        <w:rPr>
          <w:rFonts w:ascii="Arial" w:hAnsi="Arial" w:cs="Arial"/>
        </w:rPr>
        <w:t xml:space="preserve"> ways. First, only three studies are used, which limits the </w:t>
      </w:r>
      <w:proofErr w:type="gramStart"/>
      <w:r w:rsidRPr="00CF3E7E">
        <w:rPr>
          <w:rFonts w:ascii="Arial" w:hAnsi="Arial" w:cs="Arial"/>
        </w:rPr>
        <w:t>evidence range</w:t>
      </w:r>
      <w:proofErr w:type="gramEnd"/>
      <w:r w:rsidRPr="00CF3E7E">
        <w:rPr>
          <w:rFonts w:ascii="Arial" w:hAnsi="Arial" w:cs="Arial"/>
        </w:rPr>
        <w:t xml:space="preserve"> and, possibly, reduces </w:t>
      </w:r>
      <w:proofErr w:type="gramStart"/>
      <w:r w:rsidRPr="00CF3E7E">
        <w:rPr>
          <w:rFonts w:ascii="Arial" w:hAnsi="Arial" w:cs="Arial"/>
        </w:rPr>
        <w:t xml:space="preserve">the </w:t>
      </w:r>
      <w:proofErr w:type="spellStart"/>
      <w:r w:rsidRPr="00CF3E7E">
        <w:rPr>
          <w:rFonts w:ascii="Arial" w:hAnsi="Arial" w:cs="Arial"/>
        </w:rPr>
        <w:t>generalisation</w:t>
      </w:r>
      <w:proofErr w:type="spellEnd"/>
      <w:proofErr w:type="gramEnd"/>
      <w:r w:rsidRPr="00CF3E7E">
        <w:rPr>
          <w:rFonts w:ascii="Arial" w:hAnsi="Arial" w:cs="Arial"/>
        </w:rPr>
        <w:t>. Second, the fact that one of the studies is retracted also presents an issue of reliability, although it is applied with a pinch of salt when it comes to gaining contextual insights. Last, the use of qualitative data implies that the results will be contextual and might not reflect the entire range of migrant experiences</w:t>
      </w:r>
      <w:r w:rsidR="00BD103F" w:rsidRPr="00CF3E7E">
        <w:rPr>
          <w:rFonts w:ascii="Arial" w:hAnsi="Arial" w:cs="Arial"/>
        </w:rPr>
        <w:t>.</w:t>
      </w:r>
    </w:p>
    <w:p w14:paraId="3D9C9909" w14:textId="6200D71C" w:rsidR="00BD103F" w:rsidRPr="00CF3E7E" w:rsidRDefault="00BD103F" w:rsidP="00CF3E7E">
      <w:pPr>
        <w:pStyle w:val="Heading1"/>
        <w:spacing w:line="360" w:lineRule="auto"/>
        <w:jc w:val="both"/>
        <w:rPr>
          <w:rFonts w:ascii="Arial" w:hAnsi="Arial" w:cs="Arial"/>
          <w:b/>
          <w:bCs/>
          <w:color w:val="auto"/>
          <w:sz w:val="24"/>
          <w:szCs w:val="24"/>
        </w:rPr>
      </w:pPr>
      <w:bookmarkStart w:id="7" w:name="_Toc225278108"/>
      <w:r w:rsidRPr="00CF3E7E">
        <w:rPr>
          <w:rFonts w:ascii="Arial" w:hAnsi="Arial" w:cs="Arial"/>
          <w:b/>
          <w:bCs/>
          <w:color w:val="auto"/>
          <w:sz w:val="24"/>
          <w:szCs w:val="24"/>
        </w:rPr>
        <w:t>3. Findings: Thematic Analysis</w:t>
      </w:r>
      <w:bookmarkEnd w:id="7"/>
    </w:p>
    <w:p w14:paraId="304719BD" w14:textId="7632AC52" w:rsidR="00BD103F" w:rsidRPr="00CF3E7E" w:rsidRDefault="005F6BB0" w:rsidP="00CF3E7E">
      <w:pPr>
        <w:spacing w:line="360" w:lineRule="auto"/>
        <w:jc w:val="both"/>
        <w:rPr>
          <w:rFonts w:ascii="Arial" w:hAnsi="Arial" w:cs="Arial"/>
        </w:rPr>
      </w:pPr>
      <w:r w:rsidRPr="00CF3E7E">
        <w:rPr>
          <w:rFonts w:ascii="Arial" w:hAnsi="Arial" w:cs="Arial"/>
        </w:rPr>
        <w:t>The commonly occurring themes based on the thematic analysis of the three chosen studies constitute four themes, which are interconnected and help understand the barriers to access to maternity services among migrant women in the UK. These are the structural, institutional, and experiential aspects of inequality</w:t>
      </w:r>
      <w:r w:rsidR="00BD103F" w:rsidRPr="00CF3E7E">
        <w:rPr>
          <w:rFonts w:ascii="Arial" w:hAnsi="Arial" w:cs="Arial"/>
        </w:rPr>
        <w:t>.</w:t>
      </w:r>
    </w:p>
    <w:p w14:paraId="32B33F8D" w14:textId="77777777" w:rsidR="00BD103F" w:rsidRPr="00CF3E7E" w:rsidRDefault="00BD103F" w:rsidP="00CF3E7E">
      <w:pPr>
        <w:pStyle w:val="Heading2"/>
        <w:spacing w:line="360" w:lineRule="auto"/>
        <w:jc w:val="both"/>
        <w:rPr>
          <w:rFonts w:ascii="Arial" w:hAnsi="Arial" w:cs="Arial"/>
          <w:i/>
          <w:iCs/>
          <w:color w:val="auto"/>
          <w:sz w:val="22"/>
          <w:szCs w:val="22"/>
        </w:rPr>
      </w:pPr>
      <w:bookmarkStart w:id="8" w:name="_Toc225278109"/>
      <w:r w:rsidRPr="00CF3E7E">
        <w:rPr>
          <w:rFonts w:ascii="Arial" w:hAnsi="Arial" w:cs="Arial"/>
          <w:i/>
          <w:iCs/>
          <w:color w:val="auto"/>
          <w:sz w:val="22"/>
          <w:szCs w:val="22"/>
        </w:rPr>
        <w:lastRenderedPageBreak/>
        <w:t>Theme 1: Structural and Legal Barriers to Access</w:t>
      </w:r>
      <w:bookmarkEnd w:id="8"/>
    </w:p>
    <w:p w14:paraId="43DB4233" w14:textId="77777777" w:rsidR="005F6BB0"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One of the overriding patterns in the literature is the role of structural and legal provisions in determining access to maternity care. The immigration status, policy on the NHS charging, and vague entitlement are major factors that influence the use of healthcare services among migrant women. According to Higginbottom et al. (2019), the financial constraint, lack of awareness regarding the entitlements, and fear related to immigration status are the factors that make many migrant women postpone the antenatal booking until a time after which it is recommended. Late booking is of special concern because it lessens the chances of early intervention and exposes women to a high chance of getting poor maternal outcomes.</w:t>
      </w:r>
    </w:p>
    <w:p w14:paraId="4D8787A7" w14:textId="77777777" w:rsidR="005F6BB0"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 xml:space="preserve">Nellums et al. (2020) shed more light on how these barriers work in </w:t>
      </w:r>
      <w:proofErr w:type="spellStart"/>
      <w:r w:rsidRPr="00CF3E7E">
        <w:rPr>
          <w:rFonts w:ascii="Arial" w:hAnsi="Arial" w:cs="Arial"/>
          <w:sz w:val="22"/>
          <w:szCs w:val="22"/>
        </w:rPr>
        <w:t>practise</w:t>
      </w:r>
      <w:proofErr w:type="spellEnd"/>
      <w:r w:rsidRPr="00CF3E7E">
        <w:rPr>
          <w:rFonts w:ascii="Arial" w:hAnsi="Arial" w:cs="Arial"/>
          <w:sz w:val="22"/>
          <w:szCs w:val="22"/>
        </w:rPr>
        <w:t xml:space="preserve">, specifically when it comes to the completely undocumented migrants. The paper underscores the way women have limited agency in which medical choices are limited due to the fear of being taken to the immigration department, the possible expense of medical care, and the lack of legal security. This leads to service avoidance, later access to care, and, in other instances, total withdrawal from </w:t>
      </w:r>
      <w:proofErr w:type="gramStart"/>
      <w:r w:rsidRPr="00CF3E7E">
        <w:rPr>
          <w:rFonts w:ascii="Arial" w:hAnsi="Arial" w:cs="Arial"/>
          <w:sz w:val="22"/>
          <w:szCs w:val="22"/>
        </w:rPr>
        <w:t>the formal</w:t>
      </w:r>
      <w:proofErr w:type="gramEnd"/>
      <w:r w:rsidRPr="00CF3E7E">
        <w:rPr>
          <w:rFonts w:ascii="Arial" w:hAnsi="Arial" w:cs="Arial"/>
          <w:sz w:val="22"/>
          <w:szCs w:val="22"/>
        </w:rPr>
        <w:t xml:space="preserve"> maternity services.</w:t>
      </w:r>
    </w:p>
    <w:p w14:paraId="05995DD5" w14:textId="3D4DD660" w:rsidR="00BD103F"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Even though Garti et al. (2021) is not UK-specific and withdrawn, it supports the larger problem of systemic failures in maternal care, especially in terms of continuation of support and access to postnatal care</w:t>
      </w:r>
      <w:r w:rsidR="00BD103F" w:rsidRPr="00CF3E7E">
        <w:rPr>
          <w:rFonts w:ascii="Arial" w:hAnsi="Arial" w:cs="Arial"/>
          <w:sz w:val="22"/>
          <w:szCs w:val="22"/>
        </w:rPr>
        <w:t>.</w:t>
      </w:r>
    </w:p>
    <w:p w14:paraId="404704B7" w14:textId="77777777" w:rsidR="005F6BB0" w:rsidRDefault="00BD103F" w:rsidP="00BD103F">
      <w:pPr>
        <w:jc w:val="both"/>
        <w:rPr>
          <w:rFonts w:ascii="Times New Roman" w:hAnsi="Times New Roman" w:cs="Times New Roman"/>
          <w:b/>
          <w:bCs/>
        </w:rPr>
      </w:pPr>
      <w:r w:rsidRPr="00BD103F">
        <w:rPr>
          <w:rFonts w:ascii="Times New Roman" w:hAnsi="Times New Roman" w:cs="Times New Roman"/>
          <w:b/>
          <w:bCs/>
        </w:rPr>
        <w:t>Critical insight:</w:t>
      </w:r>
    </w:p>
    <w:p w14:paraId="1C06CCF1" w14:textId="41A4F0CA" w:rsidR="00BD103F"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 xml:space="preserve">These results show that the choice of maternity services is not only an aspect of personal choice but is largely influenced by the state policies and legal regulations. As a determinant of healthcare access, structural exclusion, instead of individual </w:t>
      </w:r>
      <w:proofErr w:type="spellStart"/>
      <w:r w:rsidRPr="00CF3E7E">
        <w:rPr>
          <w:rFonts w:ascii="Arial" w:hAnsi="Arial" w:cs="Arial"/>
          <w:sz w:val="22"/>
          <w:szCs w:val="22"/>
        </w:rPr>
        <w:t>behaviour</w:t>
      </w:r>
      <w:proofErr w:type="spellEnd"/>
      <w:r w:rsidRPr="00CF3E7E">
        <w:rPr>
          <w:rFonts w:ascii="Arial" w:hAnsi="Arial" w:cs="Arial"/>
          <w:sz w:val="22"/>
          <w:szCs w:val="22"/>
        </w:rPr>
        <w:t>, plays a major part</w:t>
      </w:r>
      <w:r w:rsidR="00BD103F" w:rsidRPr="00CF3E7E">
        <w:rPr>
          <w:rFonts w:ascii="Arial" w:hAnsi="Arial" w:cs="Arial"/>
          <w:sz w:val="22"/>
          <w:szCs w:val="22"/>
        </w:rPr>
        <w:t>.</w:t>
      </w:r>
    </w:p>
    <w:p w14:paraId="4BF0E9BB" w14:textId="77777777" w:rsidR="00BD103F" w:rsidRPr="00CF3E7E" w:rsidRDefault="00BD103F" w:rsidP="00CF3E7E">
      <w:pPr>
        <w:pStyle w:val="Heading2"/>
        <w:spacing w:line="360" w:lineRule="auto"/>
        <w:jc w:val="both"/>
        <w:rPr>
          <w:rFonts w:ascii="Arial" w:hAnsi="Arial" w:cs="Arial"/>
          <w:i/>
          <w:iCs/>
          <w:color w:val="auto"/>
          <w:sz w:val="22"/>
          <w:szCs w:val="22"/>
        </w:rPr>
      </w:pPr>
      <w:bookmarkStart w:id="9" w:name="_Toc225278110"/>
      <w:r w:rsidRPr="00CF3E7E">
        <w:rPr>
          <w:rFonts w:ascii="Arial" w:hAnsi="Arial" w:cs="Arial"/>
          <w:i/>
          <w:iCs/>
          <w:color w:val="auto"/>
          <w:sz w:val="22"/>
          <w:szCs w:val="22"/>
        </w:rPr>
        <w:t>Theme 2: Language Barriers and Health Literacy</w:t>
      </w:r>
      <w:bookmarkEnd w:id="9"/>
    </w:p>
    <w:p w14:paraId="1968F845" w14:textId="77777777" w:rsidR="005F6BB0" w:rsidRPr="00CF3E7E" w:rsidRDefault="005F6BB0" w:rsidP="00CF3E7E">
      <w:pPr>
        <w:spacing w:line="360" w:lineRule="auto"/>
        <w:jc w:val="both"/>
        <w:rPr>
          <w:rFonts w:ascii="Arial" w:hAnsi="Arial" w:cs="Arial"/>
          <w:sz w:val="22"/>
          <w:szCs w:val="22"/>
        </w:rPr>
      </w:pPr>
      <w:r w:rsidRPr="00CF3E7E">
        <w:rPr>
          <w:rFonts w:ascii="Arial" w:hAnsi="Arial" w:cs="Arial"/>
          <w:sz w:val="22"/>
          <w:szCs w:val="22"/>
        </w:rPr>
        <w:t>The barriers that arise as major impediments to maternity care include language barriers and low health literacy. As listed by Higginbottom et al. (2019), poor English proficiency is one of the main contributors to delayed antenatal booking and inadequate awareness of the services offered. Several migrant women are not aware of the intention and significance of antenatal care, and thus, they do not appreciate health care systems.</w:t>
      </w:r>
    </w:p>
    <w:p w14:paraId="6B093D97" w14:textId="77777777" w:rsidR="005F6BB0" w:rsidRPr="009104A2" w:rsidRDefault="005F6BB0" w:rsidP="00CF3E7E">
      <w:pPr>
        <w:spacing w:line="360" w:lineRule="auto"/>
        <w:jc w:val="both"/>
        <w:rPr>
          <w:rFonts w:ascii="Arial" w:hAnsi="Arial" w:cs="Arial"/>
          <w:sz w:val="22"/>
          <w:szCs w:val="22"/>
        </w:rPr>
      </w:pPr>
      <w:r w:rsidRPr="00CF3E7E">
        <w:rPr>
          <w:rFonts w:ascii="Arial" w:hAnsi="Arial" w:cs="Arial"/>
          <w:sz w:val="22"/>
          <w:szCs w:val="22"/>
        </w:rPr>
        <w:t xml:space="preserve">Nellums et al. (2020) also </w:t>
      </w:r>
      <w:proofErr w:type="spellStart"/>
      <w:r w:rsidRPr="00CF3E7E">
        <w:rPr>
          <w:rFonts w:ascii="Arial" w:hAnsi="Arial" w:cs="Arial"/>
          <w:sz w:val="22"/>
          <w:szCs w:val="22"/>
        </w:rPr>
        <w:t>emphasise</w:t>
      </w:r>
      <w:proofErr w:type="spellEnd"/>
      <w:r w:rsidRPr="00CF3E7E">
        <w:rPr>
          <w:rFonts w:ascii="Arial" w:hAnsi="Arial" w:cs="Arial"/>
          <w:sz w:val="22"/>
          <w:szCs w:val="22"/>
        </w:rPr>
        <w:t xml:space="preserve"> that the problem of communication challenges overlaps with other susceptibilities, such as fear and </w:t>
      </w:r>
      <w:proofErr w:type="spellStart"/>
      <w:r w:rsidRPr="00CF3E7E">
        <w:rPr>
          <w:rFonts w:ascii="Arial" w:hAnsi="Arial" w:cs="Arial"/>
          <w:sz w:val="22"/>
          <w:szCs w:val="22"/>
        </w:rPr>
        <w:t>marginalisation</w:t>
      </w:r>
      <w:proofErr w:type="spellEnd"/>
      <w:r w:rsidRPr="00CF3E7E">
        <w:rPr>
          <w:rFonts w:ascii="Arial" w:hAnsi="Arial" w:cs="Arial"/>
          <w:sz w:val="22"/>
          <w:szCs w:val="22"/>
        </w:rPr>
        <w:t xml:space="preserve">. Women complained of not being able to articulate their needs, comprehend medical guidance and deal with complicated healthcare </w:t>
      </w:r>
      <w:r w:rsidRPr="00CF3E7E">
        <w:rPr>
          <w:rFonts w:ascii="Arial" w:hAnsi="Arial" w:cs="Arial"/>
          <w:sz w:val="22"/>
          <w:szCs w:val="22"/>
        </w:rPr>
        <w:lastRenderedPageBreak/>
        <w:t xml:space="preserve">structures. Even where such services as </w:t>
      </w:r>
      <w:proofErr w:type="gramStart"/>
      <w:r w:rsidRPr="00CF3E7E">
        <w:rPr>
          <w:rFonts w:ascii="Arial" w:hAnsi="Arial" w:cs="Arial"/>
          <w:sz w:val="22"/>
          <w:szCs w:val="22"/>
        </w:rPr>
        <w:t>interpreter</w:t>
      </w:r>
      <w:proofErr w:type="gramEnd"/>
      <w:r w:rsidRPr="00CF3E7E">
        <w:rPr>
          <w:rFonts w:ascii="Arial" w:hAnsi="Arial" w:cs="Arial"/>
          <w:sz w:val="22"/>
          <w:szCs w:val="22"/>
        </w:rPr>
        <w:t xml:space="preserve"> are provided, the absence of trust,</w:t>
      </w:r>
      <w:r w:rsidRPr="005F6BB0">
        <w:rPr>
          <w:rFonts w:ascii="Times New Roman" w:hAnsi="Times New Roman" w:cs="Times New Roman"/>
        </w:rPr>
        <w:t xml:space="preserve"> </w:t>
      </w:r>
      <w:r w:rsidRPr="009104A2">
        <w:rPr>
          <w:rFonts w:ascii="Arial" w:hAnsi="Arial" w:cs="Arial"/>
          <w:sz w:val="22"/>
          <w:szCs w:val="22"/>
        </w:rPr>
        <w:t>confidentiality, and inconsistent availability are among the factors that undermine their effectiveness.</w:t>
      </w:r>
    </w:p>
    <w:p w14:paraId="2AB68BE4" w14:textId="1C819D9E" w:rsidR="00BD103F" w:rsidRPr="009104A2" w:rsidRDefault="005F6BB0" w:rsidP="005F6BB0">
      <w:pPr>
        <w:jc w:val="both"/>
        <w:rPr>
          <w:rFonts w:ascii="Arial" w:hAnsi="Arial" w:cs="Arial"/>
          <w:sz w:val="22"/>
          <w:szCs w:val="22"/>
        </w:rPr>
      </w:pPr>
      <w:r w:rsidRPr="009104A2">
        <w:rPr>
          <w:rFonts w:ascii="Arial" w:hAnsi="Arial" w:cs="Arial"/>
          <w:sz w:val="22"/>
          <w:szCs w:val="22"/>
        </w:rPr>
        <w:t xml:space="preserve">The barriers are not limited to communication, but </w:t>
      </w:r>
      <w:proofErr w:type="gramStart"/>
      <w:r w:rsidRPr="009104A2">
        <w:rPr>
          <w:rFonts w:ascii="Arial" w:hAnsi="Arial" w:cs="Arial"/>
          <w:sz w:val="22"/>
          <w:szCs w:val="22"/>
        </w:rPr>
        <w:t>they</w:t>
      </w:r>
      <w:proofErr w:type="gramEnd"/>
      <w:r w:rsidRPr="009104A2">
        <w:rPr>
          <w:rFonts w:ascii="Arial" w:hAnsi="Arial" w:cs="Arial"/>
          <w:sz w:val="22"/>
          <w:szCs w:val="22"/>
        </w:rPr>
        <w:t xml:space="preserve"> are wider concerns of health literacy. Migrant women might lack knowledge of the way the NHS works, such as the referral routes, the appointment procedures, and the services offered</w:t>
      </w:r>
      <w:r w:rsidR="00BD103F" w:rsidRPr="009104A2">
        <w:rPr>
          <w:rFonts w:ascii="Arial" w:hAnsi="Arial" w:cs="Arial"/>
          <w:sz w:val="22"/>
          <w:szCs w:val="22"/>
        </w:rPr>
        <w:t>.</w:t>
      </w:r>
    </w:p>
    <w:p w14:paraId="15A58D47" w14:textId="77777777" w:rsidR="005F6BB0" w:rsidRPr="009104A2" w:rsidRDefault="00BD103F" w:rsidP="00BD103F">
      <w:pPr>
        <w:jc w:val="both"/>
        <w:rPr>
          <w:rFonts w:ascii="Arial" w:hAnsi="Arial" w:cs="Arial"/>
          <w:b/>
          <w:bCs/>
          <w:sz w:val="22"/>
          <w:szCs w:val="22"/>
        </w:rPr>
      </w:pPr>
      <w:r w:rsidRPr="009104A2">
        <w:rPr>
          <w:rFonts w:ascii="Arial" w:hAnsi="Arial" w:cs="Arial"/>
          <w:b/>
          <w:bCs/>
          <w:sz w:val="22"/>
          <w:szCs w:val="22"/>
        </w:rPr>
        <w:t>Critical insight:</w:t>
      </w:r>
    </w:p>
    <w:p w14:paraId="77ED727D" w14:textId="105F077A" w:rsidR="00BD103F" w:rsidRPr="009104A2" w:rsidRDefault="005F6BB0" w:rsidP="00BD103F">
      <w:pPr>
        <w:jc w:val="both"/>
        <w:rPr>
          <w:rFonts w:ascii="Arial" w:hAnsi="Arial" w:cs="Arial"/>
          <w:sz w:val="22"/>
          <w:szCs w:val="22"/>
        </w:rPr>
      </w:pPr>
      <w:r w:rsidRPr="009104A2">
        <w:rPr>
          <w:rFonts w:ascii="Arial" w:hAnsi="Arial" w:cs="Arial"/>
          <w:sz w:val="22"/>
          <w:szCs w:val="22"/>
        </w:rPr>
        <w:t xml:space="preserve">The reasons for language barriers must not be considered personal weaknesses but rather manifestations of structural inadequacy to deliver comprehensive and accessible communication. Inadequacy of </w:t>
      </w:r>
      <w:proofErr w:type="gramStart"/>
      <w:r w:rsidRPr="009104A2">
        <w:rPr>
          <w:rFonts w:ascii="Arial" w:hAnsi="Arial" w:cs="Arial"/>
          <w:sz w:val="22"/>
          <w:szCs w:val="22"/>
        </w:rPr>
        <w:t>culturally</w:t>
      </w:r>
      <w:proofErr w:type="gramEnd"/>
      <w:r w:rsidRPr="009104A2">
        <w:rPr>
          <w:rFonts w:ascii="Arial" w:hAnsi="Arial" w:cs="Arial"/>
          <w:sz w:val="22"/>
          <w:szCs w:val="22"/>
        </w:rPr>
        <w:t xml:space="preserve"> and linguistically competent services strengthens inequality and restricts productive health care interactions</w:t>
      </w:r>
      <w:r w:rsidR="00BD103F" w:rsidRPr="009104A2">
        <w:rPr>
          <w:rFonts w:ascii="Arial" w:hAnsi="Arial" w:cs="Arial"/>
          <w:sz w:val="22"/>
          <w:szCs w:val="22"/>
        </w:rPr>
        <w:t>.</w:t>
      </w:r>
    </w:p>
    <w:p w14:paraId="6B4E2755" w14:textId="77777777" w:rsidR="00BD103F" w:rsidRPr="009104A2" w:rsidRDefault="00BD103F" w:rsidP="00BD103F">
      <w:pPr>
        <w:pStyle w:val="Heading2"/>
        <w:jc w:val="both"/>
        <w:rPr>
          <w:rFonts w:ascii="Arial" w:hAnsi="Arial" w:cs="Arial"/>
          <w:i/>
          <w:iCs/>
          <w:color w:val="auto"/>
          <w:sz w:val="22"/>
          <w:szCs w:val="22"/>
        </w:rPr>
      </w:pPr>
      <w:bookmarkStart w:id="10" w:name="_Toc225278111"/>
      <w:r w:rsidRPr="009104A2">
        <w:rPr>
          <w:rFonts w:ascii="Arial" w:hAnsi="Arial" w:cs="Arial"/>
          <w:i/>
          <w:iCs/>
          <w:color w:val="auto"/>
          <w:sz w:val="22"/>
          <w:szCs w:val="22"/>
        </w:rPr>
        <w:t>Theme 3: Discrimination, Cultural Incongruence, and Quality of Care</w:t>
      </w:r>
      <w:bookmarkEnd w:id="10"/>
    </w:p>
    <w:p w14:paraId="3D852B4F" w14:textId="77777777" w:rsidR="008A3639" w:rsidRPr="009104A2" w:rsidRDefault="008A3639" w:rsidP="008A3639">
      <w:pPr>
        <w:jc w:val="both"/>
        <w:rPr>
          <w:rFonts w:ascii="Arial" w:hAnsi="Arial" w:cs="Arial"/>
          <w:sz w:val="22"/>
          <w:szCs w:val="22"/>
        </w:rPr>
      </w:pPr>
      <w:r w:rsidRPr="009104A2">
        <w:rPr>
          <w:rFonts w:ascii="Arial" w:hAnsi="Arial" w:cs="Arial"/>
          <w:sz w:val="22"/>
          <w:szCs w:val="22"/>
        </w:rPr>
        <w:t xml:space="preserve">Discrimination and cultural incongruence are key factors that influence the quality of the maternity care that migrant women receive. According to Higginbottom et al. (2019), other women believe they are being dismissed, insensitive, or that the healthcare professionals do not respect their cultural beliefs and </w:t>
      </w:r>
      <w:proofErr w:type="spellStart"/>
      <w:r w:rsidRPr="009104A2">
        <w:rPr>
          <w:rFonts w:ascii="Arial" w:hAnsi="Arial" w:cs="Arial"/>
          <w:sz w:val="22"/>
          <w:szCs w:val="22"/>
        </w:rPr>
        <w:t>practises</w:t>
      </w:r>
      <w:proofErr w:type="spellEnd"/>
      <w:r w:rsidRPr="009104A2">
        <w:rPr>
          <w:rFonts w:ascii="Arial" w:hAnsi="Arial" w:cs="Arial"/>
          <w:sz w:val="22"/>
          <w:szCs w:val="22"/>
        </w:rPr>
        <w:t xml:space="preserve">. These experiences are added to the feelings of </w:t>
      </w:r>
      <w:proofErr w:type="spellStart"/>
      <w:r w:rsidRPr="009104A2">
        <w:rPr>
          <w:rFonts w:ascii="Arial" w:hAnsi="Arial" w:cs="Arial"/>
          <w:sz w:val="22"/>
          <w:szCs w:val="22"/>
        </w:rPr>
        <w:t>marginalisation</w:t>
      </w:r>
      <w:proofErr w:type="spellEnd"/>
      <w:r w:rsidRPr="009104A2">
        <w:rPr>
          <w:rFonts w:ascii="Arial" w:hAnsi="Arial" w:cs="Arial"/>
          <w:sz w:val="22"/>
          <w:szCs w:val="22"/>
        </w:rPr>
        <w:t xml:space="preserve"> and dissatisfaction with care.</w:t>
      </w:r>
    </w:p>
    <w:p w14:paraId="38DB3DC8" w14:textId="77777777" w:rsidR="008A3639" w:rsidRPr="009104A2" w:rsidRDefault="008A3639" w:rsidP="008A3639">
      <w:pPr>
        <w:jc w:val="both"/>
        <w:rPr>
          <w:rFonts w:ascii="Arial" w:hAnsi="Arial" w:cs="Arial"/>
          <w:sz w:val="22"/>
          <w:szCs w:val="22"/>
        </w:rPr>
      </w:pPr>
      <w:r w:rsidRPr="009104A2">
        <w:rPr>
          <w:rFonts w:ascii="Arial" w:hAnsi="Arial" w:cs="Arial"/>
          <w:sz w:val="22"/>
          <w:szCs w:val="22"/>
        </w:rPr>
        <w:t>The lack of cultural congruence between the healthcare systems and expectations of the patients makes care experiences even more complex. The discrepancies in the beliefs regarding pregnancy, childbirth, and medical interventions may result in misunderstandings and a lack of trust. Although a few positive outcomes have been noted, especially where healthcare providers were culturally sensitive, they were not uniform.</w:t>
      </w:r>
    </w:p>
    <w:p w14:paraId="00E887FD" w14:textId="5684DA23" w:rsidR="00BD103F" w:rsidRPr="009104A2" w:rsidRDefault="008A3639" w:rsidP="008A3639">
      <w:pPr>
        <w:jc w:val="both"/>
        <w:rPr>
          <w:rFonts w:ascii="Arial" w:hAnsi="Arial" w:cs="Arial"/>
          <w:sz w:val="22"/>
          <w:szCs w:val="22"/>
        </w:rPr>
      </w:pPr>
      <w:r w:rsidRPr="009104A2">
        <w:rPr>
          <w:rFonts w:ascii="Arial" w:hAnsi="Arial" w:cs="Arial"/>
          <w:sz w:val="22"/>
          <w:szCs w:val="22"/>
        </w:rPr>
        <w:t xml:space="preserve">Nellums et al. (2020) develop this discussion by </w:t>
      </w:r>
      <w:proofErr w:type="spellStart"/>
      <w:r w:rsidRPr="009104A2">
        <w:rPr>
          <w:rFonts w:ascii="Arial" w:hAnsi="Arial" w:cs="Arial"/>
          <w:sz w:val="22"/>
          <w:szCs w:val="22"/>
        </w:rPr>
        <w:t>emphasising</w:t>
      </w:r>
      <w:proofErr w:type="spellEnd"/>
      <w:r w:rsidRPr="009104A2">
        <w:rPr>
          <w:rFonts w:ascii="Arial" w:hAnsi="Arial" w:cs="Arial"/>
          <w:sz w:val="22"/>
          <w:szCs w:val="22"/>
        </w:rPr>
        <w:t xml:space="preserve"> the intersection of discrimination and legal and social vulnerabilities. Women reported feelings of </w:t>
      </w:r>
      <w:proofErr w:type="spellStart"/>
      <w:r w:rsidRPr="009104A2">
        <w:rPr>
          <w:rFonts w:ascii="Arial" w:hAnsi="Arial" w:cs="Arial"/>
          <w:sz w:val="22"/>
          <w:szCs w:val="22"/>
        </w:rPr>
        <w:t>stigmatisation</w:t>
      </w:r>
      <w:proofErr w:type="spellEnd"/>
      <w:r w:rsidRPr="009104A2">
        <w:rPr>
          <w:rFonts w:ascii="Arial" w:hAnsi="Arial" w:cs="Arial"/>
          <w:sz w:val="22"/>
          <w:szCs w:val="22"/>
        </w:rPr>
        <w:t xml:space="preserve"> that were connected either to being an immigrant or their perceived discrimination in the healthcare environments. Such experiences are associated with the unwillingness to address care and </w:t>
      </w:r>
      <w:proofErr w:type="spellStart"/>
      <w:r w:rsidRPr="009104A2">
        <w:rPr>
          <w:rFonts w:ascii="Arial" w:hAnsi="Arial" w:cs="Arial"/>
          <w:sz w:val="22"/>
          <w:szCs w:val="22"/>
        </w:rPr>
        <w:t>emphasise</w:t>
      </w:r>
      <w:proofErr w:type="spellEnd"/>
      <w:r w:rsidRPr="009104A2">
        <w:rPr>
          <w:rFonts w:ascii="Arial" w:hAnsi="Arial" w:cs="Arial"/>
          <w:sz w:val="22"/>
          <w:szCs w:val="22"/>
        </w:rPr>
        <w:t xml:space="preserve"> the tendencies of exclusion</w:t>
      </w:r>
      <w:r w:rsidR="00BD103F" w:rsidRPr="009104A2">
        <w:rPr>
          <w:rFonts w:ascii="Arial" w:hAnsi="Arial" w:cs="Arial"/>
          <w:sz w:val="22"/>
          <w:szCs w:val="22"/>
        </w:rPr>
        <w:t>.</w:t>
      </w:r>
    </w:p>
    <w:p w14:paraId="4BB961E9" w14:textId="77777777" w:rsidR="008A3639" w:rsidRPr="009104A2" w:rsidRDefault="00BD103F" w:rsidP="00BD103F">
      <w:pPr>
        <w:jc w:val="both"/>
        <w:rPr>
          <w:rFonts w:ascii="Arial" w:hAnsi="Arial" w:cs="Arial"/>
          <w:b/>
          <w:bCs/>
          <w:sz w:val="22"/>
          <w:szCs w:val="22"/>
        </w:rPr>
      </w:pPr>
      <w:r w:rsidRPr="009104A2">
        <w:rPr>
          <w:rFonts w:ascii="Arial" w:hAnsi="Arial" w:cs="Arial"/>
          <w:b/>
          <w:bCs/>
          <w:sz w:val="22"/>
          <w:szCs w:val="22"/>
        </w:rPr>
        <w:t>Link to broader theory:</w:t>
      </w:r>
    </w:p>
    <w:p w14:paraId="17C81525" w14:textId="525108DB" w:rsidR="00BD103F" w:rsidRPr="009104A2" w:rsidRDefault="008A3639" w:rsidP="00BD103F">
      <w:pPr>
        <w:jc w:val="both"/>
        <w:rPr>
          <w:rFonts w:ascii="Arial" w:hAnsi="Arial" w:cs="Arial"/>
          <w:sz w:val="22"/>
          <w:szCs w:val="22"/>
        </w:rPr>
      </w:pPr>
      <w:r w:rsidRPr="009104A2">
        <w:rPr>
          <w:rFonts w:ascii="Arial" w:hAnsi="Arial" w:cs="Arial"/>
          <w:sz w:val="22"/>
          <w:szCs w:val="22"/>
        </w:rPr>
        <w:t xml:space="preserve">These results are consistent with Devakumar et al. (2020), who state that racism and discrimination are </w:t>
      </w:r>
      <w:proofErr w:type="spellStart"/>
      <w:r w:rsidRPr="009104A2">
        <w:rPr>
          <w:rFonts w:ascii="Arial" w:hAnsi="Arial" w:cs="Arial"/>
          <w:sz w:val="22"/>
          <w:szCs w:val="22"/>
        </w:rPr>
        <w:t>institutionalised</w:t>
      </w:r>
      <w:proofErr w:type="spellEnd"/>
      <w:r w:rsidRPr="009104A2">
        <w:rPr>
          <w:rFonts w:ascii="Arial" w:hAnsi="Arial" w:cs="Arial"/>
          <w:sz w:val="22"/>
          <w:szCs w:val="22"/>
        </w:rPr>
        <w:t xml:space="preserve"> in health care systems and determine access to health care and quality of care. Structural racism does not happen by discrimination alone, but also by </w:t>
      </w:r>
      <w:proofErr w:type="spellStart"/>
      <w:r w:rsidRPr="009104A2">
        <w:rPr>
          <w:rFonts w:ascii="Arial" w:hAnsi="Arial" w:cs="Arial"/>
          <w:sz w:val="22"/>
          <w:szCs w:val="22"/>
        </w:rPr>
        <w:t>institutionalised</w:t>
      </w:r>
      <w:proofErr w:type="spellEnd"/>
      <w:r w:rsidRPr="009104A2">
        <w:rPr>
          <w:rFonts w:ascii="Arial" w:hAnsi="Arial" w:cs="Arial"/>
          <w:sz w:val="22"/>
          <w:szCs w:val="22"/>
        </w:rPr>
        <w:t xml:space="preserve"> patterns that do not </w:t>
      </w:r>
      <w:proofErr w:type="spellStart"/>
      <w:r w:rsidRPr="009104A2">
        <w:rPr>
          <w:rFonts w:ascii="Arial" w:hAnsi="Arial" w:cs="Arial"/>
          <w:sz w:val="22"/>
          <w:szCs w:val="22"/>
        </w:rPr>
        <w:t>recognise</w:t>
      </w:r>
      <w:proofErr w:type="spellEnd"/>
      <w:r w:rsidRPr="009104A2">
        <w:rPr>
          <w:rFonts w:ascii="Arial" w:hAnsi="Arial" w:cs="Arial"/>
          <w:sz w:val="22"/>
          <w:szCs w:val="22"/>
        </w:rPr>
        <w:t xml:space="preserve"> the various populations</w:t>
      </w:r>
      <w:r w:rsidR="00BD103F" w:rsidRPr="009104A2">
        <w:rPr>
          <w:rFonts w:ascii="Arial" w:hAnsi="Arial" w:cs="Arial"/>
          <w:sz w:val="22"/>
          <w:szCs w:val="22"/>
        </w:rPr>
        <w:t>.</w:t>
      </w:r>
    </w:p>
    <w:p w14:paraId="71DFF0D9" w14:textId="77777777" w:rsidR="00BD103F" w:rsidRPr="009104A2" w:rsidRDefault="00BD103F" w:rsidP="00BD103F">
      <w:pPr>
        <w:pStyle w:val="Heading2"/>
        <w:jc w:val="both"/>
        <w:rPr>
          <w:rFonts w:ascii="Arial" w:hAnsi="Arial" w:cs="Arial"/>
          <w:i/>
          <w:iCs/>
          <w:color w:val="auto"/>
          <w:sz w:val="22"/>
          <w:szCs w:val="22"/>
        </w:rPr>
      </w:pPr>
      <w:bookmarkStart w:id="11" w:name="_Toc225278112"/>
      <w:r w:rsidRPr="009104A2">
        <w:rPr>
          <w:rFonts w:ascii="Arial" w:hAnsi="Arial" w:cs="Arial"/>
          <w:i/>
          <w:iCs/>
          <w:color w:val="auto"/>
          <w:sz w:val="22"/>
          <w:szCs w:val="22"/>
        </w:rPr>
        <w:t>Theme 4: Psychosocial Vulnerability and Precarity</w:t>
      </w:r>
      <w:bookmarkEnd w:id="11"/>
    </w:p>
    <w:p w14:paraId="6DE4AEDB" w14:textId="77777777" w:rsidR="008A3639" w:rsidRPr="009104A2" w:rsidRDefault="008A3639" w:rsidP="008A3639">
      <w:pPr>
        <w:jc w:val="both"/>
        <w:rPr>
          <w:rFonts w:ascii="Arial" w:hAnsi="Arial" w:cs="Arial"/>
          <w:sz w:val="22"/>
          <w:szCs w:val="22"/>
        </w:rPr>
      </w:pPr>
      <w:r w:rsidRPr="009104A2">
        <w:rPr>
          <w:rFonts w:ascii="Arial" w:hAnsi="Arial" w:cs="Arial"/>
          <w:sz w:val="22"/>
          <w:szCs w:val="22"/>
        </w:rPr>
        <w:t xml:space="preserve">One of the cross-cutting themes of the studies is the psychosocial vulnerability that migrant women are vulnerable to. This is what Nellums et al. (2020) term an ongoing cycle of precarity and describe as the intersection of legal insecurity, financial hardship, and social isolation, which influences the experience of maternity. Women showed a high degree of stress, anxiety and fear, </w:t>
      </w:r>
      <w:r w:rsidRPr="009104A2">
        <w:rPr>
          <w:rFonts w:ascii="Arial" w:hAnsi="Arial" w:cs="Arial"/>
          <w:sz w:val="22"/>
          <w:szCs w:val="22"/>
        </w:rPr>
        <w:lastRenderedPageBreak/>
        <w:t>which were often associated with fears of being deported, high medical expenses and support networks.</w:t>
      </w:r>
    </w:p>
    <w:p w14:paraId="7914EDAF" w14:textId="77777777" w:rsidR="008A3639" w:rsidRPr="009104A2" w:rsidRDefault="008A3639" w:rsidP="008A3639">
      <w:pPr>
        <w:jc w:val="both"/>
        <w:rPr>
          <w:rFonts w:ascii="Arial" w:hAnsi="Arial" w:cs="Arial"/>
          <w:sz w:val="22"/>
          <w:szCs w:val="22"/>
        </w:rPr>
      </w:pPr>
      <w:r w:rsidRPr="009104A2">
        <w:rPr>
          <w:rFonts w:ascii="Arial" w:hAnsi="Arial" w:cs="Arial"/>
          <w:sz w:val="22"/>
          <w:szCs w:val="22"/>
        </w:rPr>
        <w:t>A major cause is social isolation, since most migrant women do not have the support of their family or their community during pregnancy. This solitude is enhanced by the lack of language and communication and integration into the broader society. The problem is also enhanced by financial insecurity, which limits access to resources, including transportation, childcare, and proper nutrition.</w:t>
      </w:r>
    </w:p>
    <w:p w14:paraId="728C0103" w14:textId="1FDA89FA" w:rsidR="00BD103F" w:rsidRPr="009104A2" w:rsidRDefault="008A3639" w:rsidP="008A3639">
      <w:pPr>
        <w:jc w:val="both"/>
        <w:rPr>
          <w:rFonts w:ascii="Arial" w:hAnsi="Arial" w:cs="Arial"/>
          <w:sz w:val="22"/>
          <w:szCs w:val="22"/>
        </w:rPr>
      </w:pPr>
      <w:r w:rsidRPr="009104A2">
        <w:rPr>
          <w:rFonts w:ascii="Arial" w:hAnsi="Arial" w:cs="Arial"/>
          <w:sz w:val="22"/>
          <w:szCs w:val="22"/>
        </w:rPr>
        <w:t xml:space="preserve">Garti et al. (2021) </w:t>
      </w:r>
      <w:proofErr w:type="spellStart"/>
      <w:r w:rsidRPr="009104A2">
        <w:rPr>
          <w:rFonts w:ascii="Arial" w:hAnsi="Arial" w:cs="Arial"/>
          <w:sz w:val="22"/>
          <w:szCs w:val="22"/>
        </w:rPr>
        <w:t>emphasise</w:t>
      </w:r>
      <w:proofErr w:type="spellEnd"/>
      <w:r w:rsidRPr="009104A2">
        <w:rPr>
          <w:rFonts w:ascii="Arial" w:hAnsi="Arial" w:cs="Arial"/>
          <w:sz w:val="22"/>
          <w:szCs w:val="22"/>
        </w:rPr>
        <w:t xml:space="preserve"> the lack of support and emotional burdens; however, this occurs in the postnatal context as well, </w:t>
      </w:r>
      <w:proofErr w:type="gramStart"/>
      <w:r w:rsidRPr="009104A2">
        <w:rPr>
          <w:rFonts w:ascii="Arial" w:hAnsi="Arial" w:cs="Arial"/>
          <w:sz w:val="22"/>
          <w:szCs w:val="22"/>
        </w:rPr>
        <w:t>despite the fact that</w:t>
      </w:r>
      <w:proofErr w:type="gramEnd"/>
      <w:r w:rsidRPr="009104A2">
        <w:rPr>
          <w:rFonts w:ascii="Arial" w:hAnsi="Arial" w:cs="Arial"/>
          <w:sz w:val="22"/>
          <w:szCs w:val="22"/>
        </w:rPr>
        <w:t xml:space="preserve"> the authors are talking about other complex care needs. This strengthens the fact that maternity care should be viewed as a process that does not end with birth</w:t>
      </w:r>
      <w:r w:rsidR="00BD103F" w:rsidRPr="009104A2">
        <w:rPr>
          <w:rFonts w:ascii="Arial" w:hAnsi="Arial" w:cs="Arial"/>
          <w:sz w:val="22"/>
          <w:szCs w:val="22"/>
        </w:rPr>
        <w:t>.</w:t>
      </w:r>
    </w:p>
    <w:p w14:paraId="016D0F96" w14:textId="77777777" w:rsidR="008A3639" w:rsidRPr="009104A2" w:rsidRDefault="00BD103F" w:rsidP="00BD103F">
      <w:pPr>
        <w:jc w:val="both"/>
        <w:rPr>
          <w:rFonts w:ascii="Arial" w:hAnsi="Arial" w:cs="Arial"/>
          <w:b/>
          <w:bCs/>
          <w:sz w:val="22"/>
          <w:szCs w:val="22"/>
        </w:rPr>
      </w:pPr>
      <w:r w:rsidRPr="009104A2">
        <w:rPr>
          <w:rFonts w:ascii="Arial" w:hAnsi="Arial" w:cs="Arial"/>
          <w:b/>
          <w:bCs/>
          <w:sz w:val="22"/>
          <w:szCs w:val="22"/>
        </w:rPr>
        <w:t>Critical insight:</w:t>
      </w:r>
    </w:p>
    <w:p w14:paraId="790FE67E" w14:textId="3F9DF49D" w:rsidR="00BD103F" w:rsidRPr="009104A2" w:rsidRDefault="008A3639" w:rsidP="00BD103F">
      <w:pPr>
        <w:jc w:val="both"/>
        <w:rPr>
          <w:rFonts w:ascii="Arial" w:hAnsi="Arial" w:cs="Arial"/>
          <w:sz w:val="22"/>
          <w:szCs w:val="22"/>
        </w:rPr>
      </w:pPr>
      <w:r w:rsidRPr="009104A2">
        <w:rPr>
          <w:rFonts w:ascii="Arial" w:hAnsi="Arial" w:cs="Arial"/>
          <w:sz w:val="22"/>
          <w:szCs w:val="22"/>
        </w:rPr>
        <w:t>These data show that the combination of migration status, socioeconomic disadvantage, and gender determines maternity experiences. These are greater social determinants without which health outcomes cannot be understood</w:t>
      </w:r>
      <w:r w:rsidR="00BD103F" w:rsidRPr="009104A2">
        <w:rPr>
          <w:rFonts w:ascii="Arial" w:hAnsi="Arial" w:cs="Arial"/>
          <w:sz w:val="22"/>
          <w:szCs w:val="22"/>
        </w:rPr>
        <w:t>.</w:t>
      </w:r>
    </w:p>
    <w:p w14:paraId="720A58F9" w14:textId="4057D8F9" w:rsidR="00BD103F" w:rsidRPr="009104A2" w:rsidRDefault="008A3639" w:rsidP="008A3639">
      <w:pPr>
        <w:pStyle w:val="Caption"/>
        <w:rPr>
          <w:rFonts w:ascii="Arial" w:hAnsi="Arial" w:cs="Arial"/>
          <w:b/>
          <w:bCs/>
          <w:color w:val="auto"/>
          <w:sz w:val="22"/>
          <w:szCs w:val="22"/>
        </w:rPr>
      </w:pPr>
      <w:r w:rsidRPr="009104A2">
        <w:rPr>
          <w:rFonts w:ascii="Arial" w:hAnsi="Arial" w:cs="Arial"/>
          <w:color w:val="auto"/>
          <w:sz w:val="22"/>
          <w:szCs w:val="22"/>
        </w:rPr>
        <w:t xml:space="preserve">Table </w:t>
      </w:r>
      <w:r w:rsidRPr="009104A2">
        <w:rPr>
          <w:rFonts w:ascii="Arial" w:hAnsi="Arial" w:cs="Arial"/>
          <w:color w:val="auto"/>
          <w:sz w:val="22"/>
          <w:szCs w:val="22"/>
        </w:rPr>
        <w:fldChar w:fldCharType="begin"/>
      </w:r>
      <w:r w:rsidRPr="009104A2">
        <w:rPr>
          <w:rFonts w:ascii="Arial" w:hAnsi="Arial" w:cs="Arial"/>
          <w:color w:val="auto"/>
          <w:sz w:val="22"/>
          <w:szCs w:val="22"/>
        </w:rPr>
        <w:instrText xml:space="preserve"> SEQ Table \* ARABIC </w:instrText>
      </w:r>
      <w:r w:rsidRPr="009104A2">
        <w:rPr>
          <w:rFonts w:ascii="Arial" w:hAnsi="Arial" w:cs="Arial"/>
          <w:color w:val="auto"/>
          <w:sz w:val="22"/>
          <w:szCs w:val="22"/>
        </w:rPr>
        <w:fldChar w:fldCharType="separate"/>
      </w:r>
      <w:r w:rsidRPr="009104A2">
        <w:rPr>
          <w:rFonts w:ascii="Arial" w:hAnsi="Arial" w:cs="Arial"/>
          <w:noProof/>
          <w:color w:val="auto"/>
          <w:sz w:val="22"/>
          <w:szCs w:val="22"/>
        </w:rPr>
        <w:t>1</w:t>
      </w:r>
      <w:r w:rsidRPr="009104A2">
        <w:rPr>
          <w:rFonts w:ascii="Arial" w:hAnsi="Arial" w:cs="Arial"/>
          <w:color w:val="auto"/>
          <w:sz w:val="22"/>
          <w:szCs w:val="22"/>
        </w:rPr>
        <w:fldChar w:fldCharType="end"/>
      </w:r>
      <w:r w:rsidRPr="009104A2">
        <w:rPr>
          <w:rFonts w:ascii="Arial" w:hAnsi="Arial" w:cs="Arial"/>
          <w:color w:val="auto"/>
          <w:sz w:val="22"/>
          <w:szCs w:val="22"/>
        </w:rPr>
        <w:t>Thematic Analysis Table</w:t>
      </w:r>
    </w:p>
    <w:tbl>
      <w:tblPr>
        <w:tblStyle w:val="TableGrid"/>
        <w:tblW w:w="0" w:type="auto"/>
        <w:tblLook w:val="04A0" w:firstRow="1" w:lastRow="0" w:firstColumn="1" w:lastColumn="0" w:noHBand="0" w:noVBand="1"/>
      </w:tblPr>
      <w:tblGrid>
        <w:gridCol w:w="1983"/>
        <w:gridCol w:w="2101"/>
        <w:gridCol w:w="3025"/>
        <w:gridCol w:w="2241"/>
      </w:tblGrid>
      <w:tr w:rsidR="00BD103F" w:rsidRPr="009104A2" w14:paraId="25721746" w14:textId="77777777" w:rsidTr="00BD103F">
        <w:tc>
          <w:tcPr>
            <w:tcW w:w="0" w:type="auto"/>
            <w:hideMark/>
          </w:tcPr>
          <w:p w14:paraId="120430FC" w14:textId="77777777" w:rsidR="00BD103F" w:rsidRPr="009104A2" w:rsidRDefault="00BD103F" w:rsidP="00BD103F">
            <w:pPr>
              <w:spacing w:after="160" w:line="278" w:lineRule="auto"/>
              <w:jc w:val="both"/>
              <w:rPr>
                <w:rFonts w:ascii="Arial" w:hAnsi="Arial" w:cs="Arial"/>
                <w:b/>
                <w:bCs/>
                <w:sz w:val="22"/>
                <w:szCs w:val="22"/>
              </w:rPr>
            </w:pPr>
            <w:r w:rsidRPr="009104A2">
              <w:rPr>
                <w:rFonts w:ascii="Arial" w:hAnsi="Arial" w:cs="Arial"/>
                <w:b/>
                <w:bCs/>
                <w:sz w:val="22"/>
                <w:szCs w:val="22"/>
              </w:rPr>
              <w:t>Theme</w:t>
            </w:r>
          </w:p>
        </w:tc>
        <w:tc>
          <w:tcPr>
            <w:tcW w:w="0" w:type="auto"/>
            <w:hideMark/>
          </w:tcPr>
          <w:p w14:paraId="45D7F602" w14:textId="77777777" w:rsidR="00BD103F" w:rsidRPr="009104A2" w:rsidRDefault="00BD103F" w:rsidP="00BD103F">
            <w:pPr>
              <w:spacing w:after="160" w:line="278" w:lineRule="auto"/>
              <w:jc w:val="both"/>
              <w:rPr>
                <w:rFonts w:ascii="Arial" w:hAnsi="Arial" w:cs="Arial"/>
                <w:b/>
                <w:bCs/>
                <w:sz w:val="22"/>
                <w:szCs w:val="22"/>
              </w:rPr>
            </w:pPr>
            <w:r w:rsidRPr="009104A2">
              <w:rPr>
                <w:rFonts w:ascii="Arial" w:hAnsi="Arial" w:cs="Arial"/>
                <w:b/>
                <w:bCs/>
                <w:sz w:val="22"/>
                <w:szCs w:val="22"/>
              </w:rPr>
              <w:t>Description</w:t>
            </w:r>
          </w:p>
        </w:tc>
        <w:tc>
          <w:tcPr>
            <w:tcW w:w="0" w:type="auto"/>
            <w:hideMark/>
          </w:tcPr>
          <w:p w14:paraId="090588FD" w14:textId="77777777" w:rsidR="00BD103F" w:rsidRPr="009104A2" w:rsidRDefault="00BD103F" w:rsidP="00BD103F">
            <w:pPr>
              <w:spacing w:after="160" w:line="278" w:lineRule="auto"/>
              <w:jc w:val="both"/>
              <w:rPr>
                <w:rFonts w:ascii="Arial" w:hAnsi="Arial" w:cs="Arial"/>
                <w:b/>
                <w:bCs/>
                <w:sz w:val="22"/>
                <w:szCs w:val="22"/>
              </w:rPr>
            </w:pPr>
            <w:r w:rsidRPr="009104A2">
              <w:rPr>
                <w:rFonts w:ascii="Arial" w:hAnsi="Arial" w:cs="Arial"/>
                <w:b/>
                <w:bCs/>
                <w:sz w:val="22"/>
                <w:szCs w:val="22"/>
              </w:rPr>
              <w:t>Key Evidence</w:t>
            </w:r>
          </w:p>
        </w:tc>
        <w:tc>
          <w:tcPr>
            <w:tcW w:w="0" w:type="auto"/>
            <w:hideMark/>
          </w:tcPr>
          <w:p w14:paraId="346518B8" w14:textId="77777777" w:rsidR="00BD103F" w:rsidRPr="009104A2" w:rsidRDefault="00BD103F" w:rsidP="00BD103F">
            <w:pPr>
              <w:spacing w:after="160" w:line="278" w:lineRule="auto"/>
              <w:jc w:val="both"/>
              <w:rPr>
                <w:rFonts w:ascii="Arial" w:hAnsi="Arial" w:cs="Arial"/>
                <w:b/>
                <w:bCs/>
                <w:sz w:val="22"/>
                <w:szCs w:val="22"/>
              </w:rPr>
            </w:pPr>
            <w:r w:rsidRPr="009104A2">
              <w:rPr>
                <w:rFonts w:ascii="Arial" w:hAnsi="Arial" w:cs="Arial"/>
                <w:b/>
                <w:bCs/>
                <w:sz w:val="22"/>
                <w:szCs w:val="22"/>
              </w:rPr>
              <w:t>Interpretation</w:t>
            </w:r>
          </w:p>
        </w:tc>
      </w:tr>
      <w:tr w:rsidR="00BD103F" w:rsidRPr="009104A2" w14:paraId="1969A6C4" w14:textId="77777777" w:rsidTr="00BD103F">
        <w:tc>
          <w:tcPr>
            <w:tcW w:w="0" w:type="auto"/>
            <w:hideMark/>
          </w:tcPr>
          <w:p w14:paraId="24F39666"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b/>
                <w:bCs/>
                <w:sz w:val="22"/>
                <w:szCs w:val="22"/>
              </w:rPr>
              <w:t>Structural and Legal Barriers</w:t>
            </w:r>
          </w:p>
        </w:tc>
        <w:tc>
          <w:tcPr>
            <w:tcW w:w="0" w:type="auto"/>
            <w:hideMark/>
          </w:tcPr>
          <w:p w14:paraId="2FDD82D9"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Immigration status, NHS charging, and entitlement restrictions limit access</w:t>
            </w:r>
          </w:p>
        </w:tc>
        <w:tc>
          <w:tcPr>
            <w:tcW w:w="0" w:type="auto"/>
            <w:hideMark/>
          </w:tcPr>
          <w:p w14:paraId="5FF196B9"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Delayed antenatal care and lack of entitlement awareness (Higginbottom et al., 2019); restricted agency and fear of deportation (Nellums et al., 2020)</w:t>
            </w:r>
          </w:p>
        </w:tc>
        <w:tc>
          <w:tcPr>
            <w:tcW w:w="0" w:type="auto"/>
            <w:hideMark/>
          </w:tcPr>
          <w:p w14:paraId="52301385"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Access is shaped by legal and policy frameworks rather than individual choice</w:t>
            </w:r>
          </w:p>
        </w:tc>
      </w:tr>
      <w:tr w:rsidR="00BD103F" w:rsidRPr="009104A2" w14:paraId="09473785" w14:textId="77777777" w:rsidTr="00BD103F">
        <w:tc>
          <w:tcPr>
            <w:tcW w:w="0" w:type="auto"/>
            <w:hideMark/>
          </w:tcPr>
          <w:p w14:paraId="052F71B1"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b/>
                <w:bCs/>
                <w:sz w:val="22"/>
                <w:szCs w:val="22"/>
              </w:rPr>
              <w:t>Language Barriers and Health Literacy</w:t>
            </w:r>
          </w:p>
        </w:tc>
        <w:tc>
          <w:tcPr>
            <w:tcW w:w="0" w:type="auto"/>
            <w:hideMark/>
          </w:tcPr>
          <w:p w14:paraId="08294788"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Limited English proficiency and poor understanding of services</w:t>
            </w:r>
          </w:p>
        </w:tc>
        <w:tc>
          <w:tcPr>
            <w:tcW w:w="0" w:type="auto"/>
            <w:hideMark/>
          </w:tcPr>
          <w:p w14:paraId="32A9D0AC"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Misunderstanding of care and delayed booking (Higginbottom et al., 2019); communication difficulties (Nellums et al., 2020)</w:t>
            </w:r>
          </w:p>
        </w:tc>
        <w:tc>
          <w:tcPr>
            <w:tcW w:w="0" w:type="auto"/>
            <w:hideMark/>
          </w:tcPr>
          <w:p w14:paraId="37B72D07"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Reflects systemic failure in inclusive communication</w:t>
            </w:r>
          </w:p>
        </w:tc>
      </w:tr>
      <w:tr w:rsidR="00BD103F" w:rsidRPr="009104A2" w14:paraId="0B88298F" w14:textId="77777777" w:rsidTr="00BD103F">
        <w:tc>
          <w:tcPr>
            <w:tcW w:w="0" w:type="auto"/>
            <w:hideMark/>
          </w:tcPr>
          <w:p w14:paraId="0C2991DB"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b/>
                <w:bCs/>
                <w:sz w:val="22"/>
                <w:szCs w:val="22"/>
              </w:rPr>
              <w:t>Discrimination and Cultural Incongruence</w:t>
            </w:r>
          </w:p>
        </w:tc>
        <w:tc>
          <w:tcPr>
            <w:tcW w:w="0" w:type="auto"/>
            <w:hideMark/>
          </w:tcPr>
          <w:p w14:paraId="31CD3C4D"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Experiences of racism, disrespect, and lack of culturally sensitive care</w:t>
            </w:r>
          </w:p>
        </w:tc>
        <w:tc>
          <w:tcPr>
            <w:tcW w:w="0" w:type="auto"/>
            <w:hideMark/>
          </w:tcPr>
          <w:p w14:paraId="298F233A"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Perceived discrimination and cultural mismatch (Higginbottom et al., 2019); stigma and bias (Nellums et al., 2020)</w:t>
            </w:r>
          </w:p>
        </w:tc>
        <w:tc>
          <w:tcPr>
            <w:tcW w:w="0" w:type="auto"/>
            <w:hideMark/>
          </w:tcPr>
          <w:p w14:paraId="734725F5"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Indicates institutional bias and structural racism</w:t>
            </w:r>
          </w:p>
        </w:tc>
      </w:tr>
      <w:tr w:rsidR="00BD103F" w:rsidRPr="009104A2" w14:paraId="723A1E0D" w14:textId="77777777" w:rsidTr="00BD103F">
        <w:tc>
          <w:tcPr>
            <w:tcW w:w="0" w:type="auto"/>
            <w:hideMark/>
          </w:tcPr>
          <w:p w14:paraId="01AF08AD"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b/>
                <w:bCs/>
                <w:sz w:val="22"/>
                <w:szCs w:val="22"/>
              </w:rPr>
              <w:t>Psychosocial Vulnerability and Precarity</w:t>
            </w:r>
          </w:p>
        </w:tc>
        <w:tc>
          <w:tcPr>
            <w:tcW w:w="0" w:type="auto"/>
            <w:hideMark/>
          </w:tcPr>
          <w:p w14:paraId="32EC9164"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Fear, isolation, financial insecurity, and stress</w:t>
            </w:r>
          </w:p>
        </w:tc>
        <w:tc>
          <w:tcPr>
            <w:tcW w:w="0" w:type="auto"/>
            <w:hideMark/>
          </w:tcPr>
          <w:p w14:paraId="38927A2E"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“Cycle of precarity” and intersecting stressors (Nellums et al., 2020); emotional burden (Garti et al., 2021)</w:t>
            </w:r>
          </w:p>
        </w:tc>
        <w:tc>
          <w:tcPr>
            <w:tcW w:w="0" w:type="auto"/>
            <w:hideMark/>
          </w:tcPr>
          <w:p w14:paraId="666600D0" w14:textId="77777777" w:rsidR="00BD103F" w:rsidRPr="009104A2" w:rsidRDefault="00BD103F" w:rsidP="00BD103F">
            <w:pPr>
              <w:spacing w:after="160" w:line="278" w:lineRule="auto"/>
              <w:jc w:val="both"/>
              <w:rPr>
                <w:rFonts w:ascii="Arial" w:hAnsi="Arial" w:cs="Arial"/>
                <w:sz w:val="22"/>
                <w:szCs w:val="22"/>
              </w:rPr>
            </w:pPr>
            <w:r w:rsidRPr="009104A2">
              <w:rPr>
                <w:rFonts w:ascii="Arial" w:hAnsi="Arial" w:cs="Arial"/>
                <w:sz w:val="22"/>
                <w:szCs w:val="22"/>
              </w:rPr>
              <w:t>Highlights intersectionality of migration, poverty, and gender</w:t>
            </w:r>
          </w:p>
        </w:tc>
      </w:tr>
    </w:tbl>
    <w:p w14:paraId="3A9FC78B" w14:textId="28416128" w:rsidR="00BD103F" w:rsidRPr="009104A2" w:rsidRDefault="00BD103F" w:rsidP="00BD103F">
      <w:pPr>
        <w:jc w:val="both"/>
        <w:rPr>
          <w:rFonts w:ascii="Arial" w:hAnsi="Arial" w:cs="Arial"/>
          <w:sz w:val="22"/>
          <w:szCs w:val="22"/>
        </w:rPr>
      </w:pPr>
    </w:p>
    <w:p w14:paraId="1EB6EBDA" w14:textId="6BC031A5" w:rsidR="00BD103F" w:rsidRPr="009104A2" w:rsidRDefault="008A3639" w:rsidP="009104A2">
      <w:pPr>
        <w:spacing w:line="360" w:lineRule="auto"/>
        <w:jc w:val="both"/>
        <w:rPr>
          <w:rFonts w:ascii="Arial" w:hAnsi="Arial" w:cs="Arial"/>
          <w:sz w:val="22"/>
          <w:szCs w:val="22"/>
        </w:rPr>
      </w:pPr>
      <w:r w:rsidRPr="009104A2">
        <w:rPr>
          <w:rFonts w:ascii="Arial" w:hAnsi="Arial" w:cs="Arial"/>
          <w:sz w:val="22"/>
          <w:szCs w:val="22"/>
        </w:rPr>
        <w:t>Generally, the thematic analysis shows that obstacles to maternity care lie very deep in structural, institutional, and social systems. The barriers are related to each other and support each other, thus resulting in cumulative disadvantage to migrant women</w:t>
      </w:r>
      <w:r w:rsidR="00BD103F" w:rsidRPr="009104A2">
        <w:rPr>
          <w:rFonts w:ascii="Arial" w:hAnsi="Arial" w:cs="Arial"/>
          <w:sz w:val="22"/>
          <w:szCs w:val="22"/>
        </w:rPr>
        <w:t>.</w:t>
      </w:r>
    </w:p>
    <w:p w14:paraId="03298760" w14:textId="79A70013" w:rsidR="00BD103F" w:rsidRPr="009104A2" w:rsidRDefault="00BD103F" w:rsidP="00BD103F">
      <w:pPr>
        <w:pStyle w:val="Heading1"/>
        <w:jc w:val="both"/>
        <w:rPr>
          <w:rFonts w:ascii="Arial" w:hAnsi="Arial" w:cs="Arial"/>
          <w:b/>
          <w:bCs/>
          <w:color w:val="auto"/>
          <w:sz w:val="22"/>
          <w:szCs w:val="22"/>
        </w:rPr>
      </w:pPr>
      <w:bookmarkStart w:id="12" w:name="_Toc225278113"/>
      <w:r w:rsidRPr="009104A2">
        <w:rPr>
          <w:rFonts w:ascii="Arial" w:hAnsi="Arial" w:cs="Arial"/>
          <w:b/>
          <w:bCs/>
          <w:color w:val="auto"/>
          <w:sz w:val="22"/>
          <w:szCs w:val="22"/>
        </w:rPr>
        <w:t>4. Discussion</w:t>
      </w:r>
      <w:bookmarkEnd w:id="12"/>
    </w:p>
    <w:p w14:paraId="6B3B16A2" w14:textId="77777777" w:rsidR="00BD103F" w:rsidRPr="009104A2" w:rsidRDefault="00BD103F" w:rsidP="00BD103F">
      <w:pPr>
        <w:pStyle w:val="Heading2"/>
        <w:rPr>
          <w:rFonts w:ascii="Arial" w:hAnsi="Arial" w:cs="Arial"/>
          <w:i/>
          <w:iCs/>
          <w:color w:val="auto"/>
          <w:sz w:val="22"/>
          <w:szCs w:val="22"/>
        </w:rPr>
      </w:pPr>
      <w:bookmarkStart w:id="13" w:name="_Toc225278114"/>
      <w:r w:rsidRPr="009104A2">
        <w:rPr>
          <w:rFonts w:ascii="Arial" w:hAnsi="Arial" w:cs="Arial"/>
          <w:i/>
          <w:iCs/>
          <w:color w:val="auto"/>
          <w:sz w:val="22"/>
          <w:szCs w:val="22"/>
        </w:rPr>
        <w:t>4.1 Linking Findings to UK Policy Context</w:t>
      </w:r>
      <w:bookmarkEnd w:id="13"/>
    </w:p>
    <w:p w14:paraId="3275DD04" w14:textId="705C0ACC" w:rsidR="008A3639"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This research study demonstrates that there is a stark lack of touch with the realities of migrant women in the UK maternity policy frameworks. National guidance by the National Institute for Health and Care Excellence (NICE, 2021) also highlights the need to book antenatal care as early as 10 weeks into </w:t>
      </w:r>
      <w:r w:rsidR="00204E4E" w:rsidRPr="009104A2">
        <w:rPr>
          <w:rFonts w:ascii="Arial" w:hAnsi="Arial" w:cs="Arial"/>
          <w:sz w:val="22"/>
          <w:szCs w:val="22"/>
        </w:rPr>
        <w:t>pregnancy</w:t>
      </w:r>
      <w:r w:rsidRPr="009104A2">
        <w:rPr>
          <w:rFonts w:ascii="Arial" w:hAnsi="Arial" w:cs="Arial"/>
          <w:sz w:val="22"/>
          <w:szCs w:val="22"/>
        </w:rPr>
        <w:t xml:space="preserve"> to guarantee prompt screening, identification of risks and continuity of care. Nevertheless, the thematic analysis reveals that migrant females often start care later than advised because of the structural, linguistic, and legal obstacles (Higginbottom et al., 2019; Nellums et al., 2020).</w:t>
      </w:r>
    </w:p>
    <w:p w14:paraId="0162DDAA" w14:textId="746FB307"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Such disparity between policy and </w:t>
      </w:r>
      <w:proofErr w:type="spellStart"/>
      <w:r w:rsidRPr="009104A2">
        <w:rPr>
          <w:rFonts w:ascii="Arial" w:hAnsi="Arial" w:cs="Arial"/>
          <w:sz w:val="22"/>
          <w:szCs w:val="22"/>
        </w:rPr>
        <w:t>practise</w:t>
      </w:r>
      <w:proofErr w:type="spellEnd"/>
      <w:r w:rsidRPr="009104A2">
        <w:rPr>
          <w:rFonts w:ascii="Arial" w:hAnsi="Arial" w:cs="Arial"/>
          <w:sz w:val="22"/>
          <w:szCs w:val="22"/>
        </w:rPr>
        <w:t xml:space="preserve"> is also manifested in national service data published by NHS England (2019), which shows that there are differences in service </w:t>
      </w:r>
      <w:proofErr w:type="spellStart"/>
      <w:r w:rsidRPr="009104A2">
        <w:rPr>
          <w:rFonts w:ascii="Arial" w:hAnsi="Arial" w:cs="Arial"/>
          <w:sz w:val="22"/>
          <w:szCs w:val="22"/>
        </w:rPr>
        <w:t>utilisation</w:t>
      </w:r>
      <w:proofErr w:type="spellEnd"/>
      <w:r w:rsidRPr="009104A2">
        <w:rPr>
          <w:rFonts w:ascii="Arial" w:hAnsi="Arial" w:cs="Arial"/>
          <w:sz w:val="22"/>
          <w:szCs w:val="22"/>
        </w:rPr>
        <w:t xml:space="preserve"> across vulnerable groups, and migrant groups are no exception. Although the NHS is based on the principles of universal access, the results indicate that the given principles do not always find their </w:t>
      </w:r>
      <w:proofErr w:type="gramStart"/>
      <w:r w:rsidRPr="009104A2">
        <w:rPr>
          <w:rFonts w:ascii="Arial" w:hAnsi="Arial" w:cs="Arial"/>
          <w:sz w:val="22"/>
          <w:szCs w:val="22"/>
        </w:rPr>
        <w:t>reflection in reality</w:t>
      </w:r>
      <w:proofErr w:type="gramEnd"/>
      <w:r w:rsidRPr="009104A2">
        <w:rPr>
          <w:rFonts w:ascii="Arial" w:hAnsi="Arial" w:cs="Arial"/>
          <w:sz w:val="22"/>
          <w:szCs w:val="22"/>
        </w:rPr>
        <w:t>. Rather, external forces mediate access, including immigration policy, administrative complexity and communication barriers, which have a disproportionate impact on migrant women</w:t>
      </w:r>
      <w:r w:rsidR="00BD103F" w:rsidRPr="009104A2">
        <w:rPr>
          <w:rFonts w:ascii="Arial" w:hAnsi="Arial" w:cs="Arial"/>
          <w:sz w:val="22"/>
          <w:szCs w:val="22"/>
        </w:rPr>
        <w:t>.</w:t>
      </w:r>
    </w:p>
    <w:p w14:paraId="48DE6DD7" w14:textId="77777777" w:rsidR="00BD103F" w:rsidRPr="009104A2" w:rsidRDefault="00BD103F" w:rsidP="002E033D">
      <w:pPr>
        <w:pStyle w:val="Heading2"/>
        <w:spacing w:line="360" w:lineRule="auto"/>
        <w:jc w:val="both"/>
        <w:rPr>
          <w:rFonts w:ascii="Arial" w:hAnsi="Arial" w:cs="Arial"/>
          <w:i/>
          <w:iCs/>
          <w:color w:val="auto"/>
          <w:sz w:val="22"/>
          <w:szCs w:val="22"/>
        </w:rPr>
      </w:pPr>
      <w:bookmarkStart w:id="14" w:name="_Toc225278115"/>
      <w:r w:rsidRPr="009104A2">
        <w:rPr>
          <w:rFonts w:ascii="Arial" w:hAnsi="Arial" w:cs="Arial"/>
          <w:i/>
          <w:iCs/>
          <w:color w:val="auto"/>
          <w:sz w:val="22"/>
          <w:szCs w:val="22"/>
        </w:rPr>
        <w:t>4.2 Structural Inequalities and Health Outcomes</w:t>
      </w:r>
      <w:bookmarkEnd w:id="14"/>
    </w:p>
    <w:p w14:paraId="3FC6351B" w14:textId="77777777" w:rsidR="008A3639"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The findings generated structural barriers that have direct implications for maternal health outcomes. MBRRACE-UK (2025) evidence has shown that migrant and minority ethnic women are at a very high risk of maternal mortality and morbidity compared to women born in the UK. These inequalities are not just due to personal </w:t>
      </w:r>
      <w:proofErr w:type="spellStart"/>
      <w:r w:rsidRPr="009104A2">
        <w:rPr>
          <w:rFonts w:ascii="Arial" w:hAnsi="Arial" w:cs="Arial"/>
          <w:sz w:val="22"/>
          <w:szCs w:val="22"/>
        </w:rPr>
        <w:t>behaviours</w:t>
      </w:r>
      <w:proofErr w:type="spellEnd"/>
      <w:r w:rsidRPr="009104A2">
        <w:rPr>
          <w:rFonts w:ascii="Arial" w:hAnsi="Arial" w:cs="Arial"/>
          <w:sz w:val="22"/>
          <w:szCs w:val="22"/>
        </w:rPr>
        <w:t xml:space="preserve"> or clinical risk factors, but they have a very strong relationship with the late access to care, less continuity of services, as well as systemic exclusion.</w:t>
      </w:r>
    </w:p>
    <w:p w14:paraId="62AD2046" w14:textId="651B9F12"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The results of the research support the thesis that the inequality of maternity care is pervasive. Healthcare access is influenced by legal limitations, economic considerations and </w:t>
      </w:r>
      <w:proofErr w:type="spellStart"/>
      <w:r w:rsidRPr="009104A2">
        <w:rPr>
          <w:rFonts w:ascii="Arial" w:hAnsi="Arial" w:cs="Arial"/>
          <w:sz w:val="22"/>
          <w:szCs w:val="22"/>
        </w:rPr>
        <w:t>institutionalised</w:t>
      </w:r>
      <w:proofErr w:type="spellEnd"/>
      <w:r w:rsidRPr="009104A2">
        <w:rPr>
          <w:rFonts w:ascii="Arial" w:hAnsi="Arial" w:cs="Arial"/>
          <w:sz w:val="22"/>
          <w:szCs w:val="22"/>
        </w:rPr>
        <w:t xml:space="preserve"> </w:t>
      </w:r>
      <w:proofErr w:type="spellStart"/>
      <w:r w:rsidRPr="009104A2">
        <w:rPr>
          <w:rFonts w:ascii="Arial" w:hAnsi="Arial" w:cs="Arial"/>
          <w:sz w:val="22"/>
          <w:szCs w:val="22"/>
        </w:rPr>
        <w:t>practises</w:t>
      </w:r>
      <w:proofErr w:type="spellEnd"/>
      <w:r w:rsidRPr="009104A2">
        <w:rPr>
          <w:rFonts w:ascii="Arial" w:hAnsi="Arial" w:cs="Arial"/>
          <w:sz w:val="22"/>
          <w:szCs w:val="22"/>
        </w:rPr>
        <w:t xml:space="preserve"> way before women </w:t>
      </w:r>
      <w:proofErr w:type="gramStart"/>
      <w:r w:rsidRPr="009104A2">
        <w:rPr>
          <w:rFonts w:ascii="Arial" w:hAnsi="Arial" w:cs="Arial"/>
          <w:sz w:val="22"/>
          <w:szCs w:val="22"/>
        </w:rPr>
        <w:t>enter into</w:t>
      </w:r>
      <w:proofErr w:type="gramEnd"/>
      <w:r w:rsidRPr="009104A2">
        <w:rPr>
          <w:rFonts w:ascii="Arial" w:hAnsi="Arial" w:cs="Arial"/>
          <w:sz w:val="22"/>
          <w:szCs w:val="22"/>
        </w:rPr>
        <w:t xml:space="preserve"> the realms of clinical services. The outcomes of health </w:t>
      </w:r>
      <w:r w:rsidRPr="009104A2">
        <w:rPr>
          <w:rFonts w:ascii="Arial" w:hAnsi="Arial" w:cs="Arial"/>
          <w:sz w:val="22"/>
          <w:szCs w:val="22"/>
        </w:rPr>
        <w:lastRenderedPageBreak/>
        <w:t>are, therefore, to be construed in a wider socio-political framework, in which policy choice has a direct effect on the risk and vulnerability patterns</w:t>
      </w:r>
      <w:r w:rsidR="00BD103F" w:rsidRPr="009104A2">
        <w:rPr>
          <w:rFonts w:ascii="Arial" w:hAnsi="Arial" w:cs="Arial"/>
          <w:sz w:val="22"/>
          <w:szCs w:val="22"/>
        </w:rPr>
        <w:t>.</w:t>
      </w:r>
    </w:p>
    <w:p w14:paraId="26BC09B4" w14:textId="77777777" w:rsidR="00BD103F" w:rsidRPr="009104A2" w:rsidRDefault="00BD103F" w:rsidP="002E033D">
      <w:pPr>
        <w:pStyle w:val="Heading2"/>
        <w:spacing w:line="360" w:lineRule="auto"/>
        <w:jc w:val="both"/>
        <w:rPr>
          <w:rFonts w:ascii="Arial" w:hAnsi="Arial" w:cs="Arial"/>
          <w:i/>
          <w:iCs/>
          <w:color w:val="auto"/>
          <w:sz w:val="22"/>
          <w:szCs w:val="22"/>
        </w:rPr>
      </w:pPr>
      <w:bookmarkStart w:id="15" w:name="_Toc225278116"/>
      <w:r w:rsidRPr="009104A2">
        <w:rPr>
          <w:rFonts w:ascii="Arial" w:hAnsi="Arial" w:cs="Arial"/>
          <w:i/>
          <w:iCs/>
          <w:color w:val="auto"/>
          <w:sz w:val="22"/>
          <w:szCs w:val="22"/>
        </w:rPr>
        <w:t>4.3 Intersectionality and Social Determinants</w:t>
      </w:r>
      <w:bookmarkEnd w:id="15"/>
    </w:p>
    <w:p w14:paraId="31554528" w14:textId="77777777" w:rsidR="008A3639"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The identified barriers do not manifest in isolation, but they are influenced by overlapping social determinants of health. </w:t>
      </w:r>
      <w:proofErr w:type="spellStart"/>
      <w:r w:rsidRPr="009104A2">
        <w:rPr>
          <w:rFonts w:ascii="Arial" w:hAnsi="Arial" w:cs="Arial"/>
          <w:sz w:val="22"/>
          <w:szCs w:val="22"/>
        </w:rPr>
        <w:t>Obionu</w:t>
      </w:r>
      <w:proofErr w:type="spellEnd"/>
      <w:r w:rsidRPr="009104A2">
        <w:rPr>
          <w:rFonts w:ascii="Arial" w:hAnsi="Arial" w:cs="Arial"/>
          <w:sz w:val="22"/>
          <w:szCs w:val="22"/>
        </w:rPr>
        <w:t xml:space="preserve"> et al. </w:t>
      </w:r>
      <w:proofErr w:type="spellStart"/>
      <w:r w:rsidRPr="009104A2">
        <w:rPr>
          <w:rFonts w:ascii="Arial" w:hAnsi="Arial" w:cs="Arial"/>
          <w:sz w:val="22"/>
          <w:szCs w:val="22"/>
        </w:rPr>
        <w:t>emphasise</w:t>
      </w:r>
      <w:proofErr w:type="spellEnd"/>
      <w:r w:rsidRPr="009104A2">
        <w:rPr>
          <w:rFonts w:ascii="Arial" w:hAnsi="Arial" w:cs="Arial"/>
          <w:sz w:val="22"/>
          <w:szCs w:val="22"/>
        </w:rPr>
        <w:t xml:space="preserve"> the interplay of migration status, ethnicity and socioeconomic disadvantage to create stratified inequalities in maternity care experiences. To illustrate, female illegal immigrants might have an even more difficult time because of the legal uncertainty, poverty, and social ostracism.</w:t>
      </w:r>
    </w:p>
    <w:p w14:paraId="263B09D5" w14:textId="67E1F371"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The intersectional view is underpinned by wider models of access to healthcare, including those put forward by Xiao et al., who point out that access is conditioned by </w:t>
      </w:r>
      <w:proofErr w:type="gramStart"/>
      <w:r w:rsidRPr="009104A2">
        <w:rPr>
          <w:rFonts w:ascii="Arial" w:hAnsi="Arial" w:cs="Arial"/>
          <w:sz w:val="22"/>
          <w:szCs w:val="22"/>
        </w:rPr>
        <w:t>a number of</w:t>
      </w:r>
      <w:proofErr w:type="gramEnd"/>
      <w:r w:rsidRPr="009104A2">
        <w:rPr>
          <w:rFonts w:ascii="Arial" w:hAnsi="Arial" w:cs="Arial"/>
          <w:sz w:val="22"/>
          <w:szCs w:val="22"/>
        </w:rPr>
        <w:t xml:space="preserve"> interacting factors, including geographic, economic, and informational barriers. The results of this analysis are consistent with this model, which proves that the access of migrant women to maternity services is determined by the complex interaction of structural and individual-level factors</w:t>
      </w:r>
      <w:r w:rsidR="00BD103F" w:rsidRPr="009104A2">
        <w:rPr>
          <w:rFonts w:ascii="Arial" w:hAnsi="Arial" w:cs="Arial"/>
          <w:sz w:val="22"/>
          <w:szCs w:val="22"/>
        </w:rPr>
        <w:t>.</w:t>
      </w:r>
    </w:p>
    <w:p w14:paraId="41F4E5CE" w14:textId="77777777" w:rsidR="00BD103F" w:rsidRPr="009104A2" w:rsidRDefault="00BD103F" w:rsidP="002E033D">
      <w:pPr>
        <w:pStyle w:val="Heading2"/>
        <w:spacing w:line="360" w:lineRule="auto"/>
        <w:jc w:val="both"/>
        <w:rPr>
          <w:rFonts w:ascii="Arial" w:hAnsi="Arial" w:cs="Arial"/>
          <w:i/>
          <w:iCs/>
          <w:color w:val="auto"/>
          <w:sz w:val="22"/>
          <w:szCs w:val="22"/>
        </w:rPr>
      </w:pPr>
      <w:bookmarkStart w:id="16" w:name="_Toc225278117"/>
      <w:r w:rsidRPr="009104A2">
        <w:rPr>
          <w:rFonts w:ascii="Arial" w:hAnsi="Arial" w:cs="Arial"/>
          <w:i/>
          <w:iCs/>
          <w:color w:val="auto"/>
          <w:sz w:val="22"/>
          <w:szCs w:val="22"/>
        </w:rPr>
        <w:t>4.4 Discrimination and Institutional Bias</w:t>
      </w:r>
      <w:bookmarkEnd w:id="16"/>
    </w:p>
    <w:p w14:paraId="2130D44D" w14:textId="27015F28" w:rsidR="008A3639"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Cultural incongruence and experiences of discrimination identified in the findings can be interpreted as a part of structural racism in healthcare. Devakumar et al. contend that racism does not necessarily work in the form of an individual prejudice but also in institutional </w:t>
      </w:r>
      <w:r w:rsidR="00204E4E" w:rsidRPr="009104A2">
        <w:rPr>
          <w:rFonts w:ascii="Arial" w:hAnsi="Arial" w:cs="Arial"/>
          <w:sz w:val="22"/>
          <w:szCs w:val="22"/>
        </w:rPr>
        <w:t>practices</w:t>
      </w:r>
      <w:r w:rsidRPr="009104A2">
        <w:rPr>
          <w:rFonts w:ascii="Arial" w:hAnsi="Arial" w:cs="Arial"/>
          <w:sz w:val="22"/>
          <w:szCs w:val="22"/>
        </w:rPr>
        <w:t xml:space="preserve"> and policies which systematically </w:t>
      </w:r>
      <w:r w:rsidR="00204E4E" w:rsidRPr="009104A2">
        <w:rPr>
          <w:rFonts w:ascii="Arial" w:hAnsi="Arial" w:cs="Arial"/>
          <w:sz w:val="22"/>
          <w:szCs w:val="22"/>
        </w:rPr>
        <w:t>disfavor</w:t>
      </w:r>
      <w:r w:rsidRPr="009104A2">
        <w:rPr>
          <w:rFonts w:ascii="Arial" w:hAnsi="Arial" w:cs="Arial"/>
          <w:sz w:val="22"/>
          <w:szCs w:val="22"/>
        </w:rPr>
        <w:t xml:space="preserve"> some groups.</w:t>
      </w:r>
    </w:p>
    <w:p w14:paraId="5939EC39" w14:textId="5801FA57"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With regards to maternity care, this is manifested in an absence of culturally sensitive services, inadequate awareness of various needs, and disparities in how migrant women are treated. These aspects also lead to a lack of trust, diminished involvement and substandard care experiences. Notably, discrimination is not necessarily overt but can be carried out in the form of covert discrimination, which includes making assumptions about the knowledge and language proficiency or right to care of the patient</w:t>
      </w:r>
      <w:r w:rsidR="00BD103F" w:rsidRPr="009104A2">
        <w:rPr>
          <w:rFonts w:ascii="Arial" w:hAnsi="Arial" w:cs="Arial"/>
          <w:sz w:val="22"/>
          <w:szCs w:val="22"/>
        </w:rPr>
        <w:t>.</w:t>
      </w:r>
    </w:p>
    <w:p w14:paraId="1E2830F5" w14:textId="77777777" w:rsidR="00BD103F" w:rsidRPr="009104A2" w:rsidRDefault="00BD103F" w:rsidP="002E033D">
      <w:pPr>
        <w:pStyle w:val="Heading2"/>
        <w:spacing w:line="360" w:lineRule="auto"/>
        <w:jc w:val="both"/>
        <w:rPr>
          <w:rFonts w:ascii="Arial" w:hAnsi="Arial" w:cs="Arial"/>
          <w:i/>
          <w:iCs/>
          <w:color w:val="auto"/>
          <w:sz w:val="22"/>
          <w:szCs w:val="22"/>
        </w:rPr>
      </w:pPr>
      <w:bookmarkStart w:id="17" w:name="_Toc225278118"/>
      <w:r w:rsidRPr="009104A2">
        <w:rPr>
          <w:rFonts w:ascii="Arial" w:hAnsi="Arial" w:cs="Arial"/>
          <w:i/>
          <w:iCs/>
          <w:color w:val="auto"/>
          <w:sz w:val="22"/>
          <w:szCs w:val="22"/>
        </w:rPr>
        <w:t>4.5 Gaps in Service Provision</w:t>
      </w:r>
      <w:bookmarkEnd w:id="17"/>
    </w:p>
    <w:p w14:paraId="4E51246D" w14:textId="77777777" w:rsidR="008A3639"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 xml:space="preserve">The results illustrate some of the key gaps in managing the </w:t>
      </w:r>
      <w:proofErr w:type="gramStart"/>
      <w:r w:rsidRPr="009104A2">
        <w:rPr>
          <w:rFonts w:ascii="Arial" w:hAnsi="Arial" w:cs="Arial"/>
          <w:sz w:val="22"/>
          <w:szCs w:val="22"/>
        </w:rPr>
        <w:t>service delivery</w:t>
      </w:r>
      <w:proofErr w:type="gramEnd"/>
      <w:r w:rsidRPr="009104A2">
        <w:rPr>
          <w:rFonts w:ascii="Arial" w:hAnsi="Arial" w:cs="Arial"/>
          <w:sz w:val="22"/>
          <w:szCs w:val="22"/>
        </w:rPr>
        <w:t xml:space="preserve"> to weaken the provision of equitable maternity care. Firstly, culturally competent care does not exist, and healthcare professionals do not always have enough skills to meet the various demands of migrant communities. Second, there is a lack of sufficient communication systems (especially </w:t>
      </w:r>
      <w:proofErr w:type="gramStart"/>
      <w:r w:rsidRPr="009104A2">
        <w:rPr>
          <w:rFonts w:ascii="Arial" w:hAnsi="Arial" w:cs="Arial"/>
          <w:sz w:val="22"/>
          <w:szCs w:val="22"/>
        </w:rPr>
        <w:t>with regard to</w:t>
      </w:r>
      <w:proofErr w:type="gramEnd"/>
      <w:r w:rsidRPr="009104A2">
        <w:rPr>
          <w:rFonts w:ascii="Arial" w:hAnsi="Arial" w:cs="Arial"/>
          <w:sz w:val="22"/>
          <w:szCs w:val="22"/>
        </w:rPr>
        <w:t xml:space="preserve"> interpreter services and available health information). Third, implementation has still not </w:t>
      </w:r>
      <w:r w:rsidRPr="009104A2">
        <w:rPr>
          <w:rFonts w:ascii="Arial" w:hAnsi="Arial" w:cs="Arial"/>
          <w:sz w:val="22"/>
          <w:szCs w:val="22"/>
        </w:rPr>
        <w:lastRenderedPageBreak/>
        <w:t>been consistent across healthcare settings, even though the guidelines are in place, like NICE (2021).</w:t>
      </w:r>
    </w:p>
    <w:p w14:paraId="7C0FDABD" w14:textId="0BB2E916"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These loopholes are indicative of a more general problem of policy-</w:t>
      </w:r>
      <w:proofErr w:type="spellStart"/>
      <w:r w:rsidRPr="009104A2">
        <w:rPr>
          <w:rFonts w:ascii="Arial" w:hAnsi="Arial" w:cs="Arial"/>
          <w:sz w:val="22"/>
          <w:szCs w:val="22"/>
        </w:rPr>
        <w:t>practise</w:t>
      </w:r>
      <w:proofErr w:type="spellEnd"/>
      <w:r w:rsidRPr="009104A2">
        <w:rPr>
          <w:rFonts w:ascii="Arial" w:hAnsi="Arial" w:cs="Arial"/>
          <w:sz w:val="22"/>
          <w:szCs w:val="22"/>
        </w:rPr>
        <w:t xml:space="preserve"> disjunction. Although the UK has come up with mechanisms that are intended to encourage equity and inclusion, they cannot succeed given that they are not enforced effectively, there are limited resources and accountability measures</w:t>
      </w:r>
      <w:r w:rsidR="00BD103F" w:rsidRPr="009104A2">
        <w:rPr>
          <w:rFonts w:ascii="Arial" w:hAnsi="Arial" w:cs="Arial"/>
          <w:sz w:val="22"/>
          <w:szCs w:val="22"/>
        </w:rPr>
        <w:t>.</w:t>
      </w:r>
    </w:p>
    <w:p w14:paraId="074772E2" w14:textId="77777777" w:rsidR="00BD103F" w:rsidRPr="009104A2" w:rsidRDefault="00BD103F" w:rsidP="002E033D">
      <w:pPr>
        <w:pStyle w:val="Heading2"/>
        <w:spacing w:line="360" w:lineRule="auto"/>
        <w:jc w:val="both"/>
        <w:rPr>
          <w:rFonts w:ascii="Arial" w:hAnsi="Arial" w:cs="Arial"/>
          <w:i/>
          <w:iCs/>
          <w:color w:val="auto"/>
          <w:sz w:val="22"/>
          <w:szCs w:val="22"/>
        </w:rPr>
      </w:pPr>
      <w:bookmarkStart w:id="18" w:name="_Toc225278119"/>
      <w:r w:rsidRPr="009104A2">
        <w:rPr>
          <w:rFonts w:ascii="Arial" w:hAnsi="Arial" w:cs="Arial"/>
          <w:i/>
          <w:iCs/>
          <w:color w:val="auto"/>
          <w:sz w:val="22"/>
          <w:szCs w:val="22"/>
        </w:rPr>
        <w:t>Critical Synthesis</w:t>
      </w:r>
      <w:bookmarkEnd w:id="18"/>
    </w:p>
    <w:p w14:paraId="5B0F0312" w14:textId="26070526" w:rsidR="00BD103F" w:rsidRPr="009104A2" w:rsidRDefault="008A3639" w:rsidP="002E033D">
      <w:pPr>
        <w:spacing w:line="360" w:lineRule="auto"/>
        <w:jc w:val="both"/>
        <w:rPr>
          <w:rFonts w:ascii="Arial" w:hAnsi="Arial" w:cs="Arial"/>
          <w:sz w:val="22"/>
          <w:szCs w:val="22"/>
        </w:rPr>
      </w:pPr>
      <w:r w:rsidRPr="009104A2">
        <w:rPr>
          <w:rFonts w:ascii="Arial" w:hAnsi="Arial" w:cs="Arial"/>
          <w:sz w:val="22"/>
          <w:szCs w:val="22"/>
        </w:rPr>
        <w:t>In general, this discussion shows that obstacles to maternity care are instilled in both the structural, institutional, and social systems. Though there exist policies that encourage equitable access, they are not applied uniformly, and this has led to the existence of inequalities. This means that effective policy development is not sufficient in improving maternity care of migrant women, but a systemic reform, implementation and a desire to deal with the determinants of inequality</w:t>
      </w:r>
      <w:r w:rsidR="00BD103F" w:rsidRPr="009104A2">
        <w:rPr>
          <w:rFonts w:ascii="Arial" w:hAnsi="Arial" w:cs="Arial"/>
          <w:sz w:val="22"/>
          <w:szCs w:val="22"/>
        </w:rPr>
        <w:t>.</w:t>
      </w:r>
    </w:p>
    <w:p w14:paraId="3DD64F2C" w14:textId="2675A906" w:rsidR="00BD103F" w:rsidRPr="00BD103F" w:rsidRDefault="00BD103F" w:rsidP="00BD103F">
      <w:pPr>
        <w:pStyle w:val="Heading1"/>
        <w:jc w:val="both"/>
        <w:rPr>
          <w:rFonts w:ascii="Times New Roman" w:hAnsi="Times New Roman" w:cs="Times New Roman"/>
          <w:b/>
          <w:bCs/>
          <w:color w:val="auto"/>
          <w:sz w:val="24"/>
          <w:szCs w:val="24"/>
        </w:rPr>
      </w:pPr>
      <w:bookmarkStart w:id="19" w:name="_Toc225278120"/>
      <w:r w:rsidRPr="00BD103F">
        <w:rPr>
          <w:rFonts w:ascii="Times New Roman" w:hAnsi="Times New Roman" w:cs="Times New Roman"/>
          <w:b/>
          <w:bCs/>
          <w:color w:val="auto"/>
          <w:sz w:val="24"/>
          <w:szCs w:val="24"/>
        </w:rPr>
        <w:t>5. Implications for Practice and Policy</w:t>
      </w:r>
      <w:bookmarkEnd w:id="19"/>
    </w:p>
    <w:p w14:paraId="61A80F64" w14:textId="77777777" w:rsidR="00BD103F" w:rsidRPr="00BD103F" w:rsidRDefault="00BD103F" w:rsidP="002E033D">
      <w:pPr>
        <w:pStyle w:val="Heading2"/>
        <w:spacing w:line="360" w:lineRule="auto"/>
        <w:jc w:val="both"/>
        <w:rPr>
          <w:rFonts w:ascii="Times New Roman" w:hAnsi="Times New Roman" w:cs="Times New Roman"/>
          <w:i/>
          <w:iCs/>
          <w:color w:val="auto"/>
          <w:sz w:val="24"/>
          <w:szCs w:val="24"/>
        </w:rPr>
      </w:pPr>
      <w:bookmarkStart w:id="20" w:name="_Toc225278121"/>
      <w:r w:rsidRPr="00BD103F">
        <w:rPr>
          <w:rFonts w:ascii="Times New Roman" w:hAnsi="Times New Roman" w:cs="Times New Roman"/>
          <w:i/>
          <w:iCs/>
          <w:color w:val="auto"/>
          <w:sz w:val="24"/>
          <w:szCs w:val="24"/>
        </w:rPr>
        <w:t>5.1 Policy-Level Implications</w:t>
      </w:r>
      <w:bookmarkEnd w:id="20"/>
    </w:p>
    <w:p w14:paraId="16FF6C68" w14:textId="77777777" w:rsidR="008A3639" w:rsidRPr="008A3639" w:rsidRDefault="008A3639" w:rsidP="002E033D">
      <w:pPr>
        <w:spacing w:line="360" w:lineRule="auto"/>
        <w:jc w:val="both"/>
        <w:rPr>
          <w:rFonts w:ascii="Times New Roman" w:hAnsi="Times New Roman" w:cs="Times New Roman"/>
        </w:rPr>
      </w:pPr>
      <w:r w:rsidRPr="008A3639">
        <w:rPr>
          <w:rFonts w:ascii="Times New Roman" w:hAnsi="Times New Roman" w:cs="Times New Roman"/>
        </w:rPr>
        <w:t>The results demonstrate that the policy requires an urgent reform to overcome structural barriers that restrict access of migrant women to maternity services. Among the most notable policy implications, it is possible to note the elimination or reevaluation of the regulations on NHS charges as an impediment to care-seeking among the vulnerable groups. The fear of undesirable costs or reporting to the immigration authorities makes one avoid engaging in the services, thus delaying antenatal care and exposing oneself to health risks (Nellums et al., 2020).</w:t>
      </w:r>
    </w:p>
    <w:p w14:paraId="5FEE9690" w14:textId="77777777" w:rsidR="008A3639" w:rsidRPr="008A3639" w:rsidRDefault="008A3639" w:rsidP="002E033D">
      <w:pPr>
        <w:spacing w:line="360" w:lineRule="auto"/>
        <w:jc w:val="both"/>
        <w:rPr>
          <w:rFonts w:ascii="Times New Roman" w:hAnsi="Times New Roman" w:cs="Times New Roman"/>
        </w:rPr>
      </w:pPr>
      <w:r w:rsidRPr="008A3639">
        <w:rPr>
          <w:rFonts w:ascii="Times New Roman" w:hAnsi="Times New Roman" w:cs="Times New Roman"/>
        </w:rPr>
        <w:t>Moreover, there is a necessity to make the healthcare entitlements communicated in a clear and accessible form. Policies are not being disseminated effectively, though not nonexistent, as many migrant women are not aware of their right to maternity care. National recommendations like the National Institute for Health and Care Excellence (NICE, 2021) focus on equal access, but these principles should be brought to reality with the help of clear and multilingual communication plans.</w:t>
      </w:r>
    </w:p>
    <w:p w14:paraId="659AA86D" w14:textId="7844746F" w:rsidR="00BD103F" w:rsidRPr="002E033D" w:rsidRDefault="008A3639" w:rsidP="002E033D">
      <w:pPr>
        <w:spacing w:line="360" w:lineRule="auto"/>
        <w:jc w:val="both"/>
        <w:rPr>
          <w:rFonts w:ascii="Arial" w:hAnsi="Arial" w:cs="Arial"/>
          <w:sz w:val="22"/>
          <w:szCs w:val="22"/>
        </w:rPr>
      </w:pPr>
      <w:r w:rsidRPr="008A3639">
        <w:rPr>
          <w:rFonts w:ascii="Times New Roman" w:hAnsi="Times New Roman" w:cs="Times New Roman"/>
        </w:rPr>
        <w:t xml:space="preserve">It is also necessary to incorporate equity concerns </w:t>
      </w:r>
      <w:proofErr w:type="gramStart"/>
      <w:r w:rsidRPr="008A3639">
        <w:rPr>
          <w:rFonts w:ascii="Times New Roman" w:hAnsi="Times New Roman" w:cs="Times New Roman"/>
        </w:rPr>
        <w:t>in</w:t>
      </w:r>
      <w:proofErr w:type="gramEnd"/>
      <w:r w:rsidRPr="008A3639">
        <w:rPr>
          <w:rFonts w:ascii="Times New Roman" w:hAnsi="Times New Roman" w:cs="Times New Roman"/>
        </w:rPr>
        <w:t xml:space="preserve"> wider NHS frameworks to strengthen migrant-inclusive policies in health care. This involves alignment of service delivery to national </w:t>
      </w:r>
      <w:r w:rsidRPr="002E033D">
        <w:rPr>
          <w:rFonts w:ascii="Arial" w:hAnsi="Arial" w:cs="Arial"/>
          <w:sz w:val="22"/>
          <w:szCs w:val="22"/>
        </w:rPr>
        <w:lastRenderedPageBreak/>
        <w:t xml:space="preserve">priorities as discussed in NHS England (2026) and policies that would clearly </w:t>
      </w:r>
      <w:proofErr w:type="gramStart"/>
      <w:r w:rsidRPr="002E033D">
        <w:rPr>
          <w:rFonts w:ascii="Arial" w:hAnsi="Arial" w:cs="Arial"/>
          <w:sz w:val="22"/>
          <w:szCs w:val="22"/>
        </w:rPr>
        <w:t>take into account</w:t>
      </w:r>
      <w:proofErr w:type="gramEnd"/>
      <w:r w:rsidRPr="002E033D">
        <w:rPr>
          <w:rFonts w:ascii="Arial" w:hAnsi="Arial" w:cs="Arial"/>
          <w:sz w:val="22"/>
          <w:szCs w:val="22"/>
        </w:rPr>
        <w:t xml:space="preserve"> the needs of undocumented and </w:t>
      </w:r>
      <w:proofErr w:type="spellStart"/>
      <w:r w:rsidRPr="002E033D">
        <w:rPr>
          <w:rFonts w:ascii="Arial" w:hAnsi="Arial" w:cs="Arial"/>
          <w:sz w:val="22"/>
          <w:szCs w:val="22"/>
        </w:rPr>
        <w:t>marginalised</w:t>
      </w:r>
      <w:proofErr w:type="spellEnd"/>
      <w:r w:rsidRPr="002E033D">
        <w:rPr>
          <w:rFonts w:ascii="Arial" w:hAnsi="Arial" w:cs="Arial"/>
          <w:sz w:val="22"/>
          <w:szCs w:val="22"/>
        </w:rPr>
        <w:t xml:space="preserve"> groups</w:t>
      </w:r>
      <w:r w:rsidR="00BD103F" w:rsidRPr="002E033D">
        <w:rPr>
          <w:rFonts w:ascii="Arial" w:hAnsi="Arial" w:cs="Arial"/>
          <w:sz w:val="22"/>
          <w:szCs w:val="22"/>
        </w:rPr>
        <w:t>.</w:t>
      </w:r>
    </w:p>
    <w:p w14:paraId="793C4119" w14:textId="77777777" w:rsidR="00BD103F" w:rsidRPr="002E033D" w:rsidRDefault="00BD103F" w:rsidP="002E033D">
      <w:pPr>
        <w:pStyle w:val="Heading2"/>
        <w:spacing w:line="360" w:lineRule="auto"/>
        <w:jc w:val="both"/>
        <w:rPr>
          <w:rFonts w:ascii="Arial" w:hAnsi="Arial" w:cs="Arial"/>
          <w:i/>
          <w:iCs/>
          <w:color w:val="auto"/>
          <w:sz w:val="22"/>
          <w:szCs w:val="22"/>
        </w:rPr>
      </w:pPr>
      <w:bookmarkStart w:id="21" w:name="_Toc225278122"/>
      <w:r w:rsidRPr="002E033D">
        <w:rPr>
          <w:rFonts w:ascii="Arial" w:hAnsi="Arial" w:cs="Arial"/>
          <w:i/>
          <w:iCs/>
          <w:color w:val="auto"/>
          <w:sz w:val="22"/>
          <w:szCs w:val="22"/>
        </w:rPr>
        <w:t>5.2 Clinical Practice Implications</w:t>
      </w:r>
      <w:bookmarkEnd w:id="21"/>
    </w:p>
    <w:p w14:paraId="15B5C4DA" w14:textId="77777777" w:rsidR="008A3639"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At the clinical level, to advance the quality of maternity care provided to migrant women, a change towards culturally competent and patient-</w:t>
      </w:r>
      <w:proofErr w:type="spellStart"/>
      <w:r w:rsidRPr="002E033D">
        <w:rPr>
          <w:rFonts w:ascii="Arial" w:hAnsi="Arial" w:cs="Arial"/>
          <w:sz w:val="22"/>
          <w:szCs w:val="22"/>
        </w:rPr>
        <w:t>centred</w:t>
      </w:r>
      <w:proofErr w:type="spellEnd"/>
      <w:r w:rsidRPr="002E033D">
        <w:rPr>
          <w:rFonts w:ascii="Arial" w:hAnsi="Arial" w:cs="Arial"/>
          <w:sz w:val="22"/>
          <w:szCs w:val="22"/>
        </w:rPr>
        <w:t xml:space="preserve"> </w:t>
      </w:r>
      <w:proofErr w:type="spellStart"/>
      <w:r w:rsidRPr="002E033D">
        <w:rPr>
          <w:rFonts w:ascii="Arial" w:hAnsi="Arial" w:cs="Arial"/>
          <w:sz w:val="22"/>
          <w:szCs w:val="22"/>
        </w:rPr>
        <w:t>practise</w:t>
      </w:r>
      <w:proofErr w:type="spellEnd"/>
      <w:r w:rsidRPr="002E033D">
        <w:rPr>
          <w:rFonts w:ascii="Arial" w:hAnsi="Arial" w:cs="Arial"/>
          <w:sz w:val="22"/>
          <w:szCs w:val="22"/>
        </w:rPr>
        <w:t xml:space="preserve"> is needed. Professional development </w:t>
      </w:r>
      <w:proofErr w:type="spellStart"/>
      <w:r w:rsidRPr="002E033D">
        <w:rPr>
          <w:rFonts w:ascii="Arial" w:hAnsi="Arial" w:cs="Arial"/>
          <w:sz w:val="22"/>
          <w:szCs w:val="22"/>
        </w:rPr>
        <w:t>programmes</w:t>
      </w:r>
      <w:proofErr w:type="spellEnd"/>
      <w:r w:rsidRPr="002E033D">
        <w:rPr>
          <w:rFonts w:ascii="Arial" w:hAnsi="Arial" w:cs="Arial"/>
          <w:sz w:val="22"/>
          <w:szCs w:val="22"/>
        </w:rPr>
        <w:t xml:space="preserve"> should include cultural competence training for healthcare providers. The case of Cervera-Gasch et al. indicates that it is necessary to foster political and cultural awareness among healthcare workers </w:t>
      </w:r>
      <w:proofErr w:type="gramStart"/>
      <w:r w:rsidRPr="002E033D">
        <w:rPr>
          <w:rFonts w:ascii="Arial" w:hAnsi="Arial" w:cs="Arial"/>
          <w:sz w:val="22"/>
          <w:szCs w:val="22"/>
        </w:rPr>
        <w:t>in order to</w:t>
      </w:r>
      <w:proofErr w:type="gramEnd"/>
      <w:r w:rsidRPr="002E033D">
        <w:rPr>
          <w:rFonts w:ascii="Arial" w:hAnsi="Arial" w:cs="Arial"/>
          <w:sz w:val="22"/>
          <w:szCs w:val="22"/>
        </w:rPr>
        <w:t xml:space="preserve"> address the needs of various patients more effectively.</w:t>
      </w:r>
    </w:p>
    <w:p w14:paraId="794D95BD" w14:textId="77777777" w:rsidR="008A3639"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 xml:space="preserve">There should also be </w:t>
      </w:r>
      <w:proofErr w:type="gramStart"/>
      <w:r w:rsidRPr="002E033D">
        <w:rPr>
          <w:rFonts w:ascii="Arial" w:hAnsi="Arial" w:cs="Arial"/>
          <w:sz w:val="22"/>
          <w:szCs w:val="22"/>
        </w:rPr>
        <w:t>a mandatory</w:t>
      </w:r>
      <w:proofErr w:type="gramEnd"/>
      <w:r w:rsidRPr="002E033D">
        <w:rPr>
          <w:rFonts w:ascii="Arial" w:hAnsi="Arial" w:cs="Arial"/>
          <w:sz w:val="22"/>
          <w:szCs w:val="22"/>
        </w:rPr>
        <w:t xml:space="preserve"> provision of interpreter services to facilitate proper communication and sound decision-making. The risk of poor communication is not only that it obstructs the ability to comprehend, but also a risk to patient safety and quality of care (Higginbottom et al., 2019). Interpreter services should be dependable, confidential and always accessible at all levels of maternity care.</w:t>
      </w:r>
    </w:p>
    <w:p w14:paraId="401E91A0" w14:textId="4CA0A783" w:rsidR="00BD103F"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Moreover, traumatic care models should be embraced, especially among women who suffer displacement, conflict, or exploitation. These methods acknowledge the psychological effects of migration and have an objective of establishing supportive, non-judgmental care settings that promote trust and participation</w:t>
      </w:r>
      <w:r w:rsidR="00BD103F" w:rsidRPr="002E033D">
        <w:rPr>
          <w:rFonts w:ascii="Arial" w:hAnsi="Arial" w:cs="Arial"/>
          <w:sz w:val="22"/>
          <w:szCs w:val="22"/>
        </w:rPr>
        <w:t>.</w:t>
      </w:r>
    </w:p>
    <w:p w14:paraId="6FC58ED3" w14:textId="77777777" w:rsidR="00BD103F" w:rsidRPr="002E033D" w:rsidRDefault="00BD103F" w:rsidP="002E033D">
      <w:pPr>
        <w:pStyle w:val="Heading2"/>
        <w:spacing w:line="360" w:lineRule="auto"/>
        <w:jc w:val="both"/>
        <w:rPr>
          <w:rFonts w:ascii="Arial" w:hAnsi="Arial" w:cs="Arial"/>
          <w:i/>
          <w:iCs/>
          <w:color w:val="auto"/>
          <w:sz w:val="22"/>
          <w:szCs w:val="22"/>
        </w:rPr>
      </w:pPr>
      <w:bookmarkStart w:id="22" w:name="_Toc225278123"/>
      <w:r w:rsidRPr="002E033D">
        <w:rPr>
          <w:rFonts w:ascii="Arial" w:hAnsi="Arial" w:cs="Arial"/>
          <w:i/>
          <w:iCs/>
          <w:color w:val="auto"/>
          <w:sz w:val="22"/>
          <w:szCs w:val="22"/>
        </w:rPr>
        <w:t>5.3 System-Level Recommendations</w:t>
      </w:r>
      <w:bookmarkEnd w:id="22"/>
    </w:p>
    <w:p w14:paraId="768D98DE" w14:textId="77777777" w:rsidR="008A3639"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 xml:space="preserve">On a systems level, to enhance accessibility, specific interventions are needed that aid the navigation of healthcare services. Most of the migrant women have challenges in comprehending referral channels and appointment systems, as well as service </w:t>
      </w:r>
      <w:proofErr w:type="spellStart"/>
      <w:r w:rsidRPr="002E033D">
        <w:rPr>
          <w:rFonts w:ascii="Arial" w:hAnsi="Arial" w:cs="Arial"/>
          <w:sz w:val="22"/>
          <w:szCs w:val="22"/>
        </w:rPr>
        <w:t>organisational</w:t>
      </w:r>
      <w:proofErr w:type="spellEnd"/>
      <w:r w:rsidRPr="002E033D">
        <w:rPr>
          <w:rFonts w:ascii="Arial" w:hAnsi="Arial" w:cs="Arial"/>
          <w:sz w:val="22"/>
          <w:szCs w:val="22"/>
        </w:rPr>
        <w:t xml:space="preserve"> structures. This gap can be addressed by developing </w:t>
      </w:r>
      <w:proofErr w:type="spellStart"/>
      <w:r w:rsidRPr="002E033D">
        <w:rPr>
          <w:rFonts w:ascii="Arial" w:hAnsi="Arial" w:cs="Arial"/>
          <w:sz w:val="22"/>
          <w:szCs w:val="22"/>
        </w:rPr>
        <w:t>organised</w:t>
      </w:r>
      <w:proofErr w:type="spellEnd"/>
      <w:r w:rsidRPr="002E033D">
        <w:rPr>
          <w:rFonts w:ascii="Arial" w:hAnsi="Arial" w:cs="Arial"/>
          <w:sz w:val="22"/>
          <w:szCs w:val="22"/>
        </w:rPr>
        <w:t xml:space="preserve"> navigation support, such as the use of patient advocates or community health workers.</w:t>
      </w:r>
    </w:p>
    <w:p w14:paraId="312E6DF1" w14:textId="77777777" w:rsidR="008A3639"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Another important recommendation is the implementation of digital multilingual information systems. This can be enhanced by making available culturally relevant information on maternity services that are both accessible and lead to early assessment and participation in care, which is consistent with larger healthcare accessibility models (Xiao et al., 2021).</w:t>
      </w:r>
    </w:p>
    <w:p w14:paraId="5D3C829A" w14:textId="77777777" w:rsidR="008A3639"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t xml:space="preserve">Lastly, there should be community-based outreach </w:t>
      </w:r>
      <w:proofErr w:type="spellStart"/>
      <w:r w:rsidRPr="002E033D">
        <w:rPr>
          <w:rFonts w:ascii="Arial" w:hAnsi="Arial" w:cs="Arial"/>
          <w:sz w:val="22"/>
          <w:szCs w:val="22"/>
        </w:rPr>
        <w:t>programmes</w:t>
      </w:r>
      <w:proofErr w:type="spellEnd"/>
      <w:r w:rsidRPr="002E033D">
        <w:rPr>
          <w:rFonts w:ascii="Arial" w:hAnsi="Arial" w:cs="Arial"/>
          <w:sz w:val="22"/>
          <w:szCs w:val="22"/>
        </w:rPr>
        <w:t xml:space="preserve"> to reach the </w:t>
      </w:r>
      <w:proofErr w:type="spellStart"/>
      <w:r w:rsidRPr="002E033D">
        <w:rPr>
          <w:rFonts w:ascii="Arial" w:hAnsi="Arial" w:cs="Arial"/>
          <w:sz w:val="22"/>
          <w:szCs w:val="22"/>
        </w:rPr>
        <w:t>marginalised</w:t>
      </w:r>
      <w:proofErr w:type="spellEnd"/>
      <w:r w:rsidRPr="002E033D">
        <w:rPr>
          <w:rFonts w:ascii="Arial" w:hAnsi="Arial" w:cs="Arial"/>
          <w:sz w:val="22"/>
          <w:szCs w:val="22"/>
        </w:rPr>
        <w:t xml:space="preserve"> populations who might not access the formal healthcare systems. Trust and health literacy can be improved by collaboration with local </w:t>
      </w:r>
      <w:proofErr w:type="spellStart"/>
      <w:r w:rsidRPr="002E033D">
        <w:rPr>
          <w:rFonts w:ascii="Arial" w:hAnsi="Arial" w:cs="Arial"/>
          <w:sz w:val="22"/>
          <w:szCs w:val="22"/>
        </w:rPr>
        <w:t>organisations</w:t>
      </w:r>
      <w:proofErr w:type="spellEnd"/>
      <w:r w:rsidRPr="002E033D">
        <w:rPr>
          <w:rFonts w:ascii="Arial" w:hAnsi="Arial" w:cs="Arial"/>
          <w:sz w:val="22"/>
          <w:szCs w:val="22"/>
        </w:rPr>
        <w:t xml:space="preserve"> and migrant support networks, as well as with early maternity services.</w:t>
      </w:r>
    </w:p>
    <w:p w14:paraId="52580681" w14:textId="2CFBA382" w:rsidR="00BD103F" w:rsidRPr="002E033D" w:rsidRDefault="008A3639" w:rsidP="002E033D">
      <w:pPr>
        <w:spacing w:line="360" w:lineRule="auto"/>
        <w:jc w:val="both"/>
        <w:rPr>
          <w:rFonts w:ascii="Arial" w:hAnsi="Arial" w:cs="Arial"/>
          <w:sz w:val="22"/>
          <w:szCs w:val="22"/>
        </w:rPr>
      </w:pPr>
      <w:r w:rsidRPr="002E033D">
        <w:rPr>
          <w:rFonts w:ascii="Arial" w:hAnsi="Arial" w:cs="Arial"/>
          <w:sz w:val="22"/>
          <w:szCs w:val="22"/>
        </w:rPr>
        <w:lastRenderedPageBreak/>
        <w:t>In general, these recommendations highlight the importance of concerted efforts at policy, practice and system levels in responding to the structural and institutional blocks that have been noted in this paper</w:t>
      </w:r>
      <w:r w:rsidR="00BD103F" w:rsidRPr="002E033D">
        <w:rPr>
          <w:rFonts w:ascii="Arial" w:hAnsi="Arial" w:cs="Arial"/>
          <w:sz w:val="22"/>
          <w:szCs w:val="22"/>
        </w:rPr>
        <w:t>.</w:t>
      </w:r>
    </w:p>
    <w:p w14:paraId="07889180" w14:textId="4769EC7D" w:rsidR="00BD103F" w:rsidRPr="002E033D" w:rsidRDefault="00BD103F" w:rsidP="007B2908">
      <w:pPr>
        <w:pStyle w:val="Heading1"/>
        <w:spacing w:line="360" w:lineRule="auto"/>
        <w:jc w:val="both"/>
        <w:rPr>
          <w:rFonts w:ascii="Arial" w:hAnsi="Arial" w:cs="Arial"/>
          <w:b/>
          <w:bCs/>
          <w:color w:val="auto"/>
          <w:sz w:val="22"/>
          <w:szCs w:val="22"/>
        </w:rPr>
      </w:pPr>
      <w:bookmarkStart w:id="23" w:name="_Toc225278124"/>
      <w:r w:rsidRPr="002E033D">
        <w:rPr>
          <w:rFonts w:ascii="Arial" w:hAnsi="Arial" w:cs="Arial"/>
          <w:b/>
          <w:bCs/>
          <w:color w:val="auto"/>
          <w:sz w:val="22"/>
          <w:szCs w:val="22"/>
        </w:rPr>
        <w:t>6. Strengths and Limitations</w:t>
      </w:r>
      <w:bookmarkEnd w:id="23"/>
    </w:p>
    <w:p w14:paraId="508A2181" w14:textId="77777777" w:rsidR="008A3639" w:rsidRPr="002E033D" w:rsidRDefault="008A3639" w:rsidP="007B2908">
      <w:pPr>
        <w:spacing w:line="360" w:lineRule="auto"/>
        <w:jc w:val="both"/>
        <w:rPr>
          <w:rFonts w:ascii="Arial" w:hAnsi="Arial" w:cs="Arial"/>
          <w:sz w:val="22"/>
          <w:szCs w:val="22"/>
        </w:rPr>
      </w:pPr>
      <w:r w:rsidRPr="002E033D">
        <w:rPr>
          <w:rFonts w:ascii="Arial" w:hAnsi="Arial" w:cs="Arial"/>
          <w:sz w:val="22"/>
          <w:szCs w:val="22"/>
        </w:rPr>
        <w:t>There are some strong points in this research. To begin with, it uses a narrow-scale thematic synthesis, which allows conducting an in-depth analysis of various barriers to the access of migrant women to maternity services. Second, the high-quality qualitative literature, which consists of a systematic review and a comprehensive qualitative analysis, brings on board experience-based details that lay down the lived experiences of migrant women. Third, the analysis is closely connected with UK policy frameworks, which enables the findings to be critically situated in the existing national guidelines and healthcare structures, which increases relevance and applicability.</w:t>
      </w:r>
    </w:p>
    <w:p w14:paraId="36965DB5" w14:textId="163A9F00" w:rsidR="00BD103F" w:rsidRPr="002E033D" w:rsidRDefault="008A3639" w:rsidP="007B2908">
      <w:pPr>
        <w:spacing w:line="360" w:lineRule="auto"/>
        <w:jc w:val="both"/>
        <w:rPr>
          <w:rFonts w:ascii="Arial" w:hAnsi="Arial" w:cs="Arial"/>
          <w:sz w:val="22"/>
          <w:szCs w:val="22"/>
        </w:rPr>
      </w:pPr>
      <w:r w:rsidRPr="002E033D">
        <w:rPr>
          <w:rFonts w:ascii="Arial" w:hAnsi="Arial" w:cs="Arial"/>
          <w:sz w:val="22"/>
          <w:szCs w:val="22"/>
        </w:rPr>
        <w:t xml:space="preserve">Nevertheless, </w:t>
      </w:r>
      <w:proofErr w:type="gramStart"/>
      <w:r w:rsidRPr="002E033D">
        <w:rPr>
          <w:rFonts w:ascii="Arial" w:hAnsi="Arial" w:cs="Arial"/>
          <w:sz w:val="22"/>
          <w:szCs w:val="22"/>
        </w:rPr>
        <w:t>a number of</w:t>
      </w:r>
      <w:proofErr w:type="gramEnd"/>
      <w:r w:rsidRPr="002E033D">
        <w:rPr>
          <w:rFonts w:ascii="Arial" w:hAnsi="Arial" w:cs="Arial"/>
          <w:sz w:val="22"/>
          <w:szCs w:val="22"/>
        </w:rPr>
        <w:t xml:space="preserve"> constraints should be considered. The discussion relies on three studies, which are rather narrow and could be limiting to </w:t>
      </w:r>
      <w:proofErr w:type="spellStart"/>
      <w:r w:rsidRPr="002E033D">
        <w:rPr>
          <w:rFonts w:ascii="Arial" w:hAnsi="Arial" w:cs="Arial"/>
          <w:sz w:val="22"/>
          <w:szCs w:val="22"/>
        </w:rPr>
        <w:t>externalisation</w:t>
      </w:r>
      <w:proofErr w:type="spellEnd"/>
      <w:r w:rsidRPr="002E033D">
        <w:rPr>
          <w:rFonts w:ascii="Arial" w:hAnsi="Arial" w:cs="Arial"/>
          <w:sz w:val="22"/>
          <w:szCs w:val="22"/>
        </w:rPr>
        <w:t>. Also, one of the studies included has been retracted and is, thus, used with caution, mainly to facilitate contextual, but not evidential support. Lastly, the use of secondary qualitative data implies that the study lacks the inclusion of primary data collection, which can be a limiting factor in terms of determining the entire spectrum and variety of experiences of migrant women</w:t>
      </w:r>
      <w:r w:rsidR="00BD103F" w:rsidRPr="002E033D">
        <w:rPr>
          <w:rFonts w:ascii="Arial" w:hAnsi="Arial" w:cs="Arial"/>
          <w:sz w:val="22"/>
          <w:szCs w:val="22"/>
        </w:rPr>
        <w:t>.</w:t>
      </w:r>
    </w:p>
    <w:p w14:paraId="4195AB84" w14:textId="456A8FB5" w:rsidR="00BD103F" w:rsidRPr="002E033D" w:rsidRDefault="00BD103F" w:rsidP="00BD103F">
      <w:pPr>
        <w:pStyle w:val="Heading1"/>
        <w:jc w:val="both"/>
        <w:rPr>
          <w:rFonts w:ascii="Arial" w:hAnsi="Arial" w:cs="Arial"/>
          <w:b/>
          <w:bCs/>
          <w:color w:val="auto"/>
          <w:sz w:val="22"/>
          <w:szCs w:val="22"/>
        </w:rPr>
      </w:pPr>
      <w:bookmarkStart w:id="24" w:name="_Toc225278125"/>
      <w:r w:rsidRPr="002E033D">
        <w:rPr>
          <w:rFonts w:ascii="Arial" w:hAnsi="Arial" w:cs="Arial"/>
          <w:b/>
          <w:bCs/>
          <w:color w:val="auto"/>
          <w:sz w:val="22"/>
          <w:szCs w:val="22"/>
        </w:rPr>
        <w:t>7. Conclusion</w:t>
      </w:r>
      <w:bookmarkEnd w:id="24"/>
      <w:r w:rsidRPr="002E033D">
        <w:rPr>
          <w:rFonts w:ascii="Arial" w:hAnsi="Arial" w:cs="Arial"/>
          <w:b/>
          <w:bCs/>
          <w:color w:val="auto"/>
          <w:sz w:val="22"/>
          <w:szCs w:val="22"/>
        </w:rPr>
        <w:t xml:space="preserve"> </w:t>
      </w:r>
    </w:p>
    <w:p w14:paraId="4BF15A3A" w14:textId="77777777" w:rsidR="008A3639" w:rsidRPr="002E033D" w:rsidRDefault="008A3639" w:rsidP="007B2908">
      <w:pPr>
        <w:spacing w:line="360" w:lineRule="auto"/>
        <w:jc w:val="both"/>
        <w:rPr>
          <w:rFonts w:ascii="Arial" w:hAnsi="Arial" w:cs="Arial"/>
          <w:sz w:val="22"/>
          <w:szCs w:val="22"/>
        </w:rPr>
      </w:pPr>
      <w:r w:rsidRPr="002E033D">
        <w:rPr>
          <w:rFonts w:ascii="Arial" w:hAnsi="Arial" w:cs="Arial"/>
          <w:sz w:val="22"/>
          <w:szCs w:val="22"/>
        </w:rPr>
        <w:t xml:space="preserve">As has been seen in this report, the barriers to accessing maternity services amongst migrant women in the UK are structural, systemic, and multidimensional. Restrictions are legal, language barriers, discrimination, and socioeconomic precarity interplay to influence disproportionate access and worse health outcomes. These results point out the fact that disparities in maternity care do not naturally emerge out of individual </w:t>
      </w:r>
      <w:proofErr w:type="spellStart"/>
      <w:r w:rsidRPr="002E033D">
        <w:rPr>
          <w:rFonts w:ascii="Arial" w:hAnsi="Arial" w:cs="Arial"/>
          <w:sz w:val="22"/>
          <w:szCs w:val="22"/>
        </w:rPr>
        <w:t>behaviour</w:t>
      </w:r>
      <w:proofErr w:type="spellEnd"/>
      <w:r w:rsidRPr="002E033D">
        <w:rPr>
          <w:rFonts w:ascii="Arial" w:hAnsi="Arial" w:cs="Arial"/>
          <w:sz w:val="22"/>
          <w:szCs w:val="22"/>
        </w:rPr>
        <w:t xml:space="preserve"> but rather are </w:t>
      </w:r>
      <w:proofErr w:type="spellStart"/>
      <w:r w:rsidRPr="002E033D">
        <w:rPr>
          <w:rFonts w:ascii="Arial" w:hAnsi="Arial" w:cs="Arial"/>
          <w:sz w:val="22"/>
          <w:szCs w:val="22"/>
        </w:rPr>
        <w:t>institutionalised</w:t>
      </w:r>
      <w:proofErr w:type="spellEnd"/>
      <w:r w:rsidRPr="002E033D">
        <w:rPr>
          <w:rFonts w:ascii="Arial" w:hAnsi="Arial" w:cs="Arial"/>
          <w:sz w:val="22"/>
          <w:szCs w:val="22"/>
        </w:rPr>
        <w:t xml:space="preserve"> into institutions and policy frameworks.</w:t>
      </w:r>
    </w:p>
    <w:p w14:paraId="051F3798" w14:textId="77777777" w:rsidR="008A3639" w:rsidRPr="002E033D" w:rsidRDefault="008A3639" w:rsidP="007B2908">
      <w:pPr>
        <w:spacing w:line="360" w:lineRule="auto"/>
        <w:jc w:val="both"/>
        <w:rPr>
          <w:rFonts w:ascii="Arial" w:hAnsi="Arial" w:cs="Arial"/>
          <w:sz w:val="22"/>
          <w:szCs w:val="22"/>
        </w:rPr>
      </w:pPr>
      <w:r w:rsidRPr="002E033D">
        <w:rPr>
          <w:rFonts w:ascii="Arial" w:hAnsi="Arial" w:cs="Arial"/>
          <w:sz w:val="22"/>
          <w:szCs w:val="22"/>
        </w:rPr>
        <w:t>To improve access, services cannot be sufficient; policy change is needed, culturally competent practice must work, and changes are needed in the system that will fix the causes of exclusion. To provide equal maternity care, a unified strategy is required, focusing on inclusivity, accessibility, and accountability at all health care service levels.</w:t>
      </w:r>
    </w:p>
    <w:p w14:paraId="29984A1E" w14:textId="54A30694" w:rsidR="00BD103F" w:rsidRPr="002E033D" w:rsidRDefault="008A3639" w:rsidP="007B2908">
      <w:pPr>
        <w:spacing w:line="360" w:lineRule="auto"/>
        <w:jc w:val="both"/>
        <w:rPr>
          <w:rFonts w:ascii="Arial" w:hAnsi="Arial" w:cs="Arial"/>
          <w:sz w:val="22"/>
          <w:szCs w:val="22"/>
        </w:rPr>
      </w:pPr>
      <w:r w:rsidRPr="002E033D">
        <w:rPr>
          <w:rFonts w:ascii="Arial" w:hAnsi="Arial" w:cs="Arial"/>
          <w:sz w:val="22"/>
          <w:szCs w:val="22"/>
        </w:rPr>
        <w:lastRenderedPageBreak/>
        <w:t xml:space="preserve">Fair maternity care in the UK is not possible via an increase in services, but rather necessitates a breakdown of the structural, legal and cultural inequalities that </w:t>
      </w:r>
      <w:proofErr w:type="spellStart"/>
      <w:r w:rsidRPr="002E033D">
        <w:rPr>
          <w:rFonts w:ascii="Arial" w:hAnsi="Arial" w:cs="Arial"/>
          <w:sz w:val="22"/>
          <w:szCs w:val="22"/>
        </w:rPr>
        <w:t>transactively</w:t>
      </w:r>
      <w:proofErr w:type="spellEnd"/>
      <w:r w:rsidRPr="002E033D">
        <w:rPr>
          <w:rFonts w:ascii="Arial" w:hAnsi="Arial" w:cs="Arial"/>
          <w:sz w:val="22"/>
          <w:szCs w:val="22"/>
        </w:rPr>
        <w:t xml:space="preserve"> disadvantage migrant women</w:t>
      </w:r>
      <w:r w:rsidR="00BD103F" w:rsidRPr="002E033D">
        <w:rPr>
          <w:rFonts w:ascii="Arial" w:hAnsi="Arial" w:cs="Arial"/>
          <w:sz w:val="22"/>
          <w:szCs w:val="22"/>
        </w:rPr>
        <w:t>.</w:t>
      </w:r>
    </w:p>
    <w:p w14:paraId="71E1A250" w14:textId="29F31571" w:rsidR="00F86970" w:rsidRPr="002E033D" w:rsidRDefault="00F86970" w:rsidP="00BD103F">
      <w:pPr>
        <w:jc w:val="both"/>
        <w:rPr>
          <w:rFonts w:ascii="Arial" w:hAnsi="Arial" w:cs="Arial"/>
          <w:sz w:val="22"/>
          <w:szCs w:val="22"/>
        </w:rPr>
      </w:pPr>
    </w:p>
    <w:p w14:paraId="1AD63524" w14:textId="77777777" w:rsidR="00BD103F" w:rsidRDefault="00BD103F" w:rsidP="007B2908">
      <w:pPr>
        <w:spacing w:line="360" w:lineRule="auto"/>
        <w:rPr>
          <w:rFonts w:ascii="Times New Roman" w:eastAsiaTheme="majorEastAsia" w:hAnsi="Times New Roman" w:cs="Times New Roman"/>
          <w:b/>
          <w:bCs/>
        </w:rPr>
      </w:pPr>
      <w:r>
        <w:rPr>
          <w:rFonts w:ascii="Times New Roman" w:hAnsi="Times New Roman" w:cs="Times New Roman"/>
          <w:b/>
          <w:bCs/>
        </w:rPr>
        <w:br w:type="page"/>
      </w:r>
    </w:p>
    <w:p w14:paraId="5F7C1538" w14:textId="64D6ADCB" w:rsidR="00F86970" w:rsidRPr="007B2908" w:rsidRDefault="00F86970" w:rsidP="00BD103F">
      <w:pPr>
        <w:pStyle w:val="Heading1"/>
        <w:jc w:val="both"/>
        <w:rPr>
          <w:rFonts w:ascii="Arial" w:eastAsia="Times New Roman" w:hAnsi="Arial" w:cs="Arial"/>
          <w:b/>
          <w:bCs/>
          <w:color w:val="auto"/>
          <w:kern w:val="0"/>
          <w:sz w:val="22"/>
          <w:szCs w:val="22"/>
          <w14:ligatures w14:val="none"/>
        </w:rPr>
      </w:pPr>
      <w:bookmarkStart w:id="25" w:name="_Toc225278126"/>
      <w:r w:rsidRPr="007B2908">
        <w:rPr>
          <w:rFonts w:ascii="Arial" w:hAnsi="Arial" w:cs="Arial"/>
          <w:b/>
          <w:bCs/>
          <w:color w:val="auto"/>
          <w:sz w:val="22"/>
          <w:szCs w:val="22"/>
        </w:rPr>
        <w:lastRenderedPageBreak/>
        <w:t>References:</w:t>
      </w:r>
      <w:bookmarkEnd w:id="25"/>
      <w:r w:rsidRPr="007B2908">
        <w:rPr>
          <w:rFonts w:ascii="Arial" w:eastAsia="Times New Roman" w:hAnsi="Arial" w:cs="Arial"/>
          <w:b/>
          <w:bCs/>
          <w:color w:val="auto"/>
          <w:kern w:val="0"/>
          <w:sz w:val="22"/>
          <w:szCs w:val="22"/>
          <w14:ligatures w14:val="none"/>
        </w:rPr>
        <w:t xml:space="preserve"> </w:t>
      </w:r>
    </w:p>
    <w:p w14:paraId="469E7B02" w14:textId="23A080DB"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Cervera-Gasch, Á., Mena-Tudela, D., Castro-Sánchez, E., Santillan-Garcia, A., Andreu-</w:t>
      </w:r>
      <w:proofErr w:type="spellStart"/>
      <w:r w:rsidRPr="007B2908">
        <w:rPr>
          <w:rFonts w:ascii="Arial" w:hAnsi="Arial" w:cs="Arial"/>
          <w:sz w:val="22"/>
          <w:szCs w:val="22"/>
        </w:rPr>
        <w:t>Pejó</w:t>
      </w:r>
      <w:proofErr w:type="spellEnd"/>
      <w:r w:rsidRPr="007B2908">
        <w:rPr>
          <w:rFonts w:ascii="Arial" w:hAnsi="Arial" w:cs="Arial"/>
          <w:sz w:val="22"/>
          <w:szCs w:val="22"/>
        </w:rPr>
        <w:t>, L., &amp; González-</w:t>
      </w:r>
      <w:proofErr w:type="spellStart"/>
      <w:r w:rsidRPr="007B2908">
        <w:rPr>
          <w:rFonts w:ascii="Arial" w:hAnsi="Arial" w:cs="Arial"/>
          <w:sz w:val="22"/>
          <w:szCs w:val="22"/>
        </w:rPr>
        <w:t>Chordá</w:t>
      </w:r>
      <w:proofErr w:type="spellEnd"/>
      <w:r w:rsidRPr="007B2908">
        <w:rPr>
          <w:rFonts w:ascii="Arial" w:hAnsi="Arial" w:cs="Arial"/>
          <w:sz w:val="22"/>
          <w:szCs w:val="22"/>
        </w:rPr>
        <w:t>, V. M. (2022). Necessary political competences for nurses from the perception of the student body: Cross-sectional study in Spain. </w:t>
      </w:r>
      <w:r w:rsidRPr="007B2908">
        <w:rPr>
          <w:rFonts w:ascii="Arial" w:hAnsi="Arial" w:cs="Arial"/>
          <w:i/>
          <w:iCs/>
          <w:sz w:val="22"/>
          <w:szCs w:val="22"/>
        </w:rPr>
        <w:t>Nurse Education Today</w:t>
      </w:r>
      <w:r w:rsidRPr="007B2908">
        <w:rPr>
          <w:rFonts w:ascii="Arial" w:hAnsi="Arial" w:cs="Arial"/>
          <w:sz w:val="22"/>
          <w:szCs w:val="22"/>
        </w:rPr>
        <w:t>, </w:t>
      </w:r>
      <w:r w:rsidRPr="007B2908">
        <w:rPr>
          <w:rFonts w:ascii="Arial" w:hAnsi="Arial" w:cs="Arial"/>
          <w:i/>
          <w:iCs/>
          <w:sz w:val="22"/>
          <w:szCs w:val="22"/>
        </w:rPr>
        <w:t>109</w:t>
      </w:r>
      <w:r w:rsidRPr="007B2908">
        <w:rPr>
          <w:rFonts w:ascii="Arial" w:hAnsi="Arial" w:cs="Arial"/>
          <w:sz w:val="22"/>
          <w:szCs w:val="22"/>
        </w:rPr>
        <w:t xml:space="preserve">, 105229. </w:t>
      </w:r>
      <w:hyperlink r:id="rId6" w:history="1">
        <w:r w:rsidRPr="007B2908">
          <w:rPr>
            <w:rStyle w:val="Hyperlink"/>
            <w:rFonts w:ascii="Arial" w:hAnsi="Arial" w:cs="Arial"/>
            <w:color w:val="auto"/>
            <w:sz w:val="22"/>
            <w:szCs w:val="22"/>
          </w:rPr>
          <w:t>https://doi.org/10.1016/j.nedt.2021.105229</w:t>
        </w:r>
      </w:hyperlink>
    </w:p>
    <w:p w14:paraId="48E1E467"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Devakumar, D., Shannon, G., Bhopal, S. S., &amp; Abubakar, I. (2020). Racism and discrimination in COVID-19 responses. </w:t>
      </w:r>
      <w:r w:rsidRPr="007B2908">
        <w:rPr>
          <w:rFonts w:ascii="Arial" w:hAnsi="Arial" w:cs="Arial"/>
          <w:i/>
          <w:iCs/>
          <w:sz w:val="22"/>
          <w:szCs w:val="22"/>
        </w:rPr>
        <w:t>The Lancet</w:t>
      </w:r>
      <w:r w:rsidRPr="007B2908">
        <w:rPr>
          <w:rFonts w:ascii="Arial" w:hAnsi="Arial" w:cs="Arial"/>
          <w:sz w:val="22"/>
          <w:szCs w:val="22"/>
        </w:rPr>
        <w:t>, </w:t>
      </w:r>
      <w:r w:rsidRPr="007B2908">
        <w:rPr>
          <w:rFonts w:ascii="Arial" w:hAnsi="Arial" w:cs="Arial"/>
          <w:i/>
          <w:iCs/>
          <w:sz w:val="22"/>
          <w:szCs w:val="22"/>
        </w:rPr>
        <w:t>395</w:t>
      </w:r>
      <w:r w:rsidRPr="007B2908">
        <w:rPr>
          <w:rFonts w:ascii="Arial" w:hAnsi="Arial" w:cs="Arial"/>
          <w:sz w:val="22"/>
          <w:szCs w:val="22"/>
        </w:rPr>
        <w:t xml:space="preserve">(10231), 1194. </w:t>
      </w:r>
      <w:hyperlink r:id="rId7" w:history="1">
        <w:r w:rsidRPr="007B2908">
          <w:rPr>
            <w:rStyle w:val="Hyperlink"/>
            <w:rFonts w:ascii="Arial" w:hAnsi="Arial" w:cs="Arial"/>
            <w:color w:val="auto"/>
            <w:sz w:val="22"/>
            <w:szCs w:val="22"/>
          </w:rPr>
          <w:t>https://doi.org/10.1016/s0140-6736(20)30792-3</w:t>
        </w:r>
      </w:hyperlink>
    </w:p>
    <w:p w14:paraId="1D0413BE"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Garti, I., Donkor, E., Musah, N., Appiah, E. O., </w:t>
      </w:r>
      <w:proofErr w:type="spellStart"/>
      <w:r w:rsidRPr="007B2908">
        <w:rPr>
          <w:rFonts w:ascii="Arial" w:hAnsi="Arial" w:cs="Arial"/>
          <w:sz w:val="22"/>
          <w:szCs w:val="22"/>
        </w:rPr>
        <w:t>Gyekye</w:t>
      </w:r>
      <w:proofErr w:type="spellEnd"/>
      <w:r w:rsidRPr="007B2908">
        <w:rPr>
          <w:rFonts w:ascii="Arial" w:hAnsi="Arial" w:cs="Arial"/>
          <w:sz w:val="22"/>
          <w:szCs w:val="22"/>
        </w:rPr>
        <w:t xml:space="preserve">, S., </w:t>
      </w:r>
      <w:proofErr w:type="spellStart"/>
      <w:r w:rsidRPr="007B2908">
        <w:rPr>
          <w:rFonts w:ascii="Arial" w:hAnsi="Arial" w:cs="Arial"/>
          <w:sz w:val="22"/>
          <w:szCs w:val="22"/>
        </w:rPr>
        <w:t>Menlah</w:t>
      </w:r>
      <w:proofErr w:type="spellEnd"/>
      <w:r w:rsidRPr="007B2908">
        <w:rPr>
          <w:rFonts w:ascii="Arial" w:hAnsi="Arial" w:cs="Arial"/>
          <w:sz w:val="22"/>
          <w:szCs w:val="22"/>
        </w:rPr>
        <w:t xml:space="preserve">, A., &amp; </w:t>
      </w:r>
      <w:proofErr w:type="spellStart"/>
      <w:r w:rsidRPr="007B2908">
        <w:rPr>
          <w:rFonts w:ascii="Arial" w:hAnsi="Arial" w:cs="Arial"/>
          <w:sz w:val="22"/>
          <w:szCs w:val="22"/>
        </w:rPr>
        <w:t>Akuoko</w:t>
      </w:r>
      <w:proofErr w:type="spellEnd"/>
      <w:r w:rsidRPr="007B2908">
        <w:rPr>
          <w:rFonts w:ascii="Arial" w:hAnsi="Arial" w:cs="Arial"/>
          <w:sz w:val="22"/>
          <w:szCs w:val="22"/>
        </w:rPr>
        <w:t>, C. P. (2021). Retraction Note: Mothers’ experiences of caring for preterm babies at home: qualitative insights from an urban setting in a middle-income country. </w:t>
      </w:r>
      <w:r w:rsidRPr="007B2908">
        <w:rPr>
          <w:rFonts w:ascii="Arial" w:hAnsi="Arial" w:cs="Arial"/>
          <w:i/>
          <w:iCs/>
          <w:sz w:val="22"/>
          <w:szCs w:val="22"/>
        </w:rPr>
        <w:t>BMC Pregnancy and Childbirth</w:t>
      </w:r>
      <w:r w:rsidRPr="007B2908">
        <w:rPr>
          <w:rFonts w:ascii="Arial" w:hAnsi="Arial" w:cs="Arial"/>
          <w:sz w:val="22"/>
          <w:szCs w:val="22"/>
        </w:rPr>
        <w:t>, </w:t>
      </w:r>
      <w:r w:rsidRPr="007B2908">
        <w:rPr>
          <w:rFonts w:ascii="Arial" w:hAnsi="Arial" w:cs="Arial"/>
          <w:i/>
          <w:iCs/>
          <w:sz w:val="22"/>
          <w:szCs w:val="22"/>
        </w:rPr>
        <w:t>21</w:t>
      </w:r>
      <w:r w:rsidRPr="007B2908">
        <w:rPr>
          <w:rFonts w:ascii="Arial" w:hAnsi="Arial" w:cs="Arial"/>
          <w:sz w:val="22"/>
          <w:szCs w:val="22"/>
        </w:rPr>
        <w:t xml:space="preserve">(1). </w:t>
      </w:r>
      <w:hyperlink r:id="rId8" w:history="1">
        <w:r w:rsidRPr="007B2908">
          <w:rPr>
            <w:rStyle w:val="Hyperlink"/>
            <w:rFonts w:ascii="Arial" w:hAnsi="Arial" w:cs="Arial"/>
            <w:color w:val="auto"/>
            <w:sz w:val="22"/>
            <w:szCs w:val="22"/>
          </w:rPr>
          <w:t>https://doi.org/10.1186/s12884-021-04185-7</w:t>
        </w:r>
      </w:hyperlink>
    </w:p>
    <w:p w14:paraId="40762F13"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Gerhardsson, E., </w:t>
      </w:r>
      <w:proofErr w:type="spellStart"/>
      <w:r w:rsidRPr="007B2908">
        <w:rPr>
          <w:rFonts w:ascii="Arial" w:hAnsi="Arial" w:cs="Arial"/>
          <w:sz w:val="22"/>
          <w:szCs w:val="22"/>
        </w:rPr>
        <w:t>Oras</w:t>
      </w:r>
      <w:proofErr w:type="spellEnd"/>
      <w:r w:rsidRPr="007B2908">
        <w:rPr>
          <w:rFonts w:ascii="Arial" w:hAnsi="Arial" w:cs="Arial"/>
          <w:sz w:val="22"/>
          <w:szCs w:val="22"/>
        </w:rPr>
        <w:t xml:space="preserve">, P., Mattsson, E., Blomqvist, Y. T., </w:t>
      </w:r>
      <w:proofErr w:type="spellStart"/>
      <w:r w:rsidRPr="007B2908">
        <w:rPr>
          <w:rFonts w:ascii="Arial" w:hAnsi="Arial" w:cs="Arial"/>
          <w:sz w:val="22"/>
          <w:szCs w:val="22"/>
        </w:rPr>
        <w:t>Funkquist</w:t>
      </w:r>
      <w:proofErr w:type="spellEnd"/>
      <w:r w:rsidRPr="007B2908">
        <w:rPr>
          <w:rFonts w:ascii="Arial" w:hAnsi="Arial" w:cs="Arial"/>
          <w:sz w:val="22"/>
          <w:szCs w:val="22"/>
        </w:rPr>
        <w:t>, E.-L., &amp; Rosenblad, A. (2021). Developing the Preterm Breastfeeding Attitudes Instrument: A tool for describing attitudes to breastfeeding among health care professionals in neonatal intensive care. </w:t>
      </w:r>
      <w:r w:rsidRPr="007B2908">
        <w:rPr>
          <w:rFonts w:ascii="Arial" w:hAnsi="Arial" w:cs="Arial"/>
          <w:i/>
          <w:iCs/>
          <w:sz w:val="22"/>
          <w:szCs w:val="22"/>
        </w:rPr>
        <w:t>Midwifery</w:t>
      </w:r>
      <w:r w:rsidRPr="007B2908">
        <w:rPr>
          <w:rFonts w:ascii="Arial" w:hAnsi="Arial" w:cs="Arial"/>
          <w:sz w:val="22"/>
          <w:szCs w:val="22"/>
        </w:rPr>
        <w:t>, </w:t>
      </w:r>
      <w:r w:rsidRPr="007B2908">
        <w:rPr>
          <w:rFonts w:ascii="Arial" w:hAnsi="Arial" w:cs="Arial"/>
          <w:i/>
          <w:iCs/>
          <w:sz w:val="22"/>
          <w:szCs w:val="22"/>
        </w:rPr>
        <w:t>94</w:t>
      </w:r>
      <w:r w:rsidRPr="007B2908">
        <w:rPr>
          <w:rFonts w:ascii="Arial" w:hAnsi="Arial" w:cs="Arial"/>
          <w:sz w:val="22"/>
          <w:szCs w:val="22"/>
        </w:rPr>
        <w:t xml:space="preserve">, 102919. </w:t>
      </w:r>
      <w:hyperlink r:id="rId9" w:history="1">
        <w:r w:rsidRPr="007B2908">
          <w:rPr>
            <w:rStyle w:val="Hyperlink"/>
            <w:rFonts w:ascii="Arial" w:hAnsi="Arial" w:cs="Arial"/>
            <w:color w:val="auto"/>
            <w:sz w:val="22"/>
            <w:szCs w:val="22"/>
          </w:rPr>
          <w:t>https://doi.org/10.1016/j.midw.2020.102919</w:t>
        </w:r>
      </w:hyperlink>
    </w:p>
    <w:p w14:paraId="10F8B795"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Higginbottom, G. M. A., Evans, C., Morgan, M., </w:t>
      </w:r>
      <w:proofErr w:type="spellStart"/>
      <w:r w:rsidRPr="007B2908">
        <w:rPr>
          <w:rFonts w:ascii="Arial" w:hAnsi="Arial" w:cs="Arial"/>
          <w:sz w:val="22"/>
          <w:szCs w:val="22"/>
        </w:rPr>
        <w:t>Bharj</w:t>
      </w:r>
      <w:proofErr w:type="spellEnd"/>
      <w:r w:rsidRPr="007B2908">
        <w:rPr>
          <w:rFonts w:ascii="Arial" w:hAnsi="Arial" w:cs="Arial"/>
          <w:sz w:val="22"/>
          <w:szCs w:val="22"/>
        </w:rPr>
        <w:t>, K. K., Eldridge, J., &amp; Hussain, B. (2019). Experience of and access to maternity care in the UK by immigrant women: a narrative synthesis systematic review. </w:t>
      </w:r>
      <w:r w:rsidRPr="007B2908">
        <w:rPr>
          <w:rFonts w:ascii="Arial" w:hAnsi="Arial" w:cs="Arial"/>
          <w:i/>
          <w:iCs/>
          <w:sz w:val="22"/>
          <w:szCs w:val="22"/>
        </w:rPr>
        <w:t>BMJ Open</w:t>
      </w:r>
      <w:r w:rsidRPr="007B2908">
        <w:rPr>
          <w:rFonts w:ascii="Arial" w:hAnsi="Arial" w:cs="Arial"/>
          <w:sz w:val="22"/>
          <w:szCs w:val="22"/>
        </w:rPr>
        <w:t>, </w:t>
      </w:r>
      <w:r w:rsidRPr="007B2908">
        <w:rPr>
          <w:rFonts w:ascii="Arial" w:hAnsi="Arial" w:cs="Arial"/>
          <w:i/>
          <w:iCs/>
          <w:sz w:val="22"/>
          <w:szCs w:val="22"/>
        </w:rPr>
        <w:t>9</w:t>
      </w:r>
      <w:r w:rsidRPr="007B2908">
        <w:rPr>
          <w:rFonts w:ascii="Arial" w:hAnsi="Arial" w:cs="Arial"/>
          <w:sz w:val="22"/>
          <w:szCs w:val="22"/>
        </w:rPr>
        <w:t xml:space="preserve">(12), e029478. </w:t>
      </w:r>
      <w:hyperlink r:id="rId10" w:history="1">
        <w:r w:rsidRPr="007B2908">
          <w:rPr>
            <w:rStyle w:val="Hyperlink"/>
            <w:rFonts w:ascii="Arial" w:hAnsi="Arial" w:cs="Arial"/>
            <w:color w:val="auto"/>
            <w:sz w:val="22"/>
            <w:szCs w:val="22"/>
          </w:rPr>
          <w:t>https://doi.org/10.1136/bmjopen-2019-029478</w:t>
        </w:r>
      </w:hyperlink>
    </w:p>
    <w:p w14:paraId="30A79424"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Lai, T. H. T., Kwok, S. T., Wang, W., Seto, M. T. Y., &amp; Cheung, K. W. (2022). Fear of childbirth: Validation study of the Chinese version of </w:t>
      </w:r>
      <w:proofErr w:type="spellStart"/>
      <w:r w:rsidRPr="007B2908">
        <w:rPr>
          <w:rFonts w:ascii="Arial" w:hAnsi="Arial" w:cs="Arial"/>
          <w:sz w:val="22"/>
          <w:szCs w:val="22"/>
        </w:rPr>
        <w:t>Wijma</w:t>
      </w:r>
      <w:proofErr w:type="spellEnd"/>
      <w:r w:rsidRPr="007B2908">
        <w:rPr>
          <w:rFonts w:ascii="Arial" w:hAnsi="Arial" w:cs="Arial"/>
          <w:sz w:val="22"/>
          <w:szCs w:val="22"/>
        </w:rPr>
        <w:t xml:space="preserve"> delivery expectancy / experience questionnaire version B. </w:t>
      </w:r>
      <w:r w:rsidRPr="007B2908">
        <w:rPr>
          <w:rFonts w:ascii="Arial" w:hAnsi="Arial" w:cs="Arial"/>
          <w:i/>
          <w:iCs/>
          <w:sz w:val="22"/>
          <w:szCs w:val="22"/>
        </w:rPr>
        <w:t>Midwifery</w:t>
      </w:r>
      <w:r w:rsidRPr="007B2908">
        <w:rPr>
          <w:rFonts w:ascii="Arial" w:hAnsi="Arial" w:cs="Arial"/>
          <w:sz w:val="22"/>
          <w:szCs w:val="22"/>
        </w:rPr>
        <w:t>, </w:t>
      </w:r>
      <w:r w:rsidRPr="007B2908">
        <w:rPr>
          <w:rFonts w:ascii="Arial" w:hAnsi="Arial" w:cs="Arial"/>
          <w:i/>
          <w:iCs/>
          <w:sz w:val="22"/>
          <w:szCs w:val="22"/>
        </w:rPr>
        <w:t>108</w:t>
      </w:r>
      <w:r w:rsidRPr="007B2908">
        <w:rPr>
          <w:rFonts w:ascii="Arial" w:hAnsi="Arial" w:cs="Arial"/>
          <w:sz w:val="22"/>
          <w:szCs w:val="22"/>
        </w:rPr>
        <w:t>, 103296. https://doi.org/10.1016/j.midw.2022.103296‌</w:t>
      </w:r>
    </w:p>
    <w:p w14:paraId="27EAE7B8"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‌MBRRACE-UK. (2025). </w:t>
      </w:r>
      <w:r w:rsidRPr="007B2908">
        <w:rPr>
          <w:rFonts w:ascii="Arial" w:hAnsi="Arial" w:cs="Arial"/>
          <w:i/>
          <w:iCs/>
          <w:sz w:val="22"/>
          <w:szCs w:val="22"/>
        </w:rPr>
        <w:t>Reports | MBRRACE-UK | NPEU</w:t>
      </w:r>
      <w:r w:rsidRPr="007B2908">
        <w:rPr>
          <w:rFonts w:ascii="Arial" w:hAnsi="Arial" w:cs="Arial"/>
          <w:sz w:val="22"/>
          <w:szCs w:val="22"/>
        </w:rPr>
        <w:t xml:space="preserve">. Ox.ac.uk. </w:t>
      </w:r>
      <w:hyperlink r:id="rId11" w:history="1">
        <w:r w:rsidRPr="007B2908">
          <w:rPr>
            <w:rStyle w:val="Hyperlink"/>
            <w:rFonts w:ascii="Arial" w:hAnsi="Arial" w:cs="Arial"/>
            <w:color w:val="auto"/>
            <w:sz w:val="22"/>
            <w:szCs w:val="22"/>
          </w:rPr>
          <w:t>https://www.npeu.ox.ac.uk/mbrrace-uk/reports</w:t>
        </w:r>
      </w:hyperlink>
    </w:p>
    <w:p w14:paraId="79C851FC"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Nellums, L. B., Powis, J., Jones, L., Miller, A., </w:t>
      </w:r>
      <w:proofErr w:type="spellStart"/>
      <w:r w:rsidRPr="007B2908">
        <w:rPr>
          <w:rFonts w:ascii="Arial" w:hAnsi="Arial" w:cs="Arial"/>
          <w:sz w:val="22"/>
          <w:szCs w:val="22"/>
        </w:rPr>
        <w:t>Rustage</w:t>
      </w:r>
      <w:proofErr w:type="spellEnd"/>
      <w:r w:rsidRPr="007B2908">
        <w:rPr>
          <w:rFonts w:ascii="Arial" w:hAnsi="Arial" w:cs="Arial"/>
          <w:sz w:val="22"/>
          <w:szCs w:val="22"/>
        </w:rPr>
        <w:t xml:space="preserve">, K., Russell, N., Friedland, J. S., &amp; Hargreaves, S. (2020). “It’s a life you’re playing with”: A qualitative study on experiences of NHS maternity services among undocumented migrant women in England. </w:t>
      </w:r>
      <w:r w:rsidRPr="007B2908">
        <w:rPr>
          <w:rFonts w:ascii="Arial" w:hAnsi="Arial" w:cs="Arial"/>
          <w:i/>
          <w:iCs/>
          <w:sz w:val="22"/>
          <w:szCs w:val="22"/>
        </w:rPr>
        <w:t>Social Science &amp; Medicine</w:t>
      </w:r>
      <w:r w:rsidRPr="007B2908">
        <w:rPr>
          <w:rFonts w:ascii="Arial" w:hAnsi="Arial" w:cs="Arial"/>
          <w:sz w:val="22"/>
          <w:szCs w:val="22"/>
        </w:rPr>
        <w:t xml:space="preserve">, </w:t>
      </w:r>
      <w:r w:rsidRPr="007B2908">
        <w:rPr>
          <w:rFonts w:ascii="Arial" w:hAnsi="Arial" w:cs="Arial"/>
          <w:i/>
          <w:iCs/>
          <w:sz w:val="22"/>
          <w:szCs w:val="22"/>
        </w:rPr>
        <w:t>270</w:t>
      </w:r>
      <w:r w:rsidRPr="007B2908">
        <w:rPr>
          <w:rFonts w:ascii="Arial" w:hAnsi="Arial" w:cs="Arial"/>
          <w:sz w:val="22"/>
          <w:szCs w:val="22"/>
        </w:rPr>
        <w:t xml:space="preserve">, 113610. </w:t>
      </w:r>
      <w:hyperlink r:id="rId12" w:history="1">
        <w:r w:rsidRPr="007B2908">
          <w:rPr>
            <w:rStyle w:val="Hyperlink"/>
            <w:rFonts w:ascii="Arial" w:hAnsi="Arial" w:cs="Arial"/>
            <w:color w:val="auto"/>
            <w:sz w:val="22"/>
            <w:szCs w:val="22"/>
          </w:rPr>
          <w:t>https://doi.org/10.1016/j.socscimed.2020.113610</w:t>
        </w:r>
      </w:hyperlink>
    </w:p>
    <w:p w14:paraId="14FE3014"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NHS England. (2019). </w:t>
      </w:r>
      <w:r w:rsidRPr="007B2908">
        <w:rPr>
          <w:rFonts w:ascii="Arial" w:hAnsi="Arial" w:cs="Arial"/>
          <w:i/>
          <w:iCs/>
          <w:sz w:val="22"/>
          <w:szCs w:val="22"/>
        </w:rPr>
        <w:t>Maternity Services Monthly Statistics - NHS Digital</w:t>
      </w:r>
      <w:r w:rsidRPr="007B2908">
        <w:rPr>
          <w:rFonts w:ascii="Arial" w:hAnsi="Arial" w:cs="Arial"/>
          <w:sz w:val="22"/>
          <w:szCs w:val="22"/>
        </w:rPr>
        <w:t xml:space="preserve">. NHS Digital. </w:t>
      </w:r>
      <w:hyperlink r:id="rId13" w:history="1">
        <w:r w:rsidRPr="007B2908">
          <w:rPr>
            <w:rStyle w:val="Hyperlink"/>
            <w:rFonts w:ascii="Arial" w:hAnsi="Arial" w:cs="Arial"/>
            <w:color w:val="auto"/>
            <w:sz w:val="22"/>
            <w:szCs w:val="22"/>
          </w:rPr>
          <w:t>https://digital.nhs.uk/data-and-information/publications/statistical/maternity-services-monthly-statistics</w:t>
        </w:r>
      </w:hyperlink>
    </w:p>
    <w:p w14:paraId="768728BC"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NHS. (2026, March 24). </w:t>
      </w:r>
      <w:r w:rsidRPr="007B2908">
        <w:rPr>
          <w:rFonts w:ascii="Arial" w:hAnsi="Arial" w:cs="Arial"/>
          <w:i/>
          <w:iCs/>
          <w:sz w:val="22"/>
          <w:szCs w:val="22"/>
        </w:rPr>
        <w:t>NHS England» Publication Containers</w:t>
      </w:r>
      <w:r w:rsidRPr="007B2908">
        <w:rPr>
          <w:rFonts w:ascii="Arial" w:hAnsi="Arial" w:cs="Arial"/>
          <w:sz w:val="22"/>
          <w:szCs w:val="22"/>
        </w:rPr>
        <w:t xml:space="preserve">. England.nhs.uk. </w:t>
      </w:r>
      <w:hyperlink r:id="rId14" w:history="1">
        <w:r w:rsidRPr="007B2908">
          <w:rPr>
            <w:rStyle w:val="Hyperlink"/>
            <w:rFonts w:ascii="Arial" w:hAnsi="Arial" w:cs="Arial"/>
            <w:color w:val="auto"/>
            <w:sz w:val="22"/>
            <w:szCs w:val="22"/>
          </w:rPr>
          <w:t>https://www.england.nhs.uk/publication/</w:t>
        </w:r>
      </w:hyperlink>
    </w:p>
    <w:p w14:paraId="3A329A5A"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NICE. (2021, August 19). </w:t>
      </w:r>
      <w:r w:rsidRPr="007B2908">
        <w:rPr>
          <w:rFonts w:ascii="Arial" w:hAnsi="Arial" w:cs="Arial"/>
          <w:i/>
          <w:iCs/>
          <w:sz w:val="22"/>
          <w:szCs w:val="22"/>
        </w:rPr>
        <w:t>Overview | Antenatal care | Guidance | NICE</w:t>
      </w:r>
      <w:r w:rsidRPr="007B2908">
        <w:rPr>
          <w:rFonts w:ascii="Arial" w:hAnsi="Arial" w:cs="Arial"/>
          <w:sz w:val="22"/>
          <w:szCs w:val="22"/>
        </w:rPr>
        <w:t xml:space="preserve">. Nice.org.uk; NICE. </w:t>
      </w:r>
      <w:hyperlink r:id="rId15" w:history="1">
        <w:r w:rsidRPr="007B2908">
          <w:rPr>
            <w:rStyle w:val="Hyperlink"/>
            <w:rFonts w:ascii="Arial" w:hAnsi="Arial" w:cs="Arial"/>
            <w:color w:val="auto"/>
            <w:sz w:val="22"/>
            <w:szCs w:val="22"/>
          </w:rPr>
          <w:t>https://www.nice.org.uk/guidance/ng201</w:t>
        </w:r>
      </w:hyperlink>
    </w:p>
    <w:p w14:paraId="42583175"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lastRenderedPageBreak/>
        <w:t>NICE. (2021, August 19). </w:t>
      </w:r>
      <w:r w:rsidRPr="007B2908">
        <w:rPr>
          <w:rFonts w:ascii="Arial" w:hAnsi="Arial" w:cs="Arial"/>
          <w:i/>
          <w:iCs/>
          <w:sz w:val="22"/>
          <w:szCs w:val="22"/>
        </w:rPr>
        <w:t>Overview | Antenatal care | Guidance | NICE</w:t>
      </w:r>
      <w:r w:rsidRPr="007B2908">
        <w:rPr>
          <w:rFonts w:ascii="Arial" w:hAnsi="Arial" w:cs="Arial"/>
          <w:sz w:val="22"/>
          <w:szCs w:val="22"/>
        </w:rPr>
        <w:t xml:space="preserve">. Nice.org.uk; NICE. </w:t>
      </w:r>
      <w:hyperlink r:id="rId16" w:history="1">
        <w:r w:rsidRPr="007B2908">
          <w:rPr>
            <w:rStyle w:val="Hyperlink"/>
            <w:rFonts w:ascii="Arial" w:hAnsi="Arial" w:cs="Arial"/>
            <w:color w:val="auto"/>
            <w:sz w:val="22"/>
            <w:szCs w:val="22"/>
          </w:rPr>
          <w:t>https://www.nice.org.uk/guidance/ng201</w:t>
        </w:r>
      </w:hyperlink>
    </w:p>
    <w:p w14:paraId="4C6E2946"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w:t>
      </w:r>
      <w:proofErr w:type="spellStart"/>
      <w:r w:rsidRPr="007B2908">
        <w:rPr>
          <w:rFonts w:ascii="Arial" w:hAnsi="Arial" w:cs="Arial"/>
          <w:sz w:val="22"/>
          <w:szCs w:val="22"/>
        </w:rPr>
        <w:t>Obionu</w:t>
      </w:r>
      <w:proofErr w:type="spellEnd"/>
      <w:r w:rsidRPr="007B2908">
        <w:rPr>
          <w:rFonts w:ascii="Arial" w:hAnsi="Arial" w:cs="Arial"/>
          <w:sz w:val="22"/>
          <w:szCs w:val="22"/>
        </w:rPr>
        <w:t xml:space="preserve">, I. M., </w:t>
      </w:r>
      <w:proofErr w:type="spellStart"/>
      <w:r w:rsidRPr="007B2908">
        <w:rPr>
          <w:rFonts w:ascii="Arial" w:hAnsi="Arial" w:cs="Arial"/>
          <w:sz w:val="22"/>
          <w:szCs w:val="22"/>
        </w:rPr>
        <w:t>Onyedinma</w:t>
      </w:r>
      <w:proofErr w:type="spellEnd"/>
      <w:r w:rsidRPr="007B2908">
        <w:rPr>
          <w:rFonts w:ascii="Arial" w:hAnsi="Arial" w:cs="Arial"/>
          <w:sz w:val="22"/>
          <w:szCs w:val="22"/>
        </w:rPr>
        <w:t>, C. A., Mielewczyk, F., &amp; Boyle, E. (2023).</w:t>
      </w:r>
      <w:r w:rsidRPr="007B2908">
        <w:rPr>
          <w:rFonts w:ascii="Arial" w:hAnsi="Arial" w:cs="Arial"/>
          <w:sz w:val="22"/>
          <w:szCs w:val="22"/>
        </w:rPr>
        <w:br/>
        <w:t xml:space="preserve">UK maternity care experiences of ethnic minority and migrant women: A systematic review. </w:t>
      </w:r>
      <w:r w:rsidRPr="007B2908">
        <w:rPr>
          <w:rFonts w:ascii="Arial" w:hAnsi="Arial" w:cs="Arial"/>
          <w:i/>
          <w:iCs/>
          <w:sz w:val="22"/>
          <w:szCs w:val="22"/>
        </w:rPr>
        <w:t>Public Health Nursing, 40</w:t>
      </w:r>
      <w:r w:rsidRPr="007B2908">
        <w:rPr>
          <w:rFonts w:ascii="Arial" w:hAnsi="Arial" w:cs="Arial"/>
          <w:sz w:val="22"/>
          <w:szCs w:val="22"/>
        </w:rPr>
        <w:t>(6), 846–856.</w:t>
      </w:r>
      <w:r w:rsidRPr="007B2908">
        <w:rPr>
          <w:rFonts w:ascii="Arial" w:hAnsi="Arial" w:cs="Arial"/>
          <w:sz w:val="22"/>
          <w:szCs w:val="22"/>
        </w:rPr>
        <w:br/>
      </w:r>
      <w:hyperlink r:id="rId17" w:history="1">
        <w:r w:rsidRPr="007B2908">
          <w:rPr>
            <w:rStyle w:val="Hyperlink"/>
            <w:rFonts w:ascii="Arial" w:hAnsi="Arial" w:cs="Arial"/>
            <w:color w:val="auto"/>
            <w:sz w:val="22"/>
            <w:szCs w:val="22"/>
          </w:rPr>
          <w:t>https://doi.org/10.1111/phn.13210</w:t>
        </w:r>
      </w:hyperlink>
    </w:p>
    <w:p w14:paraId="39323F1E"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Pascal, C., </w:t>
      </w:r>
      <w:proofErr w:type="spellStart"/>
      <w:r w:rsidRPr="007B2908">
        <w:rPr>
          <w:rFonts w:ascii="Arial" w:hAnsi="Arial" w:cs="Arial"/>
          <w:sz w:val="22"/>
          <w:szCs w:val="22"/>
        </w:rPr>
        <w:t>Arquembourg</w:t>
      </w:r>
      <w:proofErr w:type="spellEnd"/>
      <w:r w:rsidRPr="007B2908">
        <w:rPr>
          <w:rFonts w:ascii="Arial" w:hAnsi="Arial" w:cs="Arial"/>
          <w:sz w:val="22"/>
          <w:szCs w:val="22"/>
        </w:rPr>
        <w:t xml:space="preserve">, J., </w:t>
      </w:r>
      <w:proofErr w:type="spellStart"/>
      <w:r w:rsidRPr="007B2908">
        <w:rPr>
          <w:rFonts w:ascii="Arial" w:hAnsi="Arial" w:cs="Arial"/>
          <w:sz w:val="22"/>
          <w:szCs w:val="22"/>
        </w:rPr>
        <w:t>Vorilhon</w:t>
      </w:r>
      <w:proofErr w:type="spellEnd"/>
      <w:r w:rsidRPr="007B2908">
        <w:rPr>
          <w:rFonts w:ascii="Arial" w:hAnsi="Arial" w:cs="Arial"/>
          <w:sz w:val="22"/>
          <w:szCs w:val="22"/>
        </w:rPr>
        <w:t xml:space="preserve">, P., &amp; </w:t>
      </w:r>
      <w:proofErr w:type="spellStart"/>
      <w:r w:rsidRPr="007B2908">
        <w:rPr>
          <w:rFonts w:ascii="Arial" w:hAnsi="Arial" w:cs="Arial"/>
          <w:sz w:val="22"/>
          <w:szCs w:val="22"/>
        </w:rPr>
        <w:t>Lesens</w:t>
      </w:r>
      <w:proofErr w:type="spellEnd"/>
      <w:r w:rsidRPr="007B2908">
        <w:rPr>
          <w:rFonts w:ascii="Arial" w:hAnsi="Arial" w:cs="Arial"/>
          <w:sz w:val="22"/>
          <w:szCs w:val="22"/>
        </w:rPr>
        <w:t xml:space="preserve">, O. (2019). Emergence of Lyme disease as a social problem: analysis of discourse using the media content. </w:t>
      </w:r>
      <w:r w:rsidRPr="007B2908">
        <w:rPr>
          <w:rFonts w:ascii="Arial" w:hAnsi="Arial" w:cs="Arial"/>
          <w:i/>
          <w:iCs/>
          <w:sz w:val="22"/>
          <w:szCs w:val="22"/>
        </w:rPr>
        <w:t>European Journal of Public Health</w:t>
      </w:r>
      <w:r w:rsidRPr="007B2908">
        <w:rPr>
          <w:rFonts w:ascii="Arial" w:hAnsi="Arial" w:cs="Arial"/>
          <w:sz w:val="22"/>
          <w:szCs w:val="22"/>
        </w:rPr>
        <w:t xml:space="preserve">, </w:t>
      </w:r>
      <w:r w:rsidRPr="007B2908">
        <w:rPr>
          <w:rFonts w:ascii="Arial" w:hAnsi="Arial" w:cs="Arial"/>
          <w:i/>
          <w:iCs/>
          <w:sz w:val="22"/>
          <w:szCs w:val="22"/>
        </w:rPr>
        <w:t>30</w:t>
      </w:r>
      <w:r w:rsidRPr="007B2908">
        <w:rPr>
          <w:rFonts w:ascii="Arial" w:hAnsi="Arial" w:cs="Arial"/>
          <w:sz w:val="22"/>
          <w:szCs w:val="22"/>
        </w:rPr>
        <w:t xml:space="preserve">(3), 475–481. </w:t>
      </w:r>
      <w:hyperlink r:id="rId18" w:history="1">
        <w:r w:rsidRPr="007B2908">
          <w:rPr>
            <w:rStyle w:val="Hyperlink"/>
            <w:rFonts w:ascii="Arial" w:hAnsi="Arial" w:cs="Arial"/>
            <w:color w:val="auto"/>
            <w:sz w:val="22"/>
            <w:szCs w:val="22"/>
          </w:rPr>
          <w:t>https://doi.org/10.1093/eurpub/ckz198</w:t>
        </w:r>
      </w:hyperlink>
    </w:p>
    <w:p w14:paraId="57AC2FD3" w14:textId="77777777" w:rsidR="00F86970" w:rsidRPr="007B2908" w:rsidRDefault="00F86970" w:rsidP="00BD103F">
      <w:pPr>
        <w:ind w:left="1440" w:hanging="1440"/>
        <w:jc w:val="both"/>
        <w:rPr>
          <w:rFonts w:ascii="Arial" w:hAnsi="Arial" w:cs="Arial"/>
          <w:sz w:val="22"/>
          <w:szCs w:val="22"/>
        </w:rPr>
      </w:pPr>
      <w:proofErr w:type="spellStart"/>
      <w:r w:rsidRPr="007B2908">
        <w:rPr>
          <w:rFonts w:ascii="Arial" w:hAnsi="Arial" w:cs="Arial"/>
          <w:sz w:val="22"/>
          <w:szCs w:val="22"/>
        </w:rPr>
        <w:t>Pherali</w:t>
      </w:r>
      <w:proofErr w:type="spellEnd"/>
      <w:r w:rsidRPr="007B2908">
        <w:rPr>
          <w:rFonts w:ascii="Arial" w:hAnsi="Arial" w:cs="Arial"/>
          <w:sz w:val="22"/>
          <w:szCs w:val="22"/>
        </w:rPr>
        <w:t xml:space="preserve">, T., &amp; </w:t>
      </w:r>
      <w:proofErr w:type="spellStart"/>
      <w:r w:rsidRPr="007B2908">
        <w:rPr>
          <w:rFonts w:ascii="Arial" w:hAnsi="Arial" w:cs="Arial"/>
          <w:sz w:val="22"/>
          <w:szCs w:val="22"/>
        </w:rPr>
        <w:t>Moghli</w:t>
      </w:r>
      <w:proofErr w:type="spellEnd"/>
      <w:r w:rsidRPr="007B2908">
        <w:rPr>
          <w:rFonts w:ascii="Arial" w:hAnsi="Arial" w:cs="Arial"/>
          <w:sz w:val="22"/>
          <w:szCs w:val="22"/>
        </w:rPr>
        <w:t xml:space="preserve">, M. A. (2019). Higher education in the context of mass Displacement: Towards Sustainable Solutions for Refugees. </w:t>
      </w:r>
      <w:r w:rsidRPr="007B2908">
        <w:rPr>
          <w:rFonts w:ascii="Arial" w:hAnsi="Arial" w:cs="Arial"/>
          <w:i/>
          <w:iCs/>
          <w:sz w:val="22"/>
          <w:szCs w:val="22"/>
        </w:rPr>
        <w:t>Journal of Refugee Studies</w:t>
      </w:r>
      <w:r w:rsidRPr="007B2908">
        <w:rPr>
          <w:rFonts w:ascii="Arial" w:hAnsi="Arial" w:cs="Arial"/>
          <w:sz w:val="22"/>
          <w:szCs w:val="22"/>
        </w:rPr>
        <w:t xml:space="preserve">, </w:t>
      </w:r>
      <w:r w:rsidRPr="007B2908">
        <w:rPr>
          <w:rFonts w:ascii="Arial" w:hAnsi="Arial" w:cs="Arial"/>
          <w:i/>
          <w:iCs/>
          <w:sz w:val="22"/>
          <w:szCs w:val="22"/>
        </w:rPr>
        <w:t>34</w:t>
      </w:r>
      <w:r w:rsidRPr="007B2908">
        <w:rPr>
          <w:rFonts w:ascii="Arial" w:hAnsi="Arial" w:cs="Arial"/>
          <w:sz w:val="22"/>
          <w:szCs w:val="22"/>
        </w:rPr>
        <w:t xml:space="preserve">(2), 2159–2179. </w:t>
      </w:r>
      <w:hyperlink r:id="rId19" w:history="1">
        <w:r w:rsidRPr="007B2908">
          <w:rPr>
            <w:rStyle w:val="Hyperlink"/>
            <w:rFonts w:ascii="Arial" w:hAnsi="Arial" w:cs="Arial"/>
            <w:color w:val="auto"/>
            <w:sz w:val="22"/>
            <w:szCs w:val="22"/>
          </w:rPr>
          <w:t>https://doi.org/10.1093/jrs/fez093</w:t>
        </w:r>
      </w:hyperlink>
    </w:p>
    <w:p w14:paraId="03B387E6" w14:textId="77777777" w:rsidR="00F86970" w:rsidRPr="007B2908" w:rsidRDefault="00F86970" w:rsidP="00BD103F">
      <w:pPr>
        <w:ind w:left="1440" w:hanging="1440"/>
        <w:jc w:val="both"/>
        <w:rPr>
          <w:rFonts w:ascii="Arial" w:hAnsi="Arial" w:cs="Arial"/>
          <w:sz w:val="22"/>
          <w:szCs w:val="22"/>
        </w:rPr>
      </w:pPr>
      <w:proofErr w:type="spellStart"/>
      <w:r w:rsidRPr="007B2908">
        <w:rPr>
          <w:rFonts w:ascii="Arial" w:hAnsi="Arial" w:cs="Arial"/>
          <w:sz w:val="22"/>
          <w:szCs w:val="22"/>
        </w:rPr>
        <w:t>Pösö</w:t>
      </w:r>
      <w:proofErr w:type="spellEnd"/>
      <w:r w:rsidRPr="007B2908">
        <w:rPr>
          <w:rFonts w:ascii="Arial" w:hAnsi="Arial" w:cs="Arial"/>
          <w:sz w:val="22"/>
          <w:szCs w:val="22"/>
        </w:rPr>
        <w:t>, T. (2021). Children’s consent to child welfare services: Some explorative remarks. </w:t>
      </w:r>
      <w:r w:rsidRPr="007B2908">
        <w:rPr>
          <w:rFonts w:ascii="Arial" w:hAnsi="Arial" w:cs="Arial"/>
          <w:i/>
          <w:iCs/>
          <w:sz w:val="22"/>
          <w:szCs w:val="22"/>
        </w:rPr>
        <w:t>Children &amp; Society</w:t>
      </w:r>
      <w:r w:rsidRPr="007B2908">
        <w:rPr>
          <w:rFonts w:ascii="Arial" w:hAnsi="Arial" w:cs="Arial"/>
          <w:sz w:val="22"/>
          <w:szCs w:val="22"/>
        </w:rPr>
        <w:t>, </w:t>
      </w:r>
      <w:r w:rsidRPr="007B2908">
        <w:rPr>
          <w:rFonts w:ascii="Arial" w:hAnsi="Arial" w:cs="Arial"/>
          <w:i/>
          <w:iCs/>
          <w:sz w:val="22"/>
          <w:szCs w:val="22"/>
        </w:rPr>
        <w:t>36</w:t>
      </w:r>
      <w:r w:rsidRPr="007B2908">
        <w:rPr>
          <w:rFonts w:ascii="Arial" w:hAnsi="Arial" w:cs="Arial"/>
          <w:sz w:val="22"/>
          <w:szCs w:val="22"/>
        </w:rPr>
        <w:t xml:space="preserve">(1), 52–65. </w:t>
      </w:r>
      <w:hyperlink r:id="rId20" w:history="1">
        <w:r w:rsidRPr="007B2908">
          <w:rPr>
            <w:rStyle w:val="Hyperlink"/>
            <w:rFonts w:ascii="Arial" w:hAnsi="Arial" w:cs="Arial"/>
            <w:color w:val="auto"/>
            <w:sz w:val="22"/>
            <w:szCs w:val="22"/>
          </w:rPr>
          <w:t>https://doi.org/10.1111/chso.12483</w:t>
        </w:r>
      </w:hyperlink>
    </w:p>
    <w:p w14:paraId="197138A8"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Scherer, N., Mactaggart, I., Huggett, C., Pheng, P., Rahman, M., &amp; Wilbur, J. (2021). Are the rights of people with disabilities included in international guidance on WASH during the COVID-19 pandemic? Content analysis using </w:t>
      </w:r>
      <w:proofErr w:type="spellStart"/>
      <w:r w:rsidRPr="007B2908">
        <w:rPr>
          <w:rFonts w:ascii="Arial" w:hAnsi="Arial" w:cs="Arial"/>
          <w:sz w:val="22"/>
          <w:szCs w:val="22"/>
        </w:rPr>
        <w:t>EquiFrame</w:t>
      </w:r>
      <w:proofErr w:type="spellEnd"/>
      <w:r w:rsidRPr="007B2908">
        <w:rPr>
          <w:rFonts w:ascii="Arial" w:hAnsi="Arial" w:cs="Arial"/>
          <w:sz w:val="22"/>
          <w:szCs w:val="22"/>
        </w:rPr>
        <w:t>. </w:t>
      </w:r>
      <w:r w:rsidRPr="007B2908">
        <w:rPr>
          <w:rFonts w:ascii="Arial" w:hAnsi="Arial" w:cs="Arial"/>
          <w:i/>
          <w:iCs/>
          <w:sz w:val="22"/>
          <w:szCs w:val="22"/>
        </w:rPr>
        <w:t>BMJ Open</w:t>
      </w:r>
      <w:r w:rsidRPr="007B2908">
        <w:rPr>
          <w:rFonts w:ascii="Arial" w:hAnsi="Arial" w:cs="Arial"/>
          <w:sz w:val="22"/>
          <w:szCs w:val="22"/>
        </w:rPr>
        <w:t>, </w:t>
      </w:r>
      <w:r w:rsidRPr="007B2908">
        <w:rPr>
          <w:rFonts w:ascii="Arial" w:hAnsi="Arial" w:cs="Arial"/>
          <w:i/>
          <w:iCs/>
          <w:sz w:val="22"/>
          <w:szCs w:val="22"/>
        </w:rPr>
        <w:t>11</w:t>
      </w:r>
      <w:r w:rsidRPr="007B2908">
        <w:rPr>
          <w:rFonts w:ascii="Arial" w:hAnsi="Arial" w:cs="Arial"/>
          <w:sz w:val="22"/>
          <w:szCs w:val="22"/>
        </w:rPr>
        <w:t xml:space="preserve">(7), e046112. </w:t>
      </w:r>
      <w:hyperlink r:id="rId21" w:history="1">
        <w:r w:rsidRPr="007B2908">
          <w:rPr>
            <w:rStyle w:val="Hyperlink"/>
            <w:rFonts w:ascii="Arial" w:hAnsi="Arial" w:cs="Arial"/>
            <w:color w:val="auto"/>
            <w:sz w:val="22"/>
            <w:szCs w:val="22"/>
          </w:rPr>
          <w:t>https://doi.org/10.1136/bmjopen-2020-046112</w:t>
        </w:r>
      </w:hyperlink>
    </w:p>
    <w:p w14:paraId="27973E0E" w14:textId="77777777" w:rsidR="00F86970" w:rsidRPr="007B2908" w:rsidRDefault="00F86970" w:rsidP="00BD103F">
      <w:pPr>
        <w:ind w:left="1440" w:hanging="1440"/>
        <w:jc w:val="both"/>
        <w:rPr>
          <w:rFonts w:ascii="Arial" w:hAnsi="Arial" w:cs="Arial"/>
          <w:sz w:val="22"/>
          <w:szCs w:val="22"/>
        </w:rPr>
      </w:pPr>
      <w:r w:rsidRPr="007B2908">
        <w:rPr>
          <w:rFonts w:ascii="Arial" w:hAnsi="Arial" w:cs="Arial"/>
          <w:sz w:val="22"/>
          <w:szCs w:val="22"/>
        </w:rPr>
        <w:t xml:space="preserve">Xiao, Y., Chen, X., Li, Q., Jia, P., Li, L., &amp; Chen, Z. (2021). Towards healthy China 2030: Modeling health care accessibility with patient referral. </w:t>
      </w:r>
      <w:r w:rsidRPr="007B2908">
        <w:rPr>
          <w:rFonts w:ascii="Arial" w:hAnsi="Arial" w:cs="Arial"/>
          <w:i/>
          <w:iCs/>
          <w:sz w:val="22"/>
          <w:szCs w:val="22"/>
        </w:rPr>
        <w:t>Social Science &amp; Medicine</w:t>
      </w:r>
      <w:r w:rsidRPr="007B2908">
        <w:rPr>
          <w:rFonts w:ascii="Arial" w:hAnsi="Arial" w:cs="Arial"/>
          <w:sz w:val="22"/>
          <w:szCs w:val="22"/>
        </w:rPr>
        <w:t xml:space="preserve">, </w:t>
      </w:r>
      <w:r w:rsidRPr="007B2908">
        <w:rPr>
          <w:rFonts w:ascii="Arial" w:hAnsi="Arial" w:cs="Arial"/>
          <w:i/>
          <w:iCs/>
          <w:sz w:val="22"/>
          <w:szCs w:val="22"/>
        </w:rPr>
        <w:t>276</w:t>
      </w:r>
      <w:r w:rsidRPr="007B2908">
        <w:rPr>
          <w:rFonts w:ascii="Arial" w:hAnsi="Arial" w:cs="Arial"/>
          <w:sz w:val="22"/>
          <w:szCs w:val="22"/>
        </w:rPr>
        <w:t xml:space="preserve">, 113834. </w:t>
      </w:r>
      <w:hyperlink r:id="rId22" w:history="1">
        <w:r w:rsidRPr="007B2908">
          <w:rPr>
            <w:rStyle w:val="Hyperlink"/>
            <w:rFonts w:ascii="Arial" w:hAnsi="Arial" w:cs="Arial"/>
            <w:color w:val="auto"/>
            <w:sz w:val="22"/>
            <w:szCs w:val="22"/>
          </w:rPr>
          <w:t>https://doi.org/10.1016/j.socscimed.2021.113834</w:t>
        </w:r>
      </w:hyperlink>
    </w:p>
    <w:p w14:paraId="70345B53" w14:textId="77777777" w:rsidR="00F86970" w:rsidRPr="00BD103F" w:rsidRDefault="00F86970" w:rsidP="00BD103F">
      <w:pPr>
        <w:ind w:left="1440" w:hanging="1440"/>
        <w:jc w:val="both"/>
        <w:rPr>
          <w:rFonts w:ascii="Times New Roman" w:hAnsi="Times New Roman" w:cs="Times New Roman"/>
        </w:rPr>
      </w:pPr>
      <w:r w:rsidRPr="007B2908">
        <w:rPr>
          <w:rFonts w:ascii="Arial" w:hAnsi="Arial" w:cs="Arial"/>
          <w:sz w:val="22"/>
          <w:szCs w:val="22"/>
        </w:rPr>
        <w:t>Zhu, C., Zhu, H., Wang, Y., Cui, H., &amp; Li, Y. (2019). Para</w:t>
      </w:r>
      <w:r w:rsidRPr="007B2908">
        <w:rPr>
          <w:rFonts w:ascii="Cambria Math" w:hAnsi="Cambria Math" w:cs="Cambria Math"/>
          <w:sz w:val="22"/>
          <w:szCs w:val="22"/>
        </w:rPr>
        <w:t>‐</w:t>
      </w:r>
      <w:r w:rsidRPr="007B2908">
        <w:rPr>
          <w:rFonts w:ascii="Arial" w:hAnsi="Arial" w:cs="Arial"/>
          <w:sz w:val="22"/>
          <w:szCs w:val="22"/>
        </w:rPr>
        <w:t>aortic lymphadenectomy below inferior mesenteric artery versus renal vessels in stage IIIC epithelial ovarian cancer: A comparison of surgical outcomes. </w:t>
      </w:r>
      <w:r w:rsidRPr="007B2908">
        <w:rPr>
          <w:rFonts w:ascii="Arial" w:hAnsi="Arial" w:cs="Arial"/>
          <w:i/>
          <w:iCs/>
          <w:sz w:val="22"/>
          <w:szCs w:val="22"/>
        </w:rPr>
        <w:t>International Journal of Gynecology &amp; Obstetrics</w:t>
      </w:r>
      <w:r w:rsidRPr="007B2908">
        <w:rPr>
          <w:rFonts w:ascii="Arial" w:hAnsi="Arial" w:cs="Arial"/>
          <w:sz w:val="22"/>
          <w:szCs w:val="22"/>
        </w:rPr>
        <w:t>, </w:t>
      </w:r>
      <w:r w:rsidRPr="007B2908">
        <w:rPr>
          <w:rFonts w:ascii="Arial" w:hAnsi="Arial" w:cs="Arial"/>
          <w:i/>
          <w:iCs/>
          <w:sz w:val="22"/>
          <w:szCs w:val="22"/>
        </w:rPr>
        <w:t>148</w:t>
      </w:r>
      <w:r w:rsidRPr="007B2908">
        <w:rPr>
          <w:rFonts w:ascii="Arial" w:hAnsi="Arial" w:cs="Arial"/>
          <w:sz w:val="22"/>
          <w:szCs w:val="22"/>
        </w:rPr>
        <w:t xml:space="preserve">(2), 192–197. </w:t>
      </w:r>
      <w:hyperlink r:id="rId23" w:history="1">
        <w:r w:rsidRPr="007B2908">
          <w:rPr>
            <w:rStyle w:val="Hyperlink"/>
            <w:rFonts w:ascii="Arial" w:hAnsi="Arial" w:cs="Arial"/>
            <w:color w:val="auto"/>
            <w:sz w:val="22"/>
            <w:szCs w:val="22"/>
          </w:rPr>
          <w:t>https://doi.org/10.1002/ijgo.13061</w:t>
        </w:r>
      </w:hyperlink>
    </w:p>
    <w:sectPr w:rsidR="00F86970" w:rsidRPr="00BD10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ascii="Courier New" w:hAnsi="Courier New" w:cs="Courier New" w:hint="default"/>
      </w:rPr>
    </w:lvl>
    <w:lvl w:ilvl="2" w:tplc="FFFFFFFF">
      <w:start w:val="1"/>
      <w:numFmt w:val="bullet"/>
      <w:lvlText w:val=""/>
      <w:lvlJc w:val="left"/>
      <w:pPr>
        <w:ind w:left="2145" w:hanging="360"/>
      </w:pPr>
      <w:rPr>
        <w:rFonts w:ascii="Wingdings" w:hAnsi="Wingdings" w:hint="default"/>
      </w:rPr>
    </w:lvl>
    <w:lvl w:ilvl="3" w:tplc="FFFFFFFF">
      <w:start w:val="1"/>
      <w:numFmt w:val="bullet"/>
      <w:lvlText w:val=""/>
      <w:lvlJc w:val="left"/>
      <w:pPr>
        <w:ind w:left="2865" w:hanging="360"/>
      </w:pPr>
      <w:rPr>
        <w:rFonts w:ascii="Symbol" w:hAnsi="Symbol" w:hint="default"/>
      </w:rPr>
    </w:lvl>
    <w:lvl w:ilvl="4" w:tplc="FFFFFFFF">
      <w:start w:val="1"/>
      <w:numFmt w:val="bullet"/>
      <w:lvlText w:val="o"/>
      <w:lvlJc w:val="left"/>
      <w:pPr>
        <w:ind w:left="3585" w:hanging="360"/>
      </w:pPr>
      <w:rPr>
        <w:rFonts w:ascii="Courier New" w:hAnsi="Courier New" w:cs="Courier New" w:hint="default"/>
      </w:rPr>
    </w:lvl>
    <w:lvl w:ilvl="5" w:tplc="FFFFFFFF">
      <w:start w:val="1"/>
      <w:numFmt w:val="bullet"/>
      <w:lvlText w:val=""/>
      <w:lvlJc w:val="left"/>
      <w:pPr>
        <w:ind w:left="4305" w:hanging="360"/>
      </w:pPr>
      <w:rPr>
        <w:rFonts w:ascii="Wingdings" w:hAnsi="Wingdings" w:hint="default"/>
      </w:rPr>
    </w:lvl>
    <w:lvl w:ilvl="6" w:tplc="FFFFFFFF">
      <w:start w:val="1"/>
      <w:numFmt w:val="bullet"/>
      <w:lvlText w:val=""/>
      <w:lvlJc w:val="left"/>
      <w:pPr>
        <w:ind w:left="5025" w:hanging="360"/>
      </w:pPr>
      <w:rPr>
        <w:rFonts w:ascii="Symbol" w:hAnsi="Symbol" w:hint="default"/>
      </w:rPr>
    </w:lvl>
    <w:lvl w:ilvl="7" w:tplc="FFFFFFFF">
      <w:start w:val="1"/>
      <w:numFmt w:val="bullet"/>
      <w:lvlText w:val="o"/>
      <w:lvlJc w:val="left"/>
      <w:pPr>
        <w:ind w:left="5745" w:hanging="360"/>
      </w:pPr>
      <w:rPr>
        <w:rFonts w:ascii="Courier New" w:hAnsi="Courier New" w:cs="Courier New" w:hint="default"/>
      </w:rPr>
    </w:lvl>
    <w:lvl w:ilvl="8" w:tplc="FFFFFFFF">
      <w:start w:val="1"/>
      <w:numFmt w:val="bullet"/>
      <w:lvlText w:val=""/>
      <w:lvlJc w:val="left"/>
      <w:pPr>
        <w:ind w:left="6465"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2071809135">
    <w:abstractNumId w:val="0"/>
    <w:lvlOverride w:ilvl="0">
      <w:startOverride w:val="1"/>
    </w:lvlOverride>
    <w:lvlOverride w:ilvl="1"/>
    <w:lvlOverride w:ilvl="2"/>
    <w:lvlOverride w:ilvl="3"/>
    <w:lvlOverride w:ilvl="4"/>
    <w:lvlOverride w:ilvl="5"/>
    <w:lvlOverride w:ilvl="6"/>
    <w:lvlOverride w:ilvl="7"/>
    <w:lvlOverride w:ilvl="8"/>
  </w:num>
  <w:num w:numId="2" w16cid:durableId="159674297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2EF"/>
    <w:rsid w:val="000120A2"/>
    <w:rsid w:val="001E7BC0"/>
    <w:rsid w:val="00204E4E"/>
    <w:rsid w:val="002E033D"/>
    <w:rsid w:val="003156A1"/>
    <w:rsid w:val="00420B82"/>
    <w:rsid w:val="004838D6"/>
    <w:rsid w:val="004A4697"/>
    <w:rsid w:val="004E22CA"/>
    <w:rsid w:val="005F6BB0"/>
    <w:rsid w:val="0068133E"/>
    <w:rsid w:val="007B2908"/>
    <w:rsid w:val="00841B2A"/>
    <w:rsid w:val="008A3639"/>
    <w:rsid w:val="009104A2"/>
    <w:rsid w:val="00934501"/>
    <w:rsid w:val="009E62EF"/>
    <w:rsid w:val="009E650E"/>
    <w:rsid w:val="00A27110"/>
    <w:rsid w:val="00BD103F"/>
    <w:rsid w:val="00BE45E8"/>
    <w:rsid w:val="00CF3E7E"/>
    <w:rsid w:val="00F07131"/>
    <w:rsid w:val="00F86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F5963"/>
  <w15:chartTrackingRefBased/>
  <w15:docId w15:val="{FEE2C571-3A3A-40FD-B9F1-463ADB8B9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2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62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2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2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2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2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2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2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2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2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62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2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2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2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2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2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2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2EF"/>
    <w:rPr>
      <w:rFonts w:eastAsiaTheme="majorEastAsia" w:cstheme="majorBidi"/>
      <w:color w:val="272727" w:themeColor="text1" w:themeTint="D8"/>
    </w:rPr>
  </w:style>
  <w:style w:type="paragraph" w:styleId="Title">
    <w:name w:val="Title"/>
    <w:basedOn w:val="Normal"/>
    <w:next w:val="Normal"/>
    <w:link w:val="TitleChar"/>
    <w:uiPriority w:val="10"/>
    <w:qFormat/>
    <w:rsid w:val="009E62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2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2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2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2EF"/>
    <w:pPr>
      <w:spacing w:before="160"/>
      <w:jc w:val="center"/>
    </w:pPr>
    <w:rPr>
      <w:i/>
      <w:iCs/>
      <w:color w:val="404040" w:themeColor="text1" w:themeTint="BF"/>
    </w:rPr>
  </w:style>
  <w:style w:type="character" w:customStyle="1" w:styleId="QuoteChar">
    <w:name w:val="Quote Char"/>
    <w:basedOn w:val="DefaultParagraphFont"/>
    <w:link w:val="Quote"/>
    <w:uiPriority w:val="29"/>
    <w:rsid w:val="009E62EF"/>
    <w:rPr>
      <w:i/>
      <w:iCs/>
      <w:color w:val="404040" w:themeColor="text1" w:themeTint="BF"/>
    </w:rPr>
  </w:style>
  <w:style w:type="paragraph" w:styleId="ListParagraph">
    <w:name w:val="List Paragraph"/>
    <w:basedOn w:val="Normal"/>
    <w:uiPriority w:val="34"/>
    <w:qFormat/>
    <w:rsid w:val="009E62EF"/>
    <w:pPr>
      <w:ind w:left="720"/>
      <w:contextualSpacing/>
    </w:pPr>
  </w:style>
  <w:style w:type="character" w:styleId="IntenseEmphasis">
    <w:name w:val="Intense Emphasis"/>
    <w:basedOn w:val="DefaultParagraphFont"/>
    <w:uiPriority w:val="21"/>
    <w:qFormat/>
    <w:rsid w:val="009E62EF"/>
    <w:rPr>
      <w:i/>
      <w:iCs/>
      <w:color w:val="0F4761" w:themeColor="accent1" w:themeShade="BF"/>
    </w:rPr>
  </w:style>
  <w:style w:type="paragraph" w:styleId="IntenseQuote">
    <w:name w:val="Intense Quote"/>
    <w:basedOn w:val="Normal"/>
    <w:next w:val="Normal"/>
    <w:link w:val="IntenseQuoteChar"/>
    <w:uiPriority w:val="30"/>
    <w:qFormat/>
    <w:rsid w:val="009E62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2EF"/>
    <w:rPr>
      <w:i/>
      <w:iCs/>
      <w:color w:val="0F4761" w:themeColor="accent1" w:themeShade="BF"/>
    </w:rPr>
  </w:style>
  <w:style w:type="character" w:styleId="IntenseReference">
    <w:name w:val="Intense Reference"/>
    <w:basedOn w:val="DefaultParagraphFont"/>
    <w:uiPriority w:val="32"/>
    <w:qFormat/>
    <w:rsid w:val="009E62EF"/>
    <w:rPr>
      <w:b/>
      <w:bCs/>
      <w:smallCaps/>
      <w:color w:val="0F4761" w:themeColor="accent1" w:themeShade="BF"/>
      <w:spacing w:val="5"/>
    </w:rPr>
  </w:style>
  <w:style w:type="character" w:styleId="Hyperlink">
    <w:name w:val="Hyperlink"/>
    <w:basedOn w:val="DefaultParagraphFont"/>
    <w:uiPriority w:val="99"/>
    <w:unhideWhenUsed/>
    <w:rsid w:val="00F07131"/>
    <w:rPr>
      <w:color w:val="467886" w:themeColor="hyperlink"/>
      <w:u w:val="single"/>
    </w:rPr>
  </w:style>
  <w:style w:type="character" w:styleId="UnresolvedMention">
    <w:name w:val="Unresolved Mention"/>
    <w:basedOn w:val="DefaultParagraphFont"/>
    <w:uiPriority w:val="99"/>
    <w:semiHidden/>
    <w:unhideWhenUsed/>
    <w:rsid w:val="00F07131"/>
    <w:rPr>
      <w:color w:val="605E5C"/>
      <w:shd w:val="clear" w:color="auto" w:fill="E1DFDD"/>
    </w:rPr>
  </w:style>
  <w:style w:type="paragraph" w:styleId="NormalWeb">
    <w:name w:val="Normal (Web)"/>
    <w:basedOn w:val="Normal"/>
    <w:uiPriority w:val="99"/>
    <w:semiHidden/>
    <w:unhideWhenUsed/>
    <w:rsid w:val="009E650E"/>
    <w:rPr>
      <w:rFonts w:ascii="Times New Roman" w:hAnsi="Times New Roman" w:cs="Times New Roman"/>
    </w:rPr>
  </w:style>
  <w:style w:type="table" w:styleId="TableGrid">
    <w:name w:val="Table Grid"/>
    <w:basedOn w:val="TableNormal"/>
    <w:uiPriority w:val="39"/>
    <w:rsid w:val="00BD1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F6BB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F6BB0"/>
    <w:pPr>
      <w:spacing w:after="100"/>
    </w:pPr>
  </w:style>
  <w:style w:type="paragraph" w:styleId="TOC2">
    <w:name w:val="toc 2"/>
    <w:basedOn w:val="Normal"/>
    <w:next w:val="Normal"/>
    <w:autoRedefine/>
    <w:uiPriority w:val="39"/>
    <w:unhideWhenUsed/>
    <w:rsid w:val="005F6BB0"/>
    <w:pPr>
      <w:spacing w:after="100"/>
      <w:ind w:left="240"/>
    </w:pPr>
  </w:style>
  <w:style w:type="paragraph" w:styleId="Caption">
    <w:name w:val="caption"/>
    <w:basedOn w:val="Normal"/>
    <w:next w:val="Normal"/>
    <w:uiPriority w:val="35"/>
    <w:unhideWhenUsed/>
    <w:qFormat/>
    <w:rsid w:val="008A363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4-021-04185-7" TargetMode="External"/><Relationship Id="rId13" Type="http://schemas.openxmlformats.org/officeDocument/2006/relationships/hyperlink" Target="https://digital.nhs.uk/data-and-information/publications/statistical/maternity-services-monthly-statistics" TargetMode="External"/><Relationship Id="rId18" Type="http://schemas.openxmlformats.org/officeDocument/2006/relationships/hyperlink" Target="https://doi.org/10.1093/eurpub/ckz198" TargetMode="External"/><Relationship Id="rId3" Type="http://schemas.openxmlformats.org/officeDocument/2006/relationships/styles" Target="styles.xml"/><Relationship Id="rId21" Type="http://schemas.openxmlformats.org/officeDocument/2006/relationships/hyperlink" Target="https://doi.org/10.1136/bmjopen-2020-046112" TargetMode="External"/><Relationship Id="rId7" Type="http://schemas.openxmlformats.org/officeDocument/2006/relationships/hyperlink" Target="https://doi.org/10.1016/s0140-6736(20)30792-3" TargetMode="External"/><Relationship Id="rId12" Type="http://schemas.openxmlformats.org/officeDocument/2006/relationships/hyperlink" Target="https://doi.org/10.1016/j.socscimed.2020.113610" TargetMode="External"/><Relationship Id="rId17" Type="http://schemas.openxmlformats.org/officeDocument/2006/relationships/hyperlink" Target="https://doi.org/10.1111/phn.1321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guidance/ng201" TargetMode="External"/><Relationship Id="rId20" Type="http://schemas.openxmlformats.org/officeDocument/2006/relationships/hyperlink" Target="https://doi.org/10.1111/chso.12483" TargetMode="External"/><Relationship Id="rId1" Type="http://schemas.openxmlformats.org/officeDocument/2006/relationships/customXml" Target="../customXml/item1.xml"/><Relationship Id="rId6" Type="http://schemas.openxmlformats.org/officeDocument/2006/relationships/hyperlink" Target="https://doi.org/10.1016/j.nedt.2021.105229" TargetMode="External"/><Relationship Id="rId11" Type="http://schemas.openxmlformats.org/officeDocument/2006/relationships/hyperlink" Target="https://www.npeu.ox.ac.uk/mbrrace-uk/repor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ice.org.uk/guidance/ng201" TargetMode="External"/><Relationship Id="rId23" Type="http://schemas.openxmlformats.org/officeDocument/2006/relationships/hyperlink" Target="https://doi.org/10.1002/ijgo.13061" TargetMode="External"/><Relationship Id="rId10" Type="http://schemas.openxmlformats.org/officeDocument/2006/relationships/hyperlink" Target="https://doi.org/10.1136/bmjopen-2019-029478" TargetMode="External"/><Relationship Id="rId19" Type="http://schemas.openxmlformats.org/officeDocument/2006/relationships/hyperlink" Target="https://doi.org/10.1093/jrs/fez093" TargetMode="External"/><Relationship Id="rId4" Type="http://schemas.openxmlformats.org/officeDocument/2006/relationships/settings" Target="settings.xml"/><Relationship Id="rId9" Type="http://schemas.openxmlformats.org/officeDocument/2006/relationships/hyperlink" Target="https://doi.org/10.1016/j.midw.2020.102919" TargetMode="External"/><Relationship Id="rId14" Type="http://schemas.openxmlformats.org/officeDocument/2006/relationships/hyperlink" Target="https://www.england.nhs.uk/publication/" TargetMode="External"/><Relationship Id="rId22" Type="http://schemas.openxmlformats.org/officeDocument/2006/relationships/hyperlink" Target="https://doi.org/10.1016/j.socscimed.2021.1138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5836C-BEAC-437B-BE42-E75B42ACE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4922</Words>
  <Characters>28060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Ali</dc:creator>
  <cp:keywords/>
  <dc:description/>
  <cp:lastModifiedBy>Hortense Assoh (2245799)</cp:lastModifiedBy>
  <cp:revision>2</cp:revision>
  <dcterms:created xsi:type="dcterms:W3CDTF">2026-03-26T20:44:00Z</dcterms:created>
  <dcterms:modified xsi:type="dcterms:W3CDTF">2026-03-26T20:44:00Z</dcterms:modified>
</cp:coreProperties>
</file>