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0774373"/>
        <w:docPartObj>
          <w:docPartGallery w:val="Cover Pages"/>
          <w:docPartUnique/>
        </w:docPartObj>
      </w:sdtPr>
      <w:sdtEndPr>
        <w:rPr>
          <w:rFonts w:eastAsia="Times New Roman" w:cs="Times New Roman"/>
          <w:color w:val="252525"/>
          <w:szCs w:val="24"/>
        </w:rPr>
      </w:sdtEndPr>
      <w:sdtContent>
        <w:p w14:paraId="2D7F5CA0" w14:textId="76A08D6B" w:rsidR="002C0942" w:rsidRDefault="002C0942">
          <w:r>
            <w:rPr>
              <w:noProof/>
            </w:rPr>
            <mc:AlternateContent>
              <mc:Choice Requires="wpg">
                <w:drawing>
                  <wp:anchor distT="0" distB="0" distL="114300" distR="114300" simplePos="0" relativeHeight="251664384" behindDoc="0" locked="0" layoutInCell="1" allowOverlap="1" wp14:anchorId="0A114091" wp14:editId="52E6B7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84109C"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78156FEE" wp14:editId="6973F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7FCBF0" w14:textId="480908B4" w:rsidR="002C0942" w:rsidRDefault="00676621">
                                    <w:pPr>
                                      <w:pStyle w:val="NoSpacing"/>
                                      <w:jc w:val="right"/>
                                      <w:rPr>
                                        <w:color w:val="595959" w:themeColor="text1" w:themeTint="A6"/>
                                        <w:sz w:val="28"/>
                                        <w:szCs w:val="28"/>
                                      </w:rPr>
                                    </w:pPr>
                                    <w:r>
                                      <w:rPr>
                                        <w:color w:val="595959" w:themeColor="text1" w:themeTint="A6"/>
                                        <w:sz w:val="28"/>
                                        <w:szCs w:val="28"/>
                                      </w:rPr>
                                      <w:t>COMPLETED BY NAZIM AMIN:</w:t>
                                    </w:r>
                                  </w:p>
                                </w:sdtContent>
                              </w:sdt>
                              <w:p w14:paraId="46BF902D" w14:textId="706E9E95" w:rsidR="002C0942" w:rsidRDefault="002C0942" w:rsidP="00676621">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156FE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7FCBF0" w14:textId="480908B4" w:rsidR="002C0942" w:rsidRDefault="00676621">
                              <w:pPr>
                                <w:pStyle w:val="NoSpacing"/>
                                <w:jc w:val="right"/>
                                <w:rPr>
                                  <w:color w:val="595959" w:themeColor="text1" w:themeTint="A6"/>
                                  <w:sz w:val="28"/>
                                  <w:szCs w:val="28"/>
                                </w:rPr>
                              </w:pPr>
                              <w:r>
                                <w:rPr>
                                  <w:color w:val="595959" w:themeColor="text1" w:themeTint="A6"/>
                                  <w:sz w:val="28"/>
                                  <w:szCs w:val="28"/>
                                </w:rPr>
                                <w:t>COMPLETED BY NAZIM AMIN:</w:t>
                              </w:r>
                            </w:p>
                          </w:sdtContent>
                        </w:sdt>
                        <w:p w14:paraId="46BF902D" w14:textId="706E9E95" w:rsidR="002C0942" w:rsidRDefault="002C0942" w:rsidP="00676621">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08CA34E" wp14:editId="4E61A7E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CE2424" w14:textId="2E50900C" w:rsidR="002C0942" w:rsidRPr="00676621" w:rsidRDefault="002C0942" w:rsidP="00676621">
                                <w:pPr>
                                  <w:pStyle w:val="NoSpacing"/>
                                  <w:jc w:val="center"/>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8CA34E" id="Text Box 153" o:spid="_x0000_s1027" type="#_x0000_t202" style="position:absolute;left:0;text-align:left;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0CE2424" w14:textId="2E50900C" w:rsidR="002C0942" w:rsidRPr="00676621" w:rsidRDefault="002C0942" w:rsidP="00676621">
                          <w:pPr>
                            <w:pStyle w:val="NoSpacing"/>
                            <w:jc w:val="center"/>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373F89B" wp14:editId="63150D0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07F55F" w14:textId="2AF3B3F1" w:rsidR="002C0942" w:rsidRPr="002C0942" w:rsidRDefault="00737644">
                                <w:pPr>
                                  <w:jc w:val="right"/>
                                  <w:rPr>
                                    <w:color w:val="000000" w:themeColor="text1"/>
                                    <w:sz w:val="64"/>
                                    <w:szCs w:val="64"/>
                                  </w:rPr>
                                </w:pPr>
                                <w:sdt>
                                  <w:sdtPr>
                                    <w:rPr>
                                      <w:caps/>
                                      <w:color w:val="000000" w:themeColor="tex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0942" w:rsidRPr="00676621">
                                      <w:rPr>
                                        <w:caps/>
                                        <w:color w:val="000000" w:themeColor="text1"/>
                                        <w:sz w:val="40"/>
                                        <w:szCs w:val="40"/>
                                      </w:rPr>
                                      <w:t xml:space="preserve">CRIMINAL LAW </w:t>
                                    </w:r>
                                    <w:r w:rsidR="00676621" w:rsidRPr="00676621">
                                      <w:rPr>
                                        <w:caps/>
                                        <w:color w:val="000000" w:themeColor="text1"/>
                                        <w:sz w:val="40"/>
                                        <w:szCs w:val="40"/>
                                      </w:rPr>
                                      <w:t>BMPL4009</w:t>
                                    </w:r>
                                  </w:sdtContent>
                                </w:sdt>
                              </w:p>
                              <w:sdt>
                                <w:sdtPr>
                                  <w:rPr>
                                    <w:color w:val="404040" w:themeColor="text1" w:themeTint="BF"/>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5D291D" w14:textId="6C0252E2" w:rsidR="002C0942" w:rsidRDefault="002C0942">
                                    <w:pPr>
                                      <w:jc w:val="right"/>
                                      <w:rPr>
                                        <w:smallCaps/>
                                        <w:color w:val="404040" w:themeColor="text1" w:themeTint="BF"/>
                                        <w:sz w:val="36"/>
                                        <w:szCs w:val="36"/>
                                      </w:rPr>
                                    </w:pPr>
                                    <w:r w:rsidRPr="00676621">
                                      <w:rPr>
                                        <w:color w:val="404040" w:themeColor="text1" w:themeTint="BF"/>
                                        <w:sz w:val="20"/>
                                        <w:szCs w:val="20"/>
                                      </w:rPr>
                                      <w:t>REFORM OF NON-FATAL OFFENCE</w:t>
                                    </w:r>
                                    <w:r w:rsidR="00676621" w:rsidRPr="00676621">
                                      <w:rPr>
                                        <w:color w:val="404040" w:themeColor="text1" w:themeTint="BF"/>
                                        <w:sz w:val="20"/>
                                        <w:szCs w:val="20"/>
                                      </w:rPr>
                                      <w:t>S AGAINST THE PERSON.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73F89B" id="Text Box 154" o:spid="_x0000_s1028" type="#_x0000_t202" style="position:absolute;left:0;text-align:left;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707F55F" w14:textId="2AF3B3F1" w:rsidR="002C0942" w:rsidRPr="002C0942" w:rsidRDefault="00737644">
                          <w:pPr>
                            <w:jc w:val="right"/>
                            <w:rPr>
                              <w:color w:val="000000" w:themeColor="text1"/>
                              <w:sz w:val="64"/>
                              <w:szCs w:val="64"/>
                            </w:rPr>
                          </w:pPr>
                          <w:sdt>
                            <w:sdtPr>
                              <w:rPr>
                                <w:caps/>
                                <w:color w:val="000000" w:themeColor="tex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0942" w:rsidRPr="00676621">
                                <w:rPr>
                                  <w:caps/>
                                  <w:color w:val="000000" w:themeColor="text1"/>
                                  <w:sz w:val="40"/>
                                  <w:szCs w:val="40"/>
                                </w:rPr>
                                <w:t xml:space="preserve">CRIMINAL LAW </w:t>
                              </w:r>
                              <w:r w:rsidR="00676621" w:rsidRPr="00676621">
                                <w:rPr>
                                  <w:caps/>
                                  <w:color w:val="000000" w:themeColor="text1"/>
                                  <w:sz w:val="40"/>
                                  <w:szCs w:val="40"/>
                                </w:rPr>
                                <w:t>BMPL4009</w:t>
                              </w:r>
                            </w:sdtContent>
                          </w:sdt>
                        </w:p>
                        <w:sdt>
                          <w:sdtPr>
                            <w:rPr>
                              <w:color w:val="404040" w:themeColor="text1" w:themeTint="BF"/>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5D291D" w14:textId="6C0252E2" w:rsidR="002C0942" w:rsidRDefault="002C0942">
                              <w:pPr>
                                <w:jc w:val="right"/>
                                <w:rPr>
                                  <w:smallCaps/>
                                  <w:color w:val="404040" w:themeColor="text1" w:themeTint="BF"/>
                                  <w:sz w:val="36"/>
                                  <w:szCs w:val="36"/>
                                </w:rPr>
                              </w:pPr>
                              <w:r w:rsidRPr="00676621">
                                <w:rPr>
                                  <w:color w:val="404040" w:themeColor="text1" w:themeTint="BF"/>
                                  <w:sz w:val="20"/>
                                  <w:szCs w:val="20"/>
                                </w:rPr>
                                <w:t>REFORM OF NON-FATAL OFFENCE</w:t>
                              </w:r>
                              <w:r w:rsidR="00676621" w:rsidRPr="00676621">
                                <w:rPr>
                                  <w:color w:val="404040" w:themeColor="text1" w:themeTint="BF"/>
                                  <w:sz w:val="20"/>
                                  <w:szCs w:val="20"/>
                                </w:rPr>
                                <w:t>S AGAINST THE PERSON.</w:t>
                              </w:r>
                            </w:p>
                          </w:sdtContent>
                        </w:sdt>
                      </w:txbxContent>
                    </v:textbox>
                    <w10:wrap type="square" anchorx="page" anchory="page"/>
                  </v:shape>
                </w:pict>
              </mc:Fallback>
            </mc:AlternateContent>
          </w:r>
        </w:p>
        <w:p w14:paraId="5129BE8B" w14:textId="6E6F4602" w:rsidR="002C0942" w:rsidRDefault="002C0942">
          <w:pPr>
            <w:spacing w:before="0" w:after="160" w:line="259" w:lineRule="auto"/>
            <w:ind w:firstLine="0"/>
            <w:jc w:val="left"/>
            <w:rPr>
              <w:rFonts w:eastAsia="Times New Roman" w:cs="Times New Roman"/>
              <w:color w:val="252525"/>
              <w:szCs w:val="24"/>
            </w:rPr>
          </w:pPr>
          <w:r>
            <w:rPr>
              <w:rFonts w:eastAsia="Times New Roman" w:cs="Times New Roman"/>
              <w:color w:val="252525"/>
              <w:szCs w:val="24"/>
            </w:rPr>
            <w:br w:type="page"/>
          </w:r>
        </w:p>
      </w:sdtContent>
    </w:sdt>
    <w:p w14:paraId="558B2EAB" w14:textId="6129D225" w:rsidR="003A2518" w:rsidRDefault="00737644" w:rsidP="00D24270">
      <w:pPr>
        <w:pStyle w:val="TOC2"/>
      </w:pPr>
      <w:r w:rsidRPr="003A2518">
        <w:rPr>
          <w:b/>
          <w:bCs/>
        </w:rPr>
        <w:lastRenderedPageBreak/>
        <mc:AlternateContent>
          <mc:Choice Requires="wps">
            <w:drawing>
              <wp:anchor distT="45720" distB="45720" distL="114300" distR="114300" simplePos="0" relativeHeight="251659264" behindDoc="0" locked="0" layoutInCell="1" allowOverlap="1" wp14:anchorId="7B508606" wp14:editId="7F063BD2">
                <wp:simplePos x="0" y="0"/>
                <wp:positionH relativeFrom="column">
                  <wp:posOffset>64135</wp:posOffset>
                </wp:positionH>
                <wp:positionV relativeFrom="paragraph">
                  <wp:posOffset>0</wp:posOffset>
                </wp:positionV>
                <wp:extent cx="5734685" cy="3480435"/>
                <wp:effectExtent l="0" t="0" r="1841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685" cy="3480435"/>
                        </a:xfrm>
                        <a:prstGeom prst="rect">
                          <a:avLst/>
                        </a:prstGeom>
                        <a:solidFill>
                          <a:srgbClr val="FFFFFF"/>
                        </a:solidFill>
                        <a:ln w="9525">
                          <a:solidFill>
                            <a:srgbClr val="000000"/>
                          </a:solidFill>
                          <a:miter lim="800000"/>
                          <a:headEnd/>
                          <a:tailEnd/>
                        </a:ln>
                      </wps:spPr>
                      <wps:txbx>
                        <w:txbxContent>
                          <w:p w14:paraId="3F483655" w14:textId="77777777" w:rsidR="00737644" w:rsidRPr="00815B82" w:rsidRDefault="00737644" w:rsidP="00737644">
                            <w:pPr>
                              <w:pStyle w:val="TOCHeading"/>
                              <w:rPr>
                                <w:rFonts w:ascii="Times New Roman" w:hAnsi="Times New Roman" w:cs="Times New Roman"/>
                                <w:b/>
                                <w:color w:val="000000" w:themeColor="text1"/>
                              </w:rPr>
                            </w:pPr>
                            <w:r w:rsidRPr="00815B82">
                              <w:rPr>
                                <w:rFonts w:ascii="Times New Roman" w:hAnsi="Times New Roman" w:cs="Times New Roman"/>
                                <w:b/>
                                <w:color w:val="000000" w:themeColor="text1"/>
                              </w:rPr>
                              <w:t>Table of Contents</w:t>
                            </w:r>
                          </w:p>
                          <w:p w14:paraId="2A7A501A" w14:textId="22EECF64" w:rsidR="00D24270" w:rsidRPr="00D24270" w:rsidRDefault="00737644" w:rsidP="00D24270">
                            <w:pPr>
                              <w:pStyle w:val="TOC2"/>
                            </w:pPr>
                            <w:hyperlink w:anchor="_Toc108204010" w:history="1">
                              <w:r w:rsidR="00D24270" w:rsidRPr="00D24270">
                                <w:rPr>
                                  <w:rStyle w:val="Hyperlink"/>
                                  <w:color w:val="000000" w:themeColor="text1"/>
                                </w:rPr>
                                <w:t>Offences Against Person Act</w:t>
                              </w:r>
                              <w:r w:rsidR="00D24270" w:rsidRPr="00D24270">
                                <w:rPr>
                                  <w:webHidden/>
                                </w:rPr>
                                <w:tab/>
                              </w:r>
                              <w:r w:rsidR="00D24270" w:rsidRPr="00D24270">
                                <w:rPr>
                                  <w:webHidden/>
                                </w:rPr>
                                <w:fldChar w:fldCharType="begin"/>
                              </w:r>
                              <w:r w:rsidR="00D24270" w:rsidRPr="00D24270">
                                <w:rPr>
                                  <w:webHidden/>
                                </w:rPr>
                                <w:instrText xml:space="preserve"> PAGEREF _Toc108204010 \h </w:instrText>
                              </w:r>
                              <w:r w:rsidR="00D24270" w:rsidRPr="00D24270">
                                <w:rPr>
                                  <w:webHidden/>
                                </w:rPr>
                              </w:r>
                              <w:r w:rsidR="00D24270" w:rsidRPr="00D24270">
                                <w:rPr>
                                  <w:webHidden/>
                                </w:rPr>
                                <w:fldChar w:fldCharType="separate"/>
                              </w:r>
                              <w:r w:rsidR="00D24270" w:rsidRPr="00D24270">
                                <w:rPr>
                                  <w:webHidden/>
                                </w:rPr>
                                <w:t>2</w:t>
                              </w:r>
                              <w:r w:rsidR="00D24270" w:rsidRPr="00D24270">
                                <w:rPr>
                                  <w:webHidden/>
                                </w:rPr>
                                <w:fldChar w:fldCharType="end"/>
                              </w:r>
                            </w:hyperlink>
                          </w:p>
                          <w:p w14:paraId="315FCE03" w14:textId="77777777" w:rsidR="00D24270" w:rsidRPr="00D24270" w:rsidRDefault="00737644" w:rsidP="00D24270">
                            <w:pPr>
                              <w:pStyle w:val="TOC2"/>
                            </w:pPr>
                            <w:hyperlink w:anchor="_Toc108204011" w:history="1">
                              <w:r w:rsidR="00D24270" w:rsidRPr="00D24270">
                                <w:rPr>
                                  <w:rStyle w:val="Hyperlink"/>
                                  <w:color w:val="000000" w:themeColor="text1"/>
                                </w:rPr>
                                <w:t>Modern Society and Law</w:t>
                              </w:r>
                              <w:r w:rsidR="00D24270" w:rsidRPr="00D24270">
                                <w:rPr>
                                  <w:webHidden/>
                                </w:rPr>
                                <w:tab/>
                              </w:r>
                              <w:r w:rsidR="00D24270" w:rsidRPr="00D24270">
                                <w:rPr>
                                  <w:webHidden/>
                                </w:rPr>
                                <w:fldChar w:fldCharType="begin"/>
                              </w:r>
                              <w:r w:rsidR="00D24270" w:rsidRPr="00D24270">
                                <w:rPr>
                                  <w:webHidden/>
                                </w:rPr>
                                <w:instrText xml:space="preserve"> PAGEREF _Toc108204011 \h </w:instrText>
                              </w:r>
                              <w:r w:rsidR="00D24270" w:rsidRPr="00D24270">
                                <w:rPr>
                                  <w:webHidden/>
                                </w:rPr>
                              </w:r>
                              <w:r w:rsidR="00D24270" w:rsidRPr="00D24270">
                                <w:rPr>
                                  <w:webHidden/>
                                </w:rPr>
                                <w:fldChar w:fldCharType="separate"/>
                              </w:r>
                              <w:r w:rsidR="00D24270" w:rsidRPr="00D24270">
                                <w:rPr>
                                  <w:webHidden/>
                                </w:rPr>
                                <w:t>3</w:t>
                              </w:r>
                              <w:r w:rsidR="00D24270" w:rsidRPr="00D24270">
                                <w:rPr>
                                  <w:webHidden/>
                                </w:rPr>
                                <w:fldChar w:fldCharType="end"/>
                              </w:r>
                            </w:hyperlink>
                          </w:p>
                          <w:p w14:paraId="436F1764" w14:textId="77777777" w:rsidR="00D24270" w:rsidRPr="00D24270" w:rsidRDefault="00737644" w:rsidP="00D24270">
                            <w:pPr>
                              <w:pStyle w:val="TOC2"/>
                            </w:pPr>
                            <w:hyperlink w:anchor="_Toc108204012" w:history="1">
                              <w:r w:rsidR="00D24270" w:rsidRPr="00D24270">
                                <w:rPr>
                                  <w:rStyle w:val="Hyperlink"/>
                                  <w:color w:val="000000" w:themeColor="text1"/>
                                </w:rPr>
                                <w:t>Non-Fatal Offences</w:t>
                              </w:r>
                              <w:r w:rsidR="00D24270" w:rsidRPr="00D24270">
                                <w:rPr>
                                  <w:webHidden/>
                                </w:rPr>
                                <w:tab/>
                              </w:r>
                              <w:r w:rsidR="00D24270" w:rsidRPr="00D24270">
                                <w:rPr>
                                  <w:webHidden/>
                                </w:rPr>
                                <w:fldChar w:fldCharType="begin"/>
                              </w:r>
                              <w:r w:rsidR="00D24270" w:rsidRPr="00D24270">
                                <w:rPr>
                                  <w:webHidden/>
                                </w:rPr>
                                <w:instrText xml:space="preserve"> PAGEREF _Toc108204012 \h </w:instrText>
                              </w:r>
                              <w:r w:rsidR="00D24270" w:rsidRPr="00D24270">
                                <w:rPr>
                                  <w:webHidden/>
                                </w:rPr>
                              </w:r>
                              <w:r w:rsidR="00D24270" w:rsidRPr="00D24270">
                                <w:rPr>
                                  <w:webHidden/>
                                </w:rPr>
                                <w:fldChar w:fldCharType="separate"/>
                              </w:r>
                              <w:r w:rsidR="00D24270" w:rsidRPr="00D24270">
                                <w:rPr>
                                  <w:webHidden/>
                                </w:rPr>
                                <w:t>4</w:t>
                              </w:r>
                              <w:r w:rsidR="00D24270" w:rsidRPr="00D24270">
                                <w:rPr>
                                  <w:webHidden/>
                                </w:rPr>
                                <w:fldChar w:fldCharType="end"/>
                              </w:r>
                            </w:hyperlink>
                          </w:p>
                          <w:p w14:paraId="17E12A0D" w14:textId="77777777" w:rsidR="00D24270" w:rsidRPr="00D24270" w:rsidRDefault="00737644" w:rsidP="00D24270">
                            <w:pPr>
                              <w:pStyle w:val="TOC2"/>
                            </w:pPr>
                            <w:hyperlink w:anchor="_Toc108204013" w:history="1">
                              <w:r w:rsidR="00D24270" w:rsidRPr="00D24270">
                                <w:rPr>
                                  <w:rStyle w:val="Hyperlink"/>
                                  <w:color w:val="000000" w:themeColor="text1"/>
                                </w:rPr>
                                <w:t>Law Commission</w:t>
                              </w:r>
                              <w:r w:rsidR="00D24270" w:rsidRPr="00D24270">
                                <w:rPr>
                                  <w:webHidden/>
                                </w:rPr>
                                <w:tab/>
                              </w:r>
                              <w:r w:rsidR="00D24270" w:rsidRPr="00D24270">
                                <w:rPr>
                                  <w:webHidden/>
                                </w:rPr>
                                <w:fldChar w:fldCharType="begin"/>
                              </w:r>
                              <w:r w:rsidR="00D24270" w:rsidRPr="00D24270">
                                <w:rPr>
                                  <w:webHidden/>
                                </w:rPr>
                                <w:instrText xml:space="preserve"> PAGEREF _Toc108204013 \h </w:instrText>
                              </w:r>
                              <w:r w:rsidR="00D24270" w:rsidRPr="00D24270">
                                <w:rPr>
                                  <w:webHidden/>
                                </w:rPr>
                              </w:r>
                              <w:r w:rsidR="00D24270" w:rsidRPr="00D24270">
                                <w:rPr>
                                  <w:webHidden/>
                                </w:rPr>
                                <w:fldChar w:fldCharType="separate"/>
                              </w:r>
                              <w:r w:rsidR="00D24270" w:rsidRPr="00D24270">
                                <w:rPr>
                                  <w:webHidden/>
                                </w:rPr>
                                <w:t>5</w:t>
                              </w:r>
                              <w:r w:rsidR="00D24270" w:rsidRPr="00D24270">
                                <w:rPr>
                                  <w:webHidden/>
                                </w:rPr>
                                <w:fldChar w:fldCharType="end"/>
                              </w:r>
                            </w:hyperlink>
                          </w:p>
                          <w:p w14:paraId="3416FC94" w14:textId="77777777" w:rsidR="00D24270" w:rsidRPr="00D24270" w:rsidRDefault="00737644" w:rsidP="00D24270">
                            <w:pPr>
                              <w:pStyle w:val="TOC2"/>
                            </w:pPr>
                            <w:hyperlink w:anchor="_Toc108204014" w:history="1">
                              <w:r w:rsidR="00D24270" w:rsidRPr="00D24270">
                                <w:rPr>
                                  <w:rStyle w:val="Hyperlink"/>
                                  <w:color w:val="000000" w:themeColor="text1"/>
                                </w:rPr>
                                <w:t>Recommendations</w:t>
                              </w:r>
                              <w:r w:rsidR="00D24270" w:rsidRPr="00D24270">
                                <w:rPr>
                                  <w:webHidden/>
                                </w:rPr>
                                <w:tab/>
                              </w:r>
                              <w:r w:rsidR="00D24270" w:rsidRPr="00D24270">
                                <w:rPr>
                                  <w:webHidden/>
                                </w:rPr>
                                <w:fldChar w:fldCharType="begin"/>
                              </w:r>
                              <w:r w:rsidR="00D24270" w:rsidRPr="00D24270">
                                <w:rPr>
                                  <w:webHidden/>
                                </w:rPr>
                                <w:instrText xml:space="preserve"> PAGEREF _Toc108204014 \h </w:instrText>
                              </w:r>
                              <w:r w:rsidR="00D24270" w:rsidRPr="00D24270">
                                <w:rPr>
                                  <w:webHidden/>
                                </w:rPr>
                              </w:r>
                              <w:r w:rsidR="00D24270" w:rsidRPr="00D24270">
                                <w:rPr>
                                  <w:webHidden/>
                                </w:rPr>
                                <w:fldChar w:fldCharType="separate"/>
                              </w:r>
                              <w:r w:rsidR="00D24270" w:rsidRPr="00D24270">
                                <w:rPr>
                                  <w:webHidden/>
                                </w:rPr>
                                <w:t>5</w:t>
                              </w:r>
                              <w:r w:rsidR="00D24270" w:rsidRPr="00D24270">
                                <w:rPr>
                                  <w:webHidden/>
                                </w:rPr>
                                <w:fldChar w:fldCharType="end"/>
                              </w:r>
                            </w:hyperlink>
                          </w:p>
                          <w:p w14:paraId="70E49B05" w14:textId="77777777" w:rsidR="00D24270" w:rsidRPr="00D24270" w:rsidRDefault="00737644" w:rsidP="00D24270">
                            <w:pPr>
                              <w:pStyle w:val="TOC2"/>
                            </w:pPr>
                            <w:hyperlink w:anchor="_Toc108204015" w:history="1">
                              <w:r w:rsidR="00D24270" w:rsidRPr="00D24270">
                                <w:rPr>
                                  <w:rStyle w:val="Hyperlink"/>
                                  <w:color w:val="000000" w:themeColor="text1"/>
                                </w:rPr>
                                <w:t>References</w:t>
                              </w:r>
                              <w:r w:rsidR="00D24270" w:rsidRPr="00D24270">
                                <w:rPr>
                                  <w:webHidden/>
                                </w:rPr>
                                <w:tab/>
                              </w:r>
                              <w:r w:rsidR="00D24270" w:rsidRPr="00D24270">
                                <w:rPr>
                                  <w:webHidden/>
                                </w:rPr>
                                <w:fldChar w:fldCharType="begin"/>
                              </w:r>
                              <w:r w:rsidR="00D24270" w:rsidRPr="00D24270">
                                <w:rPr>
                                  <w:webHidden/>
                                </w:rPr>
                                <w:instrText xml:space="preserve"> PAGEREF _Toc108204015 \h </w:instrText>
                              </w:r>
                              <w:r w:rsidR="00D24270" w:rsidRPr="00D24270">
                                <w:rPr>
                                  <w:webHidden/>
                                </w:rPr>
                              </w:r>
                              <w:r w:rsidR="00D24270" w:rsidRPr="00D24270">
                                <w:rPr>
                                  <w:webHidden/>
                                </w:rPr>
                                <w:fldChar w:fldCharType="separate"/>
                              </w:r>
                              <w:r w:rsidR="00D24270" w:rsidRPr="00D24270">
                                <w:rPr>
                                  <w:webHidden/>
                                </w:rPr>
                                <w:t>6</w:t>
                              </w:r>
                              <w:r w:rsidR="00D24270" w:rsidRPr="00D24270">
                                <w:rPr>
                                  <w:webHidden/>
                                </w:rPr>
                                <w:fldChar w:fldCharType="end"/>
                              </w:r>
                            </w:hyperlink>
                          </w:p>
                          <w:p w14:paraId="3F8C5F4C" w14:textId="5D97EABD" w:rsidR="003A2518" w:rsidRDefault="003A251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508606" id="Text Box 2" o:spid="_x0000_s1029" type="#_x0000_t202" style="position:absolute;left:0;text-align:left;margin-left:5.05pt;margin-top:0;width:451.55pt;height:274.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0+pFgIAACcEAAAOAAAAZHJzL2Uyb0RvYy54bWysk9tu2zAMhu8H7B0E3S92ErtNjThFly7D&#10;gO4AdHsAWZZjYbKoSUrs7OlHyW6anW6G+UIQTekn+ZFa3w6dIkdhnQRd0vkspURoDrXU+5J++bx7&#10;taLEeaZrpkCLkp6Eo7ebly/WvSnEAlpQtbAERbQrelPS1ntTJInjreiYm4ERGp0N2I55NO0+qS3r&#10;Ub1TySJNr5IebG0scOEc/r0fnXQT9ZtGcP+xaZzwRJUUc/NxtXGtwpps1qzYW2Zayac02D9k0TGp&#10;MehZ6p55Rg5W/ibVSW7BQeNnHLoEmkZyEWvAaubpL9U8tsyIWAvCceaMyf0/Wf7h+Gg+WeKH1zBg&#10;A2MRzjwA/+qIhm3L9F7cWQt9K1iNgecBWdIbV0xXA2pXuCBS9e+hxiazg4coNDS2C1SwToLq2IDT&#10;GboYPOH4M79eZlernBKOvmW2SrNlHmOw4um6sc6/FdCRsCmpxa5GeXZ8cD6kw4qnIyGaAyXrnVQq&#10;GnZfbZUlR4YTsIvfpP7TMaVJX9KbfJGPBP4qkcbvTxKd9DjKSnYlXZ0PsSJwe6PrOGieSTXuMWWl&#10;J5CB3UjRD9VAZI0cQoDAtYL6hGQtjJOLLw03LdjvlPQ4tSV13w7MCkrUO43duZlnWRjzaGT59QIN&#10;e+mpLj1Mc5Qqqadk3G59fBqBm4Y77GIjI9/nTKaUcRoj9unlhHG/tOOp5/e9+QEAAP//AwBQSwME&#10;FAAGAAgAAAAhACWSe9/dAAAABwEAAA8AAABkcnMvZG93bnJldi54bWxMj8FOwzAQRO9I/IO1SFwQ&#10;ddKWkoY4FUICwQ0Kgqsbb5MIex1sNw1/z3KC42hGM2+qzeSsGDHE3pOCfJaBQGq86alV8PZ6f1mA&#10;iEmT0dYTKvjGCJv69KTSpfFHesFxm1rBJRRLraBLaSiljE2HTseZH5DY2/vgdGIZWmmCPnK5s3Ke&#10;ZSvpdE+80OkB7zpsPrcHp6BYPo4f8Wnx/N6s9nadLq7Hh6+g1PnZdHsDIuGU/sLwi8/oUDPTzh/I&#10;RGFZZzknFfAhdtf5Yg5ip+BqWeQg60r+569/AAAA//8DAFBLAQItABQABgAIAAAAIQC2gziS/gAA&#10;AOEBAAATAAAAAAAAAAAAAAAAAAAAAABbQ29udGVudF9UeXBlc10ueG1sUEsBAi0AFAAGAAgAAAAh&#10;ADj9If/WAAAAlAEAAAsAAAAAAAAAAAAAAAAALwEAAF9yZWxzLy5yZWxzUEsBAi0AFAAGAAgAAAAh&#10;AK9fT6kWAgAAJwQAAA4AAAAAAAAAAAAAAAAALgIAAGRycy9lMm9Eb2MueG1sUEsBAi0AFAAGAAgA&#10;AAAhACWSe9/dAAAABwEAAA8AAAAAAAAAAAAAAAAAcAQAAGRycy9kb3ducmV2LnhtbFBLBQYAAAAA&#10;BAAEAPMAAAB6BQAAAAA=&#10;">
                <v:textbox>
                  <w:txbxContent>
                    <w:p w14:paraId="3F483655" w14:textId="77777777" w:rsidR="00737644" w:rsidRPr="00815B82" w:rsidRDefault="00737644" w:rsidP="00737644">
                      <w:pPr>
                        <w:pStyle w:val="TOCHeading"/>
                        <w:rPr>
                          <w:rFonts w:ascii="Times New Roman" w:hAnsi="Times New Roman" w:cs="Times New Roman"/>
                          <w:b/>
                          <w:color w:val="000000" w:themeColor="text1"/>
                        </w:rPr>
                      </w:pPr>
                      <w:r w:rsidRPr="00815B82">
                        <w:rPr>
                          <w:rFonts w:ascii="Times New Roman" w:hAnsi="Times New Roman" w:cs="Times New Roman"/>
                          <w:b/>
                          <w:color w:val="000000" w:themeColor="text1"/>
                        </w:rPr>
                        <w:t>Table of Contents</w:t>
                      </w:r>
                    </w:p>
                    <w:p w14:paraId="2A7A501A" w14:textId="22EECF64" w:rsidR="00D24270" w:rsidRPr="00D24270" w:rsidRDefault="00737644" w:rsidP="00D24270">
                      <w:pPr>
                        <w:pStyle w:val="TOC2"/>
                      </w:pPr>
                      <w:hyperlink w:anchor="_Toc108204010" w:history="1">
                        <w:r w:rsidR="00D24270" w:rsidRPr="00D24270">
                          <w:rPr>
                            <w:rStyle w:val="Hyperlink"/>
                            <w:color w:val="000000" w:themeColor="text1"/>
                          </w:rPr>
                          <w:t>Offences Against Person Act</w:t>
                        </w:r>
                        <w:r w:rsidR="00D24270" w:rsidRPr="00D24270">
                          <w:rPr>
                            <w:webHidden/>
                          </w:rPr>
                          <w:tab/>
                        </w:r>
                        <w:r w:rsidR="00D24270" w:rsidRPr="00D24270">
                          <w:rPr>
                            <w:webHidden/>
                          </w:rPr>
                          <w:fldChar w:fldCharType="begin"/>
                        </w:r>
                        <w:r w:rsidR="00D24270" w:rsidRPr="00D24270">
                          <w:rPr>
                            <w:webHidden/>
                          </w:rPr>
                          <w:instrText xml:space="preserve"> PAGEREF _Toc108204010 \h </w:instrText>
                        </w:r>
                        <w:r w:rsidR="00D24270" w:rsidRPr="00D24270">
                          <w:rPr>
                            <w:webHidden/>
                          </w:rPr>
                        </w:r>
                        <w:r w:rsidR="00D24270" w:rsidRPr="00D24270">
                          <w:rPr>
                            <w:webHidden/>
                          </w:rPr>
                          <w:fldChar w:fldCharType="separate"/>
                        </w:r>
                        <w:r w:rsidR="00D24270" w:rsidRPr="00D24270">
                          <w:rPr>
                            <w:webHidden/>
                          </w:rPr>
                          <w:t>2</w:t>
                        </w:r>
                        <w:r w:rsidR="00D24270" w:rsidRPr="00D24270">
                          <w:rPr>
                            <w:webHidden/>
                          </w:rPr>
                          <w:fldChar w:fldCharType="end"/>
                        </w:r>
                      </w:hyperlink>
                    </w:p>
                    <w:p w14:paraId="315FCE03" w14:textId="77777777" w:rsidR="00D24270" w:rsidRPr="00D24270" w:rsidRDefault="00737644" w:rsidP="00D24270">
                      <w:pPr>
                        <w:pStyle w:val="TOC2"/>
                      </w:pPr>
                      <w:hyperlink w:anchor="_Toc108204011" w:history="1">
                        <w:r w:rsidR="00D24270" w:rsidRPr="00D24270">
                          <w:rPr>
                            <w:rStyle w:val="Hyperlink"/>
                            <w:color w:val="000000" w:themeColor="text1"/>
                          </w:rPr>
                          <w:t>Modern Society and Law</w:t>
                        </w:r>
                        <w:r w:rsidR="00D24270" w:rsidRPr="00D24270">
                          <w:rPr>
                            <w:webHidden/>
                          </w:rPr>
                          <w:tab/>
                        </w:r>
                        <w:r w:rsidR="00D24270" w:rsidRPr="00D24270">
                          <w:rPr>
                            <w:webHidden/>
                          </w:rPr>
                          <w:fldChar w:fldCharType="begin"/>
                        </w:r>
                        <w:r w:rsidR="00D24270" w:rsidRPr="00D24270">
                          <w:rPr>
                            <w:webHidden/>
                          </w:rPr>
                          <w:instrText xml:space="preserve"> PAGEREF _Toc108204011 \h </w:instrText>
                        </w:r>
                        <w:r w:rsidR="00D24270" w:rsidRPr="00D24270">
                          <w:rPr>
                            <w:webHidden/>
                          </w:rPr>
                        </w:r>
                        <w:r w:rsidR="00D24270" w:rsidRPr="00D24270">
                          <w:rPr>
                            <w:webHidden/>
                          </w:rPr>
                          <w:fldChar w:fldCharType="separate"/>
                        </w:r>
                        <w:r w:rsidR="00D24270" w:rsidRPr="00D24270">
                          <w:rPr>
                            <w:webHidden/>
                          </w:rPr>
                          <w:t>3</w:t>
                        </w:r>
                        <w:r w:rsidR="00D24270" w:rsidRPr="00D24270">
                          <w:rPr>
                            <w:webHidden/>
                          </w:rPr>
                          <w:fldChar w:fldCharType="end"/>
                        </w:r>
                      </w:hyperlink>
                    </w:p>
                    <w:p w14:paraId="436F1764" w14:textId="77777777" w:rsidR="00D24270" w:rsidRPr="00D24270" w:rsidRDefault="00737644" w:rsidP="00D24270">
                      <w:pPr>
                        <w:pStyle w:val="TOC2"/>
                      </w:pPr>
                      <w:hyperlink w:anchor="_Toc108204012" w:history="1">
                        <w:r w:rsidR="00D24270" w:rsidRPr="00D24270">
                          <w:rPr>
                            <w:rStyle w:val="Hyperlink"/>
                            <w:color w:val="000000" w:themeColor="text1"/>
                          </w:rPr>
                          <w:t>Non-Fatal Offences</w:t>
                        </w:r>
                        <w:r w:rsidR="00D24270" w:rsidRPr="00D24270">
                          <w:rPr>
                            <w:webHidden/>
                          </w:rPr>
                          <w:tab/>
                        </w:r>
                        <w:r w:rsidR="00D24270" w:rsidRPr="00D24270">
                          <w:rPr>
                            <w:webHidden/>
                          </w:rPr>
                          <w:fldChar w:fldCharType="begin"/>
                        </w:r>
                        <w:r w:rsidR="00D24270" w:rsidRPr="00D24270">
                          <w:rPr>
                            <w:webHidden/>
                          </w:rPr>
                          <w:instrText xml:space="preserve"> PAGEREF _Toc108204012 \h </w:instrText>
                        </w:r>
                        <w:r w:rsidR="00D24270" w:rsidRPr="00D24270">
                          <w:rPr>
                            <w:webHidden/>
                          </w:rPr>
                        </w:r>
                        <w:r w:rsidR="00D24270" w:rsidRPr="00D24270">
                          <w:rPr>
                            <w:webHidden/>
                          </w:rPr>
                          <w:fldChar w:fldCharType="separate"/>
                        </w:r>
                        <w:r w:rsidR="00D24270" w:rsidRPr="00D24270">
                          <w:rPr>
                            <w:webHidden/>
                          </w:rPr>
                          <w:t>4</w:t>
                        </w:r>
                        <w:r w:rsidR="00D24270" w:rsidRPr="00D24270">
                          <w:rPr>
                            <w:webHidden/>
                          </w:rPr>
                          <w:fldChar w:fldCharType="end"/>
                        </w:r>
                      </w:hyperlink>
                    </w:p>
                    <w:p w14:paraId="17E12A0D" w14:textId="77777777" w:rsidR="00D24270" w:rsidRPr="00D24270" w:rsidRDefault="00737644" w:rsidP="00D24270">
                      <w:pPr>
                        <w:pStyle w:val="TOC2"/>
                      </w:pPr>
                      <w:hyperlink w:anchor="_Toc108204013" w:history="1">
                        <w:r w:rsidR="00D24270" w:rsidRPr="00D24270">
                          <w:rPr>
                            <w:rStyle w:val="Hyperlink"/>
                            <w:color w:val="000000" w:themeColor="text1"/>
                          </w:rPr>
                          <w:t>Law Commission</w:t>
                        </w:r>
                        <w:r w:rsidR="00D24270" w:rsidRPr="00D24270">
                          <w:rPr>
                            <w:webHidden/>
                          </w:rPr>
                          <w:tab/>
                        </w:r>
                        <w:r w:rsidR="00D24270" w:rsidRPr="00D24270">
                          <w:rPr>
                            <w:webHidden/>
                          </w:rPr>
                          <w:fldChar w:fldCharType="begin"/>
                        </w:r>
                        <w:r w:rsidR="00D24270" w:rsidRPr="00D24270">
                          <w:rPr>
                            <w:webHidden/>
                          </w:rPr>
                          <w:instrText xml:space="preserve"> PAGEREF _Toc108204013 \h </w:instrText>
                        </w:r>
                        <w:r w:rsidR="00D24270" w:rsidRPr="00D24270">
                          <w:rPr>
                            <w:webHidden/>
                          </w:rPr>
                        </w:r>
                        <w:r w:rsidR="00D24270" w:rsidRPr="00D24270">
                          <w:rPr>
                            <w:webHidden/>
                          </w:rPr>
                          <w:fldChar w:fldCharType="separate"/>
                        </w:r>
                        <w:r w:rsidR="00D24270" w:rsidRPr="00D24270">
                          <w:rPr>
                            <w:webHidden/>
                          </w:rPr>
                          <w:t>5</w:t>
                        </w:r>
                        <w:r w:rsidR="00D24270" w:rsidRPr="00D24270">
                          <w:rPr>
                            <w:webHidden/>
                          </w:rPr>
                          <w:fldChar w:fldCharType="end"/>
                        </w:r>
                      </w:hyperlink>
                    </w:p>
                    <w:p w14:paraId="3416FC94" w14:textId="77777777" w:rsidR="00D24270" w:rsidRPr="00D24270" w:rsidRDefault="00737644" w:rsidP="00D24270">
                      <w:pPr>
                        <w:pStyle w:val="TOC2"/>
                      </w:pPr>
                      <w:hyperlink w:anchor="_Toc108204014" w:history="1">
                        <w:r w:rsidR="00D24270" w:rsidRPr="00D24270">
                          <w:rPr>
                            <w:rStyle w:val="Hyperlink"/>
                            <w:color w:val="000000" w:themeColor="text1"/>
                          </w:rPr>
                          <w:t>Recommendations</w:t>
                        </w:r>
                        <w:r w:rsidR="00D24270" w:rsidRPr="00D24270">
                          <w:rPr>
                            <w:webHidden/>
                          </w:rPr>
                          <w:tab/>
                        </w:r>
                        <w:r w:rsidR="00D24270" w:rsidRPr="00D24270">
                          <w:rPr>
                            <w:webHidden/>
                          </w:rPr>
                          <w:fldChar w:fldCharType="begin"/>
                        </w:r>
                        <w:r w:rsidR="00D24270" w:rsidRPr="00D24270">
                          <w:rPr>
                            <w:webHidden/>
                          </w:rPr>
                          <w:instrText xml:space="preserve"> PAGEREF _Toc108204014 \h </w:instrText>
                        </w:r>
                        <w:r w:rsidR="00D24270" w:rsidRPr="00D24270">
                          <w:rPr>
                            <w:webHidden/>
                          </w:rPr>
                        </w:r>
                        <w:r w:rsidR="00D24270" w:rsidRPr="00D24270">
                          <w:rPr>
                            <w:webHidden/>
                          </w:rPr>
                          <w:fldChar w:fldCharType="separate"/>
                        </w:r>
                        <w:r w:rsidR="00D24270" w:rsidRPr="00D24270">
                          <w:rPr>
                            <w:webHidden/>
                          </w:rPr>
                          <w:t>5</w:t>
                        </w:r>
                        <w:r w:rsidR="00D24270" w:rsidRPr="00D24270">
                          <w:rPr>
                            <w:webHidden/>
                          </w:rPr>
                          <w:fldChar w:fldCharType="end"/>
                        </w:r>
                      </w:hyperlink>
                    </w:p>
                    <w:p w14:paraId="70E49B05" w14:textId="77777777" w:rsidR="00D24270" w:rsidRPr="00D24270" w:rsidRDefault="00737644" w:rsidP="00D24270">
                      <w:pPr>
                        <w:pStyle w:val="TOC2"/>
                      </w:pPr>
                      <w:hyperlink w:anchor="_Toc108204015" w:history="1">
                        <w:r w:rsidR="00D24270" w:rsidRPr="00D24270">
                          <w:rPr>
                            <w:rStyle w:val="Hyperlink"/>
                            <w:color w:val="000000" w:themeColor="text1"/>
                          </w:rPr>
                          <w:t>References</w:t>
                        </w:r>
                        <w:r w:rsidR="00D24270" w:rsidRPr="00D24270">
                          <w:rPr>
                            <w:webHidden/>
                          </w:rPr>
                          <w:tab/>
                        </w:r>
                        <w:r w:rsidR="00D24270" w:rsidRPr="00D24270">
                          <w:rPr>
                            <w:webHidden/>
                          </w:rPr>
                          <w:fldChar w:fldCharType="begin"/>
                        </w:r>
                        <w:r w:rsidR="00D24270" w:rsidRPr="00D24270">
                          <w:rPr>
                            <w:webHidden/>
                          </w:rPr>
                          <w:instrText xml:space="preserve"> PAGEREF _Toc108204015 \h </w:instrText>
                        </w:r>
                        <w:r w:rsidR="00D24270" w:rsidRPr="00D24270">
                          <w:rPr>
                            <w:webHidden/>
                          </w:rPr>
                        </w:r>
                        <w:r w:rsidR="00D24270" w:rsidRPr="00D24270">
                          <w:rPr>
                            <w:webHidden/>
                          </w:rPr>
                          <w:fldChar w:fldCharType="separate"/>
                        </w:r>
                        <w:r w:rsidR="00D24270" w:rsidRPr="00D24270">
                          <w:rPr>
                            <w:webHidden/>
                          </w:rPr>
                          <w:t>6</w:t>
                        </w:r>
                        <w:r w:rsidR="00D24270" w:rsidRPr="00D24270">
                          <w:rPr>
                            <w:webHidden/>
                          </w:rPr>
                          <w:fldChar w:fldCharType="end"/>
                        </w:r>
                      </w:hyperlink>
                    </w:p>
                    <w:p w14:paraId="3F8C5F4C" w14:textId="5D97EABD" w:rsidR="003A2518" w:rsidRDefault="003A2518"/>
                  </w:txbxContent>
                </v:textbox>
                <w10:wrap type="square"/>
              </v:shape>
            </w:pict>
          </mc:Fallback>
        </mc:AlternateContent>
      </w:r>
      <w:r w:rsidR="003A2518">
        <w:rPr>
          <w:noProof w:val="0"/>
        </w:rPr>
        <w:fldChar w:fldCharType="begin"/>
      </w:r>
      <w:r w:rsidR="003A2518">
        <w:instrText xml:space="preserve"> TOC \o "1-3" \h \z \u </w:instrText>
      </w:r>
      <w:r w:rsidR="003A2518">
        <w:rPr>
          <w:noProof w:val="0"/>
        </w:rPr>
        <w:fldChar w:fldCharType="separate"/>
      </w:r>
    </w:p>
    <w:p w14:paraId="348BA3A5" w14:textId="467C930C" w:rsidR="00D24270" w:rsidRPr="00815B82" w:rsidRDefault="003A2518" w:rsidP="00D24270">
      <w:pPr>
        <w:pStyle w:val="TOCHeading"/>
        <w:rPr>
          <w:rFonts w:ascii="Times New Roman" w:hAnsi="Times New Roman" w:cs="Times New Roman"/>
          <w:b/>
          <w:color w:val="000000" w:themeColor="text1"/>
        </w:rPr>
      </w:pPr>
      <w:r>
        <w:rPr>
          <w:b/>
          <w:bCs/>
          <w:noProof/>
        </w:rPr>
        <w:fldChar w:fldCharType="end"/>
      </w:r>
    </w:p>
    <w:p w14:paraId="6C12A1CC" w14:textId="2FDF0218" w:rsidR="003A2518" w:rsidRDefault="003A2518" w:rsidP="003A2518">
      <w:pPr>
        <w:rPr>
          <w:b/>
          <w:bCs/>
          <w:noProof/>
        </w:rPr>
      </w:pPr>
    </w:p>
    <w:p w14:paraId="3B2EE998" w14:textId="501F7EEB" w:rsidR="003A2518" w:rsidRPr="00815B82" w:rsidRDefault="003A2518" w:rsidP="00D24270">
      <w:pPr>
        <w:pStyle w:val="TOCHeading"/>
        <w:ind w:firstLine="0"/>
        <w:rPr>
          <w:rFonts w:ascii="Times New Roman" w:hAnsi="Times New Roman" w:cs="Times New Roman"/>
          <w:b/>
          <w:color w:val="000000" w:themeColor="text1"/>
        </w:rPr>
      </w:pPr>
      <w:r>
        <w:rPr>
          <w:b/>
          <w:bCs/>
          <w:noProof/>
        </w:rPr>
        <w:br w:type="page"/>
      </w:r>
    </w:p>
    <w:p w14:paraId="1E79C074" w14:textId="77777777" w:rsidR="002A2CD5" w:rsidRPr="005F21D5" w:rsidRDefault="002A2CD5" w:rsidP="002A2CD5">
      <w:pPr>
        <w:pStyle w:val="Heading2"/>
        <w:rPr>
          <w:rFonts w:ascii="Arial" w:hAnsi="Arial" w:cs="Arial"/>
          <w:b/>
          <w:bCs/>
          <w:color w:val="000000" w:themeColor="text1"/>
        </w:rPr>
      </w:pPr>
      <w:bookmarkStart w:id="0" w:name="_Toc108204010"/>
      <w:r w:rsidRPr="005F21D5">
        <w:rPr>
          <w:rFonts w:ascii="Arial" w:hAnsi="Arial" w:cs="Arial"/>
          <w:b/>
          <w:bCs/>
          <w:color w:val="000000" w:themeColor="text1"/>
        </w:rPr>
        <w:lastRenderedPageBreak/>
        <w:t>Offences Against Person Act</w:t>
      </w:r>
      <w:bookmarkEnd w:id="0"/>
      <w:r w:rsidRPr="005F21D5">
        <w:rPr>
          <w:rFonts w:ascii="Arial" w:hAnsi="Arial" w:cs="Arial"/>
          <w:b/>
          <w:bCs/>
          <w:color w:val="000000" w:themeColor="text1"/>
        </w:rPr>
        <w:t xml:space="preserve"> </w:t>
      </w:r>
    </w:p>
    <w:p w14:paraId="7FE35966" w14:textId="63521262" w:rsidR="002A2CD5" w:rsidRPr="002B3518" w:rsidRDefault="002A2CD5" w:rsidP="002A2CD5">
      <w:pPr>
        <w:pStyle w:val="NormalWeb"/>
        <w:shd w:val="clear" w:color="auto" w:fill="FFFFFF"/>
        <w:spacing w:before="120" w:beforeAutospacing="0" w:after="120" w:afterAutospacing="0" w:line="360" w:lineRule="auto"/>
        <w:jc w:val="both"/>
        <w:rPr>
          <w:color w:val="000000" w:themeColor="text1"/>
        </w:rPr>
      </w:pPr>
      <w:r w:rsidRPr="002B3518">
        <w:rPr>
          <w:color w:val="000000" w:themeColor="text1"/>
        </w:rPr>
        <w:t>The </w:t>
      </w:r>
      <w:r w:rsidRPr="002B3518">
        <w:rPr>
          <w:bCs/>
          <w:color w:val="000000" w:themeColor="text1"/>
        </w:rPr>
        <w:t>Offences against the Person Act 1861</w:t>
      </w:r>
      <w:r w:rsidRPr="002B3518">
        <w:rPr>
          <w:color w:val="000000" w:themeColor="text1"/>
        </w:rPr>
        <w:t xml:space="preserve"> (24 &amp; 25 </w:t>
      </w:r>
      <w:proofErr w:type="spellStart"/>
      <w:r w:rsidRPr="002B3518">
        <w:rPr>
          <w:color w:val="000000" w:themeColor="text1"/>
        </w:rPr>
        <w:t>Vict</w:t>
      </w:r>
      <w:proofErr w:type="spellEnd"/>
      <w:r w:rsidRPr="002B3518">
        <w:rPr>
          <w:color w:val="000000" w:themeColor="text1"/>
        </w:rPr>
        <w:t xml:space="preserve"> c 100) is an </w:t>
      </w:r>
      <w:hyperlink r:id="rId6" w:tooltip="Act of Parliament" w:history="1">
        <w:r w:rsidRPr="001E74AA">
          <w:rPr>
            <w:rStyle w:val="Hyperlink"/>
            <w:rFonts w:eastAsiaTheme="majorEastAsia"/>
            <w:color w:val="000000" w:themeColor="text1"/>
            <w:u w:val="none"/>
          </w:rPr>
          <w:t>Act</w:t>
        </w:r>
      </w:hyperlink>
      <w:r w:rsidRPr="002B3518">
        <w:rPr>
          <w:color w:val="000000" w:themeColor="text1"/>
        </w:rPr>
        <w:t> of the </w:t>
      </w:r>
      <w:hyperlink r:id="rId7" w:tooltip="Parliament of the United Kingdom" w:history="1">
        <w:r w:rsidRPr="001E74AA">
          <w:rPr>
            <w:rStyle w:val="Hyperlink"/>
            <w:rFonts w:eastAsiaTheme="majorEastAsia"/>
            <w:color w:val="000000" w:themeColor="text1"/>
            <w:u w:val="none"/>
          </w:rPr>
          <w:t>Parliament</w:t>
        </w:r>
      </w:hyperlink>
      <w:r w:rsidRPr="002B3518">
        <w:rPr>
          <w:color w:val="000000" w:themeColor="text1"/>
        </w:rPr>
        <w:t> of the </w:t>
      </w:r>
      <w:hyperlink r:id="rId8" w:tooltip="United Kingdom of Great Britain and Ireland" w:history="1">
        <w:r w:rsidRPr="001E74AA">
          <w:rPr>
            <w:rStyle w:val="Hyperlink"/>
            <w:rFonts w:eastAsiaTheme="majorEastAsia"/>
            <w:color w:val="000000" w:themeColor="text1"/>
            <w:u w:val="none"/>
          </w:rPr>
          <w:t>United Kingdom of Great Britain and Ireland</w:t>
        </w:r>
      </w:hyperlink>
      <w:r w:rsidRPr="002B3518">
        <w:rPr>
          <w:color w:val="000000" w:themeColor="text1"/>
        </w:rPr>
        <w:t>. It consolidated provisions related to </w:t>
      </w:r>
      <w:hyperlink r:id="rId9" w:tooltip="Offences against the person" w:history="1">
        <w:r w:rsidRPr="001E74AA">
          <w:rPr>
            <w:rStyle w:val="Hyperlink"/>
            <w:rFonts w:eastAsiaTheme="majorEastAsia"/>
            <w:color w:val="000000" w:themeColor="text1"/>
            <w:u w:val="none"/>
          </w:rPr>
          <w:t>offences against the person</w:t>
        </w:r>
      </w:hyperlink>
      <w:r w:rsidRPr="002B3518">
        <w:rPr>
          <w:color w:val="000000" w:themeColor="text1"/>
        </w:rPr>
        <w:t> (an expression, which, in particular, includes offences of violence) from a number of earlier </w:t>
      </w:r>
      <w:hyperlink r:id="rId10" w:tooltip="Statutes" w:history="1">
        <w:r w:rsidRPr="001E74AA">
          <w:rPr>
            <w:rStyle w:val="Hyperlink"/>
            <w:rFonts w:eastAsiaTheme="majorEastAsia"/>
            <w:color w:val="000000" w:themeColor="text1"/>
            <w:u w:val="none"/>
          </w:rPr>
          <w:t>statutes</w:t>
        </w:r>
      </w:hyperlink>
      <w:r w:rsidRPr="002B3518">
        <w:rPr>
          <w:color w:val="000000" w:themeColor="text1"/>
        </w:rPr>
        <w:t> into a single Act. For the most part these provisions were, according to the draftsman of the Act, incorporated with little or no variation in their phraseology. It is one of a group of Acts sometimes referred to as the</w:t>
      </w:r>
      <w:r w:rsidRPr="001E74AA">
        <w:rPr>
          <w:color w:val="000000" w:themeColor="text1"/>
        </w:rPr>
        <w:t> </w:t>
      </w:r>
      <w:hyperlink r:id="rId11" w:tooltip="Criminal Law Consolidation Acts 1861" w:history="1">
        <w:r w:rsidRPr="001E74AA">
          <w:rPr>
            <w:rStyle w:val="Hyperlink"/>
            <w:rFonts w:eastAsiaTheme="majorEastAsia"/>
            <w:color w:val="000000" w:themeColor="text1"/>
            <w:u w:val="none"/>
          </w:rPr>
          <w:t>Criminal Law Consolidation Acts 1861</w:t>
        </w:r>
      </w:hyperlink>
      <w:r w:rsidRPr="002B3518">
        <w:rPr>
          <w:color w:val="000000" w:themeColor="text1"/>
        </w:rPr>
        <w:t>. It was passed with the object of simplifying the law. It is essentially a revised version of an earlier Consolidation Act, the</w:t>
      </w:r>
      <w:r w:rsidRPr="001E74AA">
        <w:rPr>
          <w:color w:val="000000" w:themeColor="text1"/>
        </w:rPr>
        <w:t> </w:t>
      </w:r>
      <w:hyperlink r:id="rId12" w:tooltip="Offences Against the Person Act 1828" w:history="1">
        <w:r w:rsidRPr="001E74AA">
          <w:rPr>
            <w:rStyle w:val="Hyperlink"/>
            <w:rFonts w:eastAsiaTheme="majorEastAsia"/>
            <w:color w:val="000000" w:themeColor="text1"/>
            <w:u w:val="none"/>
          </w:rPr>
          <w:t>Offences Against the Person Act 1828</w:t>
        </w:r>
      </w:hyperlink>
      <w:r w:rsidRPr="002B3518">
        <w:rPr>
          <w:color w:val="000000" w:themeColor="text1"/>
        </w:rPr>
        <w:t> (and the equivalent Irish Act), incorporating subsequent statutes. Although it has been substantially amended, it continues to be the foundation for prosecuting personal injury, short of murder, in the courts of </w:t>
      </w:r>
      <w:hyperlink r:id="rId13" w:tooltip="England and Wales" w:history="1">
        <w:r w:rsidRPr="0053075B">
          <w:rPr>
            <w:rStyle w:val="Hyperlink"/>
            <w:rFonts w:eastAsiaTheme="majorEastAsia"/>
            <w:color w:val="000000" w:themeColor="text1"/>
            <w:u w:val="none"/>
          </w:rPr>
          <w:t>England and Wales</w:t>
        </w:r>
      </w:hyperlink>
      <w:r w:rsidRPr="002B3518">
        <w:rPr>
          <w:color w:val="000000" w:themeColor="text1"/>
        </w:rPr>
        <w:t>. The Act was also adopted in British possessions. For example, New Zealand adopted the Act in 1866.</w:t>
      </w:r>
    </w:p>
    <w:p w14:paraId="4FA88450" w14:textId="77E948F4" w:rsidR="002A2CD5" w:rsidRPr="0053075B" w:rsidRDefault="002A2CD5" w:rsidP="0053075B">
      <w:pPr>
        <w:spacing w:line="360" w:lineRule="auto"/>
        <w:ind w:firstLine="0"/>
        <w:rPr>
          <w:rFonts w:cs="Times New Roman"/>
          <w:color w:val="222222"/>
          <w:szCs w:val="20"/>
          <w:shd w:val="clear" w:color="auto" w:fill="FFFFFF"/>
        </w:rPr>
      </w:pPr>
      <w:r w:rsidRPr="002B3518">
        <w:rPr>
          <w:rFonts w:cs="Times New Roman"/>
          <w:color w:val="000000" w:themeColor="text1"/>
          <w:szCs w:val="24"/>
        </w:rPr>
        <w:t>In England and Wales and in Northern Ireland, the sexual offences under the Act have all been repealed. For legislation referring to sexual offences, see the </w:t>
      </w:r>
      <w:hyperlink r:id="rId14" w:tooltip="Sexual Offences Act 2003" w:history="1">
        <w:r w:rsidRPr="0053075B">
          <w:rPr>
            <w:rStyle w:val="Hyperlink"/>
            <w:rFonts w:cs="Times New Roman"/>
            <w:color w:val="000000" w:themeColor="text1"/>
            <w:szCs w:val="24"/>
            <w:u w:val="none"/>
          </w:rPr>
          <w:t>Sexual Offences Act 2003</w:t>
        </w:r>
      </w:hyperlink>
      <w:r w:rsidRPr="0053075B">
        <w:rPr>
          <w:rFonts w:cs="Times New Roman"/>
          <w:color w:val="000000" w:themeColor="text1"/>
          <w:szCs w:val="24"/>
        </w:rPr>
        <w:t> and the </w:t>
      </w:r>
      <w:hyperlink r:id="rId15" w:tooltip="Sexual Offences (Northern Ireland) Order 2008" w:history="1">
        <w:r w:rsidRPr="0053075B">
          <w:rPr>
            <w:rStyle w:val="Hyperlink"/>
            <w:rFonts w:cs="Times New Roman"/>
            <w:color w:val="000000" w:themeColor="text1"/>
            <w:szCs w:val="24"/>
            <w:u w:val="none"/>
          </w:rPr>
          <w:t>Sexual Offences (Northern Ireland) Order 2008</w:t>
        </w:r>
      </w:hyperlink>
      <w:r w:rsidRPr="0053075B">
        <w:rPr>
          <w:color w:val="000000" w:themeColor="text1"/>
        </w:rPr>
        <w:t xml:space="preserve"> </w:t>
      </w:r>
      <w:r w:rsidRPr="0053075B">
        <w:rPr>
          <w:rFonts w:cs="Times New Roman"/>
          <w:color w:val="222222"/>
          <w:szCs w:val="20"/>
          <w:shd w:val="clear" w:color="auto" w:fill="FFFFFF"/>
        </w:rPr>
        <w:t>(Weisburd, 2018)</w:t>
      </w:r>
      <w:r w:rsidRPr="0053075B">
        <w:rPr>
          <w:rFonts w:cs="Times New Roman"/>
          <w:color w:val="000000" w:themeColor="text1"/>
          <w:szCs w:val="24"/>
        </w:rPr>
        <w:t>. In Northern Ireland, the 1861 Act was the basis for a ban on abortion until 2019 when it was amended by the </w:t>
      </w:r>
      <w:hyperlink r:id="rId16" w:tooltip="Northern Ireland (Executive Formation etc) Act 2019" w:history="1">
        <w:r w:rsidRPr="0053075B">
          <w:rPr>
            <w:rStyle w:val="Hyperlink"/>
            <w:rFonts w:cs="Times New Roman"/>
            <w:color w:val="000000" w:themeColor="text1"/>
            <w:szCs w:val="24"/>
            <w:u w:val="none"/>
          </w:rPr>
          <w:t>Northern Ireland (Executive Formation) Act 2019</w:t>
        </w:r>
      </w:hyperlink>
      <w:r w:rsidRPr="0053075B">
        <w:rPr>
          <w:rFonts w:cs="Times New Roman"/>
          <w:color w:val="000000" w:themeColor="text1"/>
          <w:szCs w:val="24"/>
        </w:rPr>
        <w:t>.</w:t>
      </w:r>
      <w:r w:rsidRPr="002B3518">
        <w:rPr>
          <w:color w:val="000000" w:themeColor="text1"/>
        </w:rPr>
        <w:t>The Act as originally drafted listed specific methods whereby harm might be caused. For example, section 18 originally included an offence of shooting which could be committed with any of the specified intents. Sections 11 to 15 specified various means by which a person might attempt to commit murder.</w:t>
      </w:r>
    </w:p>
    <w:p w14:paraId="14CDE54F" w14:textId="58D38CC5" w:rsidR="002A2CD5" w:rsidRPr="005412A7" w:rsidRDefault="002A2CD5" w:rsidP="005412A7">
      <w:pPr>
        <w:spacing w:line="360" w:lineRule="auto"/>
        <w:ind w:firstLine="0"/>
        <w:rPr>
          <w:rFonts w:cs="Times New Roman"/>
          <w:color w:val="222222"/>
          <w:szCs w:val="20"/>
          <w:shd w:val="clear" w:color="auto" w:fill="FFFFFF"/>
        </w:rPr>
      </w:pPr>
      <w:r w:rsidRPr="002B3518">
        <w:rPr>
          <w:rFonts w:cs="Times New Roman"/>
          <w:color w:val="000000" w:themeColor="text1"/>
          <w:szCs w:val="24"/>
        </w:rPr>
        <w:t>In some cases, these reflected political issues then of great significance. For example, the</w:t>
      </w:r>
      <w:r w:rsidRPr="0053075B">
        <w:rPr>
          <w:rFonts w:cs="Times New Roman"/>
          <w:color w:val="000000" w:themeColor="text1"/>
          <w:szCs w:val="24"/>
        </w:rPr>
        <w:t> </w:t>
      </w:r>
      <w:hyperlink r:id="rId17" w:tooltip="Fenian" w:history="1">
        <w:r w:rsidRPr="0053075B">
          <w:rPr>
            <w:rStyle w:val="Hyperlink"/>
            <w:rFonts w:cs="Times New Roman"/>
            <w:color w:val="000000" w:themeColor="text1"/>
            <w:szCs w:val="24"/>
            <w:u w:val="none"/>
          </w:rPr>
          <w:t>Fenians</w:t>
        </w:r>
      </w:hyperlink>
      <w:r w:rsidRPr="002B3518">
        <w:rPr>
          <w:rFonts w:cs="Times New Roman"/>
          <w:color w:val="000000" w:themeColor="text1"/>
          <w:szCs w:val="24"/>
        </w:rPr>
        <w:t> were promoting their political case by leaving barrels of explosives in public places</w:t>
      </w:r>
      <w:r w:rsidRPr="002B3518">
        <w:rPr>
          <w:color w:val="000000" w:themeColor="text1"/>
        </w:rPr>
        <w:t xml:space="preserve"> </w:t>
      </w:r>
      <w:r w:rsidRPr="002B3518">
        <w:rPr>
          <w:rFonts w:cs="Times New Roman"/>
          <w:color w:val="222222"/>
          <w:szCs w:val="20"/>
          <w:shd w:val="clear" w:color="auto" w:fill="FFFFFF"/>
        </w:rPr>
        <w:t>(Hardyns, et al, 2019)</w:t>
      </w:r>
      <w:r w:rsidRPr="002B3518">
        <w:rPr>
          <w:rFonts w:cs="Times New Roman"/>
          <w:color w:val="000000" w:themeColor="text1"/>
          <w:szCs w:val="24"/>
        </w:rPr>
        <w:t>. Hence, sections 28 to 30 and 64 specifically address the problem, whether injury results or not. Similarly, children were throwing s</w:t>
      </w:r>
      <w:r w:rsidRPr="002B3518">
        <w:rPr>
          <w:color w:val="000000" w:themeColor="text1"/>
        </w:rPr>
        <w:t>tones at passing railway trains</w:t>
      </w:r>
      <w:r w:rsidRPr="002B3518">
        <w:rPr>
          <w:rFonts w:cs="Times New Roman"/>
          <w:color w:val="000000" w:themeColor="text1"/>
          <w:szCs w:val="24"/>
        </w:rPr>
        <w:t xml:space="preserve"> and these provisions remain in </w:t>
      </w:r>
      <w:r w:rsidR="005412A7" w:rsidRPr="002B3518">
        <w:rPr>
          <w:rFonts w:cs="Times New Roman"/>
          <w:color w:val="000000" w:themeColor="text1"/>
          <w:szCs w:val="24"/>
        </w:rPr>
        <w:t>force.</w:t>
      </w:r>
      <w:r w:rsidR="005412A7" w:rsidRPr="0053075B">
        <w:rPr>
          <w:color w:val="000000" w:themeColor="text1"/>
        </w:rPr>
        <w:t xml:space="preserve"> As</w:t>
      </w:r>
      <w:r w:rsidRPr="0053075B">
        <w:rPr>
          <w:color w:val="000000" w:themeColor="text1"/>
        </w:rPr>
        <w:t xml:space="preserve"> originally enacted, the Act had 79 sections. In </w:t>
      </w:r>
      <w:hyperlink r:id="rId18" w:tooltip="England and Wales" w:history="1">
        <w:r w:rsidRPr="0053075B">
          <w:rPr>
            <w:rStyle w:val="Hyperlink"/>
            <w:rFonts w:eastAsiaTheme="majorEastAsia"/>
            <w:color w:val="000000" w:themeColor="text1"/>
            <w:u w:val="none"/>
          </w:rPr>
          <w:t>England and Wales</w:t>
        </w:r>
      </w:hyperlink>
      <w:r w:rsidRPr="0053075B">
        <w:rPr>
          <w:color w:val="000000" w:themeColor="text1"/>
        </w:rPr>
        <w:t>, 37 sections remain in force, namely sections 4, 5, 9, 10, 16 to 18, 20 to 38, 44, 45, 47, 57 to 60, 64, 65, 68 and 78. Of those, only sections 25, 34 to 36 and 78 have not been either partially repealed or otherwise amended. Different subsets of its provisions remain in force in </w:t>
      </w:r>
      <w:hyperlink r:id="rId19" w:tooltip="Northern Ireland" w:history="1">
        <w:r w:rsidRPr="0053075B">
          <w:rPr>
            <w:rStyle w:val="Hyperlink"/>
            <w:rFonts w:eastAsiaTheme="majorEastAsia"/>
            <w:color w:val="000000" w:themeColor="text1"/>
            <w:u w:val="none"/>
          </w:rPr>
          <w:t>Northern Ireland</w:t>
        </w:r>
      </w:hyperlink>
      <w:r w:rsidRPr="0053075B">
        <w:rPr>
          <w:color w:val="000000" w:themeColor="text1"/>
        </w:rPr>
        <w:t> and in the </w:t>
      </w:r>
      <w:hyperlink r:id="rId20" w:tooltip="Republic of Ireland" w:history="1">
        <w:r w:rsidRPr="0053075B">
          <w:rPr>
            <w:rStyle w:val="Hyperlink"/>
            <w:rFonts w:eastAsiaTheme="majorEastAsia"/>
            <w:color w:val="000000" w:themeColor="text1"/>
            <w:u w:val="none"/>
          </w:rPr>
          <w:t>Republic of Ireland</w:t>
        </w:r>
      </w:hyperlink>
      <w:r w:rsidRPr="0053075B">
        <w:rPr>
          <w:color w:val="000000" w:themeColor="text1"/>
        </w:rPr>
        <w:t>.</w:t>
      </w:r>
    </w:p>
    <w:p w14:paraId="39E2B2DC" w14:textId="77777777" w:rsidR="002A2CD5" w:rsidRPr="0053075B" w:rsidRDefault="002A2CD5" w:rsidP="002A2CD5">
      <w:pPr>
        <w:spacing w:line="360" w:lineRule="auto"/>
        <w:rPr>
          <w:rFonts w:cs="Times New Roman"/>
          <w:szCs w:val="24"/>
        </w:rPr>
      </w:pPr>
    </w:p>
    <w:p w14:paraId="48F46D60" w14:textId="77777777" w:rsidR="002A2CD5" w:rsidRPr="0053075B" w:rsidRDefault="002A2CD5" w:rsidP="002A2CD5">
      <w:pPr>
        <w:pStyle w:val="Heading2"/>
        <w:rPr>
          <w:rFonts w:ascii="Arial" w:hAnsi="Arial" w:cs="Arial"/>
          <w:b/>
          <w:bCs/>
          <w:color w:val="auto"/>
        </w:rPr>
      </w:pPr>
      <w:bookmarkStart w:id="1" w:name="_Toc108204011"/>
      <w:r w:rsidRPr="0053075B">
        <w:rPr>
          <w:rFonts w:ascii="Arial" w:hAnsi="Arial" w:cs="Arial"/>
          <w:b/>
          <w:bCs/>
          <w:color w:val="auto"/>
        </w:rPr>
        <w:lastRenderedPageBreak/>
        <w:t>Modern Society and Law</w:t>
      </w:r>
      <w:bookmarkEnd w:id="1"/>
    </w:p>
    <w:p w14:paraId="0DD644FA" w14:textId="2C1AE4F8" w:rsidR="002A2CD5" w:rsidRPr="0053075B" w:rsidRDefault="002A2CD5" w:rsidP="0053075B">
      <w:pPr>
        <w:spacing w:line="360" w:lineRule="auto"/>
        <w:ind w:firstLine="0"/>
        <w:rPr>
          <w:rFonts w:cs="Times New Roman"/>
          <w:color w:val="222222"/>
          <w:szCs w:val="20"/>
          <w:shd w:val="clear" w:color="auto" w:fill="FFFFFF"/>
        </w:rPr>
      </w:pPr>
      <w:r w:rsidRPr="0053075B">
        <w:rPr>
          <w:rFonts w:cs="Times New Roman"/>
          <w:bCs/>
          <w:iCs/>
          <w:color w:val="000000" w:themeColor="text1"/>
          <w:szCs w:val="24"/>
          <w:shd w:val="clear" w:color="auto" w:fill="FFFFFF"/>
        </w:rPr>
        <w:t>Law in Modern Society: Toward a Criticism of Social Theory</w:t>
      </w:r>
      <w:r w:rsidRPr="0053075B">
        <w:rPr>
          <w:rFonts w:cs="Times New Roman"/>
          <w:color w:val="000000" w:themeColor="text1"/>
          <w:szCs w:val="24"/>
          <w:shd w:val="clear" w:color="auto" w:fill="FFFFFF"/>
        </w:rPr>
        <w:t> is a 1976 book by philosopher and politician </w:t>
      </w:r>
      <w:hyperlink r:id="rId21" w:tooltip="Roberto Mangabeira Unger" w:history="1">
        <w:r w:rsidRPr="0053075B">
          <w:rPr>
            <w:rStyle w:val="Hyperlink"/>
            <w:rFonts w:cs="Times New Roman"/>
            <w:color w:val="000000" w:themeColor="text1"/>
            <w:szCs w:val="24"/>
            <w:u w:val="none"/>
            <w:shd w:val="clear" w:color="auto" w:fill="FFFFFF"/>
          </w:rPr>
          <w:t>Roberto Mangabeira Unger</w:t>
        </w:r>
      </w:hyperlink>
      <w:r w:rsidRPr="0053075B">
        <w:rPr>
          <w:rFonts w:cs="Times New Roman"/>
          <w:color w:val="000000" w:themeColor="text1"/>
          <w:szCs w:val="24"/>
          <w:shd w:val="clear" w:color="auto" w:fill="FFFFFF"/>
        </w:rPr>
        <w:t>. In the book, Unger uses the rise and decline of the </w:t>
      </w:r>
      <w:hyperlink r:id="rId22" w:tooltip="Rule of law" w:history="1">
        <w:r w:rsidRPr="0053075B">
          <w:rPr>
            <w:rStyle w:val="Hyperlink"/>
            <w:rFonts w:cs="Times New Roman"/>
            <w:color w:val="000000" w:themeColor="text1"/>
            <w:szCs w:val="24"/>
            <w:u w:val="none"/>
            <w:shd w:val="clear" w:color="auto" w:fill="FFFFFF"/>
          </w:rPr>
          <w:t>rule of law</w:t>
        </w:r>
      </w:hyperlink>
      <w:r w:rsidRPr="0053075B">
        <w:rPr>
          <w:rFonts w:cs="Times New Roman"/>
          <w:color w:val="000000" w:themeColor="text1"/>
          <w:szCs w:val="24"/>
          <w:shd w:val="clear" w:color="auto" w:fill="FFFFFF"/>
        </w:rPr>
        <w:t> as a vehicle to explore certain problems in </w:t>
      </w:r>
      <w:hyperlink r:id="rId23" w:tooltip="Social theory" w:history="1">
        <w:r w:rsidRPr="0053075B">
          <w:rPr>
            <w:rStyle w:val="Hyperlink"/>
            <w:rFonts w:cs="Times New Roman"/>
            <w:color w:val="000000" w:themeColor="text1"/>
            <w:szCs w:val="24"/>
            <w:u w:val="none"/>
            <w:shd w:val="clear" w:color="auto" w:fill="FFFFFF"/>
          </w:rPr>
          <w:t>social theory</w:t>
        </w:r>
      </w:hyperlink>
      <w:r w:rsidRPr="0053075B">
        <w:rPr>
          <w:rFonts w:cs="Times New Roman"/>
          <w:color w:val="000000" w:themeColor="text1"/>
          <w:szCs w:val="24"/>
          <w:shd w:val="clear" w:color="auto" w:fill="FFFFFF"/>
        </w:rPr>
        <w:t>. According to Unger, problems that were central concerns of classical social theorists like </w:t>
      </w:r>
      <w:hyperlink r:id="rId24" w:tooltip="Karl Marx" w:history="1">
        <w:r w:rsidRPr="0053075B">
          <w:rPr>
            <w:rStyle w:val="Hyperlink"/>
            <w:rFonts w:cs="Times New Roman"/>
            <w:color w:val="000000" w:themeColor="text1"/>
            <w:szCs w:val="24"/>
            <w:u w:val="none"/>
            <w:shd w:val="clear" w:color="auto" w:fill="FFFFFF"/>
          </w:rPr>
          <w:t>Marx</w:t>
        </w:r>
      </w:hyperlink>
      <w:r w:rsidRPr="0053075B">
        <w:rPr>
          <w:rFonts w:cs="Times New Roman"/>
          <w:color w:val="000000" w:themeColor="text1"/>
          <w:szCs w:val="24"/>
          <w:shd w:val="clear" w:color="auto" w:fill="FFFFFF"/>
        </w:rPr>
        <w:t>, </w:t>
      </w:r>
      <w:hyperlink r:id="rId25" w:tooltip="Émile Durkheim" w:history="1">
        <w:r w:rsidRPr="0053075B">
          <w:rPr>
            <w:rStyle w:val="Hyperlink"/>
            <w:rFonts w:cs="Times New Roman"/>
            <w:color w:val="000000" w:themeColor="text1"/>
            <w:szCs w:val="24"/>
            <w:u w:val="none"/>
            <w:shd w:val="clear" w:color="auto" w:fill="FFFFFF"/>
          </w:rPr>
          <w:t>Durkheim</w:t>
        </w:r>
      </w:hyperlink>
      <w:r w:rsidRPr="0053075B">
        <w:rPr>
          <w:rFonts w:cs="Times New Roman"/>
          <w:color w:val="000000" w:themeColor="text1"/>
          <w:szCs w:val="24"/>
          <w:shd w:val="clear" w:color="auto" w:fill="FFFFFF"/>
        </w:rPr>
        <w:t>, and </w:t>
      </w:r>
      <w:hyperlink r:id="rId26" w:tooltip="Max Weber" w:history="1">
        <w:r w:rsidRPr="0053075B">
          <w:rPr>
            <w:rStyle w:val="Hyperlink"/>
            <w:rFonts w:cs="Times New Roman"/>
            <w:color w:val="000000" w:themeColor="text1"/>
            <w:szCs w:val="24"/>
            <w:u w:val="none"/>
            <w:shd w:val="clear" w:color="auto" w:fill="FFFFFF"/>
          </w:rPr>
          <w:t>Weber</w:t>
        </w:r>
      </w:hyperlink>
      <w:r w:rsidRPr="0053075B">
        <w:rPr>
          <w:rFonts w:cs="Times New Roman"/>
          <w:color w:val="000000" w:themeColor="text1"/>
          <w:szCs w:val="24"/>
          <w:shd w:val="clear" w:color="auto" w:fill="FFFFFF"/>
        </w:rPr>
        <w:t>—the problems of explanation, order, and modernity—remain unsolved. Unger contends that the failure of classical social theory to solve these dilemmas can be traced to the way in which it asserted its independence from the ancient political philosophers, namely in its denial of a supra-historical human nature and in its insistence upon the contrast of </w:t>
      </w:r>
      <w:hyperlink r:id="rId27" w:tooltip="Fact-value distinction" w:history="1">
        <w:r w:rsidRPr="0053075B">
          <w:rPr>
            <w:rStyle w:val="Hyperlink"/>
            <w:rFonts w:cs="Times New Roman"/>
            <w:color w:val="000000" w:themeColor="text1"/>
            <w:szCs w:val="24"/>
            <w:u w:val="none"/>
            <w:shd w:val="clear" w:color="auto" w:fill="FFFFFF"/>
          </w:rPr>
          <w:t>fact and value</w:t>
        </w:r>
      </w:hyperlink>
      <w:r w:rsidRPr="0053075B">
        <w:rPr>
          <w:rFonts w:cs="Times New Roman"/>
          <w:color w:val="000000" w:themeColor="text1"/>
          <w:szCs w:val="24"/>
        </w:rPr>
        <w:t xml:space="preserve"> </w:t>
      </w:r>
      <w:r w:rsidRPr="0053075B">
        <w:rPr>
          <w:rFonts w:cs="Times New Roman"/>
          <w:color w:val="222222"/>
          <w:szCs w:val="20"/>
          <w:shd w:val="clear" w:color="auto" w:fill="FFFFFF"/>
        </w:rPr>
        <w:t>(Hardyns, et al, 2019)</w:t>
      </w:r>
      <w:r w:rsidRPr="0053075B">
        <w:rPr>
          <w:rFonts w:cs="Times New Roman"/>
          <w:color w:val="000000" w:themeColor="text1"/>
          <w:szCs w:val="24"/>
          <w:shd w:val="clear" w:color="auto" w:fill="FFFFFF"/>
        </w:rPr>
        <w:t xml:space="preserve">. Unger argues that a radical reorientation of social theory is needed to solve the problems it faces. "To carry out its own program," Unger writes, "social theory must destroy itself." The rise and decline of the rule of law, and the dilemmas of social theory, converge in the need to be able to compare and criticize different forms of society, </w:t>
      </w:r>
      <w:proofErr w:type="gramStart"/>
      <w:r w:rsidRPr="0053075B">
        <w:rPr>
          <w:rFonts w:cs="Times New Roman"/>
          <w:color w:val="000000" w:themeColor="text1"/>
          <w:szCs w:val="24"/>
          <w:shd w:val="clear" w:color="auto" w:fill="FFFFFF"/>
        </w:rPr>
        <w:t>in order to</w:t>
      </w:r>
      <w:proofErr w:type="gramEnd"/>
      <w:r w:rsidRPr="0053075B">
        <w:rPr>
          <w:rFonts w:cs="Times New Roman"/>
          <w:color w:val="000000" w:themeColor="text1"/>
          <w:szCs w:val="24"/>
          <w:shd w:val="clear" w:color="auto" w:fill="FFFFFF"/>
        </w:rPr>
        <w:t xml:space="preserve"> be able to more effectively submit the organization of society to the human </w:t>
      </w:r>
      <w:r w:rsidR="005412A7" w:rsidRPr="0053075B">
        <w:rPr>
          <w:rFonts w:cs="Times New Roman"/>
          <w:color w:val="000000" w:themeColor="text1"/>
          <w:szCs w:val="24"/>
          <w:shd w:val="clear" w:color="auto" w:fill="FFFFFF"/>
        </w:rPr>
        <w:t>will.</w:t>
      </w:r>
      <w:r w:rsidR="005412A7" w:rsidRPr="0053075B">
        <w:rPr>
          <w:rFonts w:cs="Times New Roman"/>
          <w:color w:val="000000" w:themeColor="text1"/>
          <w:szCs w:val="24"/>
        </w:rPr>
        <w:t xml:space="preserve"> Unger</w:t>
      </w:r>
      <w:r w:rsidRPr="0053075B">
        <w:rPr>
          <w:rFonts w:cs="Times New Roman"/>
          <w:color w:val="000000" w:themeColor="text1"/>
          <w:szCs w:val="24"/>
        </w:rPr>
        <w:t xml:space="preserve"> opens </w:t>
      </w:r>
      <w:r w:rsidRPr="0053075B">
        <w:rPr>
          <w:rFonts w:cs="Times New Roman"/>
          <w:iCs/>
          <w:color w:val="000000" w:themeColor="text1"/>
          <w:szCs w:val="24"/>
        </w:rPr>
        <w:t>Law in Modern Society</w:t>
      </w:r>
      <w:r w:rsidRPr="0053075B">
        <w:rPr>
          <w:rFonts w:cs="Times New Roman"/>
          <w:color w:val="000000" w:themeColor="text1"/>
          <w:szCs w:val="24"/>
        </w:rPr>
        <w:t> by connecting the study of law to the unsolved problems of social theory. Social theory is the tradition originating in the writings of </w:t>
      </w:r>
      <w:hyperlink r:id="rId28" w:tooltip="Montesquieu" w:history="1">
        <w:r w:rsidRPr="0053075B">
          <w:rPr>
            <w:rStyle w:val="Hyperlink"/>
            <w:rFonts w:cs="Times New Roman"/>
            <w:color w:val="000000" w:themeColor="text1"/>
            <w:szCs w:val="24"/>
            <w:u w:val="none"/>
          </w:rPr>
          <w:t>Montesquieu</w:t>
        </w:r>
      </w:hyperlink>
      <w:r w:rsidRPr="0053075B">
        <w:rPr>
          <w:rFonts w:cs="Times New Roman"/>
          <w:color w:val="000000" w:themeColor="text1"/>
          <w:szCs w:val="24"/>
        </w:rPr>
        <w:t> and culminating with the work of </w:t>
      </w:r>
      <w:hyperlink r:id="rId29" w:tooltip="Karl Marx" w:history="1">
        <w:r w:rsidRPr="0053075B">
          <w:rPr>
            <w:rStyle w:val="Hyperlink"/>
            <w:rFonts w:cs="Times New Roman"/>
            <w:color w:val="000000" w:themeColor="text1"/>
            <w:szCs w:val="24"/>
            <w:u w:val="none"/>
          </w:rPr>
          <w:t>Marx</w:t>
        </w:r>
      </w:hyperlink>
      <w:r w:rsidRPr="0053075B">
        <w:rPr>
          <w:rFonts w:cs="Times New Roman"/>
          <w:color w:val="000000" w:themeColor="text1"/>
          <w:szCs w:val="24"/>
        </w:rPr>
        <w:t>, </w:t>
      </w:r>
      <w:hyperlink r:id="rId30" w:tooltip="Émile Durkheim" w:history="1">
        <w:r w:rsidRPr="0053075B">
          <w:rPr>
            <w:rStyle w:val="Hyperlink"/>
            <w:rFonts w:cs="Times New Roman"/>
            <w:color w:val="000000" w:themeColor="text1"/>
            <w:szCs w:val="24"/>
            <w:u w:val="none"/>
          </w:rPr>
          <w:t>Durkheim</w:t>
        </w:r>
      </w:hyperlink>
      <w:r w:rsidRPr="0053075B">
        <w:rPr>
          <w:rFonts w:cs="Times New Roman"/>
          <w:color w:val="000000" w:themeColor="text1"/>
          <w:szCs w:val="24"/>
        </w:rPr>
        <w:t>, and </w:t>
      </w:r>
      <w:hyperlink r:id="rId31" w:tooltip="Max Weber" w:history="1">
        <w:r w:rsidRPr="0053075B">
          <w:rPr>
            <w:rStyle w:val="Hyperlink"/>
            <w:rFonts w:cs="Times New Roman"/>
            <w:color w:val="000000" w:themeColor="text1"/>
            <w:szCs w:val="24"/>
            <w:u w:val="none"/>
          </w:rPr>
          <w:t>Weber</w:t>
        </w:r>
      </w:hyperlink>
      <w:r w:rsidRPr="0053075B">
        <w:rPr>
          <w:rFonts w:cs="Times New Roman"/>
          <w:color w:val="000000" w:themeColor="text1"/>
          <w:szCs w:val="24"/>
        </w:rPr>
        <w:t xml:space="preserve">. In Unger's view, classic social theory as represented by these thinkers is marked by an insistence on the distinction between fact and value, </w:t>
      </w:r>
      <w:r w:rsidR="0053075B" w:rsidRPr="0053075B">
        <w:rPr>
          <w:rFonts w:cs="Times New Roman"/>
          <w:color w:val="000000" w:themeColor="text1"/>
          <w:szCs w:val="24"/>
        </w:rPr>
        <w:t>description,</w:t>
      </w:r>
      <w:r w:rsidRPr="0053075B">
        <w:rPr>
          <w:rFonts w:cs="Times New Roman"/>
          <w:color w:val="000000" w:themeColor="text1"/>
          <w:szCs w:val="24"/>
        </w:rPr>
        <w:t xml:space="preserve"> and evaluation,  also by a denial of a unitary human nature</w:t>
      </w:r>
      <w:r w:rsidRPr="0053075B">
        <w:rPr>
          <w:color w:val="000000" w:themeColor="text1"/>
        </w:rPr>
        <w:t xml:space="preserve"> </w:t>
      </w:r>
      <w:r w:rsidRPr="0053075B">
        <w:rPr>
          <w:rFonts w:cs="Times New Roman"/>
          <w:color w:val="222222"/>
          <w:szCs w:val="20"/>
          <w:shd w:val="clear" w:color="auto" w:fill="FFFFFF"/>
        </w:rPr>
        <w:t>(</w:t>
      </w:r>
      <w:proofErr w:type="spellStart"/>
      <w:r w:rsidRPr="0053075B">
        <w:rPr>
          <w:rFonts w:cs="Times New Roman"/>
          <w:color w:val="222222"/>
          <w:szCs w:val="20"/>
          <w:shd w:val="clear" w:color="auto" w:fill="FFFFFF"/>
        </w:rPr>
        <w:t>Favarin</w:t>
      </w:r>
      <w:proofErr w:type="spellEnd"/>
      <w:r w:rsidRPr="0053075B">
        <w:rPr>
          <w:rFonts w:cs="Times New Roman"/>
          <w:color w:val="222222"/>
          <w:szCs w:val="20"/>
          <w:shd w:val="clear" w:color="auto" w:fill="FFFFFF"/>
        </w:rPr>
        <w:t>, 2018)</w:t>
      </w:r>
      <w:r w:rsidRPr="0053075B">
        <w:rPr>
          <w:rFonts w:cs="Times New Roman"/>
          <w:color w:val="000000" w:themeColor="text1"/>
          <w:szCs w:val="24"/>
        </w:rPr>
        <w:t xml:space="preserve">. Unger contrasts classic social theory with the political philosophy of the ancients, who did not recognize as sharp a distinction between fact and </w:t>
      </w:r>
      <w:r w:rsidR="0053075B" w:rsidRPr="0053075B">
        <w:rPr>
          <w:rFonts w:cs="Times New Roman"/>
          <w:color w:val="000000" w:themeColor="text1"/>
          <w:szCs w:val="24"/>
        </w:rPr>
        <w:t>value, maintained</w:t>
      </w:r>
      <w:r w:rsidRPr="0053075B">
        <w:rPr>
          <w:rFonts w:cs="Times New Roman"/>
          <w:color w:val="000000" w:themeColor="text1"/>
          <w:szCs w:val="24"/>
        </w:rPr>
        <w:t xml:space="preserve"> that there is a universal human nature that exists in all times and places. </w:t>
      </w:r>
    </w:p>
    <w:p w14:paraId="7020D77A" w14:textId="1D9FB790" w:rsidR="002A2CD5" w:rsidRDefault="002A2CD5" w:rsidP="0053075B">
      <w:pPr>
        <w:spacing w:line="360" w:lineRule="auto"/>
        <w:ind w:firstLine="0"/>
        <w:rPr>
          <w:rFonts w:cs="Times New Roman"/>
          <w:color w:val="000000" w:themeColor="text1"/>
          <w:szCs w:val="24"/>
        </w:rPr>
      </w:pPr>
      <w:r w:rsidRPr="0053075B">
        <w:rPr>
          <w:rFonts w:cs="Times New Roman"/>
          <w:color w:val="000000" w:themeColor="text1"/>
          <w:szCs w:val="24"/>
        </w:rPr>
        <w:t>The study of law affords a vantage point from which to explore three unsolved problems of social theory, according to Unger. The first, the </w:t>
      </w:r>
      <w:r w:rsidRPr="0053075B">
        <w:rPr>
          <w:rFonts w:cs="Times New Roman"/>
          <w:bCs/>
          <w:color w:val="000000" w:themeColor="text1"/>
          <w:szCs w:val="24"/>
        </w:rPr>
        <w:t>problem of method</w:t>
      </w:r>
      <w:r w:rsidRPr="0053075B">
        <w:rPr>
          <w:rFonts w:cs="Times New Roman"/>
          <w:color w:val="000000" w:themeColor="text1"/>
          <w:szCs w:val="24"/>
        </w:rPr>
        <w:t>, is that the prevailing methodological approaches to social study are inadequate</w:t>
      </w:r>
      <w:r w:rsidRPr="0053075B">
        <w:rPr>
          <w:color w:val="000000" w:themeColor="text1"/>
        </w:rPr>
        <w:t xml:space="preserve"> </w:t>
      </w:r>
      <w:r w:rsidRPr="0053075B">
        <w:rPr>
          <w:rFonts w:cs="Times New Roman"/>
          <w:color w:val="222222"/>
          <w:szCs w:val="20"/>
          <w:shd w:val="clear" w:color="auto" w:fill="FFFFFF"/>
        </w:rPr>
        <w:t>(</w:t>
      </w:r>
      <w:proofErr w:type="spellStart"/>
      <w:r w:rsidRPr="0053075B">
        <w:rPr>
          <w:rFonts w:cs="Times New Roman"/>
          <w:color w:val="222222"/>
          <w:szCs w:val="20"/>
          <w:shd w:val="clear" w:color="auto" w:fill="FFFFFF"/>
        </w:rPr>
        <w:t>Favarin</w:t>
      </w:r>
      <w:proofErr w:type="spellEnd"/>
      <w:r w:rsidRPr="0053075B">
        <w:rPr>
          <w:rFonts w:cs="Times New Roman"/>
          <w:color w:val="222222"/>
          <w:szCs w:val="20"/>
          <w:shd w:val="clear" w:color="auto" w:fill="FFFFFF"/>
        </w:rPr>
        <w:t>, 2018)</w:t>
      </w:r>
      <w:r w:rsidRPr="0053075B">
        <w:rPr>
          <w:rFonts w:cs="Times New Roman"/>
          <w:color w:val="000000" w:themeColor="text1"/>
          <w:szCs w:val="24"/>
        </w:rPr>
        <w:t>. The rationalist approach (as seen in the works of economists) and the historicist approach (which accepts the function of cause and effect but not logical entailment) both invite deterministic social explanations. Unger contends that we need a third method, one that is generalizing, and yet also open to rich historical particularity while not falling into deterministic explanations.</w:t>
      </w:r>
    </w:p>
    <w:p w14:paraId="1351BE72" w14:textId="77777777" w:rsidR="00676621" w:rsidRPr="0053075B" w:rsidRDefault="00676621" w:rsidP="0053075B">
      <w:pPr>
        <w:spacing w:line="360" w:lineRule="auto"/>
        <w:ind w:firstLine="0"/>
        <w:rPr>
          <w:rFonts w:cs="Times New Roman"/>
          <w:color w:val="222222"/>
          <w:szCs w:val="20"/>
          <w:shd w:val="clear" w:color="auto" w:fill="FFFFFF"/>
        </w:rPr>
      </w:pPr>
    </w:p>
    <w:p w14:paraId="36F7470D" w14:textId="77777777" w:rsidR="002A2CD5" w:rsidRPr="0053075B" w:rsidRDefault="002A2CD5" w:rsidP="002A2CD5">
      <w:pPr>
        <w:pStyle w:val="Heading2"/>
        <w:rPr>
          <w:rFonts w:ascii="Arial" w:hAnsi="Arial" w:cs="Arial"/>
          <w:b/>
          <w:bCs/>
          <w:color w:val="000000" w:themeColor="text1"/>
        </w:rPr>
      </w:pPr>
      <w:bookmarkStart w:id="2" w:name="_Toc108204012"/>
      <w:r w:rsidRPr="0053075B">
        <w:rPr>
          <w:rFonts w:ascii="Arial" w:hAnsi="Arial" w:cs="Arial"/>
          <w:b/>
          <w:bCs/>
          <w:color w:val="000000" w:themeColor="text1"/>
        </w:rPr>
        <w:lastRenderedPageBreak/>
        <w:t>Non-Fatal Offences</w:t>
      </w:r>
      <w:bookmarkEnd w:id="2"/>
      <w:r w:rsidRPr="0053075B">
        <w:rPr>
          <w:rFonts w:ascii="Arial" w:hAnsi="Arial" w:cs="Arial"/>
          <w:b/>
          <w:bCs/>
          <w:color w:val="000000" w:themeColor="text1"/>
        </w:rPr>
        <w:t xml:space="preserve"> </w:t>
      </w:r>
    </w:p>
    <w:p w14:paraId="07343A0F" w14:textId="13A5801B" w:rsidR="002A2CD5" w:rsidRPr="005F21D5" w:rsidRDefault="002A2CD5" w:rsidP="005F21D5">
      <w:pPr>
        <w:pStyle w:val="NormalWeb"/>
        <w:shd w:val="clear" w:color="auto" w:fill="FFFFFF"/>
        <w:spacing w:before="120" w:beforeAutospacing="0" w:after="120" w:afterAutospacing="0" w:line="360" w:lineRule="auto"/>
        <w:jc w:val="both"/>
        <w:rPr>
          <w:color w:val="000000" w:themeColor="text1"/>
        </w:rPr>
      </w:pPr>
      <w:r w:rsidRPr="0053075B">
        <w:rPr>
          <w:bCs/>
          <w:color w:val="000000" w:themeColor="text1"/>
        </w:rPr>
        <w:t>Non-fatal offences against the person</w:t>
      </w:r>
      <w:r w:rsidRPr="0053075B">
        <w:rPr>
          <w:color w:val="000000" w:themeColor="text1"/>
        </w:rPr>
        <w:t>, under </w:t>
      </w:r>
      <w:hyperlink r:id="rId32" w:tooltip="English law" w:history="1">
        <w:r w:rsidRPr="0053075B">
          <w:rPr>
            <w:rStyle w:val="Hyperlink"/>
            <w:rFonts w:eastAsiaTheme="majorEastAsia"/>
            <w:color w:val="000000" w:themeColor="text1"/>
            <w:u w:val="none"/>
          </w:rPr>
          <w:t>English law</w:t>
        </w:r>
      </w:hyperlink>
      <w:r w:rsidRPr="0053075B">
        <w:rPr>
          <w:color w:val="000000" w:themeColor="text1"/>
        </w:rPr>
        <w:t>, are generally taken to mean offences which take the form of an attack directed at another person, that do not result in the death of any person. Such offences where death occurs are considered </w:t>
      </w:r>
      <w:hyperlink r:id="rId33" w:tooltip="Homicide in English law" w:history="1">
        <w:r w:rsidRPr="0053075B">
          <w:rPr>
            <w:rStyle w:val="Hyperlink"/>
            <w:rFonts w:eastAsiaTheme="majorEastAsia"/>
            <w:color w:val="000000" w:themeColor="text1"/>
            <w:u w:val="none"/>
          </w:rPr>
          <w:t>homicide</w:t>
        </w:r>
      </w:hyperlink>
      <w:r w:rsidRPr="0053075B">
        <w:rPr>
          <w:color w:val="000000" w:themeColor="text1"/>
        </w:rPr>
        <w:t>, whilst </w:t>
      </w:r>
      <w:hyperlink r:id="rId34" w:tooltip="Sexual offences in the United Kingdom" w:history="1">
        <w:r w:rsidRPr="0053075B">
          <w:rPr>
            <w:rStyle w:val="Hyperlink"/>
            <w:rFonts w:eastAsiaTheme="majorEastAsia"/>
            <w:color w:val="000000" w:themeColor="text1"/>
            <w:u w:val="none"/>
          </w:rPr>
          <w:t>sexual offences</w:t>
        </w:r>
      </w:hyperlink>
      <w:r w:rsidRPr="0053075B">
        <w:rPr>
          <w:color w:val="000000" w:themeColor="text1"/>
        </w:rPr>
        <w:t> are generally considered separately, since they differ substantially from other offences against the person in theoretical basis and composition. Non-fatal offences against the person mainly derive from the </w:t>
      </w:r>
      <w:hyperlink r:id="rId35" w:tooltip="Offences against the Person Act 1861" w:history="1">
        <w:r w:rsidRPr="0053075B">
          <w:rPr>
            <w:rStyle w:val="Hyperlink"/>
            <w:rFonts w:eastAsiaTheme="majorEastAsia"/>
            <w:color w:val="000000" w:themeColor="text1"/>
            <w:u w:val="none"/>
          </w:rPr>
          <w:t>Offences against the Person Act 1861</w:t>
        </w:r>
      </w:hyperlink>
      <w:r w:rsidRPr="0053075B">
        <w:rPr>
          <w:color w:val="000000" w:themeColor="text1"/>
        </w:rPr>
        <w:t>, although no definition of assault or battery is given there.</w:t>
      </w:r>
      <w:r w:rsidR="005412A7">
        <w:rPr>
          <w:color w:val="000000" w:themeColor="text1"/>
        </w:rPr>
        <w:t xml:space="preserve"> </w:t>
      </w:r>
      <w:hyperlink r:id="rId36" w:tooltip="Offences against the person" w:history="1">
        <w:r w:rsidRPr="0053075B">
          <w:rPr>
            <w:rStyle w:val="Hyperlink"/>
            <w:color w:val="000000" w:themeColor="text1"/>
            <w:u w:val="none"/>
          </w:rPr>
          <w:t>Offences against the person</w:t>
        </w:r>
      </w:hyperlink>
      <w:r w:rsidRPr="0053075B">
        <w:rPr>
          <w:color w:val="000000" w:themeColor="text1"/>
        </w:rPr>
        <w:t> include minor forms of </w:t>
      </w:r>
      <w:hyperlink r:id="rId37" w:tooltip="Battery (crime)" w:history="1">
        <w:r w:rsidRPr="0053075B">
          <w:rPr>
            <w:rStyle w:val="Hyperlink"/>
            <w:color w:val="000000" w:themeColor="text1"/>
            <w:u w:val="none"/>
          </w:rPr>
          <w:t>battery</w:t>
        </w:r>
      </w:hyperlink>
      <w:r w:rsidRPr="0053075B">
        <w:rPr>
          <w:color w:val="000000" w:themeColor="text1"/>
        </w:rPr>
        <w:t> (any unlawful touching of another person); its complementary offence, </w:t>
      </w:r>
      <w:hyperlink r:id="rId38" w:tooltip="Assault" w:history="1">
        <w:r w:rsidRPr="0053075B">
          <w:rPr>
            <w:rStyle w:val="Hyperlink"/>
            <w:color w:val="000000" w:themeColor="text1"/>
            <w:u w:val="none"/>
          </w:rPr>
          <w:t>assault</w:t>
        </w:r>
      </w:hyperlink>
      <w:r w:rsidRPr="0053075B">
        <w:rPr>
          <w:color w:val="000000" w:themeColor="text1"/>
        </w:rPr>
        <w:t> (causing the apprehension of a battery, even when one has not yet occurred); and various more serious offences which are based on assault and battery (together called "common assault"). This includes </w:t>
      </w:r>
      <w:hyperlink r:id="rId39" w:tooltip="Assault occasioning actual bodily harm" w:history="1">
        <w:r w:rsidRPr="0053075B">
          <w:rPr>
            <w:rStyle w:val="Hyperlink"/>
            <w:color w:val="000000" w:themeColor="text1"/>
            <w:u w:val="none"/>
          </w:rPr>
          <w:t>assault occasioning actual bodily harm</w:t>
        </w:r>
      </w:hyperlink>
      <w:r w:rsidRPr="0053075B">
        <w:rPr>
          <w:color w:val="000000" w:themeColor="text1"/>
        </w:rPr>
        <w:t>, where the victim suffers injuries such as bruising or skin abrasions (the converse being an injury that is "transient and trifling"); wounding (a piercing of all layers of the skin); and causing grievous bodily harm (injuries more serious than in actual bodily harm, for example broken bones). The latter two offences may be committed "with intent", meaning there is an additional </w:t>
      </w:r>
      <w:proofErr w:type="spellStart"/>
      <w:r w:rsidR="00737644">
        <w:fldChar w:fldCharType="begin"/>
      </w:r>
      <w:r w:rsidR="00737644">
        <w:instrText xml:space="preserve"> HYPERLINK "https://en.wikipedia.org/wiki/Mens_rea" \o "Mens rea" </w:instrText>
      </w:r>
      <w:r w:rsidR="00737644">
        <w:fldChar w:fldCharType="separate"/>
      </w:r>
      <w:r w:rsidRPr="0053075B">
        <w:rPr>
          <w:rStyle w:val="Hyperlink"/>
          <w:i/>
          <w:iCs/>
          <w:color w:val="000000" w:themeColor="text1"/>
          <w:u w:val="none"/>
        </w:rPr>
        <w:t>mens</w:t>
      </w:r>
      <w:proofErr w:type="spellEnd"/>
      <w:r w:rsidRPr="0053075B">
        <w:rPr>
          <w:rStyle w:val="Hyperlink"/>
          <w:i/>
          <w:iCs/>
          <w:color w:val="000000" w:themeColor="text1"/>
          <w:u w:val="none"/>
        </w:rPr>
        <w:t xml:space="preserve"> rea</w:t>
      </w:r>
      <w:r w:rsidR="00737644">
        <w:rPr>
          <w:rStyle w:val="Hyperlink"/>
          <w:i/>
          <w:iCs/>
          <w:color w:val="000000" w:themeColor="text1"/>
          <w:u w:val="none"/>
        </w:rPr>
        <w:fldChar w:fldCharType="end"/>
      </w:r>
      <w:r w:rsidRPr="0053075B">
        <w:rPr>
          <w:color w:val="000000" w:themeColor="text1"/>
        </w:rPr>
        <w:t> component that makes the defendant more culpable for their actions. Whilst </w:t>
      </w:r>
      <w:hyperlink r:id="rId40" w:tooltip="Recklessness (law)" w:history="1">
        <w:r w:rsidRPr="0053075B">
          <w:rPr>
            <w:rStyle w:val="Hyperlink"/>
            <w:color w:val="000000" w:themeColor="text1"/>
            <w:u w:val="none"/>
          </w:rPr>
          <w:t>recklessness</w:t>
        </w:r>
      </w:hyperlink>
      <w:r w:rsidRPr="0053075B">
        <w:rPr>
          <w:color w:val="000000" w:themeColor="text1"/>
        </w:rPr>
        <w:t xml:space="preserve"> is sufficient for most offences against the person – that the defendant foresaw the risk of the proscribed injury occurring without necessarily intending it to happen – this is insufficient for crimes of intent </w:t>
      </w:r>
      <w:r w:rsidRPr="0053075B">
        <w:rPr>
          <w:color w:val="222222"/>
          <w:szCs w:val="20"/>
          <w:shd w:val="clear" w:color="auto" w:fill="FFFFFF"/>
        </w:rPr>
        <w:t>(Jones, et al, 2019)</w:t>
      </w:r>
      <w:r w:rsidRPr="0053075B">
        <w:rPr>
          <w:color w:val="000000" w:themeColor="text1"/>
        </w:rPr>
        <w:t>.</w:t>
      </w:r>
    </w:p>
    <w:p w14:paraId="79A41914" w14:textId="77777777" w:rsidR="002A2CD5" w:rsidRPr="0053075B" w:rsidRDefault="002A2CD5" w:rsidP="002A2CD5">
      <w:pPr>
        <w:pStyle w:val="Heading2"/>
        <w:rPr>
          <w:rFonts w:ascii="Arial" w:hAnsi="Arial" w:cs="Arial"/>
          <w:b/>
          <w:bCs/>
          <w:color w:val="000000" w:themeColor="text1"/>
        </w:rPr>
      </w:pPr>
      <w:bookmarkStart w:id="3" w:name="_Toc108204013"/>
      <w:r w:rsidRPr="0053075B">
        <w:rPr>
          <w:rFonts w:ascii="Arial" w:hAnsi="Arial" w:cs="Arial"/>
          <w:b/>
          <w:bCs/>
          <w:color w:val="000000" w:themeColor="text1"/>
        </w:rPr>
        <w:t>Law Commission</w:t>
      </w:r>
      <w:bookmarkEnd w:id="3"/>
    </w:p>
    <w:p w14:paraId="276306FC" w14:textId="77777777" w:rsidR="002A2CD5" w:rsidRPr="0053075B" w:rsidRDefault="002A2CD5" w:rsidP="005412A7">
      <w:pPr>
        <w:spacing w:line="360" w:lineRule="auto"/>
        <w:ind w:firstLine="0"/>
        <w:rPr>
          <w:rFonts w:cs="Times New Roman"/>
          <w:color w:val="4D4D4D"/>
          <w:szCs w:val="24"/>
          <w:shd w:val="clear" w:color="auto" w:fill="FFFFFF"/>
        </w:rPr>
      </w:pPr>
      <w:r w:rsidRPr="0053075B">
        <w:rPr>
          <w:rFonts w:cs="Times New Roman"/>
          <w:color w:val="4D4D4D"/>
          <w:szCs w:val="24"/>
          <w:shd w:val="clear" w:color="auto" w:fill="FFFFFF"/>
        </w:rPr>
        <w:t>Following a request by the International Law Commission, the General Assembly, in resolution 987 (X) of 3 December 1955, requested the Secretary-General to arrange for publishing an annual publication entitled Yearbook of the International Law Commission, containing the principal documents and summary records relating to each ILC session. It has since been published annually in two volumes in respect of each session.</w:t>
      </w:r>
    </w:p>
    <w:p w14:paraId="1D0FA89F" w14:textId="4203D88E" w:rsidR="002A2CD5" w:rsidRDefault="002A2CD5" w:rsidP="005412A7">
      <w:pPr>
        <w:spacing w:line="360" w:lineRule="auto"/>
        <w:ind w:firstLine="0"/>
        <w:rPr>
          <w:rFonts w:cs="Times New Roman"/>
          <w:color w:val="222222"/>
          <w:szCs w:val="20"/>
          <w:shd w:val="clear" w:color="auto" w:fill="FFFFFF"/>
        </w:rPr>
      </w:pPr>
      <w:r w:rsidRPr="0053075B">
        <w:rPr>
          <w:rFonts w:cs="Times New Roman"/>
          <w:color w:val="4D4D4D"/>
          <w:szCs w:val="24"/>
          <w:shd w:val="clear" w:color="auto" w:fill="FFFFFF"/>
        </w:rPr>
        <w:t xml:space="preserve">The International Law Commission was established in 1947 with a view to carrying out the responsibility of the General Assembly under article 13(1)(a) of the Charter of the United Nations to “initiate studies </w:t>
      </w:r>
      <w:r w:rsidRPr="0053075B">
        <w:rPr>
          <w:rFonts w:cs="Times New Roman"/>
          <w:color w:val="222222"/>
          <w:szCs w:val="20"/>
          <w:shd w:val="clear" w:color="auto" w:fill="FFFFFF"/>
        </w:rPr>
        <w:t>(Mohler, et al, 2018)</w:t>
      </w:r>
      <w:r w:rsidRPr="0053075B">
        <w:rPr>
          <w:rFonts w:cs="Times New Roman"/>
          <w:color w:val="4D4D4D"/>
          <w:szCs w:val="24"/>
          <w:shd w:val="clear" w:color="auto" w:fill="FFFFFF"/>
        </w:rPr>
        <w:t>. The International Law Commission was established in 1947 with a view to carrying out the responsibility of the General Assembly under article 13(1)(a) of the Charter of the United Nations to “initiate studies</w:t>
      </w:r>
      <w:r w:rsidR="001E74AA" w:rsidRPr="0053075B">
        <w:rPr>
          <w:rFonts w:cs="Times New Roman"/>
          <w:color w:val="4D4D4D"/>
          <w:szCs w:val="24"/>
          <w:shd w:val="clear" w:color="auto" w:fill="FFFFFF"/>
        </w:rPr>
        <w:t>.</w:t>
      </w:r>
      <w:r w:rsidR="00042E6B" w:rsidRPr="0053075B">
        <w:rPr>
          <w:rFonts w:cs="Times New Roman"/>
          <w:color w:val="222222"/>
          <w:szCs w:val="20"/>
          <w:shd w:val="clear" w:color="auto" w:fill="FFFFFF"/>
        </w:rPr>
        <w:t xml:space="preserve"> </w:t>
      </w:r>
    </w:p>
    <w:p w14:paraId="2897A1D2" w14:textId="77777777" w:rsidR="00676621" w:rsidRPr="0053075B" w:rsidRDefault="00676621" w:rsidP="005412A7">
      <w:pPr>
        <w:spacing w:line="360" w:lineRule="auto"/>
        <w:ind w:firstLine="0"/>
        <w:rPr>
          <w:rFonts w:cs="Times New Roman"/>
          <w:color w:val="222222"/>
          <w:szCs w:val="20"/>
          <w:shd w:val="clear" w:color="auto" w:fill="FFFFFF"/>
        </w:rPr>
      </w:pPr>
    </w:p>
    <w:p w14:paraId="7CC4A2A4" w14:textId="77777777" w:rsidR="002A2CD5" w:rsidRPr="0053075B" w:rsidRDefault="002A2CD5" w:rsidP="002A2CD5">
      <w:pPr>
        <w:pStyle w:val="Heading2"/>
        <w:rPr>
          <w:rFonts w:ascii="Arial" w:hAnsi="Arial" w:cs="Arial"/>
          <w:b/>
          <w:bCs/>
          <w:color w:val="000000" w:themeColor="text1"/>
        </w:rPr>
      </w:pPr>
      <w:bookmarkStart w:id="4" w:name="_Toc108204014"/>
      <w:r w:rsidRPr="0053075B">
        <w:rPr>
          <w:rFonts w:ascii="Arial" w:hAnsi="Arial" w:cs="Arial"/>
          <w:b/>
          <w:bCs/>
          <w:color w:val="000000" w:themeColor="text1"/>
        </w:rPr>
        <w:t>Recommendations</w:t>
      </w:r>
      <w:bookmarkEnd w:id="4"/>
    </w:p>
    <w:p w14:paraId="44F99716" w14:textId="77777777" w:rsidR="002C0942" w:rsidRDefault="002A2CD5" w:rsidP="002C0942">
      <w:pPr>
        <w:pStyle w:val="NormalWeb"/>
        <w:shd w:val="clear" w:color="auto" w:fill="FFFFFF"/>
        <w:spacing w:before="0" w:beforeAutospacing="0" w:after="240" w:afterAutospacing="0" w:line="360" w:lineRule="auto"/>
        <w:jc w:val="both"/>
        <w:rPr>
          <w:color w:val="252525"/>
        </w:rPr>
      </w:pPr>
      <w:r w:rsidRPr="0053075B">
        <w:rPr>
          <w:color w:val="252525"/>
        </w:rPr>
        <w:t>The </w:t>
      </w:r>
      <w:r w:rsidRPr="0053075B">
        <w:rPr>
          <w:rStyle w:val="Strong"/>
          <w:rFonts w:eastAsiaTheme="majorEastAsia"/>
          <w:color w:val="252525"/>
        </w:rPr>
        <w:t>law school letter of recommendation </w:t>
      </w:r>
      <w:r w:rsidRPr="0053075B">
        <w:rPr>
          <w:color w:val="252525"/>
        </w:rPr>
        <w:t xml:space="preserve">(LOR) is a document used to support a student’s application for law school. It often plays an important role in the outcome of the individual’s acceptance. Although there are a few institutions which don’t put much weight behind the letter of recommendation, </w:t>
      </w:r>
      <w:proofErr w:type="gramStart"/>
      <w:r w:rsidRPr="0053075B">
        <w:rPr>
          <w:color w:val="252525"/>
        </w:rPr>
        <w:t>the majority of</w:t>
      </w:r>
      <w:proofErr w:type="gramEnd"/>
      <w:r w:rsidRPr="0053075B">
        <w:rPr>
          <w:color w:val="252525"/>
        </w:rPr>
        <w:t xml:space="preserve"> universities consider an application incomplete without two attached letters of recommendation.</w:t>
      </w:r>
      <w:r w:rsidR="005412A7">
        <w:rPr>
          <w:color w:val="252525"/>
        </w:rPr>
        <w:t xml:space="preserve"> </w:t>
      </w:r>
      <w:r w:rsidR="002C0942">
        <w:rPr>
          <w:color w:val="252525"/>
        </w:rPr>
        <w:t xml:space="preserve"> </w:t>
      </w:r>
    </w:p>
    <w:p w14:paraId="04D9970C" w14:textId="32641800" w:rsidR="002C0942" w:rsidRDefault="002A2CD5" w:rsidP="002C0942">
      <w:pPr>
        <w:pStyle w:val="NormalWeb"/>
        <w:shd w:val="clear" w:color="auto" w:fill="FFFFFF"/>
        <w:spacing w:before="0" w:beforeAutospacing="0" w:after="240" w:afterAutospacing="0" w:line="360" w:lineRule="auto"/>
        <w:jc w:val="both"/>
        <w:rPr>
          <w:color w:val="252525"/>
        </w:rPr>
      </w:pPr>
      <w:r w:rsidRPr="0053075B">
        <w:rPr>
          <w:color w:val="252525"/>
        </w:rPr>
        <w:t xml:space="preserve">These letters are most effective, if not only effective, when written by a professor or work supervisor who has had direct contact and ideally a </w:t>
      </w:r>
      <w:proofErr w:type="gramStart"/>
      <w:r w:rsidRPr="0053075B">
        <w:rPr>
          <w:color w:val="252525"/>
        </w:rPr>
        <w:t>fairly close</w:t>
      </w:r>
      <w:proofErr w:type="gramEnd"/>
      <w:r w:rsidRPr="0053075B">
        <w:rPr>
          <w:color w:val="252525"/>
        </w:rPr>
        <w:t xml:space="preserve"> relationship with the student. The fundamental purpose of an LOR is to give the law school admissions committee a firm understanding of the applying student’s eligibility, outside of the LSAT score and the student’s GPA. A letter of recommendation should first give confirmation of the student’s academic success and potential, and second provide testimony of any other skills, ambitions, or achievements that are indicative of a successful law student and lawyer.</w:t>
      </w:r>
      <w:r w:rsidR="002C0942">
        <w:rPr>
          <w:color w:val="252525"/>
        </w:rPr>
        <w:t xml:space="preserve"> </w:t>
      </w:r>
    </w:p>
    <w:p w14:paraId="3DF2114A" w14:textId="608FB9D9" w:rsidR="002A2CD5" w:rsidRPr="002C0942" w:rsidRDefault="002A2CD5" w:rsidP="002C0942">
      <w:pPr>
        <w:pStyle w:val="NormalWeb"/>
        <w:shd w:val="clear" w:color="auto" w:fill="FFFFFF"/>
        <w:spacing w:before="0" w:beforeAutospacing="0" w:after="240" w:afterAutospacing="0" w:line="360" w:lineRule="auto"/>
        <w:jc w:val="both"/>
        <w:rPr>
          <w:color w:val="252525"/>
        </w:rPr>
      </w:pPr>
      <w:r w:rsidRPr="0053075B">
        <w:rPr>
          <w:color w:val="252525"/>
          <w:shd w:val="clear" w:color="auto" w:fill="FFFFFF"/>
        </w:rPr>
        <w:t xml:space="preserve">Remember that law school is first and foremost an intellectual pursuit. While there are many ways to recommend someone, the main task of the law school recommendation is to underline the applicant’s likelihood to succeed in school </w:t>
      </w:r>
      <w:r w:rsidRPr="0053075B">
        <w:rPr>
          <w:color w:val="222222"/>
          <w:szCs w:val="20"/>
          <w:shd w:val="clear" w:color="auto" w:fill="FFFFFF"/>
        </w:rPr>
        <w:t>(Drake, 2018)</w:t>
      </w:r>
      <w:r w:rsidRPr="0053075B">
        <w:rPr>
          <w:color w:val="252525"/>
          <w:shd w:val="clear" w:color="auto" w:fill="FFFFFF"/>
        </w:rPr>
        <w:t xml:space="preserve">.  </w:t>
      </w:r>
      <w:r w:rsidRPr="0053075B">
        <w:rPr>
          <w:color w:val="252525"/>
        </w:rPr>
        <w:t>Requirements are set by the law school. In general, schools ask for at least two recommendations, and many offer the option to submit more. But do not assume that sending more letters is necessarily better. Quality trumps quantity. Since this is a blind process, and you may not be able to preview letters before submitting them to schools, make sure that you are confident that your recommenders will provide positive endorsements.</w:t>
      </w:r>
    </w:p>
    <w:p w14:paraId="0A8E0885" w14:textId="77777777" w:rsidR="002A2CD5" w:rsidRPr="0053075B" w:rsidRDefault="002A2CD5" w:rsidP="002A2CD5">
      <w:pPr>
        <w:spacing w:line="360" w:lineRule="auto"/>
        <w:rPr>
          <w:rFonts w:cs="Times New Roman"/>
          <w:szCs w:val="24"/>
        </w:rPr>
      </w:pPr>
    </w:p>
    <w:p w14:paraId="05E9987B" w14:textId="77777777" w:rsidR="002A2CD5" w:rsidRPr="0053075B" w:rsidRDefault="002A2CD5" w:rsidP="002A2CD5">
      <w:pPr>
        <w:spacing w:line="360" w:lineRule="auto"/>
        <w:rPr>
          <w:rFonts w:cs="Times New Roman"/>
          <w:szCs w:val="24"/>
        </w:rPr>
      </w:pPr>
    </w:p>
    <w:bookmarkStart w:id="5" w:name="_Toc108204015" w:displacedByCustomXml="next"/>
    <w:sdt>
      <w:sdtPr>
        <w:rPr>
          <w:rFonts w:ascii="Times New Roman" w:eastAsiaTheme="minorHAnsi" w:hAnsi="Times New Roman" w:cstheme="minorBidi"/>
          <w:b/>
          <w:color w:val="auto"/>
          <w:sz w:val="24"/>
          <w:szCs w:val="22"/>
        </w:rPr>
        <w:id w:val="-1157768071"/>
        <w:docPartObj>
          <w:docPartGallery w:val="Bibliographies"/>
          <w:docPartUnique/>
        </w:docPartObj>
      </w:sdtPr>
      <w:sdtEndPr>
        <w:rPr>
          <w:b w:val="0"/>
        </w:rPr>
      </w:sdtEndPr>
      <w:sdtContent>
        <w:p w14:paraId="6D8B6911" w14:textId="77777777" w:rsidR="002A2CD5" w:rsidRPr="0053075B" w:rsidRDefault="002A2CD5" w:rsidP="002A2CD5">
          <w:pPr>
            <w:pStyle w:val="Heading2"/>
            <w:jc w:val="center"/>
            <w:rPr>
              <w:color w:val="000000" w:themeColor="text1"/>
            </w:rPr>
          </w:pPr>
          <w:r w:rsidRPr="0053075B">
            <w:rPr>
              <w:rFonts w:ascii="Arial" w:hAnsi="Arial" w:cs="Arial"/>
              <w:b/>
              <w:bCs/>
              <w:color w:val="000000" w:themeColor="text1"/>
            </w:rPr>
            <w:t>References</w:t>
          </w:r>
          <w:bookmarkEnd w:id="5"/>
        </w:p>
        <w:sdt>
          <w:sdtPr>
            <w:id w:val="-573587230"/>
            <w:bibliography/>
          </w:sdtPr>
          <w:sdtEndPr/>
          <w:sdtContent>
            <w:p w14:paraId="184AAED5"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 xml:space="preserve">Jones, R.W. and </w:t>
              </w:r>
              <w:proofErr w:type="spellStart"/>
              <w:r w:rsidRPr="0053075B">
                <w:rPr>
                  <w:rFonts w:cs="Times New Roman"/>
                  <w:color w:val="222222"/>
                  <w:szCs w:val="20"/>
                  <w:shd w:val="clear" w:color="auto" w:fill="FFFFFF"/>
                </w:rPr>
                <w:t>Pridemore</w:t>
              </w:r>
              <w:proofErr w:type="spellEnd"/>
              <w:r w:rsidRPr="0053075B">
                <w:rPr>
                  <w:rFonts w:cs="Times New Roman"/>
                  <w:color w:val="222222"/>
                  <w:szCs w:val="20"/>
                  <w:shd w:val="clear" w:color="auto" w:fill="FFFFFF"/>
                </w:rPr>
                <w:t>, W.A., 2019. Toward an integrated multilevel theory of crime at place: Routine activities, social disorganization, and the law of crime concentration. </w:t>
              </w:r>
              <w:r w:rsidRPr="0053075B">
                <w:rPr>
                  <w:rFonts w:cs="Times New Roman"/>
                  <w:i/>
                  <w:iCs/>
                  <w:color w:val="222222"/>
                  <w:szCs w:val="20"/>
                  <w:shd w:val="clear" w:color="auto" w:fill="FFFFFF"/>
                </w:rPr>
                <w:t>Journal of quantitative criminology</w:t>
              </w:r>
              <w:r w:rsidRPr="0053075B">
                <w:rPr>
                  <w:rFonts w:cs="Times New Roman"/>
                  <w:color w:val="222222"/>
                  <w:szCs w:val="20"/>
                  <w:shd w:val="clear" w:color="auto" w:fill="FFFFFF"/>
                </w:rPr>
                <w:t>, </w:t>
              </w:r>
              <w:r w:rsidRPr="0053075B">
                <w:rPr>
                  <w:rFonts w:cs="Times New Roman"/>
                  <w:i/>
                  <w:iCs/>
                  <w:color w:val="222222"/>
                  <w:szCs w:val="20"/>
                  <w:shd w:val="clear" w:color="auto" w:fill="FFFFFF"/>
                </w:rPr>
                <w:t>35</w:t>
              </w:r>
              <w:r w:rsidRPr="0053075B">
                <w:rPr>
                  <w:rFonts w:cs="Times New Roman"/>
                  <w:color w:val="222222"/>
                  <w:szCs w:val="20"/>
                  <w:shd w:val="clear" w:color="auto" w:fill="FFFFFF"/>
                </w:rPr>
                <w:t>(3), pp.543-572.</w:t>
              </w:r>
            </w:p>
            <w:p w14:paraId="0421EC63" w14:textId="77777777" w:rsidR="002A2CD5" w:rsidRPr="0053075B" w:rsidRDefault="002A2CD5" w:rsidP="002A2CD5">
              <w:pPr>
                <w:spacing w:line="360" w:lineRule="auto"/>
                <w:rPr>
                  <w:rFonts w:cs="Times New Roman"/>
                  <w:color w:val="222222"/>
                  <w:szCs w:val="20"/>
                  <w:shd w:val="clear" w:color="auto" w:fill="FFFFFF"/>
                </w:rPr>
              </w:pPr>
              <w:proofErr w:type="spellStart"/>
              <w:r w:rsidRPr="0053075B">
                <w:rPr>
                  <w:rFonts w:cs="Times New Roman"/>
                  <w:color w:val="222222"/>
                  <w:szCs w:val="20"/>
                  <w:shd w:val="clear" w:color="auto" w:fill="FFFFFF"/>
                </w:rPr>
                <w:lastRenderedPageBreak/>
                <w:t>Favarin</w:t>
              </w:r>
              <w:proofErr w:type="spellEnd"/>
              <w:r w:rsidRPr="0053075B">
                <w:rPr>
                  <w:rFonts w:cs="Times New Roman"/>
                  <w:color w:val="222222"/>
                  <w:szCs w:val="20"/>
                  <w:shd w:val="clear" w:color="auto" w:fill="FFFFFF"/>
                </w:rPr>
                <w:t>, S., 2018. This must be the place (to commit a crime). Testing the law of crime concentration in Milan, Italy. </w:t>
              </w:r>
              <w:r w:rsidRPr="0053075B">
                <w:rPr>
                  <w:rFonts w:cs="Times New Roman"/>
                  <w:i/>
                  <w:iCs/>
                  <w:color w:val="222222"/>
                  <w:szCs w:val="20"/>
                  <w:shd w:val="clear" w:color="auto" w:fill="FFFFFF"/>
                </w:rPr>
                <w:t>European Journal of Criminology</w:t>
              </w:r>
              <w:r w:rsidRPr="0053075B">
                <w:rPr>
                  <w:rFonts w:cs="Times New Roman"/>
                  <w:color w:val="222222"/>
                  <w:szCs w:val="20"/>
                  <w:shd w:val="clear" w:color="auto" w:fill="FFFFFF"/>
                </w:rPr>
                <w:t>, </w:t>
              </w:r>
              <w:r w:rsidRPr="0053075B">
                <w:rPr>
                  <w:rFonts w:cs="Times New Roman"/>
                  <w:i/>
                  <w:iCs/>
                  <w:color w:val="222222"/>
                  <w:szCs w:val="20"/>
                  <w:shd w:val="clear" w:color="auto" w:fill="FFFFFF"/>
                </w:rPr>
                <w:t>15</w:t>
              </w:r>
              <w:r w:rsidRPr="0053075B">
                <w:rPr>
                  <w:rFonts w:cs="Times New Roman"/>
                  <w:color w:val="222222"/>
                  <w:szCs w:val="20"/>
                  <w:shd w:val="clear" w:color="auto" w:fill="FFFFFF"/>
                </w:rPr>
                <w:t>(6), pp.702-729.</w:t>
              </w:r>
            </w:p>
            <w:p w14:paraId="24763EA0"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 xml:space="preserve">Mohler, G., </w:t>
              </w:r>
              <w:proofErr w:type="spellStart"/>
              <w:r w:rsidRPr="0053075B">
                <w:rPr>
                  <w:rFonts w:cs="Times New Roman"/>
                  <w:color w:val="222222"/>
                  <w:szCs w:val="20"/>
                  <w:shd w:val="clear" w:color="auto" w:fill="FFFFFF"/>
                </w:rPr>
                <w:t>Brantingham</w:t>
              </w:r>
              <w:proofErr w:type="spellEnd"/>
              <w:r w:rsidRPr="0053075B">
                <w:rPr>
                  <w:rFonts w:cs="Times New Roman"/>
                  <w:color w:val="222222"/>
                  <w:szCs w:val="20"/>
                  <w:shd w:val="clear" w:color="auto" w:fill="FFFFFF"/>
                </w:rPr>
                <w:t>, P.J., Carter, J. and Short, M.B., 2019. Reducing bias in estimates for the law of crime concentration. </w:t>
              </w:r>
              <w:r w:rsidRPr="0053075B">
                <w:rPr>
                  <w:rFonts w:cs="Times New Roman"/>
                  <w:i/>
                  <w:iCs/>
                  <w:color w:val="222222"/>
                  <w:szCs w:val="20"/>
                  <w:shd w:val="clear" w:color="auto" w:fill="FFFFFF"/>
                </w:rPr>
                <w:t>Journal of quantitative criminology</w:t>
              </w:r>
              <w:r w:rsidRPr="0053075B">
                <w:rPr>
                  <w:rFonts w:cs="Times New Roman"/>
                  <w:color w:val="222222"/>
                  <w:szCs w:val="20"/>
                  <w:shd w:val="clear" w:color="auto" w:fill="FFFFFF"/>
                </w:rPr>
                <w:t>, </w:t>
              </w:r>
              <w:r w:rsidRPr="0053075B">
                <w:rPr>
                  <w:rFonts w:cs="Times New Roman"/>
                  <w:i/>
                  <w:iCs/>
                  <w:color w:val="222222"/>
                  <w:szCs w:val="20"/>
                  <w:shd w:val="clear" w:color="auto" w:fill="FFFFFF"/>
                </w:rPr>
                <w:t>35</w:t>
              </w:r>
              <w:r w:rsidRPr="0053075B">
                <w:rPr>
                  <w:rFonts w:cs="Times New Roman"/>
                  <w:color w:val="222222"/>
                  <w:szCs w:val="20"/>
                  <w:shd w:val="clear" w:color="auto" w:fill="FFFFFF"/>
                </w:rPr>
                <w:t>(4), pp.747-765.</w:t>
              </w:r>
            </w:p>
            <w:p w14:paraId="674D3D7D"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 xml:space="preserve">Hardyns, W., </w:t>
              </w:r>
              <w:proofErr w:type="spellStart"/>
              <w:r w:rsidRPr="0053075B">
                <w:rPr>
                  <w:rFonts w:cs="Times New Roman"/>
                  <w:color w:val="222222"/>
                  <w:szCs w:val="20"/>
                  <w:shd w:val="clear" w:color="auto" w:fill="FFFFFF"/>
                </w:rPr>
                <w:t>Snaphaan</w:t>
              </w:r>
              <w:proofErr w:type="spellEnd"/>
              <w:r w:rsidRPr="0053075B">
                <w:rPr>
                  <w:rFonts w:cs="Times New Roman"/>
                  <w:color w:val="222222"/>
                  <w:szCs w:val="20"/>
                  <w:shd w:val="clear" w:color="auto" w:fill="FFFFFF"/>
                </w:rPr>
                <w:t>, T. and Pauwels, L.J., 2019. Crime concentrations and micro places: An empirical test of the “law of crime concentration at places” in Belgium. </w:t>
              </w:r>
              <w:r w:rsidRPr="0053075B">
                <w:rPr>
                  <w:rFonts w:cs="Times New Roman"/>
                  <w:i/>
                  <w:iCs/>
                  <w:color w:val="222222"/>
                  <w:szCs w:val="20"/>
                  <w:shd w:val="clear" w:color="auto" w:fill="FFFFFF"/>
                </w:rPr>
                <w:t>Australian &amp; New Zealand Journal of Criminology</w:t>
              </w:r>
              <w:r w:rsidRPr="0053075B">
                <w:rPr>
                  <w:rFonts w:cs="Times New Roman"/>
                  <w:color w:val="222222"/>
                  <w:szCs w:val="20"/>
                  <w:shd w:val="clear" w:color="auto" w:fill="FFFFFF"/>
                </w:rPr>
                <w:t>, </w:t>
              </w:r>
              <w:r w:rsidRPr="0053075B">
                <w:rPr>
                  <w:rFonts w:cs="Times New Roman"/>
                  <w:i/>
                  <w:iCs/>
                  <w:color w:val="222222"/>
                  <w:szCs w:val="20"/>
                  <w:shd w:val="clear" w:color="auto" w:fill="FFFFFF"/>
                </w:rPr>
                <w:t>52</w:t>
              </w:r>
              <w:r w:rsidRPr="0053075B">
                <w:rPr>
                  <w:rFonts w:cs="Times New Roman"/>
                  <w:color w:val="222222"/>
                  <w:szCs w:val="20"/>
                  <w:shd w:val="clear" w:color="auto" w:fill="FFFFFF"/>
                </w:rPr>
                <w:t>(3), pp.390-410.</w:t>
              </w:r>
            </w:p>
            <w:p w14:paraId="193CDB8D"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 xml:space="preserve">Simmons, B.A., Lloyd, </w:t>
              </w:r>
              <w:proofErr w:type="gramStart"/>
              <w:r w:rsidRPr="0053075B">
                <w:rPr>
                  <w:rFonts w:cs="Times New Roman"/>
                  <w:color w:val="222222"/>
                  <w:szCs w:val="20"/>
                  <w:shd w:val="clear" w:color="auto" w:fill="FFFFFF"/>
                </w:rPr>
                <w:t>P.</w:t>
              </w:r>
              <w:proofErr w:type="gramEnd"/>
              <w:r w:rsidRPr="0053075B">
                <w:rPr>
                  <w:rFonts w:cs="Times New Roman"/>
                  <w:color w:val="222222"/>
                  <w:szCs w:val="20"/>
                  <w:shd w:val="clear" w:color="auto" w:fill="FFFFFF"/>
                </w:rPr>
                <w:t xml:space="preserve"> and Stewart, B.M., 2018. The global diffusion of law: Transnational crime and the case of human trafficking. </w:t>
              </w:r>
              <w:r w:rsidRPr="0053075B">
                <w:rPr>
                  <w:rFonts w:cs="Times New Roman"/>
                  <w:i/>
                  <w:iCs/>
                  <w:color w:val="222222"/>
                  <w:szCs w:val="20"/>
                  <w:shd w:val="clear" w:color="auto" w:fill="FFFFFF"/>
                </w:rPr>
                <w:t>International Organization</w:t>
              </w:r>
              <w:r w:rsidRPr="0053075B">
                <w:rPr>
                  <w:rFonts w:cs="Times New Roman"/>
                  <w:color w:val="222222"/>
                  <w:szCs w:val="20"/>
                  <w:shd w:val="clear" w:color="auto" w:fill="FFFFFF"/>
                </w:rPr>
                <w:t>, </w:t>
              </w:r>
              <w:r w:rsidRPr="0053075B">
                <w:rPr>
                  <w:rFonts w:cs="Times New Roman"/>
                  <w:i/>
                  <w:iCs/>
                  <w:color w:val="222222"/>
                  <w:szCs w:val="20"/>
                  <w:shd w:val="clear" w:color="auto" w:fill="FFFFFF"/>
                </w:rPr>
                <w:t>72</w:t>
              </w:r>
              <w:r w:rsidRPr="0053075B">
                <w:rPr>
                  <w:rFonts w:cs="Times New Roman"/>
                  <w:color w:val="222222"/>
                  <w:szCs w:val="20"/>
                  <w:shd w:val="clear" w:color="auto" w:fill="FFFFFF"/>
                </w:rPr>
                <w:t>(2), pp.249-281.</w:t>
              </w:r>
            </w:p>
            <w:p w14:paraId="4EBF5C5B"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 xml:space="preserve">Mohler, G., </w:t>
              </w:r>
              <w:proofErr w:type="spellStart"/>
              <w:r w:rsidRPr="0053075B">
                <w:rPr>
                  <w:rFonts w:cs="Times New Roman"/>
                  <w:color w:val="222222"/>
                  <w:szCs w:val="20"/>
                  <w:shd w:val="clear" w:color="auto" w:fill="FFFFFF"/>
                </w:rPr>
                <w:t>Brantingham</w:t>
              </w:r>
              <w:proofErr w:type="spellEnd"/>
              <w:r w:rsidRPr="0053075B">
                <w:rPr>
                  <w:rFonts w:cs="Times New Roman"/>
                  <w:color w:val="222222"/>
                  <w:szCs w:val="20"/>
                  <w:shd w:val="clear" w:color="auto" w:fill="FFFFFF"/>
                </w:rPr>
                <w:t>, P.J., Carter, J. and Short, M., 2018. Unbiased estimation of the law of crime concentration. </w:t>
              </w:r>
              <w:r w:rsidRPr="0053075B">
                <w:rPr>
                  <w:rFonts w:cs="Times New Roman"/>
                  <w:i/>
                  <w:iCs/>
                  <w:color w:val="222222"/>
                  <w:szCs w:val="20"/>
                  <w:shd w:val="clear" w:color="auto" w:fill="FFFFFF"/>
                </w:rPr>
                <w:t>Preprint</w:t>
              </w:r>
              <w:r w:rsidRPr="0053075B">
                <w:rPr>
                  <w:rFonts w:cs="Times New Roman"/>
                  <w:color w:val="222222"/>
                  <w:szCs w:val="20"/>
                  <w:shd w:val="clear" w:color="auto" w:fill="FFFFFF"/>
                </w:rPr>
                <w:t>.</w:t>
              </w:r>
            </w:p>
            <w:p w14:paraId="1E46E860"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Law, E.C., II. Crucial International and Interdisciplinary Fields of Interest: EU Criminal Law, Organized Crime, Comparative Studies.</w:t>
              </w:r>
            </w:p>
            <w:p w14:paraId="214D7222"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Drake, Z.M., 2018. </w:t>
              </w:r>
              <w:r w:rsidRPr="0053075B">
                <w:rPr>
                  <w:rFonts w:cs="Times New Roman"/>
                  <w:i/>
                  <w:iCs/>
                  <w:color w:val="222222"/>
                  <w:szCs w:val="20"/>
                  <w:shd w:val="clear" w:color="auto" w:fill="FFFFFF"/>
                </w:rPr>
                <w:t>Crime Concentrations in Atlanta: Testing the Law of Crime Concentration at Place</w:t>
              </w:r>
              <w:r w:rsidRPr="0053075B">
                <w:rPr>
                  <w:rFonts w:cs="Times New Roman"/>
                  <w:color w:val="222222"/>
                  <w:szCs w:val="20"/>
                  <w:shd w:val="clear" w:color="auto" w:fill="FFFFFF"/>
                </w:rPr>
                <w:t> (Doctoral dissertation).</w:t>
              </w:r>
            </w:p>
            <w:p w14:paraId="3320523A" w14:textId="77777777" w:rsidR="002A2CD5" w:rsidRPr="0053075B" w:rsidRDefault="002A2CD5" w:rsidP="002A2CD5">
              <w:pPr>
                <w:spacing w:line="360" w:lineRule="auto"/>
                <w:rPr>
                  <w:rFonts w:cs="Times New Roman"/>
                  <w:color w:val="222222"/>
                  <w:szCs w:val="20"/>
                  <w:shd w:val="clear" w:color="auto" w:fill="FFFFFF"/>
                </w:rPr>
              </w:pPr>
              <w:r w:rsidRPr="0053075B">
                <w:rPr>
                  <w:rFonts w:cs="Times New Roman"/>
                  <w:color w:val="222222"/>
                  <w:szCs w:val="20"/>
                  <w:shd w:val="clear" w:color="auto" w:fill="FFFFFF"/>
                </w:rPr>
                <w:t>Weisburd, D., 2018. Hot spots of crime and place‐based prevention. </w:t>
              </w:r>
              <w:r w:rsidRPr="0053075B">
                <w:rPr>
                  <w:rFonts w:cs="Times New Roman"/>
                  <w:i/>
                  <w:iCs/>
                  <w:color w:val="222222"/>
                  <w:szCs w:val="20"/>
                  <w:shd w:val="clear" w:color="auto" w:fill="FFFFFF"/>
                </w:rPr>
                <w:t>Criminology &amp; Public Policy</w:t>
              </w:r>
              <w:r w:rsidRPr="0053075B">
                <w:rPr>
                  <w:rFonts w:cs="Times New Roman"/>
                  <w:color w:val="222222"/>
                  <w:szCs w:val="20"/>
                  <w:shd w:val="clear" w:color="auto" w:fill="FFFFFF"/>
                </w:rPr>
                <w:t>, </w:t>
              </w:r>
              <w:r w:rsidRPr="0053075B">
                <w:rPr>
                  <w:rFonts w:cs="Times New Roman"/>
                  <w:i/>
                  <w:iCs/>
                  <w:color w:val="222222"/>
                  <w:szCs w:val="20"/>
                  <w:shd w:val="clear" w:color="auto" w:fill="FFFFFF"/>
                </w:rPr>
                <w:t>17</w:t>
              </w:r>
              <w:r w:rsidRPr="0053075B">
                <w:rPr>
                  <w:rFonts w:cs="Times New Roman"/>
                  <w:color w:val="222222"/>
                  <w:szCs w:val="20"/>
                  <w:shd w:val="clear" w:color="auto" w:fill="FFFFFF"/>
                </w:rPr>
                <w:t>(1), pp.5-25.</w:t>
              </w:r>
            </w:p>
            <w:p w14:paraId="79FF46AB" w14:textId="77777777" w:rsidR="002A2CD5" w:rsidRPr="002B3518" w:rsidRDefault="002A2CD5" w:rsidP="002A2CD5">
              <w:pPr>
                <w:spacing w:line="360" w:lineRule="auto"/>
                <w:rPr>
                  <w:rFonts w:cs="Times New Roman"/>
                  <w:sz w:val="32"/>
                  <w:szCs w:val="24"/>
                </w:rPr>
              </w:pPr>
              <w:proofErr w:type="spellStart"/>
              <w:r w:rsidRPr="0053075B">
                <w:rPr>
                  <w:rFonts w:cs="Times New Roman"/>
                  <w:color w:val="222222"/>
                  <w:szCs w:val="20"/>
                  <w:shd w:val="clear" w:color="auto" w:fill="FFFFFF"/>
                </w:rPr>
                <w:t>Serbanescu</w:t>
              </w:r>
              <w:proofErr w:type="spellEnd"/>
              <w:r w:rsidRPr="0053075B">
                <w:rPr>
                  <w:rFonts w:cs="Times New Roman"/>
                  <w:color w:val="222222"/>
                  <w:szCs w:val="20"/>
                  <w:shd w:val="clear" w:color="auto" w:fill="FFFFFF"/>
                </w:rPr>
                <w:t>, R., 2019. The Means of Public Institutions to Protect the Subjects of Law against Crime. </w:t>
              </w:r>
              <w:r w:rsidRPr="0053075B">
                <w:rPr>
                  <w:rFonts w:cs="Times New Roman"/>
                  <w:i/>
                  <w:iCs/>
                  <w:color w:val="222222"/>
                  <w:szCs w:val="20"/>
                  <w:shd w:val="clear" w:color="auto" w:fill="FFFFFF"/>
                </w:rPr>
                <w:t xml:space="preserve">AGORA Int'l J. </w:t>
              </w:r>
              <w:proofErr w:type="spellStart"/>
              <w:r w:rsidRPr="0053075B">
                <w:rPr>
                  <w:rFonts w:cs="Times New Roman"/>
                  <w:i/>
                  <w:iCs/>
                  <w:color w:val="222222"/>
                  <w:szCs w:val="20"/>
                  <w:shd w:val="clear" w:color="auto" w:fill="FFFFFF"/>
                </w:rPr>
                <w:t>Jurid</w:t>
              </w:r>
              <w:proofErr w:type="spellEnd"/>
              <w:r w:rsidRPr="0053075B">
                <w:rPr>
                  <w:rFonts w:cs="Times New Roman"/>
                  <w:i/>
                  <w:iCs/>
                  <w:color w:val="222222"/>
                  <w:szCs w:val="20"/>
                  <w:shd w:val="clear" w:color="auto" w:fill="FFFFFF"/>
                </w:rPr>
                <w:t>. Sci.</w:t>
              </w:r>
              <w:r w:rsidRPr="0053075B">
                <w:rPr>
                  <w:rFonts w:cs="Times New Roman"/>
                  <w:color w:val="222222"/>
                  <w:szCs w:val="20"/>
                  <w:shd w:val="clear" w:color="auto" w:fill="FFFFFF"/>
                </w:rPr>
                <w:t>, p.95.</w:t>
              </w:r>
            </w:p>
          </w:sdtContent>
        </w:sdt>
      </w:sdtContent>
    </w:sdt>
    <w:p w14:paraId="514718E3" w14:textId="77777777" w:rsidR="002A2CD5" w:rsidRPr="002B3518" w:rsidRDefault="002A2CD5" w:rsidP="002A2CD5">
      <w:pPr>
        <w:spacing w:line="360" w:lineRule="auto"/>
        <w:rPr>
          <w:rFonts w:cs="Times New Roman"/>
          <w:szCs w:val="24"/>
        </w:rPr>
      </w:pPr>
    </w:p>
    <w:p w14:paraId="2F92A597" w14:textId="77777777" w:rsidR="002A2CD5" w:rsidRPr="002B3518" w:rsidRDefault="002A2CD5" w:rsidP="002A2CD5">
      <w:pPr>
        <w:spacing w:line="360" w:lineRule="auto"/>
        <w:rPr>
          <w:rFonts w:cs="Times New Roman"/>
          <w:szCs w:val="24"/>
        </w:rPr>
      </w:pPr>
    </w:p>
    <w:p w14:paraId="75920624" w14:textId="11C450DA" w:rsidR="003A2518" w:rsidRDefault="003A2518">
      <w:pPr>
        <w:spacing w:before="0" w:after="160" w:line="259" w:lineRule="auto"/>
        <w:ind w:firstLine="0"/>
        <w:jc w:val="left"/>
        <w:rPr>
          <w:b/>
          <w:bCs/>
          <w:noProof/>
        </w:rPr>
      </w:pPr>
    </w:p>
    <w:p w14:paraId="26BF5FB4" w14:textId="77777777" w:rsidR="00ED6A9E" w:rsidRDefault="00ED6A9E" w:rsidP="003A2518"/>
    <w:sectPr w:rsidR="00ED6A9E" w:rsidSect="002C09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518"/>
    <w:rsid w:val="00042E6B"/>
    <w:rsid w:val="001E74AA"/>
    <w:rsid w:val="002A2CD5"/>
    <w:rsid w:val="002C0942"/>
    <w:rsid w:val="003A2518"/>
    <w:rsid w:val="0053075B"/>
    <w:rsid w:val="005412A7"/>
    <w:rsid w:val="005F21D5"/>
    <w:rsid w:val="00676621"/>
    <w:rsid w:val="00737644"/>
    <w:rsid w:val="00D24270"/>
    <w:rsid w:val="00ED6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8758B"/>
  <w15:chartTrackingRefBased/>
  <w15:docId w15:val="{B9ACA4C2-9145-44F2-92C9-F6A4E974B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518"/>
    <w:pPr>
      <w:spacing w:before="120" w:after="120" w:line="480" w:lineRule="auto"/>
      <w:ind w:firstLine="720"/>
      <w:jc w:val="both"/>
    </w:pPr>
    <w:rPr>
      <w:rFonts w:ascii="Times New Roman" w:hAnsi="Times New Roman"/>
      <w:sz w:val="24"/>
      <w:lang w:val="en-US"/>
    </w:rPr>
  </w:style>
  <w:style w:type="paragraph" w:styleId="Heading1">
    <w:name w:val="heading 1"/>
    <w:basedOn w:val="Normal"/>
    <w:next w:val="Normal"/>
    <w:link w:val="Heading1Char"/>
    <w:uiPriority w:val="9"/>
    <w:qFormat/>
    <w:rsid w:val="003A25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A2C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518"/>
    <w:rPr>
      <w:color w:val="0000FF"/>
      <w:u w:val="single"/>
    </w:rPr>
  </w:style>
  <w:style w:type="paragraph" w:styleId="TOC2">
    <w:name w:val="toc 2"/>
    <w:basedOn w:val="Normal"/>
    <w:next w:val="Normal"/>
    <w:autoRedefine/>
    <w:uiPriority w:val="39"/>
    <w:unhideWhenUsed/>
    <w:rsid w:val="00D24270"/>
    <w:pPr>
      <w:tabs>
        <w:tab w:val="right" w:leader="dot" w:pos="9350"/>
      </w:tabs>
      <w:spacing w:after="100"/>
      <w:ind w:left="240"/>
    </w:pPr>
    <w:rPr>
      <w:noProof/>
      <w:color w:val="000000" w:themeColor="text1"/>
    </w:rPr>
  </w:style>
  <w:style w:type="character" w:customStyle="1" w:styleId="Heading1Char">
    <w:name w:val="Heading 1 Char"/>
    <w:basedOn w:val="DefaultParagraphFont"/>
    <w:link w:val="Heading1"/>
    <w:uiPriority w:val="9"/>
    <w:rsid w:val="003A2518"/>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3A2518"/>
    <w:pPr>
      <w:outlineLvl w:val="9"/>
    </w:pPr>
  </w:style>
  <w:style w:type="character" w:customStyle="1" w:styleId="Heading2Char">
    <w:name w:val="Heading 2 Char"/>
    <w:basedOn w:val="DefaultParagraphFont"/>
    <w:link w:val="Heading2"/>
    <w:uiPriority w:val="9"/>
    <w:semiHidden/>
    <w:rsid w:val="002A2CD5"/>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unhideWhenUsed/>
    <w:rsid w:val="002A2CD5"/>
    <w:pPr>
      <w:spacing w:before="100" w:beforeAutospacing="1" w:after="100" w:afterAutospacing="1" w:line="240" w:lineRule="auto"/>
      <w:ind w:firstLine="0"/>
      <w:jc w:val="left"/>
    </w:pPr>
    <w:rPr>
      <w:rFonts w:eastAsia="Times New Roman" w:cs="Times New Roman"/>
      <w:szCs w:val="24"/>
    </w:rPr>
  </w:style>
  <w:style w:type="character" w:styleId="Strong">
    <w:name w:val="Strong"/>
    <w:basedOn w:val="DefaultParagraphFont"/>
    <w:uiPriority w:val="22"/>
    <w:qFormat/>
    <w:rsid w:val="002A2CD5"/>
    <w:rPr>
      <w:b/>
      <w:bCs/>
    </w:rPr>
  </w:style>
  <w:style w:type="paragraph" w:styleId="NoSpacing">
    <w:name w:val="No Spacing"/>
    <w:link w:val="NoSpacingChar"/>
    <w:uiPriority w:val="1"/>
    <w:qFormat/>
    <w:rsid w:val="002C09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094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England_and_Wales" TargetMode="External"/><Relationship Id="rId18" Type="http://schemas.openxmlformats.org/officeDocument/2006/relationships/hyperlink" Target="https://en.wikipedia.org/wiki/England_and_Wales" TargetMode="External"/><Relationship Id="rId26" Type="http://schemas.openxmlformats.org/officeDocument/2006/relationships/hyperlink" Target="https://en.wikipedia.org/wiki/Max_Weber" TargetMode="External"/><Relationship Id="rId39" Type="http://schemas.openxmlformats.org/officeDocument/2006/relationships/hyperlink" Target="https://en.wikipedia.org/wiki/Assault_occasioning_actual_bodily_harm" TargetMode="External"/><Relationship Id="rId21" Type="http://schemas.openxmlformats.org/officeDocument/2006/relationships/hyperlink" Target="https://en.wikipedia.org/wiki/Roberto_Mangabeira_Unger" TargetMode="External"/><Relationship Id="rId34" Type="http://schemas.openxmlformats.org/officeDocument/2006/relationships/hyperlink" Target="https://en.wikipedia.org/wiki/Sexual_offences_in_the_United_Kingdom" TargetMode="External"/><Relationship Id="rId42" Type="http://schemas.openxmlformats.org/officeDocument/2006/relationships/theme" Target="theme/theme1.xml"/><Relationship Id="rId7" Type="http://schemas.openxmlformats.org/officeDocument/2006/relationships/hyperlink" Target="https://en.wikipedia.org/wiki/Parliament_of_the_United_Kingdom" TargetMode="External"/><Relationship Id="rId2" Type="http://schemas.openxmlformats.org/officeDocument/2006/relationships/settings" Target="settings.xml"/><Relationship Id="rId16" Type="http://schemas.openxmlformats.org/officeDocument/2006/relationships/hyperlink" Target="https://en.wikipedia.org/wiki/Northern_Ireland_(Executive_Formation_etc)_Act_2019" TargetMode="External"/><Relationship Id="rId20" Type="http://schemas.openxmlformats.org/officeDocument/2006/relationships/hyperlink" Target="https://en.wikipedia.org/wiki/Republic_of_Ireland" TargetMode="External"/><Relationship Id="rId29" Type="http://schemas.openxmlformats.org/officeDocument/2006/relationships/hyperlink" Target="https://en.wikipedia.org/wiki/Karl_Marx"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n.wikipedia.org/wiki/Act_of_Parliament" TargetMode="External"/><Relationship Id="rId11" Type="http://schemas.openxmlformats.org/officeDocument/2006/relationships/hyperlink" Target="https://en.wikipedia.org/wiki/Criminal_Law_Consolidation_Acts_1861" TargetMode="External"/><Relationship Id="rId24" Type="http://schemas.openxmlformats.org/officeDocument/2006/relationships/hyperlink" Target="https://en.wikipedia.org/wiki/Karl_Marx" TargetMode="External"/><Relationship Id="rId32" Type="http://schemas.openxmlformats.org/officeDocument/2006/relationships/hyperlink" Target="https://en.wikipedia.org/wiki/English_law" TargetMode="External"/><Relationship Id="rId37" Type="http://schemas.openxmlformats.org/officeDocument/2006/relationships/hyperlink" Target="https://en.wikipedia.org/wiki/Battery_(crime)" TargetMode="External"/><Relationship Id="rId40" Type="http://schemas.openxmlformats.org/officeDocument/2006/relationships/hyperlink" Target="https://en.wikipedia.org/wiki/Recklessness_(law)" TargetMode="External"/><Relationship Id="rId5" Type="http://schemas.openxmlformats.org/officeDocument/2006/relationships/image" Target="media/image2.png"/><Relationship Id="rId15" Type="http://schemas.openxmlformats.org/officeDocument/2006/relationships/hyperlink" Target="https://en.wikipedia.org/wiki/Sexual_Offences_(Northern_Ireland)_Order_2008" TargetMode="External"/><Relationship Id="rId23" Type="http://schemas.openxmlformats.org/officeDocument/2006/relationships/hyperlink" Target="https://en.wikipedia.org/wiki/Social_theory" TargetMode="External"/><Relationship Id="rId28" Type="http://schemas.openxmlformats.org/officeDocument/2006/relationships/hyperlink" Target="https://en.wikipedia.org/wiki/Montesquieu" TargetMode="External"/><Relationship Id="rId36" Type="http://schemas.openxmlformats.org/officeDocument/2006/relationships/hyperlink" Target="https://en.wikipedia.org/wiki/Offences_against_the_person" TargetMode="External"/><Relationship Id="rId10" Type="http://schemas.openxmlformats.org/officeDocument/2006/relationships/hyperlink" Target="https://en.wikipedia.org/wiki/Statutes" TargetMode="External"/><Relationship Id="rId19" Type="http://schemas.openxmlformats.org/officeDocument/2006/relationships/hyperlink" Target="https://en.wikipedia.org/wiki/Northern_Ireland" TargetMode="External"/><Relationship Id="rId31" Type="http://schemas.openxmlformats.org/officeDocument/2006/relationships/hyperlink" Target="https://en.wikipedia.org/wiki/Max_Weber" TargetMode="External"/><Relationship Id="rId4" Type="http://schemas.openxmlformats.org/officeDocument/2006/relationships/image" Target="media/image1.png"/><Relationship Id="rId9" Type="http://schemas.openxmlformats.org/officeDocument/2006/relationships/hyperlink" Target="https://en.wikipedia.org/wiki/Offences_against_the_person" TargetMode="External"/><Relationship Id="rId14" Type="http://schemas.openxmlformats.org/officeDocument/2006/relationships/hyperlink" Target="https://en.wikipedia.org/wiki/Sexual_Offences_Act_2003" TargetMode="External"/><Relationship Id="rId22" Type="http://schemas.openxmlformats.org/officeDocument/2006/relationships/hyperlink" Target="https://en.wikipedia.org/wiki/Rule_of_law" TargetMode="External"/><Relationship Id="rId27" Type="http://schemas.openxmlformats.org/officeDocument/2006/relationships/hyperlink" Target="https://en.wikipedia.org/wiki/Fact-value_distinction" TargetMode="External"/><Relationship Id="rId30" Type="http://schemas.openxmlformats.org/officeDocument/2006/relationships/hyperlink" Target="https://en.wikipedia.org/wiki/%C3%89mile_Durkheim" TargetMode="External"/><Relationship Id="rId35" Type="http://schemas.openxmlformats.org/officeDocument/2006/relationships/hyperlink" Target="https://en.wikipedia.org/wiki/Offences_against_the_Person_Act_1861" TargetMode="External"/><Relationship Id="rId8" Type="http://schemas.openxmlformats.org/officeDocument/2006/relationships/hyperlink" Target="https://en.wikipedia.org/wiki/United_Kingdom_of_Great_Britain_and_Ireland" TargetMode="External"/><Relationship Id="rId3" Type="http://schemas.openxmlformats.org/officeDocument/2006/relationships/webSettings" Target="webSettings.xml"/><Relationship Id="rId12" Type="http://schemas.openxmlformats.org/officeDocument/2006/relationships/hyperlink" Target="https://en.wikipedia.org/wiki/Offences_Against_the_Person_Act_1828" TargetMode="External"/><Relationship Id="rId17" Type="http://schemas.openxmlformats.org/officeDocument/2006/relationships/hyperlink" Target="https://en.wikipedia.org/wiki/Fenian" TargetMode="External"/><Relationship Id="rId25" Type="http://schemas.openxmlformats.org/officeDocument/2006/relationships/hyperlink" Target="https://en.wikipedia.org/wiki/%C3%89mile_Durkheim" TargetMode="External"/><Relationship Id="rId33" Type="http://schemas.openxmlformats.org/officeDocument/2006/relationships/hyperlink" Target="https://en.wikipedia.org/wiki/Homicide_in_English_law" TargetMode="External"/><Relationship Id="rId38" Type="http://schemas.openxmlformats.org/officeDocument/2006/relationships/hyperlink" Target="https://en.wikipedia.org/wiki/Ass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7</Pages>
  <Words>2186</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BMPL4009</dc:title>
  <dc:subject>REFORM OF NON-FATAL OFFENCES AGAINST THE PERSON.</dc:subject>
  <dc:creator>COMPLETED BY NAZIM AMIN:</dc:creator>
  <cp:keywords/>
  <dc:description/>
  <cp:lastModifiedBy>na5imamin1@outlook.com</cp:lastModifiedBy>
  <cp:revision>2</cp:revision>
  <dcterms:created xsi:type="dcterms:W3CDTF">2022-07-18T11:51:00Z</dcterms:created>
  <dcterms:modified xsi:type="dcterms:W3CDTF">2022-07-18T13:00:00Z</dcterms:modified>
</cp:coreProperties>
</file>