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928DFB5" w:rsidR="00ED5964" w:rsidRPr="00474DBD" w:rsidRDefault="00ED5964" w:rsidP="00ED5964">
      <w:pPr>
        <w:jc w:val="both"/>
        <w:rPr>
          <w:rFonts w:asciiTheme="minorBidi" w:hAnsiTheme="minorBidi"/>
          <w:sz w:val="28"/>
          <w:szCs w:val="28"/>
        </w:rPr>
      </w:pPr>
      <w:r>
        <w:rPr>
          <w:rFonts w:asciiTheme="minorBidi" w:hAnsiTheme="minorBidi"/>
          <w:sz w:val="28"/>
          <w:szCs w:val="28"/>
        </w:rPr>
        <w:t xml:space="preserve">Name: </w:t>
      </w:r>
      <w:r w:rsidR="00474DBD" w:rsidRPr="00474DBD">
        <w:rPr>
          <w:rFonts w:asciiTheme="minorBidi" w:hAnsiTheme="minorBidi"/>
          <w:sz w:val="28"/>
          <w:szCs w:val="28"/>
        </w:rPr>
        <w:t>Kateryna Churaieva</w:t>
      </w:r>
    </w:p>
    <w:p w14:paraId="485B6F49" w14:textId="19A52AA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474DBD">
        <w:rPr>
          <w:rFonts w:asciiTheme="minorBidi" w:hAnsiTheme="minorBidi"/>
          <w:sz w:val="28"/>
          <w:szCs w:val="28"/>
        </w:rPr>
        <w:t>2532697</w:t>
      </w:r>
    </w:p>
    <w:p w14:paraId="3C1E7A20" w14:textId="5C77ACA0"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474DBD" w:rsidRPr="00474DBD">
        <w:rPr>
          <w:rFonts w:asciiTheme="minorBidi" w:hAnsiTheme="minorBidi"/>
          <w:sz w:val="28"/>
          <w:szCs w:val="28"/>
        </w:rPr>
        <w:t>LCHS4001</w:t>
      </w:r>
    </w:p>
    <w:p w14:paraId="4EEB2DA3" w14:textId="2AC788FB"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474DBD" w:rsidRPr="00474DBD">
        <w:rPr>
          <w:rFonts w:asciiTheme="minorBidi" w:hAnsiTheme="minorBidi"/>
          <w:sz w:val="28"/>
          <w:szCs w:val="28"/>
        </w:rPr>
        <w:t>Academic and Employability skills</w:t>
      </w:r>
    </w:p>
    <w:p w14:paraId="112342CB" w14:textId="1E0EA395"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E37D3D" w:rsidRPr="00E37D3D">
        <w:rPr>
          <w:rFonts w:asciiTheme="minorBidi" w:hAnsiTheme="minorBidi"/>
          <w:sz w:val="28"/>
          <w:szCs w:val="28"/>
        </w:rPr>
        <w:t>Natalia Dozie</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072CF42D"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4B1D89">
        <w:rPr>
          <w:rFonts w:asciiTheme="minorBidi" w:hAnsiTheme="minorBidi"/>
          <w:sz w:val="28"/>
          <w:szCs w:val="28"/>
        </w:rPr>
        <w:t>1</w:t>
      </w:r>
      <w:r w:rsidR="003E6A21">
        <w:rPr>
          <w:rFonts w:asciiTheme="minorBidi" w:hAnsiTheme="minorBidi"/>
          <w:sz w:val="28"/>
          <w:szCs w:val="28"/>
        </w:rPr>
        <w:t>9</w:t>
      </w:r>
      <w:r w:rsidR="004B1D89">
        <w:rPr>
          <w:rFonts w:asciiTheme="minorBidi" w:hAnsiTheme="minorBidi"/>
          <w:sz w:val="28"/>
          <w:szCs w:val="28"/>
        </w:rPr>
        <w:t>/04/2026</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1785C6BD" w14:textId="1910CC67" w:rsidR="00273F97" w:rsidRDefault="0156E134">
          <w:pPr>
            <w:pStyle w:val="TOC2"/>
            <w:tabs>
              <w:tab w:val="left" w:pos="880"/>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26802395" w:history="1">
            <w:r w:rsidR="00273F97" w:rsidRPr="006C37C9">
              <w:rPr>
                <w:rStyle w:val="Hyperlink"/>
                <w:noProof/>
              </w:rPr>
              <w:t>1.1</w:t>
            </w:r>
            <w:r w:rsidR="00273F97">
              <w:rPr>
                <w:rFonts w:asciiTheme="minorHAnsi" w:hAnsiTheme="minorHAnsi" w:cstheme="minorBidi"/>
                <w:b w:val="0"/>
                <w:bCs w:val="0"/>
                <w:noProof/>
                <w:sz w:val="24"/>
                <w:szCs w:val="24"/>
                <w:lang w:eastAsia="en-GB"/>
              </w:rPr>
              <w:tab/>
            </w:r>
            <w:r w:rsidR="00273F97" w:rsidRPr="006C37C9">
              <w:rPr>
                <w:rStyle w:val="Hyperlink"/>
                <w:noProof/>
              </w:rPr>
              <w:t>Introduction</w:t>
            </w:r>
            <w:r w:rsidR="00273F97">
              <w:rPr>
                <w:noProof/>
                <w:webHidden/>
              </w:rPr>
              <w:tab/>
            </w:r>
            <w:r w:rsidR="00273F97">
              <w:rPr>
                <w:noProof/>
                <w:webHidden/>
              </w:rPr>
              <w:fldChar w:fldCharType="begin"/>
            </w:r>
            <w:r w:rsidR="00273F97">
              <w:rPr>
                <w:noProof/>
                <w:webHidden/>
              </w:rPr>
              <w:instrText xml:space="preserve"> PAGEREF _Toc226802395 \h </w:instrText>
            </w:r>
            <w:r w:rsidR="00273F97">
              <w:rPr>
                <w:noProof/>
                <w:webHidden/>
              </w:rPr>
            </w:r>
            <w:r w:rsidR="00273F97">
              <w:rPr>
                <w:noProof/>
                <w:webHidden/>
              </w:rPr>
              <w:fldChar w:fldCharType="separate"/>
            </w:r>
            <w:r w:rsidR="00273F97">
              <w:rPr>
                <w:noProof/>
                <w:webHidden/>
              </w:rPr>
              <w:t>3</w:t>
            </w:r>
            <w:r w:rsidR="00273F97">
              <w:rPr>
                <w:noProof/>
                <w:webHidden/>
              </w:rPr>
              <w:fldChar w:fldCharType="end"/>
            </w:r>
          </w:hyperlink>
        </w:p>
        <w:p w14:paraId="0226011A" w14:textId="6DC92020" w:rsidR="00273F97" w:rsidRDefault="00273F97">
          <w:pPr>
            <w:pStyle w:val="TOC2"/>
            <w:tabs>
              <w:tab w:val="right" w:leader="dot" w:pos="9016"/>
            </w:tabs>
            <w:rPr>
              <w:rFonts w:asciiTheme="minorHAnsi" w:hAnsiTheme="minorHAnsi" w:cstheme="minorBidi"/>
              <w:b w:val="0"/>
              <w:bCs w:val="0"/>
              <w:noProof/>
              <w:sz w:val="24"/>
              <w:szCs w:val="24"/>
              <w:lang w:eastAsia="en-GB"/>
            </w:rPr>
          </w:pPr>
          <w:hyperlink w:anchor="_Toc226802396" w:history="1">
            <w:r w:rsidRPr="006C37C9">
              <w:rPr>
                <w:rStyle w:val="Hyperlink"/>
                <w:noProof/>
              </w:rPr>
              <w:t>2 Social Worker in the Health and Social Care Field</w:t>
            </w:r>
            <w:r>
              <w:rPr>
                <w:noProof/>
                <w:webHidden/>
              </w:rPr>
              <w:tab/>
            </w:r>
            <w:r>
              <w:rPr>
                <w:noProof/>
                <w:webHidden/>
              </w:rPr>
              <w:fldChar w:fldCharType="begin"/>
            </w:r>
            <w:r>
              <w:rPr>
                <w:noProof/>
                <w:webHidden/>
              </w:rPr>
              <w:instrText xml:space="preserve"> PAGEREF _Toc226802396 \h </w:instrText>
            </w:r>
            <w:r>
              <w:rPr>
                <w:noProof/>
                <w:webHidden/>
              </w:rPr>
            </w:r>
            <w:r>
              <w:rPr>
                <w:noProof/>
                <w:webHidden/>
              </w:rPr>
              <w:fldChar w:fldCharType="separate"/>
            </w:r>
            <w:r>
              <w:rPr>
                <w:noProof/>
                <w:webHidden/>
              </w:rPr>
              <w:t>3</w:t>
            </w:r>
            <w:r>
              <w:rPr>
                <w:noProof/>
                <w:webHidden/>
              </w:rPr>
              <w:fldChar w:fldCharType="end"/>
            </w:r>
          </w:hyperlink>
        </w:p>
        <w:p w14:paraId="0704FE04" w14:textId="1F6D0DF2" w:rsidR="00273F97" w:rsidRDefault="00273F97">
          <w:pPr>
            <w:pStyle w:val="TOC2"/>
            <w:tabs>
              <w:tab w:val="right" w:leader="dot" w:pos="9016"/>
            </w:tabs>
            <w:rPr>
              <w:rFonts w:asciiTheme="minorHAnsi" w:hAnsiTheme="minorHAnsi" w:cstheme="minorBidi"/>
              <w:b w:val="0"/>
              <w:bCs w:val="0"/>
              <w:noProof/>
              <w:sz w:val="24"/>
              <w:szCs w:val="24"/>
              <w:lang w:eastAsia="en-GB"/>
            </w:rPr>
          </w:pPr>
          <w:hyperlink w:anchor="_Toc226802397" w:history="1">
            <w:r w:rsidRPr="006C37C9">
              <w:rPr>
                <w:rStyle w:val="Hyperlink"/>
                <w:noProof/>
              </w:rPr>
              <w:t>2.1 Description of Social Worker in Health and Social Care</w:t>
            </w:r>
            <w:r>
              <w:rPr>
                <w:noProof/>
                <w:webHidden/>
              </w:rPr>
              <w:tab/>
            </w:r>
            <w:r>
              <w:rPr>
                <w:noProof/>
                <w:webHidden/>
              </w:rPr>
              <w:fldChar w:fldCharType="begin"/>
            </w:r>
            <w:r>
              <w:rPr>
                <w:noProof/>
                <w:webHidden/>
              </w:rPr>
              <w:instrText xml:space="preserve"> PAGEREF _Toc226802397 \h </w:instrText>
            </w:r>
            <w:r>
              <w:rPr>
                <w:noProof/>
                <w:webHidden/>
              </w:rPr>
            </w:r>
            <w:r>
              <w:rPr>
                <w:noProof/>
                <w:webHidden/>
              </w:rPr>
              <w:fldChar w:fldCharType="separate"/>
            </w:r>
            <w:r>
              <w:rPr>
                <w:noProof/>
                <w:webHidden/>
              </w:rPr>
              <w:t>3</w:t>
            </w:r>
            <w:r>
              <w:rPr>
                <w:noProof/>
                <w:webHidden/>
              </w:rPr>
              <w:fldChar w:fldCharType="end"/>
            </w:r>
          </w:hyperlink>
        </w:p>
        <w:p w14:paraId="6591A270" w14:textId="26E6AE8A" w:rsidR="00273F97" w:rsidRDefault="00273F97">
          <w:pPr>
            <w:pStyle w:val="TOC2"/>
            <w:tabs>
              <w:tab w:val="right" w:leader="dot" w:pos="9016"/>
            </w:tabs>
            <w:rPr>
              <w:rFonts w:asciiTheme="minorHAnsi" w:hAnsiTheme="minorHAnsi" w:cstheme="minorBidi"/>
              <w:b w:val="0"/>
              <w:bCs w:val="0"/>
              <w:noProof/>
              <w:sz w:val="24"/>
              <w:szCs w:val="24"/>
              <w:lang w:eastAsia="en-GB"/>
            </w:rPr>
          </w:pPr>
          <w:hyperlink w:anchor="_Toc226802398" w:history="1">
            <w:r w:rsidRPr="006C37C9">
              <w:rPr>
                <w:rStyle w:val="Hyperlink"/>
                <w:noProof/>
              </w:rPr>
              <w:t>2.2 Explanation of Most Significant Skills Needed for Social Worker in Health and Social Care</w:t>
            </w:r>
            <w:r>
              <w:rPr>
                <w:noProof/>
                <w:webHidden/>
              </w:rPr>
              <w:tab/>
            </w:r>
            <w:r>
              <w:rPr>
                <w:noProof/>
                <w:webHidden/>
              </w:rPr>
              <w:fldChar w:fldCharType="begin"/>
            </w:r>
            <w:r>
              <w:rPr>
                <w:noProof/>
                <w:webHidden/>
              </w:rPr>
              <w:instrText xml:space="preserve"> PAGEREF _Toc226802398 \h </w:instrText>
            </w:r>
            <w:r>
              <w:rPr>
                <w:noProof/>
                <w:webHidden/>
              </w:rPr>
            </w:r>
            <w:r>
              <w:rPr>
                <w:noProof/>
                <w:webHidden/>
              </w:rPr>
              <w:fldChar w:fldCharType="separate"/>
            </w:r>
            <w:r>
              <w:rPr>
                <w:noProof/>
                <w:webHidden/>
              </w:rPr>
              <w:t>4</w:t>
            </w:r>
            <w:r>
              <w:rPr>
                <w:noProof/>
                <w:webHidden/>
              </w:rPr>
              <w:fldChar w:fldCharType="end"/>
            </w:r>
          </w:hyperlink>
        </w:p>
        <w:p w14:paraId="1F11A25C" w14:textId="197DC7F9" w:rsidR="00273F97" w:rsidRDefault="00273F97">
          <w:pPr>
            <w:pStyle w:val="TOC2"/>
            <w:tabs>
              <w:tab w:val="right" w:leader="dot" w:pos="9016"/>
            </w:tabs>
            <w:rPr>
              <w:rFonts w:asciiTheme="minorHAnsi" w:hAnsiTheme="minorHAnsi" w:cstheme="minorBidi"/>
              <w:b w:val="0"/>
              <w:bCs w:val="0"/>
              <w:noProof/>
              <w:sz w:val="24"/>
              <w:szCs w:val="24"/>
              <w:lang w:eastAsia="en-GB"/>
            </w:rPr>
          </w:pPr>
          <w:hyperlink w:anchor="_Toc226802399" w:history="1">
            <w:r w:rsidRPr="006C37C9">
              <w:rPr>
                <w:rStyle w:val="Hyperlink"/>
                <w:noProof/>
              </w:rPr>
              <w:t>3 Strategies for Skill Improvement for Social Worker</w:t>
            </w:r>
            <w:r>
              <w:rPr>
                <w:noProof/>
                <w:webHidden/>
              </w:rPr>
              <w:tab/>
            </w:r>
            <w:r>
              <w:rPr>
                <w:noProof/>
                <w:webHidden/>
              </w:rPr>
              <w:fldChar w:fldCharType="begin"/>
            </w:r>
            <w:r>
              <w:rPr>
                <w:noProof/>
                <w:webHidden/>
              </w:rPr>
              <w:instrText xml:space="preserve"> PAGEREF _Toc226802399 \h </w:instrText>
            </w:r>
            <w:r>
              <w:rPr>
                <w:noProof/>
                <w:webHidden/>
              </w:rPr>
            </w:r>
            <w:r>
              <w:rPr>
                <w:noProof/>
                <w:webHidden/>
              </w:rPr>
              <w:fldChar w:fldCharType="separate"/>
            </w:r>
            <w:r>
              <w:rPr>
                <w:noProof/>
                <w:webHidden/>
              </w:rPr>
              <w:t>5</w:t>
            </w:r>
            <w:r>
              <w:rPr>
                <w:noProof/>
                <w:webHidden/>
              </w:rPr>
              <w:fldChar w:fldCharType="end"/>
            </w:r>
          </w:hyperlink>
        </w:p>
        <w:p w14:paraId="028E5B66" w14:textId="41297C1E" w:rsidR="00273F97" w:rsidRDefault="00273F97">
          <w:pPr>
            <w:pStyle w:val="TOC2"/>
            <w:tabs>
              <w:tab w:val="right" w:leader="dot" w:pos="9016"/>
            </w:tabs>
            <w:rPr>
              <w:rFonts w:asciiTheme="minorHAnsi" w:hAnsiTheme="minorHAnsi" w:cstheme="minorBidi"/>
              <w:b w:val="0"/>
              <w:bCs w:val="0"/>
              <w:noProof/>
              <w:sz w:val="24"/>
              <w:szCs w:val="24"/>
              <w:lang w:eastAsia="en-GB"/>
            </w:rPr>
          </w:pPr>
          <w:hyperlink w:anchor="_Toc226802400" w:history="1">
            <w:r w:rsidRPr="006C37C9">
              <w:rPr>
                <w:rStyle w:val="Hyperlink"/>
                <w:noProof/>
              </w:rPr>
              <w:t>3.1 Three Strategies to Improve the Skills for Social Worker</w:t>
            </w:r>
            <w:r>
              <w:rPr>
                <w:noProof/>
                <w:webHidden/>
              </w:rPr>
              <w:tab/>
            </w:r>
            <w:r>
              <w:rPr>
                <w:noProof/>
                <w:webHidden/>
              </w:rPr>
              <w:fldChar w:fldCharType="begin"/>
            </w:r>
            <w:r>
              <w:rPr>
                <w:noProof/>
                <w:webHidden/>
              </w:rPr>
              <w:instrText xml:space="preserve"> PAGEREF _Toc226802400 \h </w:instrText>
            </w:r>
            <w:r>
              <w:rPr>
                <w:noProof/>
                <w:webHidden/>
              </w:rPr>
            </w:r>
            <w:r>
              <w:rPr>
                <w:noProof/>
                <w:webHidden/>
              </w:rPr>
              <w:fldChar w:fldCharType="separate"/>
            </w:r>
            <w:r>
              <w:rPr>
                <w:noProof/>
                <w:webHidden/>
              </w:rPr>
              <w:t>5</w:t>
            </w:r>
            <w:r>
              <w:rPr>
                <w:noProof/>
                <w:webHidden/>
              </w:rPr>
              <w:fldChar w:fldCharType="end"/>
            </w:r>
          </w:hyperlink>
        </w:p>
        <w:p w14:paraId="2A54FF78" w14:textId="519EB897" w:rsidR="00273F97" w:rsidRDefault="00273F97">
          <w:pPr>
            <w:pStyle w:val="TOC2"/>
            <w:tabs>
              <w:tab w:val="right" w:leader="dot" w:pos="9016"/>
            </w:tabs>
            <w:rPr>
              <w:rFonts w:asciiTheme="minorHAnsi" w:hAnsiTheme="minorHAnsi" w:cstheme="minorBidi"/>
              <w:b w:val="0"/>
              <w:bCs w:val="0"/>
              <w:noProof/>
              <w:sz w:val="24"/>
              <w:szCs w:val="24"/>
              <w:lang w:eastAsia="en-GB"/>
            </w:rPr>
          </w:pPr>
          <w:hyperlink w:anchor="_Toc226802401" w:history="1">
            <w:r w:rsidRPr="006C37C9">
              <w:rPr>
                <w:rStyle w:val="Hyperlink"/>
                <w:noProof/>
              </w:rPr>
              <w:t>4 Conclusion</w:t>
            </w:r>
            <w:r>
              <w:rPr>
                <w:noProof/>
                <w:webHidden/>
              </w:rPr>
              <w:tab/>
            </w:r>
            <w:r>
              <w:rPr>
                <w:noProof/>
                <w:webHidden/>
              </w:rPr>
              <w:fldChar w:fldCharType="begin"/>
            </w:r>
            <w:r>
              <w:rPr>
                <w:noProof/>
                <w:webHidden/>
              </w:rPr>
              <w:instrText xml:space="preserve"> PAGEREF _Toc226802401 \h </w:instrText>
            </w:r>
            <w:r>
              <w:rPr>
                <w:noProof/>
                <w:webHidden/>
              </w:rPr>
            </w:r>
            <w:r>
              <w:rPr>
                <w:noProof/>
                <w:webHidden/>
              </w:rPr>
              <w:fldChar w:fldCharType="separate"/>
            </w:r>
            <w:r>
              <w:rPr>
                <w:noProof/>
                <w:webHidden/>
              </w:rPr>
              <w:t>6</w:t>
            </w:r>
            <w:r>
              <w:rPr>
                <w:noProof/>
                <w:webHidden/>
              </w:rPr>
              <w:fldChar w:fldCharType="end"/>
            </w:r>
          </w:hyperlink>
        </w:p>
        <w:p w14:paraId="19D966E8" w14:textId="47C83AE3" w:rsidR="00273F97" w:rsidRDefault="00273F97">
          <w:pPr>
            <w:pStyle w:val="TOC2"/>
            <w:tabs>
              <w:tab w:val="right" w:leader="dot" w:pos="9016"/>
            </w:tabs>
            <w:rPr>
              <w:rFonts w:asciiTheme="minorHAnsi" w:hAnsiTheme="minorHAnsi" w:cstheme="minorBidi"/>
              <w:b w:val="0"/>
              <w:bCs w:val="0"/>
              <w:noProof/>
              <w:sz w:val="24"/>
              <w:szCs w:val="24"/>
              <w:lang w:eastAsia="en-GB"/>
            </w:rPr>
          </w:pPr>
          <w:hyperlink w:anchor="_Toc226802402" w:history="1">
            <w:r w:rsidRPr="006C37C9">
              <w:rPr>
                <w:rStyle w:val="Hyperlink"/>
                <w:noProof/>
              </w:rPr>
              <w:t>5 Reference List</w:t>
            </w:r>
            <w:r>
              <w:rPr>
                <w:noProof/>
                <w:webHidden/>
              </w:rPr>
              <w:tab/>
            </w:r>
            <w:r>
              <w:rPr>
                <w:noProof/>
                <w:webHidden/>
              </w:rPr>
              <w:fldChar w:fldCharType="begin"/>
            </w:r>
            <w:r>
              <w:rPr>
                <w:noProof/>
                <w:webHidden/>
              </w:rPr>
              <w:instrText xml:space="preserve"> PAGEREF _Toc226802402 \h </w:instrText>
            </w:r>
            <w:r>
              <w:rPr>
                <w:noProof/>
                <w:webHidden/>
              </w:rPr>
            </w:r>
            <w:r>
              <w:rPr>
                <w:noProof/>
                <w:webHidden/>
              </w:rPr>
              <w:fldChar w:fldCharType="separate"/>
            </w:r>
            <w:r>
              <w:rPr>
                <w:noProof/>
                <w:webHidden/>
              </w:rPr>
              <w:t>7</w:t>
            </w:r>
            <w:r>
              <w:rPr>
                <w:noProof/>
                <w:webHidden/>
              </w:rPr>
              <w:fldChar w:fldCharType="end"/>
            </w:r>
          </w:hyperlink>
        </w:p>
        <w:p w14:paraId="2F2A1EA8" w14:textId="444D8143"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1C101549" w:rsidR="00A035CD" w:rsidRDefault="00A035CD" w:rsidP="00E37D3D">
      <w:pPr>
        <w:pStyle w:val="Heading2"/>
        <w:numPr>
          <w:ilvl w:val="1"/>
          <w:numId w:val="33"/>
        </w:numPr>
        <w:rPr>
          <w:color w:val="4471C4"/>
        </w:rPr>
      </w:pPr>
      <w:bookmarkStart w:id="0" w:name="_Toc226802395"/>
      <w:r w:rsidRPr="0CF501EC">
        <w:rPr>
          <w:color w:val="4471C4"/>
        </w:rPr>
        <w:lastRenderedPageBreak/>
        <w:t>Introduction</w:t>
      </w:r>
      <w:bookmarkEnd w:id="0"/>
    </w:p>
    <w:p w14:paraId="1F1C4F04" w14:textId="77777777" w:rsidR="00E37D3D" w:rsidRPr="00E37D3D" w:rsidRDefault="00E37D3D" w:rsidP="00E37D3D"/>
    <w:p w14:paraId="4CC61BC1" w14:textId="7CA3C8CD" w:rsidR="00F36ADC" w:rsidRPr="00603340" w:rsidRDefault="00FE40E1" w:rsidP="00AD1D39">
      <w:pPr>
        <w:spacing w:after="0" w:line="360" w:lineRule="auto"/>
        <w:rPr>
          <w:rFonts w:ascii="Arial" w:hAnsi="Arial" w:cs="Arial"/>
          <w:sz w:val="22"/>
        </w:rPr>
      </w:pPr>
      <w:r w:rsidRPr="007637EC">
        <w:rPr>
          <w:rFonts w:ascii="Arial" w:hAnsi="Arial" w:cs="Arial"/>
          <w:sz w:val="22"/>
        </w:rPr>
        <w:t xml:space="preserve">The health and </w:t>
      </w:r>
      <w:r w:rsidR="008F1470" w:rsidRPr="007637EC">
        <w:rPr>
          <w:rFonts w:ascii="Arial" w:hAnsi="Arial" w:cs="Arial"/>
          <w:sz w:val="22"/>
        </w:rPr>
        <w:t>S</w:t>
      </w:r>
      <w:r w:rsidRPr="007637EC">
        <w:rPr>
          <w:rFonts w:ascii="Arial" w:hAnsi="Arial" w:cs="Arial"/>
          <w:sz w:val="22"/>
        </w:rPr>
        <w:t xml:space="preserve">ocial </w:t>
      </w:r>
      <w:r w:rsidR="008F1470" w:rsidRPr="007637EC">
        <w:rPr>
          <w:rFonts w:ascii="Arial" w:hAnsi="Arial" w:cs="Arial"/>
          <w:sz w:val="22"/>
        </w:rPr>
        <w:t>C</w:t>
      </w:r>
      <w:r w:rsidRPr="007637EC">
        <w:rPr>
          <w:rFonts w:ascii="Arial" w:hAnsi="Arial" w:cs="Arial"/>
          <w:sz w:val="22"/>
        </w:rPr>
        <w:t>are sector in the U</w:t>
      </w:r>
      <w:r w:rsidR="00FE0BFD" w:rsidRPr="007637EC">
        <w:rPr>
          <w:rFonts w:ascii="Arial" w:hAnsi="Arial" w:cs="Arial"/>
          <w:sz w:val="22"/>
        </w:rPr>
        <w:t xml:space="preserve">nited </w:t>
      </w:r>
      <w:r w:rsidRPr="007637EC">
        <w:rPr>
          <w:rFonts w:ascii="Arial" w:hAnsi="Arial" w:cs="Arial"/>
          <w:sz w:val="22"/>
        </w:rPr>
        <w:t>K</w:t>
      </w:r>
      <w:r w:rsidR="00E85213" w:rsidRPr="007637EC">
        <w:rPr>
          <w:rFonts w:ascii="Arial" w:hAnsi="Arial" w:cs="Arial"/>
          <w:sz w:val="22"/>
        </w:rPr>
        <w:t xml:space="preserve">ingdom </w:t>
      </w:r>
      <w:r w:rsidRPr="007637EC">
        <w:rPr>
          <w:rFonts w:ascii="Arial" w:hAnsi="Arial" w:cs="Arial"/>
          <w:sz w:val="22"/>
        </w:rPr>
        <w:t xml:space="preserve">plays a vital role in protecting vulnerable people and providing support through social workers across all areas of life in diverse </w:t>
      </w:r>
      <w:r w:rsidR="00F121F7" w:rsidRPr="007637EC">
        <w:rPr>
          <w:rFonts w:ascii="Arial" w:hAnsi="Arial" w:cs="Arial"/>
          <w:sz w:val="22"/>
        </w:rPr>
        <w:t>communities.</w:t>
      </w:r>
      <w:r w:rsidR="00F121F7" w:rsidRPr="00603340">
        <w:rPr>
          <w:rFonts w:ascii="Arial" w:hAnsi="Arial" w:cs="Arial"/>
          <w:sz w:val="22"/>
        </w:rPr>
        <w:t xml:space="preserve"> This</w:t>
      </w:r>
      <w:r w:rsidR="00D712A3" w:rsidRPr="00603340">
        <w:rPr>
          <w:rFonts w:ascii="Arial" w:hAnsi="Arial" w:cs="Arial"/>
          <w:sz w:val="22"/>
        </w:rPr>
        <w:t xml:space="preserve"> report examines the professional role of the social worker within this system, focusing on statutory duties and the professional standards required for effective practice. It provides an overview of core responsibilities, followed by an analysis of three essential skills: communication, empathy, and critical reflection. The report also evaluates three strategies for skills development—reflective supervision, experiential workshops, and the integration of service</w:t>
      </w:r>
      <w:r w:rsidR="00D712A3" w:rsidRPr="00603340">
        <w:rPr>
          <w:rFonts w:ascii="Cambria Math" w:hAnsi="Cambria Math" w:cs="Cambria Math"/>
          <w:sz w:val="22"/>
        </w:rPr>
        <w:t>‑</w:t>
      </w:r>
      <w:r w:rsidR="00D712A3" w:rsidRPr="00603340">
        <w:rPr>
          <w:rFonts w:ascii="Arial" w:hAnsi="Arial" w:cs="Arial"/>
          <w:sz w:val="22"/>
        </w:rPr>
        <w:t>user feedback—to demonstrate how professional competence ensures safe, high</w:t>
      </w:r>
      <w:r w:rsidR="00D712A3" w:rsidRPr="00603340">
        <w:rPr>
          <w:rFonts w:ascii="Cambria Math" w:hAnsi="Cambria Math" w:cs="Cambria Math"/>
          <w:sz w:val="22"/>
        </w:rPr>
        <w:t>‑</w:t>
      </w:r>
      <w:r w:rsidR="00D712A3" w:rsidRPr="00603340">
        <w:rPr>
          <w:rFonts w:ascii="Arial" w:hAnsi="Arial" w:cs="Arial"/>
          <w:sz w:val="22"/>
        </w:rPr>
        <w:t>quality support for individuals in need.</w:t>
      </w:r>
    </w:p>
    <w:p w14:paraId="0010ADF3" w14:textId="77777777" w:rsidR="00A74270" w:rsidRPr="00D712A3" w:rsidRDefault="00A74270" w:rsidP="00D712A3">
      <w:pPr>
        <w:spacing w:after="0" w:line="360" w:lineRule="auto"/>
        <w:rPr>
          <w:rFonts w:ascii="Arial" w:hAnsi="Arial" w:cs="Arial"/>
          <w:sz w:val="24"/>
          <w:szCs w:val="24"/>
        </w:rPr>
      </w:pPr>
    </w:p>
    <w:p w14:paraId="64F36E68" w14:textId="1559B2B5" w:rsidR="3C659699" w:rsidRDefault="3C659699" w:rsidP="0CF501EC">
      <w:pPr>
        <w:pStyle w:val="Heading2"/>
        <w:rPr>
          <w:color w:val="4472C4" w:themeColor="accent1"/>
        </w:rPr>
      </w:pPr>
      <w:bookmarkStart w:id="1" w:name="_Toc226802396"/>
      <w:r w:rsidRPr="0CF501EC">
        <w:rPr>
          <w:color w:val="4471C4"/>
        </w:rPr>
        <w:t xml:space="preserve">2 </w:t>
      </w:r>
      <w:r w:rsidR="00D712A3" w:rsidRPr="00D712A3">
        <w:rPr>
          <w:color w:val="4471C4"/>
        </w:rPr>
        <w:t>Social Worker</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6F02FF61" w:rsidR="008B0B22" w:rsidRPr="002976D4" w:rsidRDefault="5CF7C3DB" w:rsidP="0156E134">
      <w:pPr>
        <w:pStyle w:val="Heading2"/>
        <w:rPr>
          <w:color w:val="4472C4" w:themeColor="accent1"/>
        </w:rPr>
      </w:pPr>
      <w:bookmarkStart w:id="2" w:name="_Toc226802397"/>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D712A3" w:rsidRPr="00D712A3">
        <w:rPr>
          <w:color w:val="4471C4"/>
        </w:rPr>
        <w:t>Social Worker</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40D886CE" w14:textId="77777777" w:rsidR="00A74270" w:rsidRPr="00603340" w:rsidRDefault="00A74270" w:rsidP="00A74270">
      <w:pPr>
        <w:spacing w:after="0" w:line="360" w:lineRule="auto"/>
        <w:jc w:val="both"/>
        <w:rPr>
          <w:rFonts w:ascii="Arial" w:hAnsi="Arial" w:cs="Arial"/>
          <w:sz w:val="22"/>
        </w:rPr>
      </w:pPr>
      <w:r w:rsidRPr="00603340">
        <w:rPr>
          <w:rFonts w:ascii="Arial" w:hAnsi="Arial" w:cs="Arial"/>
          <w:sz w:val="22"/>
        </w:rPr>
        <w:t>The role of the social worker is fundamental within the United Kingdom’s health and social care sector, as it ensures that statutory responsibilities are translated into meaningful support for individuals who may be vulnerable or at risk. Social workers play a crucial part in safeguarding children and adults by adhering to key legislative frameworks, such as the Department for Education’s (2023) child protection guidance and the principles embedded in social care legislation. These responsibilities highlight the importance of the role, as social workers act to uphold human rights and prevent harm for those who may be unable to advocate for themselves within complex institutional systems. This demonstrates how the profession contributes directly to public protection and social justice.</w:t>
      </w:r>
    </w:p>
    <w:p w14:paraId="4DB863AD" w14:textId="77777777" w:rsidR="00A74270" w:rsidRPr="00603340" w:rsidRDefault="00A74270" w:rsidP="00A74270">
      <w:pPr>
        <w:spacing w:after="0" w:line="360" w:lineRule="auto"/>
        <w:jc w:val="both"/>
        <w:rPr>
          <w:rFonts w:ascii="Arial" w:hAnsi="Arial" w:cs="Arial"/>
          <w:sz w:val="22"/>
        </w:rPr>
      </w:pPr>
    </w:p>
    <w:p w14:paraId="3BE9CE70" w14:textId="35D4D1B2" w:rsidR="48942F29" w:rsidRPr="00603340" w:rsidRDefault="00A74270" w:rsidP="00A74270">
      <w:pPr>
        <w:spacing w:after="0" w:line="360" w:lineRule="auto"/>
        <w:jc w:val="both"/>
        <w:rPr>
          <w:rFonts w:ascii="Arial" w:hAnsi="Arial" w:cs="Arial"/>
          <w:sz w:val="22"/>
        </w:rPr>
      </w:pPr>
      <w:r w:rsidRPr="00603340">
        <w:rPr>
          <w:rFonts w:ascii="Arial" w:hAnsi="Arial" w:cs="Arial"/>
          <w:sz w:val="22"/>
        </w:rPr>
        <w:t>To fulfil these responsibilities effectively, social workers undertake a range of core duties, including conducting comprehensive needs assessments, developing long</w:t>
      </w:r>
      <w:r w:rsidRPr="00603340">
        <w:rPr>
          <w:rFonts w:ascii="Cambria Math" w:hAnsi="Cambria Math" w:cs="Cambria Math"/>
          <w:sz w:val="22"/>
        </w:rPr>
        <w:t>‑</w:t>
      </w:r>
      <w:r w:rsidRPr="00603340">
        <w:rPr>
          <w:rFonts w:ascii="Arial" w:hAnsi="Arial" w:cs="Arial"/>
          <w:sz w:val="22"/>
        </w:rPr>
        <w:t>term care and support plans, and responding to crisis situations to ensure immediate safety. These tasks require a combination of advanced professional skills, such as clinical assessment, conflict resolution, and the ability to navigate legal and ethical challenges. Such competencies enable practitioners to make informed decisions and coordinate support across multiple agencies. Ultimately, the role demands both technical expertise and strong interpersonal abilities to deliver holistic, consistent, and person</w:t>
      </w:r>
      <w:r w:rsidRPr="00603340">
        <w:rPr>
          <w:rFonts w:ascii="Cambria Math" w:hAnsi="Cambria Math" w:cs="Cambria Math"/>
          <w:sz w:val="22"/>
        </w:rPr>
        <w:t>‑</w:t>
      </w:r>
      <w:r w:rsidRPr="00603340">
        <w:rPr>
          <w:rFonts w:ascii="Arial" w:hAnsi="Arial" w:cs="Arial"/>
          <w:sz w:val="22"/>
        </w:rPr>
        <w:t>centred care.</w:t>
      </w:r>
    </w:p>
    <w:p w14:paraId="1CB8B0F1" w14:textId="34C40497" w:rsidR="0156E134" w:rsidRDefault="0156E134" w:rsidP="0156E134">
      <w:pPr>
        <w:spacing w:after="0" w:line="240" w:lineRule="auto"/>
        <w:jc w:val="both"/>
        <w:rPr>
          <w:sz w:val="22"/>
        </w:rPr>
      </w:pPr>
    </w:p>
    <w:p w14:paraId="78052C5A" w14:textId="3509CC72" w:rsidR="00061BEB" w:rsidRDefault="04019B15" w:rsidP="00E37D3D">
      <w:pPr>
        <w:pStyle w:val="Heading2"/>
        <w:rPr>
          <w:color w:val="4471C4"/>
        </w:rPr>
      </w:pPr>
      <w:bookmarkStart w:id="3" w:name="_Toc226802398"/>
      <w:r w:rsidRPr="0CF501EC">
        <w:rPr>
          <w:color w:val="4471C4"/>
        </w:rPr>
        <w:lastRenderedPageBreak/>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061BEB" w:rsidRPr="00061BEB">
        <w:rPr>
          <w:color w:val="4471C4"/>
        </w:rPr>
        <w:t>Social Worker</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218C29C3" w14:textId="77777777" w:rsidR="00E37D3D" w:rsidRPr="00E37D3D" w:rsidRDefault="00E37D3D" w:rsidP="00E37D3D"/>
    <w:p w14:paraId="0E42C831" w14:textId="0C2B78C1" w:rsidR="00061BEB" w:rsidRPr="00603340" w:rsidRDefault="00061BEB" w:rsidP="00061BEB">
      <w:pPr>
        <w:spacing w:line="360" w:lineRule="auto"/>
        <w:rPr>
          <w:rFonts w:ascii="Arial" w:hAnsi="Arial" w:cs="Arial"/>
          <w:sz w:val="22"/>
        </w:rPr>
      </w:pPr>
      <w:r w:rsidRPr="00603340">
        <w:rPr>
          <w:rFonts w:ascii="Arial" w:hAnsi="Arial" w:cs="Arial"/>
          <w:sz w:val="22"/>
        </w:rPr>
        <w:t>Effective communication is one of the most significant skills required in social work, as it enables practitioners to facilitate meaningful change and ensure accurate assessment. Communication in health and social care involves not only conveying information clearly but also interpreting non</w:t>
      </w:r>
      <w:r w:rsidRPr="00603340">
        <w:rPr>
          <w:rFonts w:ascii="Cambria Math" w:hAnsi="Cambria Math" w:cs="Cambria Math"/>
          <w:sz w:val="22"/>
        </w:rPr>
        <w:t>‑</w:t>
      </w:r>
      <w:r w:rsidRPr="00603340">
        <w:rPr>
          <w:rFonts w:ascii="Arial" w:hAnsi="Arial" w:cs="Arial"/>
          <w:sz w:val="22"/>
        </w:rPr>
        <w:t>verbal cues and adapting language to meet the needs of diverse service users, including young children and individuals with learning difficulties. For example, during a home visit, a social worker may use active listening to identify unspoken concerns within a family experiencing stress or crisis. Thompson (202</w:t>
      </w:r>
      <w:r w:rsidR="004D539C">
        <w:rPr>
          <w:rFonts w:ascii="Arial" w:hAnsi="Arial" w:cs="Arial"/>
          <w:sz w:val="22"/>
        </w:rPr>
        <w:t>0</w:t>
      </w:r>
      <w:r w:rsidRPr="00603340">
        <w:rPr>
          <w:rFonts w:ascii="Arial" w:hAnsi="Arial" w:cs="Arial"/>
          <w:sz w:val="22"/>
        </w:rPr>
        <w:t>) argues that strong communication skills build the trust necessary for effective intervention and safeguarding. This demonstrates that without clear, sensitive, and adaptive communication, essential information may be overlooked, compromising both safety and the quality of professional judgement.</w:t>
      </w:r>
    </w:p>
    <w:p w14:paraId="3306ACAF" w14:textId="77777777" w:rsidR="00061BEB" w:rsidRPr="00603340" w:rsidRDefault="00061BEB" w:rsidP="00061BEB">
      <w:pPr>
        <w:spacing w:line="360" w:lineRule="auto"/>
        <w:rPr>
          <w:rFonts w:ascii="Arial" w:hAnsi="Arial" w:cs="Arial"/>
          <w:sz w:val="22"/>
        </w:rPr>
      </w:pPr>
    </w:p>
    <w:p w14:paraId="221B87D9" w14:textId="77777777" w:rsidR="00061BEB" w:rsidRPr="00603340" w:rsidRDefault="00061BEB" w:rsidP="00061BEB">
      <w:pPr>
        <w:spacing w:line="360" w:lineRule="auto"/>
        <w:rPr>
          <w:rFonts w:ascii="Arial" w:hAnsi="Arial" w:cs="Arial"/>
          <w:sz w:val="22"/>
        </w:rPr>
      </w:pPr>
      <w:r w:rsidRPr="00603340">
        <w:rPr>
          <w:rFonts w:ascii="Arial" w:hAnsi="Arial" w:cs="Arial"/>
          <w:sz w:val="22"/>
        </w:rPr>
        <w:t>Empathy represents a second essential skill, enabling social workers to understand the lived experiences of service users while maintaining professional objectivity. In the UK context, empathy helps practitioners build rapport with individuals who may fear state involvement or feel reluctant to engage with professionals. The BASW Code of Ethics (2021) identifies empathy as a core component of ethical and relationship</w:t>
      </w:r>
      <w:r w:rsidRPr="00603340">
        <w:rPr>
          <w:rFonts w:ascii="Cambria Math" w:hAnsi="Cambria Math" w:cs="Cambria Math"/>
          <w:sz w:val="22"/>
        </w:rPr>
        <w:t>‑</w:t>
      </w:r>
      <w:r w:rsidRPr="00603340">
        <w:rPr>
          <w:rFonts w:ascii="Arial" w:hAnsi="Arial" w:cs="Arial"/>
          <w:sz w:val="22"/>
        </w:rPr>
        <w:t>based practice. A realistic example is working with an older adult who is hesitant about moving into residential care; an empathetic approach acknowledges their fear of losing independence and supports a more positive transition. This illustrates how empathy strengthens engagement and promotes person</w:t>
      </w:r>
      <w:r w:rsidRPr="00603340">
        <w:rPr>
          <w:rFonts w:ascii="Cambria Math" w:hAnsi="Cambria Math" w:cs="Cambria Math"/>
          <w:sz w:val="22"/>
        </w:rPr>
        <w:t>‑</w:t>
      </w:r>
      <w:r w:rsidRPr="00603340">
        <w:rPr>
          <w:rFonts w:ascii="Arial" w:hAnsi="Arial" w:cs="Arial"/>
          <w:sz w:val="22"/>
        </w:rPr>
        <w:t>centred decision</w:t>
      </w:r>
      <w:r w:rsidRPr="00603340">
        <w:rPr>
          <w:rFonts w:ascii="Cambria Math" w:hAnsi="Cambria Math" w:cs="Cambria Math"/>
          <w:sz w:val="22"/>
        </w:rPr>
        <w:t>‑</w:t>
      </w:r>
      <w:r w:rsidRPr="00603340">
        <w:rPr>
          <w:rFonts w:ascii="Arial" w:hAnsi="Arial" w:cs="Arial"/>
          <w:sz w:val="22"/>
        </w:rPr>
        <w:t>making, provided it is balanced with clear professional boundaries to prevent emotional over</w:t>
      </w:r>
      <w:r w:rsidRPr="00603340">
        <w:rPr>
          <w:rFonts w:ascii="Cambria Math" w:hAnsi="Cambria Math" w:cs="Cambria Math"/>
          <w:sz w:val="22"/>
        </w:rPr>
        <w:t>‑</w:t>
      </w:r>
      <w:r w:rsidRPr="00603340">
        <w:rPr>
          <w:rFonts w:ascii="Arial" w:hAnsi="Arial" w:cs="Arial"/>
          <w:sz w:val="22"/>
        </w:rPr>
        <w:t>identification.</w:t>
      </w:r>
    </w:p>
    <w:p w14:paraId="1537543F" w14:textId="77777777" w:rsidR="00061BEB" w:rsidRPr="00603340" w:rsidRDefault="00061BEB" w:rsidP="00061BEB">
      <w:pPr>
        <w:spacing w:line="360" w:lineRule="auto"/>
        <w:rPr>
          <w:rFonts w:ascii="Arial" w:hAnsi="Arial" w:cs="Arial"/>
          <w:sz w:val="22"/>
        </w:rPr>
      </w:pPr>
    </w:p>
    <w:p w14:paraId="06A7A226" w14:textId="77777777" w:rsidR="00061BEB" w:rsidRPr="00603340" w:rsidRDefault="00061BEB" w:rsidP="00061BEB">
      <w:pPr>
        <w:spacing w:line="360" w:lineRule="auto"/>
        <w:rPr>
          <w:rFonts w:ascii="Arial" w:hAnsi="Arial" w:cs="Arial"/>
          <w:sz w:val="22"/>
        </w:rPr>
      </w:pPr>
      <w:r w:rsidRPr="00603340">
        <w:rPr>
          <w:rFonts w:ascii="Arial" w:hAnsi="Arial" w:cs="Arial"/>
          <w:sz w:val="22"/>
        </w:rPr>
        <w:t>Critical reflection is the third key skill, requiring social workers to evaluate their own practice, decision</w:t>
      </w:r>
      <w:r w:rsidRPr="00603340">
        <w:rPr>
          <w:rFonts w:ascii="Cambria Math" w:hAnsi="Cambria Math" w:cs="Cambria Math"/>
          <w:sz w:val="22"/>
        </w:rPr>
        <w:t>‑</w:t>
      </w:r>
      <w:r w:rsidRPr="00603340">
        <w:rPr>
          <w:rFonts w:ascii="Arial" w:hAnsi="Arial" w:cs="Arial"/>
          <w:sz w:val="22"/>
        </w:rPr>
        <w:t>making processes, and potential biases. British social workers frequently make decisions with life</w:t>
      </w:r>
      <w:r w:rsidRPr="00603340">
        <w:rPr>
          <w:rFonts w:ascii="Cambria Math" w:hAnsi="Cambria Math" w:cs="Cambria Math"/>
          <w:sz w:val="22"/>
        </w:rPr>
        <w:t>‑</w:t>
      </w:r>
      <w:r w:rsidRPr="00603340">
        <w:rPr>
          <w:rFonts w:ascii="Arial" w:hAnsi="Arial" w:cs="Arial"/>
          <w:sz w:val="22"/>
        </w:rPr>
        <w:t>changing consequences, such as initiating child protection plans or assessing risk for vulnerable adults. Engaging in critical reflection allows practitioners to consider how personal values or societal assumptions may influence their professional judgement. Social Work England (2023) emphasises reflection as a mandatory component of maintaining professional competence and ethical standards. For instance, reflecting after a complex multi</w:t>
      </w:r>
      <w:r w:rsidRPr="00603340">
        <w:rPr>
          <w:rFonts w:ascii="Cambria Math" w:hAnsi="Cambria Math" w:cs="Cambria Math"/>
          <w:sz w:val="22"/>
        </w:rPr>
        <w:t>‑</w:t>
      </w:r>
      <w:r w:rsidRPr="00603340">
        <w:rPr>
          <w:rFonts w:ascii="Arial" w:hAnsi="Arial" w:cs="Arial"/>
          <w:sz w:val="22"/>
        </w:rPr>
        <w:t xml:space="preserve">agency meeting can help a practitioner identify areas for improvement and </w:t>
      </w:r>
      <w:r w:rsidRPr="00603340">
        <w:rPr>
          <w:rFonts w:ascii="Arial" w:hAnsi="Arial" w:cs="Arial"/>
          <w:sz w:val="22"/>
        </w:rPr>
        <w:lastRenderedPageBreak/>
        <w:t>ensure that future decisions are grounded in evidence and legislation rather than emotional reactions.</w:t>
      </w:r>
    </w:p>
    <w:p w14:paraId="68043430" w14:textId="77777777" w:rsidR="00061BEB" w:rsidRPr="00603340" w:rsidRDefault="00061BEB" w:rsidP="00061BEB">
      <w:pPr>
        <w:spacing w:line="360" w:lineRule="auto"/>
        <w:rPr>
          <w:rFonts w:ascii="Arial" w:hAnsi="Arial" w:cs="Arial"/>
          <w:sz w:val="22"/>
        </w:rPr>
      </w:pPr>
    </w:p>
    <w:p w14:paraId="12D81A1C" w14:textId="31B80BA7" w:rsidR="00061BEB" w:rsidRPr="00603340" w:rsidRDefault="00061BEB" w:rsidP="00061BEB">
      <w:pPr>
        <w:spacing w:line="360" w:lineRule="auto"/>
        <w:rPr>
          <w:rFonts w:ascii="Arial" w:hAnsi="Arial" w:cs="Arial"/>
          <w:sz w:val="22"/>
        </w:rPr>
      </w:pPr>
      <w:r w:rsidRPr="00603340">
        <w:rPr>
          <w:rFonts w:ascii="Arial" w:hAnsi="Arial" w:cs="Arial"/>
          <w:sz w:val="22"/>
        </w:rPr>
        <w:t>When social care staff lack these fundamental skills, the consequences for service users and organisations can be severe and long</w:t>
      </w:r>
      <w:r w:rsidRPr="00603340">
        <w:rPr>
          <w:rFonts w:ascii="Cambria Math" w:hAnsi="Cambria Math" w:cs="Cambria Math"/>
          <w:sz w:val="22"/>
        </w:rPr>
        <w:t>‑</w:t>
      </w:r>
      <w:r w:rsidRPr="00603340">
        <w:rPr>
          <w:rFonts w:ascii="Arial" w:hAnsi="Arial" w:cs="Arial"/>
          <w:sz w:val="22"/>
        </w:rPr>
        <w:t xml:space="preserve">lasting. Poor communication or insufficient empathy can damage professional relationships, leading to disengagement and increased risk of harm. A lack of critical reflection may result </w:t>
      </w:r>
      <w:r w:rsidRPr="007637EC">
        <w:rPr>
          <w:rFonts w:ascii="Arial" w:hAnsi="Arial" w:cs="Arial"/>
          <w:sz w:val="22"/>
        </w:rPr>
        <w:t>in “</w:t>
      </w:r>
      <w:r w:rsidR="00632029" w:rsidRPr="007637EC">
        <w:rPr>
          <w:rFonts w:ascii="Arial" w:hAnsi="Arial" w:cs="Arial"/>
          <w:sz w:val="22"/>
        </w:rPr>
        <w:t>professionalism</w:t>
      </w:r>
      <w:r w:rsidRPr="007637EC">
        <w:rPr>
          <w:rFonts w:ascii="Arial" w:hAnsi="Arial" w:cs="Arial"/>
          <w:sz w:val="22"/>
        </w:rPr>
        <w:t>,” where</w:t>
      </w:r>
      <w:r w:rsidRPr="00603340">
        <w:rPr>
          <w:rFonts w:ascii="Arial" w:hAnsi="Arial" w:cs="Arial"/>
          <w:sz w:val="22"/>
        </w:rPr>
        <w:t xml:space="preserve"> practitioners overlook clear indicators of danger due to unexamined assumptions. High</w:t>
      </w:r>
      <w:r w:rsidRPr="00603340">
        <w:rPr>
          <w:rFonts w:ascii="Cambria Math" w:hAnsi="Cambria Math" w:cs="Cambria Math"/>
          <w:sz w:val="22"/>
        </w:rPr>
        <w:t>‑</w:t>
      </w:r>
      <w:r w:rsidRPr="00603340">
        <w:rPr>
          <w:rFonts w:ascii="Arial" w:hAnsi="Arial" w:cs="Arial"/>
          <w:sz w:val="22"/>
        </w:rPr>
        <w:t>profile safeguarding failures in the UK have repeatedly shown that weak assessment and communication skills contribute to systemic breakdowns in protection. This highlights that without these competencies, the safety, dignity, and well</w:t>
      </w:r>
      <w:r w:rsidRPr="00603340">
        <w:rPr>
          <w:rFonts w:ascii="Cambria Math" w:hAnsi="Cambria Math" w:cs="Cambria Math"/>
          <w:sz w:val="22"/>
        </w:rPr>
        <w:t>‑</w:t>
      </w:r>
      <w:r w:rsidRPr="00603340">
        <w:rPr>
          <w:rFonts w:ascii="Arial" w:hAnsi="Arial" w:cs="Arial"/>
          <w:sz w:val="22"/>
        </w:rPr>
        <w:t>being of vulnerable individuals are significantly compromised.</w:t>
      </w:r>
    </w:p>
    <w:p w14:paraId="2CAEA1EC" w14:textId="6AC4B192" w:rsidR="002370CE" w:rsidRPr="002976D4" w:rsidRDefault="1F09BC6E" w:rsidP="0CF501EC">
      <w:pPr>
        <w:pStyle w:val="Heading2"/>
        <w:rPr>
          <w:color w:val="4472C4" w:themeColor="accent1"/>
        </w:rPr>
      </w:pPr>
      <w:bookmarkStart w:id="4" w:name="_Toc226802399"/>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C4582D" w:rsidRPr="00C4582D">
        <w:rPr>
          <w:color w:val="4471C4"/>
        </w:rPr>
        <w:t>Social Worker</w:t>
      </w:r>
      <w:bookmarkEnd w:id="4"/>
    </w:p>
    <w:p w14:paraId="029A5F75" w14:textId="3E74AFFF" w:rsidR="6F3208D0" w:rsidRDefault="0C5D0C5C" w:rsidP="00474DBD">
      <w:pPr>
        <w:pStyle w:val="Heading2"/>
        <w:rPr>
          <w:color w:val="4471C4"/>
        </w:rPr>
      </w:pPr>
      <w:bookmarkStart w:id="5" w:name="_Toc226802400"/>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C4582D" w:rsidRPr="00C4582D">
        <w:rPr>
          <w:color w:val="4471C4"/>
        </w:rPr>
        <w:t>Social Worker</w:t>
      </w:r>
      <w:bookmarkEnd w:id="5"/>
    </w:p>
    <w:p w14:paraId="6D189FA9" w14:textId="77777777" w:rsidR="00474DBD" w:rsidRPr="00474DBD" w:rsidRDefault="00474DBD" w:rsidP="00474DBD"/>
    <w:p w14:paraId="1205F1D3" w14:textId="77777777" w:rsidR="00474DBD" w:rsidRPr="00603340" w:rsidRDefault="00474DBD" w:rsidP="00474DBD">
      <w:pPr>
        <w:spacing w:line="360" w:lineRule="auto"/>
        <w:rPr>
          <w:rFonts w:ascii="Arial" w:hAnsi="Arial" w:cs="Arial"/>
          <w:sz w:val="22"/>
        </w:rPr>
      </w:pPr>
      <w:r w:rsidRPr="00603340">
        <w:rPr>
          <w:rFonts w:ascii="Arial" w:hAnsi="Arial" w:cs="Arial"/>
          <w:sz w:val="22"/>
        </w:rPr>
        <w:t>Developing the core skills required for effective social work practice demands structured, evidence</w:t>
      </w:r>
      <w:r w:rsidRPr="00603340">
        <w:rPr>
          <w:rFonts w:ascii="Cambria Math" w:hAnsi="Cambria Math" w:cs="Cambria Math"/>
          <w:sz w:val="22"/>
        </w:rPr>
        <w:t>‑</w:t>
      </w:r>
      <w:r w:rsidRPr="00603340">
        <w:rPr>
          <w:rFonts w:ascii="Arial" w:hAnsi="Arial" w:cs="Arial"/>
          <w:sz w:val="22"/>
        </w:rPr>
        <w:t>based approaches that support continuous professional growth. One effective strategy for strengthening communication skills is participation in simulation</w:t>
      </w:r>
      <w:r w:rsidRPr="00603340">
        <w:rPr>
          <w:rFonts w:ascii="Cambria Math" w:hAnsi="Cambria Math" w:cs="Cambria Math"/>
          <w:sz w:val="22"/>
        </w:rPr>
        <w:t>‑</w:t>
      </w:r>
      <w:r w:rsidRPr="00603340">
        <w:rPr>
          <w:rFonts w:ascii="Arial" w:hAnsi="Arial" w:cs="Arial"/>
          <w:sz w:val="22"/>
        </w:rPr>
        <w:t>based training and specialised communication workshops. These controlled learning environments enable practitioners to rehearse challenging interactions—such as delivering difficult information or de</w:t>
      </w:r>
      <w:r w:rsidRPr="00603340">
        <w:rPr>
          <w:rFonts w:ascii="Cambria Math" w:hAnsi="Cambria Math" w:cs="Cambria Math"/>
          <w:sz w:val="22"/>
        </w:rPr>
        <w:t>‑</w:t>
      </w:r>
      <w:r w:rsidRPr="00603340">
        <w:rPr>
          <w:rFonts w:ascii="Arial" w:hAnsi="Arial" w:cs="Arial"/>
          <w:sz w:val="22"/>
        </w:rPr>
        <w:t>escalating anger—in a safe and supportive setting. Social Work England (2023) highlights that experiential learning supported by constructive peer feedback significantly enhances a worker’s ability to respond effectively to real</w:t>
      </w:r>
      <w:r w:rsidRPr="00603340">
        <w:rPr>
          <w:rFonts w:ascii="Cambria Math" w:hAnsi="Cambria Math" w:cs="Cambria Math"/>
          <w:sz w:val="22"/>
        </w:rPr>
        <w:t>‑</w:t>
      </w:r>
      <w:r w:rsidRPr="00603340">
        <w:rPr>
          <w:rFonts w:ascii="Arial" w:hAnsi="Arial" w:cs="Arial"/>
          <w:sz w:val="22"/>
        </w:rPr>
        <w:t>life crises. For example, a social worker may engage in a role</w:t>
      </w:r>
      <w:r w:rsidRPr="00603340">
        <w:rPr>
          <w:rFonts w:ascii="Cambria Math" w:hAnsi="Cambria Math" w:cs="Cambria Math"/>
          <w:sz w:val="22"/>
        </w:rPr>
        <w:t>‑</w:t>
      </w:r>
      <w:r w:rsidRPr="00603340">
        <w:rPr>
          <w:rFonts w:ascii="Arial" w:hAnsi="Arial" w:cs="Arial"/>
          <w:sz w:val="22"/>
        </w:rPr>
        <w:t>play scenario involving a hostile parent to refine verbal de</w:t>
      </w:r>
      <w:r w:rsidRPr="00603340">
        <w:rPr>
          <w:rFonts w:ascii="Cambria Math" w:hAnsi="Cambria Math" w:cs="Cambria Math"/>
          <w:sz w:val="22"/>
        </w:rPr>
        <w:t>‑</w:t>
      </w:r>
      <w:r w:rsidRPr="00603340">
        <w:rPr>
          <w:rFonts w:ascii="Arial" w:hAnsi="Arial" w:cs="Arial"/>
          <w:sz w:val="22"/>
        </w:rPr>
        <w:t>escalation techniques and confident body language. This approach helps practitioners build the confidence and communicative repertoire required to manage high</w:t>
      </w:r>
      <w:r w:rsidRPr="00603340">
        <w:rPr>
          <w:rFonts w:ascii="Cambria Math" w:hAnsi="Cambria Math" w:cs="Cambria Math"/>
          <w:sz w:val="22"/>
        </w:rPr>
        <w:t>‑</w:t>
      </w:r>
      <w:r w:rsidRPr="00603340">
        <w:rPr>
          <w:rFonts w:ascii="Arial" w:hAnsi="Arial" w:cs="Arial"/>
          <w:sz w:val="22"/>
        </w:rPr>
        <w:t>risk situations with clarity and professionalism.</w:t>
      </w:r>
    </w:p>
    <w:p w14:paraId="091AEAE5" w14:textId="77777777" w:rsidR="00474DBD" w:rsidRPr="00603340" w:rsidRDefault="00474DBD" w:rsidP="00474DBD">
      <w:pPr>
        <w:spacing w:line="360" w:lineRule="auto"/>
        <w:rPr>
          <w:rFonts w:ascii="Arial" w:hAnsi="Arial" w:cs="Arial"/>
          <w:sz w:val="22"/>
        </w:rPr>
      </w:pPr>
    </w:p>
    <w:p w14:paraId="68B2125B" w14:textId="77777777" w:rsidR="00474DBD" w:rsidRPr="00603340" w:rsidRDefault="00474DBD" w:rsidP="00474DBD">
      <w:pPr>
        <w:spacing w:line="360" w:lineRule="auto"/>
        <w:rPr>
          <w:rFonts w:ascii="Arial" w:hAnsi="Arial" w:cs="Arial"/>
          <w:sz w:val="22"/>
        </w:rPr>
      </w:pPr>
      <w:r w:rsidRPr="00603340">
        <w:rPr>
          <w:rFonts w:ascii="Arial" w:hAnsi="Arial" w:cs="Arial"/>
          <w:sz w:val="22"/>
        </w:rPr>
        <w:t>A second strategy for developing empathy and emotional intelligence is the systematic use of structured feedback from service users. This method involves actively seeking input from individuals receiving support regarding their experiences and perceptions of the professional relationship. Lomax (2022) argues that integrating service</w:t>
      </w:r>
      <w:r w:rsidRPr="00603340">
        <w:rPr>
          <w:rFonts w:ascii="Cambria Math" w:hAnsi="Cambria Math" w:cs="Cambria Math"/>
          <w:sz w:val="22"/>
        </w:rPr>
        <w:t>‑</w:t>
      </w:r>
      <w:r w:rsidRPr="00603340">
        <w:rPr>
          <w:rFonts w:ascii="Arial" w:hAnsi="Arial" w:cs="Arial"/>
          <w:sz w:val="22"/>
        </w:rPr>
        <w:t>user perspectives into professional development promotes a genuinely person</w:t>
      </w:r>
      <w:r w:rsidRPr="00603340">
        <w:rPr>
          <w:rFonts w:ascii="Cambria Math" w:hAnsi="Cambria Math" w:cs="Cambria Math"/>
          <w:sz w:val="22"/>
        </w:rPr>
        <w:t>‑</w:t>
      </w:r>
      <w:r w:rsidRPr="00603340">
        <w:rPr>
          <w:rFonts w:ascii="Arial" w:hAnsi="Arial" w:cs="Arial"/>
          <w:sz w:val="22"/>
        </w:rPr>
        <w:t xml:space="preserve">centred approach and strengthens mutual respect. By understanding how their practice is experienced by clients, social </w:t>
      </w:r>
      <w:r w:rsidRPr="00603340">
        <w:rPr>
          <w:rFonts w:ascii="Arial" w:hAnsi="Arial" w:cs="Arial"/>
          <w:sz w:val="22"/>
        </w:rPr>
        <w:lastRenderedPageBreak/>
        <w:t>workers can adjust their communication style, relational approach, and support strategies to make them more inclusive and responsive. This ensures that empathy becomes an applied, practical skill rather than a theoretical ideal, directly improving the quality of practitioner–client relationships over time.</w:t>
      </w:r>
    </w:p>
    <w:p w14:paraId="12770B9F" w14:textId="77777777" w:rsidR="00474DBD" w:rsidRPr="00603340" w:rsidRDefault="00474DBD" w:rsidP="00474DBD">
      <w:pPr>
        <w:spacing w:line="360" w:lineRule="auto"/>
        <w:rPr>
          <w:rFonts w:ascii="Arial" w:hAnsi="Arial" w:cs="Arial"/>
          <w:sz w:val="22"/>
        </w:rPr>
      </w:pPr>
    </w:p>
    <w:p w14:paraId="09EF3BCE" w14:textId="5D160C90" w:rsidR="00E37D3D" w:rsidRPr="00F90BB6" w:rsidRDefault="00474DBD" w:rsidP="00474DBD">
      <w:pPr>
        <w:spacing w:line="360" w:lineRule="auto"/>
        <w:rPr>
          <w:rFonts w:ascii="Arial" w:hAnsi="Arial" w:cs="Arial"/>
          <w:sz w:val="22"/>
        </w:rPr>
      </w:pPr>
      <w:r w:rsidRPr="00603340">
        <w:rPr>
          <w:rFonts w:ascii="Arial" w:hAnsi="Arial" w:cs="Arial"/>
          <w:sz w:val="22"/>
        </w:rPr>
        <w:t>A third strategy for enhancing critical reflection is the implementation of regular, formal sessions of reflective supervision. Supervision provides a structured space in which social workers can analyse complex decisions, emotional responses, and ethical dilemmas with the support of an experienced supervisor. Thompson (202</w:t>
      </w:r>
      <w:r w:rsidR="001C0B83">
        <w:rPr>
          <w:rFonts w:ascii="Arial" w:hAnsi="Arial" w:cs="Arial"/>
          <w:sz w:val="22"/>
        </w:rPr>
        <w:t>0</w:t>
      </w:r>
      <w:r w:rsidRPr="00603340">
        <w:rPr>
          <w:rFonts w:ascii="Arial" w:hAnsi="Arial" w:cs="Arial"/>
          <w:sz w:val="22"/>
        </w:rPr>
        <w:t>) emphasises that consistent, high</w:t>
      </w:r>
      <w:r w:rsidRPr="00603340">
        <w:rPr>
          <w:rFonts w:ascii="Cambria Math" w:hAnsi="Cambria Math" w:cs="Cambria Math"/>
          <w:sz w:val="22"/>
        </w:rPr>
        <w:t>‑</w:t>
      </w:r>
      <w:r w:rsidRPr="00603340">
        <w:rPr>
          <w:rFonts w:ascii="Arial" w:hAnsi="Arial" w:cs="Arial"/>
          <w:sz w:val="22"/>
        </w:rPr>
        <w:t>quality supervision is one of the most effective mechanisms for preventing burnout and maintaining objectivity in daily practice. In practical terms, supervisors may use reflective models to help practitioners examine specific incidents, identify areas for improvement, and plan more effective future actions. This structured support system ensures that critical reflection becomes an embedded professional habit, contributing to safer, more ethical, and more analytical social work practice.</w:t>
      </w:r>
    </w:p>
    <w:p w14:paraId="58A1B501" w14:textId="2F942CCF" w:rsidR="0156E134" w:rsidRDefault="0156E134" w:rsidP="0156E134">
      <w:pPr>
        <w:pStyle w:val="ListParagraph"/>
        <w:spacing w:after="0"/>
        <w:rPr>
          <w:sz w:val="21"/>
          <w:szCs w:val="21"/>
        </w:rPr>
      </w:pPr>
    </w:p>
    <w:p w14:paraId="3A6FEB18" w14:textId="729AC784" w:rsidR="00E37D3D" w:rsidRDefault="5617AA6E" w:rsidP="00E37D3D">
      <w:pPr>
        <w:pStyle w:val="Heading2"/>
        <w:rPr>
          <w:color w:val="4471C4"/>
        </w:rPr>
      </w:pPr>
      <w:bookmarkStart w:id="6" w:name="_Toc226802401"/>
      <w:r w:rsidRPr="0CF501EC">
        <w:rPr>
          <w:color w:val="4471C4"/>
        </w:rPr>
        <w:t>4</w:t>
      </w:r>
      <w:r w:rsidR="00A946CB" w:rsidRPr="0CF501EC">
        <w:rPr>
          <w:color w:val="4471C4"/>
        </w:rPr>
        <w:t xml:space="preserve"> Conclusion</w:t>
      </w:r>
      <w:bookmarkEnd w:id="6"/>
    </w:p>
    <w:p w14:paraId="643931FF" w14:textId="77777777" w:rsidR="00E37D3D" w:rsidRPr="00E37D3D" w:rsidRDefault="00E37D3D" w:rsidP="00E37D3D"/>
    <w:p w14:paraId="138DB8EC" w14:textId="3EFBEFA8" w:rsidR="00E37D3D" w:rsidRPr="00603340" w:rsidRDefault="00E37D3D" w:rsidP="00E37D3D">
      <w:pPr>
        <w:spacing w:line="360" w:lineRule="auto"/>
        <w:rPr>
          <w:rFonts w:ascii="Arial" w:hAnsi="Arial" w:cs="Arial"/>
          <w:sz w:val="22"/>
        </w:rPr>
      </w:pPr>
      <w:r w:rsidRPr="00603340">
        <w:rPr>
          <w:rFonts w:ascii="Arial" w:hAnsi="Arial" w:cs="Arial"/>
          <w:sz w:val="22"/>
        </w:rPr>
        <w:t>In conclusion, the role of the social worker is essential for maintaining safety, protecting rights, and upholding dignity within the United Kingdom’s health and social care system. This report has demonstrated that communication, empathy, and critical reflection constitute the three foundational pillars of effective practice, each supported by evidence</w:t>
      </w:r>
      <w:r w:rsidRPr="00603340">
        <w:rPr>
          <w:rFonts w:ascii="Cambria Math" w:hAnsi="Cambria Math" w:cs="Cambria Math"/>
          <w:sz w:val="22"/>
        </w:rPr>
        <w:t>‑</w:t>
      </w:r>
      <w:r w:rsidRPr="00603340">
        <w:rPr>
          <w:rFonts w:ascii="Arial" w:hAnsi="Arial" w:cs="Arial"/>
          <w:sz w:val="22"/>
        </w:rPr>
        <w:t>based strategies for professional development. The analysis further indicates that the absence of these skills poses significant risks to service</w:t>
      </w:r>
      <w:r w:rsidRPr="00603340">
        <w:rPr>
          <w:rFonts w:ascii="Cambria Math" w:hAnsi="Cambria Math" w:cs="Cambria Math"/>
          <w:sz w:val="22"/>
        </w:rPr>
        <w:t>‑</w:t>
      </w:r>
      <w:r w:rsidRPr="00603340">
        <w:rPr>
          <w:rFonts w:ascii="Arial" w:hAnsi="Arial" w:cs="Arial"/>
          <w:sz w:val="22"/>
        </w:rPr>
        <w:t>user safety, a concern consistently highlighted in national professional standards and reviews of historical safeguarding failures. Ultimately, a commitment to continuous professional development and the consistent application of these strategies enables social workers to safeguard vulnerable populations and deliver high</w:t>
      </w:r>
      <w:r w:rsidRPr="00603340">
        <w:rPr>
          <w:rFonts w:ascii="Cambria Math" w:hAnsi="Cambria Math" w:cs="Cambria Math"/>
          <w:sz w:val="22"/>
        </w:rPr>
        <w:t>‑</w:t>
      </w:r>
      <w:r w:rsidRPr="00603340">
        <w:rPr>
          <w:rFonts w:ascii="Arial" w:hAnsi="Arial" w:cs="Arial"/>
          <w:sz w:val="22"/>
        </w:rPr>
        <w:t>quality, ethically grounded care.</w:t>
      </w:r>
    </w:p>
    <w:p w14:paraId="7E9BDF63" w14:textId="3CD5C83C" w:rsidR="00C64012" w:rsidRDefault="00C64012">
      <w:pPr>
        <w:rPr>
          <w:rFonts w:eastAsiaTheme="majorEastAsia" w:cstheme="majorBidi"/>
          <w:color w:val="4471C4"/>
          <w:sz w:val="28"/>
          <w:szCs w:val="26"/>
        </w:rPr>
      </w:pPr>
    </w:p>
    <w:p w14:paraId="7EFF3336" w14:textId="77777777" w:rsidR="00C64012" w:rsidRDefault="00C64012">
      <w:pPr>
        <w:rPr>
          <w:rFonts w:eastAsiaTheme="majorEastAsia" w:cstheme="majorBidi"/>
          <w:color w:val="4471C4"/>
          <w:sz w:val="28"/>
          <w:szCs w:val="26"/>
        </w:rPr>
      </w:pPr>
      <w:r>
        <w:rPr>
          <w:color w:val="4471C4"/>
        </w:rPr>
        <w:br w:type="page"/>
      </w:r>
    </w:p>
    <w:p w14:paraId="6C4B494D" w14:textId="706F7598" w:rsidR="00226D31" w:rsidRDefault="00226D31" w:rsidP="0156E134">
      <w:pPr>
        <w:pStyle w:val="Heading2"/>
        <w:rPr>
          <w:color w:val="4471C4"/>
        </w:rPr>
      </w:pPr>
      <w:bookmarkStart w:id="7" w:name="_Toc226802402"/>
      <w:r w:rsidRPr="0CF501EC">
        <w:rPr>
          <w:color w:val="4471C4"/>
        </w:rPr>
        <w:lastRenderedPageBreak/>
        <w:t>5 Reference List</w:t>
      </w:r>
      <w:bookmarkEnd w:id="7"/>
    </w:p>
    <w:p w14:paraId="4203E4F2" w14:textId="77777777" w:rsidR="00466AC1" w:rsidRPr="00466AC1" w:rsidRDefault="00466AC1" w:rsidP="00376609">
      <w:pPr>
        <w:spacing w:line="360" w:lineRule="auto"/>
      </w:pPr>
    </w:p>
    <w:p w14:paraId="740E1193" w14:textId="77777777" w:rsidR="00466AC1" w:rsidRPr="00C64012" w:rsidRDefault="00466AC1" w:rsidP="00C64012">
      <w:pPr>
        <w:spacing w:line="360" w:lineRule="auto"/>
        <w:rPr>
          <w:rFonts w:ascii="Arial" w:hAnsi="Arial" w:cs="Arial"/>
          <w:color w:val="000000" w:themeColor="text1"/>
          <w:sz w:val="22"/>
        </w:rPr>
      </w:pPr>
      <w:r w:rsidRPr="00C64012">
        <w:rPr>
          <w:rFonts w:ascii="Arial" w:hAnsi="Arial" w:cs="Arial"/>
          <w:color w:val="000000" w:themeColor="text1"/>
          <w:sz w:val="22"/>
        </w:rPr>
        <w:t xml:space="preserve">BASW, (2021). </w:t>
      </w:r>
      <w:r w:rsidRPr="00806834">
        <w:rPr>
          <w:rFonts w:ascii="Arial" w:hAnsi="Arial" w:cs="Arial"/>
          <w:i/>
          <w:iCs/>
          <w:color w:val="000000" w:themeColor="text1"/>
          <w:sz w:val="22"/>
        </w:rPr>
        <w:t>The Code of Ethics for Social Work</w:t>
      </w:r>
      <w:r w:rsidRPr="00C64012">
        <w:rPr>
          <w:rFonts w:ascii="Arial" w:hAnsi="Arial" w:cs="Arial"/>
          <w:color w:val="000000" w:themeColor="text1"/>
          <w:sz w:val="22"/>
        </w:rPr>
        <w:t>. Birmingham: British Association of Social Workers.</w:t>
      </w:r>
    </w:p>
    <w:p w14:paraId="5AC52E3C" w14:textId="77777777" w:rsidR="00466AC1" w:rsidRPr="00C64012" w:rsidRDefault="00466AC1" w:rsidP="00C64012">
      <w:pPr>
        <w:spacing w:line="360" w:lineRule="auto"/>
        <w:rPr>
          <w:rFonts w:ascii="Arial" w:hAnsi="Arial" w:cs="Arial"/>
          <w:color w:val="000000" w:themeColor="text1"/>
          <w:sz w:val="22"/>
        </w:rPr>
      </w:pPr>
      <w:r w:rsidRPr="00C64012">
        <w:rPr>
          <w:rFonts w:ascii="Arial" w:hAnsi="Arial" w:cs="Arial"/>
          <w:color w:val="000000" w:themeColor="text1"/>
          <w:sz w:val="22"/>
        </w:rPr>
        <w:t xml:space="preserve">Department for Education, (2023). </w:t>
      </w:r>
      <w:r w:rsidRPr="00806834">
        <w:rPr>
          <w:rFonts w:ascii="Arial" w:hAnsi="Arial" w:cs="Arial"/>
          <w:i/>
          <w:iCs/>
          <w:color w:val="000000" w:themeColor="text1"/>
          <w:sz w:val="22"/>
        </w:rPr>
        <w:t>Working Together to Safeguard Children: A guide to multi-agency working to help, protect and promote the welfare of children</w:t>
      </w:r>
      <w:r w:rsidRPr="00C64012">
        <w:rPr>
          <w:rFonts w:ascii="Arial" w:hAnsi="Arial" w:cs="Arial"/>
          <w:color w:val="000000" w:themeColor="text1"/>
          <w:sz w:val="22"/>
        </w:rPr>
        <w:t>. London: HM Government.</w:t>
      </w:r>
    </w:p>
    <w:p w14:paraId="598B9B1F" w14:textId="77777777" w:rsidR="00466AC1" w:rsidRPr="00C64012" w:rsidRDefault="00466AC1" w:rsidP="00C64012">
      <w:pPr>
        <w:spacing w:line="360" w:lineRule="auto"/>
        <w:rPr>
          <w:rFonts w:ascii="Arial" w:hAnsi="Arial" w:cs="Arial"/>
          <w:color w:val="000000" w:themeColor="text1"/>
          <w:sz w:val="22"/>
        </w:rPr>
      </w:pPr>
      <w:r w:rsidRPr="00C64012">
        <w:rPr>
          <w:rFonts w:ascii="Arial" w:hAnsi="Arial" w:cs="Arial"/>
          <w:color w:val="000000" w:themeColor="text1"/>
          <w:sz w:val="22"/>
        </w:rPr>
        <w:t xml:space="preserve">Lomax, R. (2022). </w:t>
      </w:r>
      <w:r w:rsidRPr="00806834">
        <w:rPr>
          <w:rFonts w:ascii="Arial" w:hAnsi="Arial" w:cs="Arial"/>
          <w:i/>
          <w:iCs/>
          <w:color w:val="000000" w:themeColor="text1"/>
          <w:sz w:val="22"/>
        </w:rPr>
        <w:t>Service User and Carer Involvement in Social Work</w:t>
      </w:r>
      <w:r w:rsidRPr="00C64012">
        <w:rPr>
          <w:rFonts w:ascii="Arial" w:hAnsi="Arial" w:cs="Arial"/>
          <w:color w:val="000000" w:themeColor="text1"/>
          <w:sz w:val="22"/>
        </w:rPr>
        <w:t>. 2nd edn. London: Learning Matters.</w:t>
      </w:r>
    </w:p>
    <w:p w14:paraId="5BCAE09B" w14:textId="77777777" w:rsidR="00466AC1" w:rsidRPr="00C64012" w:rsidRDefault="00466AC1" w:rsidP="00C64012">
      <w:pPr>
        <w:spacing w:line="360" w:lineRule="auto"/>
        <w:rPr>
          <w:rFonts w:ascii="Arial" w:hAnsi="Arial" w:cs="Arial"/>
          <w:color w:val="000000" w:themeColor="text1"/>
          <w:sz w:val="22"/>
        </w:rPr>
      </w:pPr>
      <w:r w:rsidRPr="00C64012">
        <w:rPr>
          <w:rFonts w:ascii="Arial" w:hAnsi="Arial" w:cs="Arial"/>
          <w:color w:val="000000" w:themeColor="text1"/>
          <w:sz w:val="22"/>
        </w:rPr>
        <w:t xml:space="preserve">Social Work England, (2023). </w:t>
      </w:r>
      <w:r w:rsidRPr="00806834">
        <w:rPr>
          <w:rFonts w:ascii="Arial" w:hAnsi="Arial" w:cs="Arial"/>
          <w:i/>
          <w:iCs/>
          <w:color w:val="000000" w:themeColor="text1"/>
          <w:sz w:val="22"/>
        </w:rPr>
        <w:t>Professional Standards and CPD guidance.</w:t>
      </w:r>
      <w:r w:rsidRPr="00C64012">
        <w:rPr>
          <w:rFonts w:ascii="Arial" w:hAnsi="Arial" w:cs="Arial"/>
          <w:color w:val="000000" w:themeColor="text1"/>
          <w:sz w:val="22"/>
        </w:rPr>
        <w:t xml:space="preserve"> Sheffield: Social Work England.</w:t>
      </w:r>
    </w:p>
    <w:p w14:paraId="1D0F2D59" w14:textId="45ADD2CB" w:rsidR="004552CE" w:rsidRPr="00C64012" w:rsidRDefault="00466AC1" w:rsidP="00C64012">
      <w:pPr>
        <w:spacing w:line="360" w:lineRule="auto"/>
        <w:rPr>
          <w:rFonts w:ascii="Arial" w:hAnsi="Arial" w:cs="Arial"/>
          <w:color w:val="000000" w:themeColor="text1"/>
          <w:sz w:val="22"/>
        </w:rPr>
      </w:pPr>
      <w:r w:rsidRPr="00C64012">
        <w:rPr>
          <w:rFonts w:ascii="Arial" w:hAnsi="Arial" w:cs="Arial"/>
          <w:color w:val="000000" w:themeColor="text1"/>
          <w:sz w:val="22"/>
        </w:rPr>
        <w:t>Thompson, N. (202</w:t>
      </w:r>
      <w:r w:rsidR="00C72B9E">
        <w:rPr>
          <w:rFonts w:ascii="Arial" w:hAnsi="Arial" w:cs="Arial"/>
          <w:color w:val="000000" w:themeColor="text1"/>
          <w:sz w:val="22"/>
        </w:rPr>
        <w:t>0</w:t>
      </w:r>
      <w:r w:rsidRPr="00C64012">
        <w:rPr>
          <w:rFonts w:ascii="Arial" w:hAnsi="Arial" w:cs="Arial"/>
          <w:color w:val="000000" w:themeColor="text1"/>
          <w:sz w:val="22"/>
        </w:rPr>
        <w:t xml:space="preserve">). </w:t>
      </w:r>
      <w:r w:rsidRPr="007B181D">
        <w:rPr>
          <w:rFonts w:ascii="Arial" w:hAnsi="Arial" w:cs="Arial"/>
          <w:i/>
          <w:iCs/>
          <w:color w:val="000000" w:themeColor="text1"/>
          <w:sz w:val="22"/>
        </w:rPr>
        <w:t>Understanding Social Work: Preparing for Practice</w:t>
      </w:r>
      <w:r w:rsidRPr="00C64012">
        <w:rPr>
          <w:rFonts w:ascii="Arial" w:hAnsi="Arial" w:cs="Arial"/>
          <w:color w:val="000000" w:themeColor="text1"/>
          <w:sz w:val="22"/>
        </w:rPr>
        <w:t>. 5th edn. London: Bloomsbury Academic.</w:t>
      </w:r>
    </w:p>
    <w:sectPr w:rsidR="004552CE" w:rsidRPr="00C64012"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13A762" w14:textId="77777777" w:rsidR="00F8198C" w:rsidRDefault="00F8198C" w:rsidP="003C7C97">
      <w:pPr>
        <w:spacing w:after="0" w:line="240" w:lineRule="auto"/>
      </w:pPr>
      <w:r>
        <w:separator/>
      </w:r>
    </w:p>
  </w:endnote>
  <w:endnote w:type="continuationSeparator" w:id="0">
    <w:p w14:paraId="1A92EE3D" w14:textId="77777777" w:rsidR="00F8198C" w:rsidRDefault="00F8198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7776EE" w14:textId="77777777" w:rsidR="00F8198C" w:rsidRDefault="00F8198C" w:rsidP="003C7C97">
      <w:pPr>
        <w:spacing w:after="0" w:line="240" w:lineRule="auto"/>
      </w:pPr>
      <w:r>
        <w:separator/>
      </w:r>
    </w:p>
  </w:footnote>
  <w:footnote w:type="continuationSeparator" w:id="0">
    <w:p w14:paraId="2BE9A4C7" w14:textId="77777777" w:rsidR="00F8198C" w:rsidRDefault="00F8198C"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A2A2C8C6"/>
    <w:lvl w:ilvl="0" w:tplc="F2B24816">
      <w:start w:val="1"/>
      <w:numFmt w:val="bullet"/>
      <w:lvlText w:val=""/>
      <w:lvlJc w:val="left"/>
      <w:pPr>
        <w:ind w:left="720" w:hanging="360"/>
      </w:pPr>
      <w:rPr>
        <w:rFonts w:ascii="Symbol" w:hAnsi="Symbol" w:hint="default"/>
      </w:rPr>
    </w:lvl>
    <w:lvl w:ilvl="1" w:tplc="0492CDA6">
      <w:start w:val="1"/>
      <w:numFmt w:val="bullet"/>
      <w:lvlText w:val="o"/>
      <w:lvlJc w:val="left"/>
      <w:pPr>
        <w:ind w:left="1440" w:hanging="360"/>
      </w:pPr>
      <w:rPr>
        <w:rFonts w:ascii="Courier New" w:hAnsi="Courier New" w:hint="default"/>
      </w:rPr>
    </w:lvl>
    <w:lvl w:ilvl="2" w:tplc="F81CF224">
      <w:start w:val="1"/>
      <w:numFmt w:val="bullet"/>
      <w:lvlText w:val=""/>
      <w:lvlJc w:val="left"/>
      <w:pPr>
        <w:ind w:left="2160" w:hanging="360"/>
      </w:pPr>
      <w:rPr>
        <w:rFonts w:ascii="Wingdings" w:hAnsi="Wingdings" w:hint="default"/>
      </w:rPr>
    </w:lvl>
    <w:lvl w:ilvl="3" w:tplc="D9B6B73A">
      <w:start w:val="1"/>
      <w:numFmt w:val="bullet"/>
      <w:lvlText w:val=""/>
      <w:lvlJc w:val="left"/>
      <w:pPr>
        <w:ind w:left="2880" w:hanging="360"/>
      </w:pPr>
      <w:rPr>
        <w:rFonts w:ascii="Symbol" w:hAnsi="Symbol" w:hint="default"/>
      </w:rPr>
    </w:lvl>
    <w:lvl w:ilvl="4" w:tplc="D9008750">
      <w:start w:val="1"/>
      <w:numFmt w:val="bullet"/>
      <w:lvlText w:val="o"/>
      <w:lvlJc w:val="left"/>
      <w:pPr>
        <w:ind w:left="3600" w:hanging="360"/>
      </w:pPr>
      <w:rPr>
        <w:rFonts w:ascii="Courier New" w:hAnsi="Courier New" w:hint="default"/>
      </w:rPr>
    </w:lvl>
    <w:lvl w:ilvl="5" w:tplc="8580DE92">
      <w:start w:val="1"/>
      <w:numFmt w:val="bullet"/>
      <w:lvlText w:val=""/>
      <w:lvlJc w:val="left"/>
      <w:pPr>
        <w:ind w:left="4320" w:hanging="360"/>
      </w:pPr>
      <w:rPr>
        <w:rFonts w:ascii="Wingdings" w:hAnsi="Wingdings" w:hint="default"/>
      </w:rPr>
    </w:lvl>
    <w:lvl w:ilvl="6" w:tplc="3A0892B4">
      <w:start w:val="1"/>
      <w:numFmt w:val="bullet"/>
      <w:lvlText w:val=""/>
      <w:lvlJc w:val="left"/>
      <w:pPr>
        <w:ind w:left="5040" w:hanging="360"/>
      </w:pPr>
      <w:rPr>
        <w:rFonts w:ascii="Symbol" w:hAnsi="Symbol" w:hint="default"/>
      </w:rPr>
    </w:lvl>
    <w:lvl w:ilvl="7" w:tplc="8B7EE94A">
      <w:start w:val="1"/>
      <w:numFmt w:val="bullet"/>
      <w:lvlText w:val="o"/>
      <w:lvlJc w:val="left"/>
      <w:pPr>
        <w:ind w:left="5760" w:hanging="360"/>
      </w:pPr>
      <w:rPr>
        <w:rFonts w:ascii="Courier New" w:hAnsi="Courier New" w:hint="default"/>
      </w:rPr>
    </w:lvl>
    <w:lvl w:ilvl="8" w:tplc="6BBA5C34">
      <w:start w:val="1"/>
      <w:numFmt w:val="bullet"/>
      <w:lvlText w:val=""/>
      <w:lvlJc w:val="left"/>
      <w:pPr>
        <w:ind w:left="6480" w:hanging="360"/>
      </w:pPr>
      <w:rPr>
        <w:rFonts w:ascii="Wingdings" w:hAnsi="Wingdings" w:hint="default"/>
      </w:rPr>
    </w:lvl>
  </w:abstractNum>
  <w:abstractNum w:abstractNumId="2" w15:restartNumberingAfterBreak="0">
    <w:nsid w:val="0A2429A6"/>
    <w:multiLevelType w:val="hybridMultilevel"/>
    <w:tmpl w:val="59744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6B9E28FE"/>
    <w:lvl w:ilvl="0" w:tplc="177670C6">
      <w:start w:val="1"/>
      <w:numFmt w:val="bullet"/>
      <w:lvlText w:val=""/>
      <w:lvlJc w:val="left"/>
      <w:pPr>
        <w:ind w:left="720" w:hanging="360"/>
      </w:pPr>
      <w:rPr>
        <w:rFonts w:ascii="Symbol" w:hAnsi="Symbol" w:hint="default"/>
      </w:rPr>
    </w:lvl>
    <w:lvl w:ilvl="1" w:tplc="B4D60E96">
      <w:start w:val="1"/>
      <w:numFmt w:val="bullet"/>
      <w:lvlText w:val="o"/>
      <w:lvlJc w:val="left"/>
      <w:pPr>
        <w:ind w:left="1440" w:hanging="360"/>
      </w:pPr>
      <w:rPr>
        <w:rFonts w:ascii="Courier New" w:hAnsi="Courier New" w:hint="default"/>
      </w:rPr>
    </w:lvl>
    <w:lvl w:ilvl="2" w:tplc="E9AE5EFC">
      <w:start w:val="1"/>
      <w:numFmt w:val="bullet"/>
      <w:lvlText w:val=""/>
      <w:lvlJc w:val="left"/>
      <w:pPr>
        <w:ind w:left="2160" w:hanging="360"/>
      </w:pPr>
      <w:rPr>
        <w:rFonts w:ascii="Wingdings" w:hAnsi="Wingdings" w:hint="default"/>
      </w:rPr>
    </w:lvl>
    <w:lvl w:ilvl="3" w:tplc="59D01694">
      <w:start w:val="1"/>
      <w:numFmt w:val="bullet"/>
      <w:lvlText w:val=""/>
      <w:lvlJc w:val="left"/>
      <w:pPr>
        <w:ind w:left="2880" w:hanging="360"/>
      </w:pPr>
      <w:rPr>
        <w:rFonts w:ascii="Symbol" w:hAnsi="Symbol" w:hint="default"/>
      </w:rPr>
    </w:lvl>
    <w:lvl w:ilvl="4" w:tplc="6EEA6EF6">
      <w:start w:val="1"/>
      <w:numFmt w:val="bullet"/>
      <w:lvlText w:val="o"/>
      <w:lvlJc w:val="left"/>
      <w:pPr>
        <w:ind w:left="3600" w:hanging="360"/>
      </w:pPr>
      <w:rPr>
        <w:rFonts w:ascii="Courier New" w:hAnsi="Courier New" w:hint="default"/>
      </w:rPr>
    </w:lvl>
    <w:lvl w:ilvl="5" w:tplc="35E647D0">
      <w:start w:val="1"/>
      <w:numFmt w:val="bullet"/>
      <w:lvlText w:val=""/>
      <w:lvlJc w:val="left"/>
      <w:pPr>
        <w:ind w:left="4320" w:hanging="360"/>
      </w:pPr>
      <w:rPr>
        <w:rFonts w:ascii="Wingdings" w:hAnsi="Wingdings" w:hint="default"/>
      </w:rPr>
    </w:lvl>
    <w:lvl w:ilvl="6" w:tplc="82B87582">
      <w:start w:val="1"/>
      <w:numFmt w:val="bullet"/>
      <w:lvlText w:val=""/>
      <w:lvlJc w:val="left"/>
      <w:pPr>
        <w:ind w:left="5040" w:hanging="360"/>
      </w:pPr>
      <w:rPr>
        <w:rFonts w:ascii="Symbol" w:hAnsi="Symbol" w:hint="default"/>
      </w:rPr>
    </w:lvl>
    <w:lvl w:ilvl="7" w:tplc="8E2CBE54">
      <w:start w:val="1"/>
      <w:numFmt w:val="bullet"/>
      <w:lvlText w:val="o"/>
      <w:lvlJc w:val="left"/>
      <w:pPr>
        <w:ind w:left="5760" w:hanging="360"/>
      </w:pPr>
      <w:rPr>
        <w:rFonts w:ascii="Courier New" w:hAnsi="Courier New" w:hint="default"/>
      </w:rPr>
    </w:lvl>
    <w:lvl w:ilvl="8" w:tplc="48229304">
      <w:start w:val="1"/>
      <w:numFmt w:val="bullet"/>
      <w:lvlText w:val=""/>
      <w:lvlJc w:val="left"/>
      <w:pPr>
        <w:ind w:left="6480" w:hanging="360"/>
      </w:pPr>
      <w:rPr>
        <w:rFonts w:ascii="Wingdings" w:hAnsi="Wingdings" w:hint="default"/>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2E56EC00"/>
    <w:lvl w:ilvl="0" w:tplc="45B8F916">
      <w:start w:val="1"/>
      <w:numFmt w:val="bullet"/>
      <w:lvlText w:val=""/>
      <w:lvlJc w:val="left"/>
      <w:pPr>
        <w:ind w:left="720" w:hanging="360"/>
      </w:pPr>
      <w:rPr>
        <w:rFonts w:ascii="Symbol" w:hAnsi="Symbol" w:hint="default"/>
      </w:rPr>
    </w:lvl>
    <w:lvl w:ilvl="1" w:tplc="5D7CCD14">
      <w:start w:val="1"/>
      <w:numFmt w:val="bullet"/>
      <w:lvlText w:val="o"/>
      <w:lvlJc w:val="left"/>
      <w:pPr>
        <w:ind w:left="1440" w:hanging="360"/>
      </w:pPr>
      <w:rPr>
        <w:rFonts w:ascii="Courier New" w:hAnsi="Courier New" w:hint="default"/>
      </w:rPr>
    </w:lvl>
    <w:lvl w:ilvl="2" w:tplc="130E846E">
      <w:start w:val="1"/>
      <w:numFmt w:val="bullet"/>
      <w:lvlText w:val=""/>
      <w:lvlJc w:val="left"/>
      <w:pPr>
        <w:ind w:left="2160" w:hanging="360"/>
      </w:pPr>
      <w:rPr>
        <w:rFonts w:ascii="Wingdings" w:hAnsi="Wingdings" w:hint="default"/>
      </w:rPr>
    </w:lvl>
    <w:lvl w:ilvl="3" w:tplc="E746EF4A">
      <w:start w:val="1"/>
      <w:numFmt w:val="bullet"/>
      <w:lvlText w:val=""/>
      <w:lvlJc w:val="left"/>
      <w:pPr>
        <w:ind w:left="2880" w:hanging="360"/>
      </w:pPr>
      <w:rPr>
        <w:rFonts w:ascii="Symbol" w:hAnsi="Symbol" w:hint="default"/>
      </w:rPr>
    </w:lvl>
    <w:lvl w:ilvl="4" w:tplc="82CEB0DC">
      <w:start w:val="1"/>
      <w:numFmt w:val="bullet"/>
      <w:lvlText w:val="o"/>
      <w:lvlJc w:val="left"/>
      <w:pPr>
        <w:ind w:left="3600" w:hanging="360"/>
      </w:pPr>
      <w:rPr>
        <w:rFonts w:ascii="Courier New" w:hAnsi="Courier New" w:hint="default"/>
      </w:rPr>
    </w:lvl>
    <w:lvl w:ilvl="5" w:tplc="816808EC">
      <w:start w:val="1"/>
      <w:numFmt w:val="bullet"/>
      <w:lvlText w:val=""/>
      <w:lvlJc w:val="left"/>
      <w:pPr>
        <w:ind w:left="4320" w:hanging="360"/>
      </w:pPr>
      <w:rPr>
        <w:rFonts w:ascii="Wingdings" w:hAnsi="Wingdings" w:hint="default"/>
      </w:rPr>
    </w:lvl>
    <w:lvl w:ilvl="6" w:tplc="8A7C301C">
      <w:start w:val="1"/>
      <w:numFmt w:val="bullet"/>
      <w:lvlText w:val=""/>
      <w:lvlJc w:val="left"/>
      <w:pPr>
        <w:ind w:left="5040" w:hanging="360"/>
      </w:pPr>
      <w:rPr>
        <w:rFonts w:ascii="Symbol" w:hAnsi="Symbol" w:hint="default"/>
      </w:rPr>
    </w:lvl>
    <w:lvl w:ilvl="7" w:tplc="1110088C">
      <w:start w:val="1"/>
      <w:numFmt w:val="bullet"/>
      <w:lvlText w:val="o"/>
      <w:lvlJc w:val="left"/>
      <w:pPr>
        <w:ind w:left="5760" w:hanging="360"/>
      </w:pPr>
      <w:rPr>
        <w:rFonts w:ascii="Courier New" w:hAnsi="Courier New" w:hint="default"/>
      </w:rPr>
    </w:lvl>
    <w:lvl w:ilvl="8" w:tplc="42E01C9E">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1CA087F0"/>
    <w:lvl w:ilvl="0" w:tplc="86B2D634">
      <w:start w:val="1"/>
      <w:numFmt w:val="bullet"/>
      <w:lvlText w:val=""/>
      <w:lvlJc w:val="left"/>
      <w:pPr>
        <w:ind w:left="720" w:hanging="360"/>
      </w:pPr>
      <w:rPr>
        <w:rFonts w:ascii="Symbol" w:hAnsi="Symbol" w:hint="default"/>
      </w:rPr>
    </w:lvl>
    <w:lvl w:ilvl="1" w:tplc="38B86BFC">
      <w:start w:val="1"/>
      <w:numFmt w:val="bullet"/>
      <w:lvlText w:val="o"/>
      <w:lvlJc w:val="left"/>
      <w:pPr>
        <w:ind w:left="1440" w:hanging="360"/>
      </w:pPr>
      <w:rPr>
        <w:rFonts w:ascii="Courier New" w:hAnsi="Courier New" w:hint="default"/>
      </w:rPr>
    </w:lvl>
    <w:lvl w:ilvl="2" w:tplc="0420BE96">
      <w:start w:val="1"/>
      <w:numFmt w:val="bullet"/>
      <w:lvlText w:val=""/>
      <w:lvlJc w:val="left"/>
      <w:pPr>
        <w:ind w:left="2160" w:hanging="360"/>
      </w:pPr>
      <w:rPr>
        <w:rFonts w:ascii="Wingdings" w:hAnsi="Wingdings" w:hint="default"/>
      </w:rPr>
    </w:lvl>
    <w:lvl w:ilvl="3" w:tplc="FE4EA882">
      <w:start w:val="1"/>
      <w:numFmt w:val="bullet"/>
      <w:lvlText w:val=""/>
      <w:lvlJc w:val="left"/>
      <w:pPr>
        <w:ind w:left="2880" w:hanging="360"/>
      </w:pPr>
      <w:rPr>
        <w:rFonts w:ascii="Symbol" w:hAnsi="Symbol" w:hint="default"/>
      </w:rPr>
    </w:lvl>
    <w:lvl w:ilvl="4" w:tplc="FC804C54">
      <w:start w:val="1"/>
      <w:numFmt w:val="bullet"/>
      <w:lvlText w:val="o"/>
      <w:lvlJc w:val="left"/>
      <w:pPr>
        <w:ind w:left="3600" w:hanging="360"/>
      </w:pPr>
      <w:rPr>
        <w:rFonts w:ascii="Courier New" w:hAnsi="Courier New" w:hint="default"/>
      </w:rPr>
    </w:lvl>
    <w:lvl w:ilvl="5" w:tplc="B0DA2D8A">
      <w:start w:val="1"/>
      <w:numFmt w:val="bullet"/>
      <w:lvlText w:val=""/>
      <w:lvlJc w:val="left"/>
      <w:pPr>
        <w:ind w:left="4320" w:hanging="360"/>
      </w:pPr>
      <w:rPr>
        <w:rFonts w:ascii="Wingdings" w:hAnsi="Wingdings" w:hint="default"/>
      </w:rPr>
    </w:lvl>
    <w:lvl w:ilvl="6" w:tplc="88CEB37C">
      <w:start w:val="1"/>
      <w:numFmt w:val="bullet"/>
      <w:lvlText w:val=""/>
      <w:lvlJc w:val="left"/>
      <w:pPr>
        <w:ind w:left="5040" w:hanging="360"/>
      </w:pPr>
      <w:rPr>
        <w:rFonts w:ascii="Symbol" w:hAnsi="Symbol" w:hint="default"/>
      </w:rPr>
    </w:lvl>
    <w:lvl w:ilvl="7" w:tplc="4B9857AC">
      <w:start w:val="1"/>
      <w:numFmt w:val="bullet"/>
      <w:lvlText w:val="o"/>
      <w:lvlJc w:val="left"/>
      <w:pPr>
        <w:ind w:left="5760" w:hanging="360"/>
      </w:pPr>
      <w:rPr>
        <w:rFonts w:ascii="Courier New" w:hAnsi="Courier New" w:hint="default"/>
      </w:rPr>
    </w:lvl>
    <w:lvl w:ilvl="8" w:tplc="DCA67388">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79704300"/>
    <w:lvl w:ilvl="0" w:tplc="ADF08388">
      <w:start w:val="1"/>
      <w:numFmt w:val="bullet"/>
      <w:lvlText w:val=""/>
      <w:lvlJc w:val="left"/>
      <w:pPr>
        <w:ind w:left="720" w:hanging="360"/>
      </w:pPr>
      <w:rPr>
        <w:rFonts w:ascii="Symbol" w:hAnsi="Symbol" w:hint="default"/>
      </w:rPr>
    </w:lvl>
    <w:lvl w:ilvl="1" w:tplc="89924FDA">
      <w:start w:val="1"/>
      <w:numFmt w:val="bullet"/>
      <w:lvlText w:val="o"/>
      <w:lvlJc w:val="left"/>
      <w:pPr>
        <w:ind w:left="1440" w:hanging="360"/>
      </w:pPr>
      <w:rPr>
        <w:rFonts w:ascii="Courier New" w:hAnsi="Courier New" w:hint="default"/>
      </w:rPr>
    </w:lvl>
    <w:lvl w:ilvl="2" w:tplc="F8AA4F22">
      <w:start w:val="1"/>
      <w:numFmt w:val="bullet"/>
      <w:lvlText w:val=""/>
      <w:lvlJc w:val="left"/>
      <w:pPr>
        <w:ind w:left="2160" w:hanging="360"/>
      </w:pPr>
      <w:rPr>
        <w:rFonts w:ascii="Wingdings" w:hAnsi="Wingdings" w:hint="default"/>
      </w:rPr>
    </w:lvl>
    <w:lvl w:ilvl="3" w:tplc="4AF06D54">
      <w:start w:val="1"/>
      <w:numFmt w:val="bullet"/>
      <w:lvlText w:val=""/>
      <w:lvlJc w:val="left"/>
      <w:pPr>
        <w:ind w:left="2880" w:hanging="360"/>
      </w:pPr>
      <w:rPr>
        <w:rFonts w:ascii="Symbol" w:hAnsi="Symbol" w:hint="default"/>
      </w:rPr>
    </w:lvl>
    <w:lvl w:ilvl="4" w:tplc="A1DE4A5C">
      <w:start w:val="1"/>
      <w:numFmt w:val="bullet"/>
      <w:lvlText w:val="o"/>
      <w:lvlJc w:val="left"/>
      <w:pPr>
        <w:ind w:left="3600" w:hanging="360"/>
      </w:pPr>
      <w:rPr>
        <w:rFonts w:ascii="Courier New" w:hAnsi="Courier New" w:hint="default"/>
      </w:rPr>
    </w:lvl>
    <w:lvl w:ilvl="5" w:tplc="11C03A60">
      <w:start w:val="1"/>
      <w:numFmt w:val="bullet"/>
      <w:lvlText w:val=""/>
      <w:lvlJc w:val="left"/>
      <w:pPr>
        <w:ind w:left="4320" w:hanging="360"/>
      </w:pPr>
      <w:rPr>
        <w:rFonts w:ascii="Wingdings" w:hAnsi="Wingdings" w:hint="default"/>
      </w:rPr>
    </w:lvl>
    <w:lvl w:ilvl="6" w:tplc="032AB2F0">
      <w:start w:val="1"/>
      <w:numFmt w:val="bullet"/>
      <w:lvlText w:val=""/>
      <w:lvlJc w:val="left"/>
      <w:pPr>
        <w:ind w:left="5040" w:hanging="360"/>
      </w:pPr>
      <w:rPr>
        <w:rFonts w:ascii="Symbol" w:hAnsi="Symbol" w:hint="default"/>
      </w:rPr>
    </w:lvl>
    <w:lvl w:ilvl="7" w:tplc="35A2E690">
      <w:start w:val="1"/>
      <w:numFmt w:val="bullet"/>
      <w:lvlText w:val="o"/>
      <w:lvlJc w:val="left"/>
      <w:pPr>
        <w:ind w:left="5760" w:hanging="360"/>
      </w:pPr>
      <w:rPr>
        <w:rFonts w:ascii="Courier New" w:hAnsi="Courier New" w:hint="default"/>
      </w:rPr>
    </w:lvl>
    <w:lvl w:ilvl="8" w:tplc="D50A9060">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D3E477F8"/>
    <w:lvl w:ilvl="0" w:tplc="C0502EEE">
      <w:start w:val="1"/>
      <w:numFmt w:val="bullet"/>
      <w:lvlText w:val=""/>
      <w:lvlJc w:val="left"/>
      <w:pPr>
        <w:ind w:left="720" w:hanging="360"/>
      </w:pPr>
      <w:rPr>
        <w:rFonts w:ascii="Symbol" w:hAnsi="Symbol" w:hint="default"/>
      </w:rPr>
    </w:lvl>
    <w:lvl w:ilvl="1" w:tplc="A51C8CC6">
      <w:start w:val="1"/>
      <w:numFmt w:val="bullet"/>
      <w:lvlText w:val="o"/>
      <w:lvlJc w:val="left"/>
      <w:pPr>
        <w:ind w:left="1440" w:hanging="360"/>
      </w:pPr>
      <w:rPr>
        <w:rFonts w:ascii="Courier New" w:hAnsi="Courier New" w:hint="default"/>
      </w:rPr>
    </w:lvl>
    <w:lvl w:ilvl="2" w:tplc="331AB348">
      <w:start w:val="1"/>
      <w:numFmt w:val="bullet"/>
      <w:lvlText w:val=""/>
      <w:lvlJc w:val="left"/>
      <w:pPr>
        <w:ind w:left="2160" w:hanging="360"/>
      </w:pPr>
      <w:rPr>
        <w:rFonts w:ascii="Wingdings" w:hAnsi="Wingdings" w:hint="default"/>
      </w:rPr>
    </w:lvl>
    <w:lvl w:ilvl="3" w:tplc="4648B078">
      <w:start w:val="1"/>
      <w:numFmt w:val="bullet"/>
      <w:lvlText w:val=""/>
      <w:lvlJc w:val="left"/>
      <w:pPr>
        <w:ind w:left="2880" w:hanging="360"/>
      </w:pPr>
      <w:rPr>
        <w:rFonts w:ascii="Symbol" w:hAnsi="Symbol" w:hint="default"/>
      </w:rPr>
    </w:lvl>
    <w:lvl w:ilvl="4" w:tplc="664A953E">
      <w:start w:val="1"/>
      <w:numFmt w:val="bullet"/>
      <w:lvlText w:val="o"/>
      <w:lvlJc w:val="left"/>
      <w:pPr>
        <w:ind w:left="3600" w:hanging="360"/>
      </w:pPr>
      <w:rPr>
        <w:rFonts w:ascii="Courier New" w:hAnsi="Courier New" w:hint="default"/>
      </w:rPr>
    </w:lvl>
    <w:lvl w:ilvl="5" w:tplc="FCCA592E">
      <w:start w:val="1"/>
      <w:numFmt w:val="bullet"/>
      <w:lvlText w:val=""/>
      <w:lvlJc w:val="left"/>
      <w:pPr>
        <w:ind w:left="4320" w:hanging="360"/>
      </w:pPr>
      <w:rPr>
        <w:rFonts w:ascii="Wingdings" w:hAnsi="Wingdings" w:hint="default"/>
      </w:rPr>
    </w:lvl>
    <w:lvl w:ilvl="6" w:tplc="BD586636">
      <w:start w:val="1"/>
      <w:numFmt w:val="bullet"/>
      <w:lvlText w:val=""/>
      <w:lvlJc w:val="left"/>
      <w:pPr>
        <w:ind w:left="5040" w:hanging="360"/>
      </w:pPr>
      <w:rPr>
        <w:rFonts w:ascii="Symbol" w:hAnsi="Symbol" w:hint="default"/>
      </w:rPr>
    </w:lvl>
    <w:lvl w:ilvl="7" w:tplc="C532C106">
      <w:start w:val="1"/>
      <w:numFmt w:val="bullet"/>
      <w:lvlText w:val="o"/>
      <w:lvlJc w:val="left"/>
      <w:pPr>
        <w:ind w:left="5760" w:hanging="360"/>
      </w:pPr>
      <w:rPr>
        <w:rFonts w:ascii="Courier New" w:hAnsi="Courier New" w:hint="default"/>
      </w:rPr>
    </w:lvl>
    <w:lvl w:ilvl="8" w:tplc="A5E8627A">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5B85FF0"/>
    <w:multiLevelType w:val="multilevel"/>
    <w:tmpl w:val="6700D176"/>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0435168">
    <w:abstractNumId w:val="12"/>
  </w:num>
  <w:num w:numId="2" w16cid:durableId="1871840226">
    <w:abstractNumId w:val="13"/>
  </w:num>
  <w:num w:numId="3" w16cid:durableId="887885428">
    <w:abstractNumId w:val="1"/>
  </w:num>
  <w:num w:numId="4" w16cid:durableId="1779443171">
    <w:abstractNumId w:val="4"/>
  </w:num>
  <w:num w:numId="5" w16cid:durableId="1418016303">
    <w:abstractNumId w:val="16"/>
  </w:num>
  <w:num w:numId="6" w16cid:durableId="996767781">
    <w:abstractNumId w:val="24"/>
  </w:num>
  <w:num w:numId="7" w16cid:durableId="52895227">
    <w:abstractNumId w:val="9"/>
  </w:num>
  <w:num w:numId="8" w16cid:durableId="351032333">
    <w:abstractNumId w:val="3"/>
  </w:num>
  <w:num w:numId="9" w16cid:durableId="1067413603">
    <w:abstractNumId w:val="14"/>
  </w:num>
  <w:num w:numId="10" w16cid:durableId="931426930">
    <w:abstractNumId w:val="27"/>
  </w:num>
  <w:num w:numId="11" w16cid:durableId="1422484198">
    <w:abstractNumId w:val="22"/>
  </w:num>
  <w:num w:numId="12" w16cid:durableId="552929862">
    <w:abstractNumId w:val="23"/>
  </w:num>
  <w:num w:numId="13" w16cid:durableId="587203086">
    <w:abstractNumId w:val="29"/>
  </w:num>
  <w:num w:numId="14" w16cid:durableId="389156196">
    <w:abstractNumId w:val="19"/>
  </w:num>
  <w:num w:numId="15" w16cid:durableId="1393503788">
    <w:abstractNumId w:val="6"/>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1"/>
  </w:num>
  <w:num w:numId="21" w16cid:durableId="1132019979">
    <w:abstractNumId w:val="5"/>
  </w:num>
  <w:num w:numId="22" w16cid:durableId="1457524365">
    <w:abstractNumId w:val="8"/>
  </w:num>
  <w:num w:numId="23" w16cid:durableId="1386294306">
    <w:abstractNumId w:val="31"/>
  </w:num>
  <w:num w:numId="24" w16cid:durableId="1838374920">
    <w:abstractNumId w:val="25"/>
  </w:num>
  <w:num w:numId="25" w16cid:durableId="1827044992">
    <w:abstractNumId w:val="10"/>
  </w:num>
  <w:num w:numId="26" w16cid:durableId="895820667">
    <w:abstractNumId w:val="20"/>
  </w:num>
  <w:num w:numId="27" w16cid:durableId="817497522">
    <w:abstractNumId w:val="33"/>
  </w:num>
  <w:num w:numId="28" w16cid:durableId="725690465">
    <w:abstractNumId w:val="0"/>
  </w:num>
  <w:num w:numId="29" w16cid:durableId="1814372142">
    <w:abstractNumId w:val="26"/>
  </w:num>
  <w:num w:numId="30" w16cid:durableId="258563261">
    <w:abstractNumId w:val="30"/>
  </w:num>
  <w:num w:numId="31" w16cid:durableId="1306274523">
    <w:abstractNumId w:val="32"/>
  </w:num>
  <w:num w:numId="32" w16cid:durableId="1396465663">
    <w:abstractNumId w:val="7"/>
  </w:num>
  <w:num w:numId="33" w16cid:durableId="250505648">
    <w:abstractNumId w:val="28"/>
  </w:num>
  <w:num w:numId="34" w16cid:durableId="1110997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61BEB"/>
    <w:rsid w:val="00070818"/>
    <w:rsid w:val="00075338"/>
    <w:rsid w:val="0008238F"/>
    <w:rsid w:val="00082EC6"/>
    <w:rsid w:val="00085388"/>
    <w:rsid w:val="000D41DC"/>
    <w:rsid w:val="000E68C8"/>
    <w:rsid w:val="00125D37"/>
    <w:rsid w:val="00127C1A"/>
    <w:rsid w:val="00150D81"/>
    <w:rsid w:val="00166CEB"/>
    <w:rsid w:val="00183CB9"/>
    <w:rsid w:val="00184A9A"/>
    <w:rsid w:val="001947DF"/>
    <w:rsid w:val="001B22BB"/>
    <w:rsid w:val="001B619C"/>
    <w:rsid w:val="001C0B83"/>
    <w:rsid w:val="001D1D3C"/>
    <w:rsid w:val="002205D4"/>
    <w:rsid w:val="00222C3A"/>
    <w:rsid w:val="00226D31"/>
    <w:rsid w:val="00236401"/>
    <w:rsid w:val="002370CE"/>
    <w:rsid w:val="00242974"/>
    <w:rsid w:val="00264C93"/>
    <w:rsid w:val="00273F97"/>
    <w:rsid w:val="002976D4"/>
    <w:rsid w:val="002A5577"/>
    <w:rsid w:val="002B4AA4"/>
    <w:rsid w:val="002E71BA"/>
    <w:rsid w:val="002F5066"/>
    <w:rsid w:val="003003FD"/>
    <w:rsid w:val="00310245"/>
    <w:rsid w:val="00316C95"/>
    <w:rsid w:val="003458DB"/>
    <w:rsid w:val="00346DC0"/>
    <w:rsid w:val="003523D3"/>
    <w:rsid w:val="00364C35"/>
    <w:rsid w:val="00376609"/>
    <w:rsid w:val="00396F60"/>
    <w:rsid w:val="003A51D6"/>
    <w:rsid w:val="003A61A4"/>
    <w:rsid w:val="003B125E"/>
    <w:rsid w:val="003B2A5E"/>
    <w:rsid w:val="003C7C97"/>
    <w:rsid w:val="003E6A21"/>
    <w:rsid w:val="00406B8D"/>
    <w:rsid w:val="00410068"/>
    <w:rsid w:val="0041618E"/>
    <w:rsid w:val="0042295C"/>
    <w:rsid w:val="00426EEC"/>
    <w:rsid w:val="004466C3"/>
    <w:rsid w:val="004552CE"/>
    <w:rsid w:val="00466AC1"/>
    <w:rsid w:val="00474DBD"/>
    <w:rsid w:val="00481FF7"/>
    <w:rsid w:val="004B1D89"/>
    <w:rsid w:val="004D539C"/>
    <w:rsid w:val="00500295"/>
    <w:rsid w:val="00501AAF"/>
    <w:rsid w:val="00527AFA"/>
    <w:rsid w:val="005419DA"/>
    <w:rsid w:val="005678AC"/>
    <w:rsid w:val="005679BD"/>
    <w:rsid w:val="005709B1"/>
    <w:rsid w:val="00572B3B"/>
    <w:rsid w:val="005836D2"/>
    <w:rsid w:val="00587C58"/>
    <w:rsid w:val="005A24CD"/>
    <w:rsid w:val="005A5681"/>
    <w:rsid w:val="005A7FD4"/>
    <w:rsid w:val="005B1A84"/>
    <w:rsid w:val="005D1AF9"/>
    <w:rsid w:val="005D5457"/>
    <w:rsid w:val="005E2699"/>
    <w:rsid w:val="005E44B5"/>
    <w:rsid w:val="00603340"/>
    <w:rsid w:val="00612DEA"/>
    <w:rsid w:val="00614572"/>
    <w:rsid w:val="006232DF"/>
    <w:rsid w:val="00631CD6"/>
    <w:rsid w:val="00631F2E"/>
    <w:rsid w:val="00632029"/>
    <w:rsid w:val="006457C0"/>
    <w:rsid w:val="00650B0C"/>
    <w:rsid w:val="00652BB7"/>
    <w:rsid w:val="00661758"/>
    <w:rsid w:val="0067612C"/>
    <w:rsid w:val="00676FEB"/>
    <w:rsid w:val="006912C4"/>
    <w:rsid w:val="006A5CFC"/>
    <w:rsid w:val="006C5138"/>
    <w:rsid w:val="006C689B"/>
    <w:rsid w:val="006E005C"/>
    <w:rsid w:val="006E6EE5"/>
    <w:rsid w:val="006F0029"/>
    <w:rsid w:val="006F1D20"/>
    <w:rsid w:val="007138EF"/>
    <w:rsid w:val="007632A9"/>
    <w:rsid w:val="007637EC"/>
    <w:rsid w:val="00774092"/>
    <w:rsid w:val="00782830"/>
    <w:rsid w:val="0078664A"/>
    <w:rsid w:val="007B0F6D"/>
    <w:rsid w:val="007B181D"/>
    <w:rsid w:val="007C62C3"/>
    <w:rsid w:val="007D25AA"/>
    <w:rsid w:val="007F0873"/>
    <w:rsid w:val="007F1BD2"/>
    <w:rsid w:val="00805726"/>
    <w:rsid w:val="00806834"/>
    <w:rsid w:val="00815117"/>
    <w:rsid w:val="00824CB1"/>
    <w:rsid w:val="008520F8"/>
    <w:rsid w:val="00855F34"/>
    <w:rsid w:val="008826B6"/>
    <w:rsid w:val="008B0B22"/>
    <w:rsid w:val="008C58B0"/>
    <w:rsid w:val="008C591B"/>
    <w:rsid w:val="008C6182"/>
    <w:rsid w:val="008F1470"/>
    <w:rsid w:val="0090779E"/>
    <w:rsid w:val="00926458"/>
    <w:rsid w:val="00933720"/>
    <w:rsid w:val="009879CE"/>
    <w:rsid w:val="009C7E52"/>
    <w:rsid w:val="009E4934"/>
    <w:rsid w:val="009F40A7"/>
    <w:rsid w:val="009F5CE6"/>
    <w:rsid w:val="00A035CD"/>
    <w:rsid w:val="00A50E80"/>
    <w:rsid w:val="00A513B0"/>
    <w:rsid w:val="00A63F7F"/>
    <w:rsid w:val="00A667CE"/>
    <w:rsid w:val="00A74270"/>
    <w:rsid w:val="00A75042"/>
    <w:rsid w:val="00A774BC"/>
    <w:rsid w:val="00A82678"/>
    <w:rsid w:val="00A946CB"/>
    <w:rsid w:val="00AA77C8"/>
    <w:rsid w:val="00AC7BE2"/>
    <w:rsid w:val="00AD1D39"/>
    <w:rsid w:val="00AE02FD"/>
    <w:rsid w:val="00AE35BF"/>
    <w:rsid w:val="00AF58C6"/>
    <w:rsid w:val="00B1067E"/>
    <w:rsid w:val="00B81790"/>
    <w:rsid w:val="00B81BBC"/>
    <w:rsid w:val="00BD03D5"/>
    <w:rsid w:val="00BE22CB"/>
    <w:rsid w:val="00C3215E"/>
    <w:rsid w:val="00C45272"/>
    <w:rsid w:val="00C4582D"/>
    <w:rsid w:val="00C47770"/>
    <w:rsid w:val="00C6217F"/>
    <w:rsid w:val="00C64012"/>
    <w:rsid w:val="00C72B9E"/>
    <w:rsid w:val="00C75856"/>
    <w:rsid w:val="00C85A7C"/>
    <w:rsid w:val="00C95214"/>
    <w:rsid w:val="00CA2462"/>
    <w:rsid w:val="00CC3F59"/>
    <w:rsid w:val="00CD4774"/>
    <w:rsid w:val="00CE1732"/>
    <w:rsid w:val="00D10AAF"/>
    <w:rsid w:val="00D27540"/>
    <w:rsid w:val="00D4006B"/>
    <w:rsid w:val="00D40D7A"/>
    <w:rsid w:val="00D64A0D"/>
    <w:rsid w:val="00D676C3"/>
    <w:rsid w:val="00D712A3"/>
    <w:rsid w:val="00D750B4"/>
    <w:rsid w:val="00D81C18"/>
    <w:rsid w:val="00D8461A"/>
    <w:rsid w:val="00D95CAF"/>
    <w:rsid w:val="00DB3FEF"/>
    <w:rsid w:val="00DB60B6"/>
    <w:rsid w:val="00DC1CC6"/>
    <w:rsid w:val="00DC3899"/>
    <w:rsid w:val="00DD5135"/>
    <w:rsid w:val="00E067A8"/>
    <w:rsid w:val="00E13924"/>
    <w:rsid w:val="00E15FD5"/>
    <w:rsid w:val="00E1725A"/>
    <w:rsid w:val="00E33758"/>
    <w:rsid w:val="00E37D3D"/>
    <w:rsid w:val="00E53E5E"/>
    <w:rsid w:val="00E602CD"/>
    <w:rsid w:val="00E64325"/>
    <w:rsid w:val="00E673C5"/>
    <w:rsid w:val="00E67967"/>
    <w:rsid w:val="00E82723"/>
    <w:rsid w:val="00E84359"/>
    <w:rsid w:val="00E85213"/>
    <w:rsid w:val="00EA29A5"/>
    <w:rsid w:val="00EC107C"/>
    <w:rsid w:val="00EC7EBE"/>
    <w:rsid w:val="00EC7FD2"/>
    <w:rsid w:val="00ED5964"/>
    <w:rsid w:val="00F121F7"/>
    <w:rsid w:val="00F1720B"/>
    <w:rsid w:val="00F36ADC"/>
    <w:rsid w:val="00F605C6"/>
    <w:rsid w:val="00F6785B"/>
    <w:rsid w:val="00F8198C"/>
    <w:rsid w:val="00F9012D"/>
    <w:rsid w:val="00F90BB6"/>
    <w:rsid w:val="00F915D6"/>
    <w:rsid w:val="00FE0BFD"/>
    <w:rsid w:val="00FE40E1"/>
    <w:rsid w:val="00FF2B0A"/>
    <w:rsid w:val="00FF2E71"/>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1680</Words>
  <Characters>9582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Kateryna Churaieva (2532697)</cp:lastModifiedBy>
  <cp:revision>37</cp:revision>
  <dcterms:created xsi:type="dcterms:W3CDTF">2026-04-07T13:28:00Z</dcterms:created>
  <dcterms:modified xsi:type="dcterms:W3CDTF">2026-04-19T11:04:00Z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