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D6ED6" w14:textId="4A870E9A" w:rsidR="0023750A" w:rsidRPr="00541AE8" w:rsidRDefault="00843482" w:rsidP="00541AE8">
      <w:pPr>
        <w:spacing w:line="360" w:lineRule="auto"/>
        <w:jc w:val="both"/>
        <w:rPr>
          <w:rFonts w:ascii="Arial" w:hAnsi="Arial" w:cs="Arial"/>
          <w:color w:val="000000" w:themeColor="text1"/>
        </w:rPr>
      </w:pPr>
      <w:r>
        <w:rPr>
          <w:noProof/>
        </w:rPr>
        <w:drawing>
          <wp:inline distT="0" distB="0" distL="0" distR="0" wp14:anchorId="3A480728" wp14:editId="784761DE">
            <wp:extent cx="2619375" cy="1165894"/>
            <wp:effectExtent l="0" t="0" r="0" b="0"/>
            <wp:docPr id="509279478" name="Picture 1" descr="Prifysgol Cymru, Y Drindod Dewi Sant, and Trinity Saint David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Prifysgol Cymru, Y Drindod Dewi Sant, and Trinity Saint David University of Wal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5D09B3B" w14:textId="77777777" w:rsidR="00541AE8" w:rsidRDefault="00541AE8" w:rsidP="00541AE8">
      <w:pPr>
        <w:spacing w:line="360" w:lineRule="auto"/>
        <w:jc w:val="both"/>
        <w:rPr>
          <w:rFonts w:ascii="Arial" w:hAnsi="Arial" w:cs="Arial"/>
          <w:color w:val="000000" w:themeColor="text1"/>
        </w:rPr>
      </w:pPr>
    </w:p>
    <w:p w14:paraId="326273E0" w14:textId="77777777" w:rsidR="00541AE8" w:rsidRDefault="00541AE8" w:rsidP="00541AE8">
      <w:pPr>
        <w:spacing w:line="360" w:lineRule="auto"/>
        <w:jc w:val="both"/>
        <w:rPr>
          <w:rFonts w:ascii="Arial" w:hAnsi="Arial" w:cs="Arial"/>
          <w:color w:val="000000" w:themeColor="text1"/>
        </w:rPr>
      </w:pPr>
    </w:p>
    <w:p w14:paraId="69ED5AD0" w14:textId="77777777" w:rsidR="00541AE8" w:rsidRDefault="00541AE8" w:rsidP="00541AE8">
      <w:pPr>
        <w:spacing w:line="360" w:lineRule="auto"/>
        <w:jc w:val="both"/>
        <w:rPr>
          <w:rFonts w:ascii="Arial" w:hAnsi="Arial" w:cs="Arial"/>
          <w:color w:val="000000" w:themeColor="text1"/>
        </w:rPr>
      </w:pPr>
    </w:p>
    <w:p w14:paraId="15235CDA" w14:textId="77777777" w:rsidR="00541AE8" w:rsidRDefault="00541AE8" w:rsidP="00541AE8">
      <w:pPr>
        <w:spacing w:line="360" w:lineRule="auto"/>
        <w:jc w:val="both"/>
        <w:rPr>
          <w:rFonts w:ascii="Arial" w:hAnsi="Arial" w:cs="Arial"/>
          <w:color w:val="000000" w:themeColor="text1"/>
        </w:rPr>
      </w:pPr>
    </w:p>
    <w:p w14:paraId="10E87BC5" w14:textId="77777777" w:rsidR="00541AE8" w:rsidRDefault="00541AE8" w:rsidP="00541AE8">
      <w:pPr>
        <w:spacing w:line="360" w:lineRule="auto"/>
        <w:jc w:val="both"/>
        <w:rPr>
          <w:rFonts w:ascii="Arial" w:hAnsi="Arial" w:cs="Arial"/>
          <w:color w:val="000000" w:themeColor="text1"/>
        </w:rPr>
      </w:pPr>
    </w:p>
    <w:p w14:paraId="5EAFDC8A" w14:textId="08ADDC48" w:rsidR="00541AE8" w:rsidRPr="00541AE8" w:rsidRDefault="00541AE8" w:rsidP="00541AE8">
      <w:pPr>
        <w:spacing w:line="360" w:lineRule="auto"/>
        <w:jc w:val="center"/>
        <w:rPr>
          <w:rFonts w:ascii="Arial" w:hAnsi="Arial" w:cs="Arial"/>
          <w:b/>
          <w:bCs/>
          <w:color w:val="000000" w:themeColor="text1"/>
        </w:rPr>
      </w:pPr>
      <w:r w:rsidRPr="00541AE8">
        <w:rPr>
          <w:rFonts w:ascii="Arial" w:hAnsi="Arial" w:cs="Arial"/>
          <w:b/>
          <w:bCs/>
          <w:color w:val="000000" w:themeColor="text1"/>
        </w:rPr>
        <w:t>Module code:</w:t>
      </w:r>
      <w:r w:rsidRPr="00541AE8">
        <w:rPr>
          <w:rFonts w:ascii="Arial" w:hAnsi="Arial" w:cs="Arial"/>
          <w:b/>
          <w:bCs/>
          <w:color w:val="000000" w:themeColor="text1"/>
        </w:rPr>
        <w:tab/>
        <w:t>LCHS4003</w:t>
      </w:r>
    </w:p>
    <w:p w14:paraId="4ADAF41D" w14:textId="6E9453E9" w:rsidR="00541AE8" w:rsidRPr="00541AE8" w:rsidRDefault="00541AE8" w:rsidP="00541AE8">
      <w:pPr>
        <w:spacing w:line="360" w:lineRule="auto"/>
        <w:jc w:val="center"/>
        <w:rPr>
          <w:rFonts w:ascii="Arial" w:hAnsi="Arial" w:cs="Arial"/>
          <w:b/>
          <w:bCs/>
          <w:color w:val="000000" w:themeColor="text1"/>
        </w:rPr>
      </w:pPr>
      <w:r w:rsidRPr="00541AE8">
        <w:rPr>
          <w:rFonts w:ascii="Arial" w:hAnsi="Arial" w:cs="Arial"/>
          <w:b/>
          <w:bCs/>
          <w:color w:val="000000" w:themeColor="text1"/>
        </w:rPr>
        <w:t>Module: Introduction to Health and Social Care</w:t>
      </w:r>
    </w:p>
    <w:p w14:paraId="4B63FCB7" w14:textId="307F4FB7" w:rsidR="00541AE8" w:rsidRPr="00541AE8" w:rsidRDefault="00541AE8" w:rsidP="00541AE8">
      <w:pPr>
        <w:spacing w:line="360" w:lineRule="auto"/>
        <w:jc w:val="center"/>
        <w:rPr>
          <w:rFonts w:ascii="Arial" w:hAnsi="Arial" w:cs="Arial"/>
          <w:b/>
          <w:bCs/>
          <w:color w:val="000000" w:themeColor="text1"/>
        </w:rPr>
      </w:pPr>
      <w:r w:rsidRPr="00541AE8">
        <w:rPr>
          <w:rFonts w:ascii="Arial" w:hAnsi="Arial" w:cs="Arial"/>
          <w:b/>
          <w:bCs/>
          <w:color w:val="000000" w:themeColor="text1"/>
        </w:rPr>
        <w:t xml:space="preserve">Lecturers: Dr </w:t>
      </w:r>
      <w:r w:rsidR="00A3310B">
        <w:rPr>
          <w:rFonts w:ascii="Arial" w:hAnsi="Arial" w:cs="Arial"/>
          <w:b/>
          <w:bCs/>
          <w:color w:val="000000" w:themeColor="text1"/>
        </w:rPr>
        <w:t>Vivian</w:t>
      </w:r>
      <w:r w:rsidR="00E25C33">
        <w:rPr>
          <w:rFonts w:ascii="Arial" w:hAnsi="Arial" w:cs="Arial"/>
          <w:b/>
          <w:bCs/>
          <w:color w:val="000000" w:themeColor="text1"/>
        </w:rPr>
        <w:t xml:space="preserve"> O</w:t>
      </w:r>
      <w:r w:rsidR="00D70D8E">
        <w:rPr>
          <w:rFonts w:ascii="Arial" w:hAnsi="Arial" w:cs="Arial"/>
          <w:b/>
          <w:bCs/>
          <w:color w:val="000000" w:themeColor="text1"/>
        </w:rPr>
        <w:t>suchukwu</w:t>
      </w:r>
    </w:p>
    <w:p w14:paraId="4619B302" w14:textId="79E32FCC" w:rsidR="00541AE8" w:rsidRPr="00541AE8" w:rsidRDefault="00541AE8" w:rsidP="00541AE8">
      <w:pPr>
        <w:spacing w:line="360" w:lineRule="auto"/>
        <w:jc w:val="center"/>
        <w:rPr>
          <w:rFonts w:ascii="Arial" w:hAnsi="Arial" w:cs="Arial"/>
          <w:b/>
          <w:bCs/>
          <w:color w:val="000000" w:themeColor="text1"/>
        </w:rPr>
      </w:pPr>
      <w:r w:rsidRPr="00541AE8">
        <w:rPr>
          <w:rFonts w:ascii="Arial" w:hAnsi="Arial" w:cs="Arial"/>
          <w:b/>
          <w:bCs/>
          <w:color w:val="000000" w:themeColor="text1"/>
        </w:rPr>
        <w:t>Assignment Title: Written Assignment</w:t>
      </w:r>
    </w:p>
    <w:p w14:paraId="21BF5761" w14:textId="44AF5CA6" w:rsidR="00541AE8" w:rsidRPr="00541AE8" w:rsidRDefault="00541AE8" w:rsidP="00541AE8">
      <w:pPr>
        <w:spacing w:line="360" w:lineRule="auto"/>
        <w:jc w:val="center"/>
        <w:rPr>
          <w:rFonts w:ascii="Arial" w:hAnsi="Arial" w:cs="Arial"/>
          <w:b/>
          <w:bCs/>
          <w:color w:val="000000" w:themeColor="text1"/>
        </w:rPr>
      </w:pPr>
      <w:r w:rsidRPr="00541AE8">
        <w:rPr>
          <w:rFonts w:ascii="Arial" w:hAnsi="Arial" w:cs="Arial"/>
          <w:b/>
          <w:bCs/>
          <w:color w:val="000000" w:themeColor="text1"/>
        </w:rPr>
        <w:t xml:space="preserve">Student </w:t>
      </w:r>
      <w:r w:rsidR="003B44FD" w:rsidRPr="00541AE8">
        <w:rPr>
          <w:rFonts w:ascii="Arial" w:hAnsi="Arial" w:cs="Arial"/>
          <w:b/>
          <w:bCs/>
          <w:color w:val="000000" w:themeColor="text1"/>
        </w:rPr>
        <w:t>Name:</w:t>
      </w:r>
      <w:r w:rsidR="003B44FD">
        <w:rPr>
          <w:rFonts w:ascii="Arial" w:hAnsi="Arial" w:cs="Arial"/>
          <w:b/>
          <w:bCs/>
          <w:color w:val="000000" w:themeColor="text1"/>
        </w:rPr>
        <w:t xml:space="preserve"> Luminita Iancu</w:t>
      </w:r>
    </w:p>
    <w:p w14:paraId="6C61A481" w14:textId="17AA28A4" w:rsidR="00541AE8" w:rsidRPr="00541AE8" w:rsidRDefault="00541AE8" w:rsidP="00541AE8">
      <w:pPr>
        <w:spacing w:line="360" w:lineRule="auto"/>
        <w:jc w:val="center"/>
        <w:rPr>
          <w:rFonts w:ascii="Arial" w:hAnsi="Arial" w:cs="Arial"/>
          <w:b/>
          <w:bCs/>
          <w:color w:val="000000" w:themeColor="text1"/>
        </w:rPr>
      </w:pPr>
      <w:r w:rsidRPr="00541AE8">
        <w:rPr>
          <w:rFonts w:ascii="Arial" w:hAnsi="Arial" w:cs="Arial"/>
          <w:b/>
          <w:bCs/>
          <w:color w:val="000000" w:themeColor="text1"/>
        </w:rPr>
        <w:t>Student ID:</w:t>
      </w:r>
      <w:r w:rsidR="003B44FD">
        <w:rPr>
          <w:rFonts w:ascii="Arial" w:hAnsi="Arial" w:cs="Arial"/>
          <w:b/>
          <w:bCs/>
          <w:color w:val="000000" w:themeColor="text1"/>
        </w:rPr>
        <w:t>2525260</w:t>
      </w:r>
    </w:p>
    <w:p w14:paraId="7F029345" w14:textId="56EFF3BE" w:rsidR="00541AE8" w:rsidRDefault="0023750A" w:rsidP="00541AE8">
      <w:pPr>
        <w:spacing w:line="360" w:lineRule="auto"/>
        <w:jc w:val="both"/>
        <w:rPr>
          <w:rFonts w:ascii="Arial" w:hAnsi="Arial" w:cs="Arial"/>
          <w:color w:val="000000" w:themeColor="text1"/>
        </w:rPr>
      </w:pPr>
      <w:r w:rsidRPr="00541AE8">
        <w:rPr>
          <w:rFonts w:ascii="Arial" w:hAnsi="Arial" w:cs="Arial"/>
          <w:color w:val="000000" w:themeColor="text1"/>
        </w:rPr>
        <w:br w:type="page"/>
      </w:r>
    </w:p>
    <w:sdt>
      <w:sdtPr>
        <w:rPr>
          <w:rFonts w:asciiTheme="minorHAnsi" w:eastAsiaTheme="minorHAnsi" w:hAnsiTheme="minorHAnsi" w:cstheme="minorBidi"/>
          <w:color w:val="auto"/>
          <w:kern w:val="2"/>
          <w:sz w:val="22"/>
          <w:szCs w:val="22"/>
          <w14:ligatures w14:val="standardContextual"/>
        </w:rPr>
        <w:id w:val="1344897693"/>
        <w:docPartObj>
          <w:docPartGallery w:val="Table of Contents"/>
          <w:docPartUnique/>
        </w:docPartObj>
      </w:sdtPr>
      <w:sdtEndPr>
        <w:rPr>
          <w:b/>
          <w:bCs/>
          <w:noProof/>
        </w:rPr>
      </w:sdtEndPr>
      <w:sdtContent>
        <w:p w14:paraId="3893716E" w14:textId="7E97FEBF" w:rsidR="00541AE8" w:rsidRDefault="00541AE8">
          <w:pPr>
            <w:pStyle w:val="TOCHeading"/>
          </w:pPr>
          <w:r>
            <w:t>Table of Contents</w:t>
          </w:r>
        </w:p>
        <w:p w14:paraId="3C42E9E6" w14:textId="0E69CF84" w:rsidR="00541AE8" w:rsidRDefault="00541AE8">
          <w:pPr>
            <w:pStyle w:val="TOC1"/>
            <w:tabs>
              <w:tab w:val="right" w:leader="dot" w:pos="9350"/>
            </w:tabs>
            <w:rPr>
              <w:noProof/>
            </w:rPr>
          </w:pPr>
          <w:r>
            <w:fldChar w:fldCharType="begin"/>
          </w:r>
          <w:r>
            <w:instrText xml:space="preserve"> TOC \o "1-3" \h \z \u </w:instrText>
          </w:r>
          <w:r>
            <w:fldChar w:fldCharType="separate"/>
          </w:r>
          <w:hyperlink w:anchor="_Toc234127395" w:history="1">
            <w:r w:rsidRPr="00351240">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_Toc234127395 \h </w:instrText>
            </w:r>
            <w:r>
              <w:rPr>
                <w:noProof/>
                <w:webHidden/>
              </w:rPr>
            </w:r>
            <w:r>
              <w:rPr>
                <w:noProof/>
                <w:webHidden/>
              </w:rPr>
              <w:fldChar w:fldCharType="separate"/>
            </w:r>
            <w:r>
              <w:rPr>
                <w:noProof/>
                <w:webHidden/>
              </w:rPr>
              <w:t>3</w:t>
            </w:r>
            <w:r>
              <w:rPr>
                <w:noProof/>
                <w:webHidden/>
              </w:rPr>
              <w:fldChar w:fldCharType="end"/>
            </w:r>
          </w:hyperlink>
        </w:p>
        <w:p w14:paraId="6E13EDED" w14:textId="4CF42D98" w:rsidR="00541AE8" w:rsidRDefault="00541AE8">
          <w:pPr>
            <w:pStyle w:val="TOC1"/>
            <w:tabs>
              <w:tab w:val="right" w:leader="dot" w:pos="9350"/>
            </w:tabs>
            <w:rPr>
              <w:noProof/>
            </w:rPr>
          </w:pPr>
          <w:hyperlink w:anchor="_Toc234127396" w:history="1">
            <w:r w:rsidRPr="00351240">
              <w:rPr>
                <w:rStyle w:val="Hyperlink"/>
                <w:rFonts w:ascii="Arial" w:hAnsi="Arial" w:cs="Arial"/>
                <w:b/>
                <w:bCs/>
                <w:noProof/>
              </w:rPr>
              <w:t>2. Communication – Mrs Thompson's Care</w:t>
            </w:r>
            <w:r>
              <w:rPr>
                <w:noProof/>
                <w:webHidden/>
              </w:rPr>
              <w:tab/>
            </w:r>
            <w:r>
              <w:rPr>
                <w:noProof/>
                <w:webHidden/>
              </w:rPr>
              <w:fldChar w:fldCharType="begin"/>
            </w:r>
            <w:r>
              <w:rPr>
                <w:noProof/>
                <w:webHidden/>
              </w:rPr>
              <w:instrText xml:space="preserve"> PAGEREF _Toc234127396 \h </w:instrText>
            </w:r>
            <w:r>
              <w:rPr>
                <w:noProof/>
                <w:webHidden/>
              </w:rPr>
            </w:r>
            <w:r>
              <w:rPr>
                <w:noProof/>
                <w:webHidden/>
              </w:rPr>
              <w:fldChar w:fldCharType="separate"/>
            </w:r>
            <w:r>
              <w:rPr>
                <w:noProof/>
                <w:webHidden/>
              </w:rPr>
              <w:t>3</w:t>
            </w:r>
            <w:r>
              <w:rPr>
                <w:noProof/>
                <w:webHidden/>
              </w:rPr>
              <w:fldChar w:fldCharType="end"/>
            </w:r>
          </w:hyperlink>
        </w:p>
        <w:p w14:paraId="0D9B80FB" w14:textId="5BC320B7" w:rsidR="00541AE8" w:rsidRDefault="00541AE8">
          <w:pPr>
            <w:pStyle w:val="TOC1"/>
            <w:tabs>
              <w:tab w:val="right" w:leader="dot" w:pos="9350"/>
            </w:tabs>
            <w:rPr>
              <w:noProof/>
            </w:rPr>
          </w:pPr>
          <w:hyperlink w:anchor="_Toc234127397" w:history="1">
            <w:r w:rsidRPr="00351240">
              <w:rPr>
                <w:rStyle w:val="Hyperlink"/>
                <w:rFonts w:ascii="Arial" w:hAnsi="Arial" w:cs="Arial"/>
                <w:b/>
                <w:bCs/>
                <w:noProof/>
              </w:rPr>
              <w:t>3. Record Keeping &amp; Data Protection Act 2018</w:t>
            </w:r>
            <w:r>
              <w:rPr>
                <w:noProof/>
                <w:webHidden/>
              </w:rPr>
              <w:tab/>
            </w:r>
            <w:r>
              <w:rPr>
                <w:noProof/>
                <w:webHidden/>
              </w:rPr>
              <w:fldChar w:fldCharType="begin"/>
            </w:r>
            <w:r>
              <w:rPr>
                <w:noProof/>
                <w:webHidden/>
              </w:rPr>
              <w:instrText xml:space="preserve"> PAGEREF _Toc234127397 \h </w:instrText>
            </w:r>
            <w:r>
              <w:rPr>
                <w:noProof/>
                <w:webHidden/>
              </w:rPr>
            </w:r>
            <w:r>
              <w:rPr>
                <w:noProof/>
                <w:webHidden/>
              </w:rPr>
              <w:fldChar w:fldCharType="separate"/>
            </w:r>
            <w:r>
              <w:rPr>
                <w:noProof/>
                <w:webHidden/>
              </w:rPr>
              <w:t>5</w:t>
            </w:r>
            <w:r>
              <w:rPr>
                <w:noProof/>
                <w:webHidden/>
              </w:rPr>
              <w:fldChar w:fldCharType="end"/>
            </w:r>
          </w:hyperlink>
        </w:p>
        <w:p w14:paraId="21AFD59B" w14:textId="769255EB" w:rsidR="00541AE8" w:rsidRDefault="00541AE8">
          <w:pPr>
            <w:pStyle w:val="TOC1"/>
            <w:tabs>
              <w:tab w:val="right" w:leader="dot" w:pos="9350"/>
            </w:tabs>
            <w:rPr>
              <w:noProof/>
            </w:rPr>
          </w:pPr>
          <w:hyperlink w:anchor="_Toc234127398" w:history="1">
            <w:r w:rsidRPr="00351240">
              <w:rPr>
                <w:rStyle w:val="Hyperlink"/>
                <w:rFonts w:ascii="Arial" w:hAnsi="Arial" w:cs="Arial"/>
                <w:b/>
                <w:bCs/>
                <w:noProof/>
              </w:rPr>
              <w:t>4. Collaborative Working</w:t>
            </w:r>
            <w:r>
              <w:rPr>
                <w:noProof/>
                <w:webHidden/>
              </w:rPr>
              <w:tab/>
            </w:r>
            <w:r>
              <w:rPr>
                <w:noProof/>
                <w:webHidden/>
              </w:rPr>
              <w:fldChar w:fldCharType="begin"/>
            </w:r>
            <w:r>
              <w:rPr>
                <w:noProof/>
                <w:webHidden/>
              </w:rPr>
              <w:instrText xml:space="preserve"> PAGEREF _Toc234127398 \h </w:instrText>
            </w:r>
            <w:r>
              <w:rPr>
                <w:noProof/>
                <w:webHidden/>
              </w:rPr>
            </w:r>
            <w:r>
              <w:rPr>
                <w:noProof/>
                <w:webHidden/>
              </w:rPr>
              <w:fldChar w:fldCharType="separate"/>
            </w:r>
            <w:r>
              <w:rPr>
                <w:noProof/>
                <w:webHidden/>
              </w:rPr>
              <w:t>7</w:t>
            </w:r>
            <w:r>
              <w:rPr>
                <w:noProof/>
                <w:webHidden/>
              </w:rPr>
              <w:fldChar w:fldCharType="end"/>
            </w:r>
          </w:hyperlink>
        </w:p>
        <w:p w14:paraId="71A26C87" w14:textId="1405C6B7" w:rsidR="00541AE8" w:rsidRDefault="00541AE8">
          <w:pPr>
            <w:pStyle w:val="TOC1"/>
            <w:tabs>
              <w:tab w:val="right" w:leader="dot" w:pos="9350"/>
            </w:tabs>
            <w:rPr>
              <w:noProof/>
            </w:rPr>
          </w:pPr>
          <w:hyperlink w:anchor="_Toc234127399" w:history="1">
            <w:r w:rsidRPr="00351240">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_Toc234127399 \h </w:instrText>
            </w:r>
            <w:r>
              <w:rPr>
                <w:noProof/>
                <w:webHidden/>
              </w:rPr>
            </w:r>
            <w:r>
              <w:rPr>
                <w:noProof/>
                <w:webHidden/>
              </w:rPr>
              <w:fldChar w:fldCharType="separate"/>
            </w:r>
            <w:r>
              <w:rPr>
                <w:noProof/>
                <w:webHidden/>
              </w:rPr>
              <w:t>7</w:t>
            </w:r>
            <w:r>
              <w:rPr>
                <w:noProof/>
                <w:webHidden/>
              </w:rPr>
              <w:fldChar w:fldCharType="end"/>
            </w:r>
          </w:hyperlink>
        </w:p>
        <w:p w14:paraId="7F2A7358" w14:textId="57C66F98" w:rsidR="00541AE8" w:rsidRDefault="00541AE8">
          <w:pPr>
            <w:pStyle w:val="TOC1"/>
            <w:tabs>
              <w:tab w:val="right" w:leader="dot" w:pos="9350"/>
            </w:tabs>
            <w:rPr>
              <w:noProof/>
            </w:rPr>
          </w:pPr>
          <w:hyperlink w:anchor="_Toc234127400" w:history="1">
            <w:r w:rsidRPr="00351240">
              <w:rPr>
                <w:rStyle w:val="Hyperlink"/>
                <w:rFonts w:ascii="Arial" w:hAnsi="Arial" w:cs="Arial"/>
                <w:b/>
                <w:bCs/>
                <w:noProof/>
              </w:rPr>
              <w:t>6. References</w:t>
            </w:r>
            <w:r>
              <w:rPr>
                <w:noProof/>
                <w:webHidden/>
              </w:rPr>
              <w:tab/>
            </w:r>
            <w:r>
              <w:rPr>
                <w:noProof/>
                <w:webHidden/>
              </w:rPr>
              <w:fldChar w:fldCharType="begin"/>
            </w:r>
            <w:r>
              <w:rPr>
                <w:noProof/>
                <w:webHidden/>
              </w:rPr>
              <w:instrText xml:space="preserve"> PAGEREF _Toc234127400 \h </w:instrText>
            </w:r>
            <w:r>
              <w:rPr>
                <w:noProof/>
                <w:webHidden/>
              </w:rPr>
            </w:r>
            <w:r>
              <w:rPr>
                <w:noProof/>
                <w:webHidden/>
              </w:rPr>
              <w:fldChar w:fldCharType="separate"/>
            </w:r>
            <w:r>
              <w:rPr>
                <w:noProof/>
                <w:webHidden/>
              </w:rPr>
              <w:t>9</w:t>
            </w:r>
            <w:r>
              <w:rPr>
                <w:noProof/>
                <w:webHidden/>
              </w:rPr>
              <w:fldChar w:fldCharType="end"/>
            </w:r>
          </w:hyperlink>
        </w:p>
        <w:p w14:paraId="0B736D85" w14:textId="72B40105" w:rsidR="00541AE8" w:rsidRDefault="00541AE8">
          <w:r>
            <w:rPr>
              <w:b/>
              <w:bCs/>
              <w:noProof/>
            </w:rPr>
            <w:fldChar w:fldCharType="end"/>
          </w:r>
        </w:p>
      </w:sdtContent>
    </w:sdt>
    <w:p w14:paraId="4E66AFA6" w14:textId="77777777" w:rsidR="00541AE8" w:rsidRDefault="00541AE8">
      <w:pPr>
        <w:rPr>
          <w:rFonts w:ascii="Arial" w:hAnsi="Arial" w:cs="Arial"/>
          <w:color w:val="000000" w:themeColor="text1"/>
        </w:rPr>
      </w:pPr>
      <w:r>
        <w:rPr>
          <w:rFonts w:ascii="Arial" w:hAnsi="Arial" w:cs="Arial"/>
          <w:color w:val="000000" w:themeColor="text1"/>
        </w:rPr>
        <w:br w:type="page"/>
      </w:r>
    </w:p>
    <w:p w14:paraId="78989E5B" w14:textId="6ADB9F48" w:rsidR="00A97708" w:rsidRPr="00541AE8" w:rsidRDefault="004C2C2A" w:rsidP="00541AE8">
      <w:pPr>
        <w:pStyle w:val="Heading1"/>
        <w:spacing w:line="360" w:lineRule="auto"/>
        <w:jc w:val="both"/>
        <w:rPr>
          <w:rFonts w:ascii="Arial" w:hAnsi="Arial" w:cs="Arial"/>
          <w:b/>
          <w:bCs/>
          <w:color w:val="000000" w:themeColor="text1"/>
          <w:sz w:val="22"/>
          <w:szCs w:val="22"/>
        </w:rPr>
      </w:pPr>
      <w:bookmarkStart w:id="0" w:name="_Toc234127395"/>
      <w:r w:rsidRPr="00541AE8">
        <w:rPr>
          <w:rFonts w:ascii="Arial" w:hAnsi="Arial" w:cs="Arial"/>
          <w:b/>
          <w:bCs/>
          <w:color w:val="000000" w:themeColor="text1"/>
          <w:sz w:val="22"/>
          <w:szCs w:val="22"/>
        </w:rPr>
        <w:lastRenderedPageBreak/>
        <w:t xml:space="preserve">1. </w:t>
      </w:r>
      <w:r w:rsidR="00A97708" w:rsidRPr="00541AE8">
        <w:rPr>
          <w:rFonts w:ascii="Arial" w:hAnsi="Arial" w:cs="Arial"/>
          <w:b/>
          <w:bCs/>
          <w:color w:val="000000" w:themeColor="text1"/>
          <w:sz w:val="22"/>
          <w:szCs w:val="22"/>
        </w:rPr>
        <w:t>Introduction</w:t>
      </w:r>
      <w:bookmarkEnd w:id="0"/>
      <w:r w:rsidR="00A97708" w:rsidRPr="00541AE8">
        <w:rPr>
          <w:rFonts w:ascii="Arial" w:hAnsi="Arial" w:cs="Arial"/>
          <w:b/>
          <w:bCs/>
          <w:color w:val="000000" w:themeColor="text1"/>
          <w:sz w:val="22"/>
          <w:szCs w:val="22"/>
        </w:rPr>
        <w:t xml:space="preserve"> </w:t>
      </w:r>
    </w:p>
    <w:p w14:paraId="62120948" w14:textId="33CB14FA"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Health and social care in the United Kingdom contribute to keeping individuals physically, psychologically and socially healthy. They play a vital role for vulnerable individuals, such as those with long-term conditions, reduced independence or cognitive decline who require the right support to remain safe and have a high quality of life (Ham, 2024). The effective exchange of information and liaison between staff, good communication and record keeping is important in good care.</w:t>
      </w:r>
    </w:p>
    <w:p w14:paraId="7F2AB4E3" w14:textId="360C0FCC" w:rsidR="008153A4" w:rsidRPr="008153A4" w:rsidRDefault="00D76555" w:rsidP="008153A4">
      <w:pPr>
        <w:spacing w:line="360" w:lineRule="auto"/>
        <w:jc w:val="both"/>
        <w:rPr>
          <w:rFonts w:ascii="Arial" w:hAnsi="Arial" w:cs="Arial"/>
          <w:color w:val="000000" w:themeColor="text1"/>
        </w:rPr>
      </w:pPr>
      <w:r w:rsidRPr="008153A4">
        <w:rPr>
          <w:rFonts w:ascii="Arial" w:hAnsi="Arial" w:cs="Arial"/>
          <w:color w:val="000000" w:themeColor="text1"/>
        </w:rPr>
        <w:t>Mrs.</w:t>
      </w:r>
      <w:r w:rsidR="008153A4" w:rsidRPr="008153A4">
        <w:rPr>
          <w:rFonts w:ascii="Arial" w:hAnsi="Arial" w:cs="Arial"/>
          <w:color w:val="000000" w:themeColor="text1"/>
        </w:rPr>
        <w:t xml:space="preserve"> Thompson is an 84-year-old lady, who has been discharged from hospital recently, after suffering from pneumonia. She is living in sheltered accommodation and having domiciliary care twice a day. She has mild dementia and is having some difficulties with memory and getting along independently with activities of daily living. Her not taking her meds for 2 days in a row was noticed recently, leading to her being more confused; a safeguarding concern was raised when she was spotted outside in the cold with inadequate clothing.</w:t>
      </w:r>
    </w:p>
    <w:p w14:paraId="563B5034" w14:textId="304279A9" w:rsidR="00A97708" w:rsidRPr="00541AE8"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This report will be about how communication, record keeping and working together is effective in the delivery of safe and </w:t>
      </w:r>
      <w:r w:rsidR="00D76555" w:rsidRPr="008153A4">
        <w:rPr>
          <w:rFonts w:ascii="Arial" w:hAnsi="Arial" w:cs="Arial"/>
          <w:color w:val="000000" w:themeColor="text1"/>
        </w:rPr>
        <w:t>person-centered</w:t>
      </w:r>
      <w:r w:rsidRPr="008153A4">
        <w:rPr>
          <w:rFonts w:ascii="Arial" w:hAnsi="Arial" w:cs="Arial"/>
          <w:color w:val="000000" w:themeColor="text1"/>
        </w:rPr>
        <w:t xml:space="preserve"> care to </w:t>
      </w:r>
      <w:r w:rsidR="00D76555" w:rsidRPr="008153A4">
        <w:rPr>
          <w:rFonts w:ascii="Arial" w:hAnsi="Arial" w:cs="Arial"/>
          <w:color w:val="000000" w:themeColor="text1"/>
        </w:rPr>
        <w:t>Mrs.</w:t>
      </w:r>
      <w:r w:rsidRPr="008153A4">
        <w:rPr>
          <w:rFonts w:ascii="Arial" w:hAnsi="Arial" w:cs="Arial"/>
          <w:color w:val="000000" w:themeColor="text1"/>
        </w:rPr>
        <w:t xml:space="preserve"> Thompson. It will also take into account legislation and guidance, such as the Equality Act 2010, Data Protection Act 2018, Caldicott Principles, NMC Code and CQC standards.</w:t>
      </w:r>
    </w:p>
    <w:p w14:paraId="3C80C3DE" w14:textId="22B5514B" w:rsidR="00A97708" w:rsidRPr="00541AE8" w:rsidRDefault="00A97708" w:rsidP="00541AE8">
      <w:pPr>
        <w:pStyle w:val="Heading1"/>
        <w:spacing w:line="360" w:lineRule="auto"/>
        <w:jc w:val="both"/>
        <w:rPr>
          <w:rFonts w:ascii="Arial" w:hAnsi="Arial" w:cs="Arial"/>
          <w:b/>
          <w:bCs/>
          <w:color w:val="000000" w:themeColor="text1"/>
          <w:sz w:val="22"/>
          <w:szCs w:val="22"/>
        </w:rPr>
      </w:pPr>
      <w:bookmarkStart w:id="1" w:name="_Toc234127396"/>
      <w:proofErr w:type="gramStart"/>
      <w:r w:rsidRPr="00541AE8">
        <w:rPr>
          <w:rFonts w:ascii="Arial" w:hAnsi="Arial" w:cs="Arial"/>
          <w:b/>
          <w:bCs/>
          <w:color w:val="000000" w:themeColor="text1"/>
          <w:sz w:val="22"/>
          <w:szCs w:val="22"/>
        </w:rPr>
        <w:t>2</w:t>
      </w:r>
      <w:r w:rsidR="00E117E9">
        <w:rPr>
          <w:rFonts w:ascii="Arial" w:hAnsi="Arial" w:cs="Arial"/>
          <w:b/>
          <w:bCs/>
          <w:color w:val="000000" w:themeColor="text1"/>
          <w:sz w:val="22"/>
          <w:szCs w:val="22"/>
        </w:rPr>
        <w:t xml:space="preserve"> </w:t>
      </w:r>
      <w:r w:rsidR="00AC4030">
        <w:rPr>
          <w:rFonts w:ascii="Arial" w:hAnsi="Arial" w:cs="Arial"/>
          <w:b/>
          <w:bCs/>
          <w:color w:val="000000" w:themeColor="text1"/>
          <w:sz w:val="22"/>
          <w:szCs w:val="22"/>
        </w:rPr>
        <w:t xml:space="preserve"> </w:t>
      </w:r>
      <w:r w:rsidRPr="00541AE8">
        <w:rPr>
          <w:rFonts w:ascii="Arial" w:hAnsi="Arial" w:cs="Arial"/>
          <w:b/>
          <w:bCs/>
          <w:color w:val="000000" w:themeColor="text1"/>
          <w:sz w:val="22"/>
          <w:szCs w:val="22"/>
        </w:rPr>
        <w:t>.</w:t>
      </w:r>
      <w:proofErr w:type="gramEnd"/>
      <w:r w:rsidRPr="00541AE8">
        <w:rPr>
          <w:rFonts w:ascii="Arial" w:hAnsi="Arial" w:cs="Arial"/>
          <w:b/>
          <w:bCs/>
          <w:color w:val="000000" w:themeColor="text1"/>
          <w:sz w:val="22"/>
          <w:szCs w:val="22"/>
        </w:rPr>
        <w:t xml:space="preserve"> Communication – </w:t>
      </w:r>
      <w:r w:rsidR="00D76555" w:rsidRPr="00541AE8">
        <w:rPr>
          <w:rFonts w:ascii="Arial" w:hAnsi="Arial" w:cs="Arial"/>
          <w:b/>
          <w:bCs/>
          <w:color w:val="000000" w:themeColor="text1"/>
          <w:sz w:val="22"/>
          <w:szCs w:val="22"/>
        </w:rPr>
        <w:t>Mrs.</w:t>
      </w:r>
      <w:r w:rsidRPr="00541AE8">
        <w:rPr>
          <w:rFonts w:ascii="Arial" w:hAnsi="Arial" w:cs="Arial"/>
          <w:b/>
          <w:bCs/>
          <w:color w:val="000000" w:themeColor="text1"/>
          <w:sz w:val="22"/>
          <w:szCs w:val="22"/>
        </w:rPr>
        <w:t xml:space="preserve"> Thompson's Care</w:t>
      </w:r>
      <w:bookmarkEnd w:id="1"/>
    </w:p>
    <w:p w14:paraId="52D0333C" w14:textId="77777777"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Communication helps health and social care providers assess each person's needs and provide appropriate care while respecting their dignity. Effective communication can build confidence between care providers and service users, prevent miscommunication, and help dementia patients understand (Afriyie, 2020). Mrs. Thompson needs to communicate since dementia affects her memory, medication management, and risk assessment.</w:t>
      </w:r>
    </w:p>
    <w:p w14:paraId="53708218" w14:textId="77777777" w:rsid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Carer support for Mrs. Thompson should be person-centered. Use basic language, avoid medical words, and speak slowly to give her time to understand. Staff should ask her questions to assess her comprehension and get feedback. Eye contact, a calm voice, and open body language can alleviate anxiousness. Mrs. Thompson's self-confidence and care decisions can improve with these measures (Afriyie, 2020).</w:t>
      </w:r>
    </w:p>
    <w:p w14:paraId="5567EA0C" w14:textId="0889E932"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Communication barriers should also be taken into account. If dementia is the main challenge </w:t>
      </w:r>
      <w:r w:rsidR="00316E9B" w:rsidRPr="008153A4">
        <w:rPr>
          <w:rFonts w:ascii="Arial" w:hAnsi="Arial" w:cs="Arial"/>
          <w:color w:val="000000" w:themeColor="text1"/>
        </w:rPr>
        <w:t>Mrs.</w:t>
      </w:r>
      <w:r w:rsidRPr="008153A4">
        <w:rPr>
          <w:rFonts w:ascii="Arial" w:hAnsi="Arial" w:cs="Arial"/>
          <w:color w:val="000000" w:themeColor="text1"/>
        </w:rPr>
        <w:t xml:space="preserve"> Thompson has, there are other challenges that could be faced by her such as hearing loss, language barriers, cultural beliefs and low health literacy, all of which need to be </w:t>
      </w:r>
      <w:r w:rsidR="00316E9B" w:rsidRPr="008153A4">
        <w:rPr>
          <w:rFonts w:ascii="Arial" w:hAnsi="Arial" w:cs="Arial"/>
          <w:color w:val="000000" w:themeColor="text1"/>
        </w:rPr>
        <w:t>recognized</w:t>
      </w:r>
      <w:r w:rsidRPr="008153A4">
        <w:rPr>
          <w:rFonts w:ascii="Arial" w:hAnsi="Arial" w:cs="Arial"/>
          <w:color w:val="000000" w:themeColor="text1"/>
        </w:rPr>
        <w:t xml:space="preserve"> by workers. Professional interpreters are to be used when a person has difficulties speaking English, </w:t>
      </w:r>
      <w:r w:rsidRPr="008153A4">
        <w:rPr>
          <w:rFonts w:ascii="Arial" w:hAnsi="Arial" w:cs="Arial"/>
          <w:color w:val="000000" w:themeColor="text1"/>
        </w:rPr>
        <w:lastRenderedPageBreak/>
        <w:t>for accurate communication and to guard confidentiality. Support around understanding and independence might also be provided via the use of visual aids, medication charts and/or written reminders (</w:t>
      </w:r>
      <w:proofErr w:type="spellStart"/>
      <w:r w:rsidRPr="008153A4">
        <w:rPr>
          <w:rFonts w:ascii="Arial" w:hAnsi="Arial" w:cs="Arial"/>
          <w:color w:val="000000" w:themeColor="text1"/>
        </w:rPr>
        <w:t>Nutbeam</w:t>
      </w:r>
      <w:proofErr w:type="spellEnd"/>
      <w:r w:rsidRPr="008153A4">
        <w:rPr>
          <w:rFonts w:ascii="Arial" w:hAnsi="Arial" w:cs="Arial"/>
          <w:color w:val="000000" w:themeColor="text1"/>
        </w:rPr>
        <w:t xml:space="preserve"> and Lloyd, 2021).</w:t>
      </w:r>
    </w:p>
    <w:p w14:paraId="7AB0C3AF" w14:textId="03D54F8C"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When dealing with </w:t>
      </w:r>
      <w:r w:rsidR="00316E9B" w:rsidRPr="008153A4">
        <w:rPr>
          <w:rFonts w:ascii="Arial" w:hAnsi="Arial" w:cs="Arial"/>
          <w:color w:val="000000" w:themeColor="text1"/>
        </w:rPr>
        <w:t>Mrs.</w:t>
      </w:r>
      <w:r w:rsidRPr="008153A4">
        <w:rPr>
          <w:rFonts w:ascii="Arial" w:hAnsi="Arial" w:cs="Arial"/>
          <w:color w:val="000000" w:themeColor="text1"/>
        </w:rPr>
        <w:t xml:space="preserve"> Thompson, it is important to be culturally sensitive and accept her personal values, preferences and choices. When making decisions about person </w:t>
      </w:r>
      <w:r w:rsidR="00316E9B" w:rsidRPr="008153A4">
        <w:rPr>
          <w:rFonts w:ascii="Arial" w:hAnsi="Arial" w:cs="Arial"/>
          <w:color w:val="000000" w:themeColor="text1"/>
        </w:rPr>
        <w:t>centered</w:t>
      </w:r>
      <w:r w:rsidRPr="008153A4">
        <w:rPr>
          <w:rFonts w:ascii="Arial" w:hAnsi="Arial" w:cs="Arial"/>
          <w:color w:val="000000" w:themeColor="text1"/>
        </w:rPr>
        <w:t xml:space="preserve"> care, professionals should avoid making any </w:t>
      </w:r>
      <w:r w:rsidR="00316E9B" w:rsidRPr="008153A4">
        <w:rPr>
          <w:rFonts w:ascii="Arial" w:hAnsi="Arial" w:cs="Arial"/>
          <w:color w:val="000000" w:themeColor="text1"/>
        </w:rPr>
        <w:t>assumptions and</w:t>
      </w:r>
      <w:r w:rsidRPr="008153A4">
        <w:rPr>
          <w:rFonts w:ascii="Arial" w:hAnsi="Arial" w:cs="Arial"/>
          <w:color w:val="000000" w:themeColor="text1"/>
        </w:rPr>
        <w:t xml:space="preserve"> involve the person as much as possible in decisions. Family members may be a valuable source of information regarding family member's routine and </w:t>
      </w:r>
      <w:r w:rsidR="00316E9B" w:rsidRPr="008153A4">
        <w:rPr>
          <w:rFonts w:ascii="Arial" w:hAnsi="Arial" w:cs="Arial"/>
          <w:color w:val="000000" w:themeColor="text1"/>
        </w:rPr>
        <w:t>behavior,</w:t>
      </w:r>
      <w:r w:rsidRPr="008153A4">
        <w:rPr>
          <w:rFonts w:ascii="Arial" w:hAnsi="Arial" w:cs="Arial"/>
          <w:color w:val="000000" w:themeColor="text1"/>
        </w:rPr>
        <w:t xml:space="preserve"> but it should be remembered that information cannot be given unless it is with the consent of the family member or for a lawful purpose, such as for safeguarding concerns, (Nordin et al., 2021).</w:t>
      </w:r>
    </w:p>
    <w:p w14:paraId="1C6F9651" w14:textId="61DBB511"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Equality Act 2010 applies as it covers discrimination on the grounds of age and disability. </w:t>
      </w:r>
      <w:r w:rsidR="00316E9B" w:rsidRPr="008153A4">
        <w:rPr>
          <w:rFonts w:ascii="Arial" w:hAnsi="Arial" w:cs="Arial"/>
          <w:color w:val="000000" w:themeColor="text1"/>
        </w:rPr>
        <w:t>Mrs.</w:t>
      </w:r>
      <w:r w:rsidRPr="008153A4">
        <w:rPr>
          <w:rFonts w:ascii="Arial" w:hAnsi="Arial" w:cs="Arial"/>
          <w:color w:val="000000" w:themeColor="text1"/>
        </w:rPr>
        <w:t xml:space="preserve"> Thompson's dementia can also impact on daily life and reasonable adjustments to access the care may be needed, for example, giving extra time to complete tasks; providing information more than once; and avoiding the use of standard communication methods (Pyper, 2020).</w:t>
      </w:r>
    </w:p>
    <w:p w14:paraId="08EE29B6" w14:textId="180C4DF7" w:rsidR="00FB5A4E"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The Shannon and Weaver model of communication (1948) can be used to </w:t>
      </w:r>
      <w:r w:rsidR="00753D64" w:rsidRPr="008153A4">
        <w:rPr>
          <w:rFonts w:ascii="Arial" w:hAnsi="Arial" w:cs="Arial"/>
          <w:color w:val="000000" w:themeColor="text1"/>
        </w:rPr>
        <w:t>analyses</w:t>
      </w:r>
      <w:r w:rsidRPr="008153A4">
        <w:rPr>
          <w:rFonts w:ascii="Arial" w:hAnsi="Arial" w:cs="Arial"/>
          <w:color w:val="000000" w:themeColor="text1"/>
        </w:rPr>
        <w:t xml:space="preserve"> </w:t>
      </w:r>
      <w:r w:rsidR="00753D64" w:rsidRPr="008153A4">
        <w:rPr>
          <w:rFonts w:ascii="Arial" w:hAnsi="Arial" w:cs="Arial"/>
          <w:color w:val="000000" w:themeColor="text1"/>
        </w:rPr>
        <w:t>Mrs.</w:t>
      </w:r>
      <w:r w:rsidRPr="008153A4">
        <w:rPr>
          <w:rFonts w:ascii="Arial" w:hAnsi="Arial" w:cs="Arial"/>
          <w:color w:val="000000" w:themeColor="text1"/>
        </w:rPr>
        <w:t xml:space="preserve"> Thompson's care. The sender will be the care worker, the message is the information about the medication and the channel is verbal communication or written records. The receiver is </w:t>
      </w:r>
      <w:r w:rsidR="00753D64" w:rsidRPr="008153A4">
        <w:rPr>
          <w:rFonts w:ascii="Arial" w:hAnsi="Arial" w:cs="Arial"/>
          <w:color w:val="000000" w:themeColor="text1"/>
        </w:rPr>
        <w:t>Mrs.</w:t>
      </w:r>
      <w:r w:rsidRPr="008153A4">
        <w:rPr>
          <w:rFonts w:ascii="Arial" w:hAnsi="Arial" w:cs="Arial"/>
          <w:color w:val="000000" w:themeColor="text1"/>
        </w:rPr>
        <w:t xml:space="preserve"> Thompson and </w:t>
      </w:r>
      <w:r w:rsidR="00753D64" w:rsidRPr="008153A4">
        <w:rPr>
          <w:rFonts w:ascii="Arial" w:hAnsi="Arial" w:cs="Arial"/>
          <w:color w:val="000000" w:themeColor="text1"/>
        </w:rPr>
        <w:t>dementia;</w:t>
      </w:r>
      <w:r w:rsidRPr="008153A4">
        <w:rPr>
          <w:rFonts w:ascii="Arial" w:hAnsi="Arial" w:cs="Arial"/>
          <w:color w:val="000000" w:themeColor="text1"/>
        </w:rPr>
        <w:t xml:space="preserve"> confusion or unclear language can cause ‘noise’. These are barriers to effective communication that can be </w:t>
      </w:r>
      <w:r w:rsidR="00753D64" w:rsidRPr="008153A4">
        <w:rPr>
          <w:rFonts w:ascii="Arial" w:hAnsi="Arial" w:cs="Arial"/>
          <w:color w:val="000000" w:themeColor="text1"/>
        </w:rPr>
        <w:t>minimized</w:t>
      </w:r>
      <w:r w:rsidRPr="008153A4">
        <w:rPr>
          <w:rFonts w:ascii="Arial" w:hAnsi="Arial" w:cs="Arial"/>
          <w:color w:val="000000" w:themeColor="text1"/>
        </w:rPr>
        <w:t xml:space="preserve"> through clear explanations and feedback, thus providing a safe environment for effective communication.</w:t>
      </w:r>
    </w:p>
    <w:p w14:paraId="329B5081" w14:textId="6BAB85DB" w:rsidR="001C787A" w:rsidRPr="00541AE8" w:rsidRDefault="001C787A" w:rsidP="00541AE8">
      <w:pPr>
        <w:pStyle w:val="Heading1"/>
        <w:spacing w:line="360" w:lineRule="auto"/>
        <w:jc w:val="both"/>
        <w:rPr>
          <w:rFonts w:ascii="Arial" w:hAnsi="Arial" w:cs="Arial"/>
          <w:b/>
          <w:bCs/>
          <w:color w:val="000000" w:themeColor="text1"/>
          <w:sz w:val="22"/>
          <w:szCs w:val="22"/>
        </w:rPr>
      </w:pPr>
      <w:bookmarkStart w:id="2" w:name="_Toc234127397"/>
      <w:r w:rsidRPr="00541AE8">
        <w:rPr>
          <w:rFonts w:ascii="Arial" w:hAnsi="Arial" w:cs="Arial"/>
          <w:b/>
          <w:bCs/>
          <w:color w:val="000000" w:themeColor="text1"/>
          <w:sz w:val="22"/>
          <w:szCs w:val="22"/>
        </w:rPr>
        <w:t>3. Record Keeping &amp; Data Protection Act 2018</w:t>
      </w:r>
      <w:bookmarkEnd w:id="2"/>
    </w:p>
    <w:p w14:paraId="4DC08A06" w14:textId="05432F0B" w:rsidR="008153A4" w:rsidRPr="008153A4" w:rsidRDefault="00A8788D" w:rsidP="008153A4">
      <w:pPr>
        <w:spacing w:line="360" w:lineRule="auto"/>
        <w:jc w:val="both"/>
        <w:rPr>
          <w:rFonts w:ascii="Arial" w:hAnsi="Arial" w:cs="Arial"/>
          <w:color w:val="000000" w:themeColor="text1"/>
        </w:rPr>
      </w:pPr>
      <w:r>
        <w:rPr>
          <w:rFonts w:ascii="Arial" w:hAnsi="Arial" w:cs="Arial"/>
          <w:color w:val="000000" w:themeColor="text1"/>
        </w:rPr>
        <w:t xml:space="preserve">  </w:t>
      </w:r>
      <w:r w:rsidR="008153A4" w:rsidRPr="008153A4">
        <w:rPr>
          <w:rFonts w:ascii="Arial" w:hAnsi="Arial" w:cs="Arial"/>
          <w:color w:val="000000" w:themeColor="text1"/>
        </w:rPr>
        <w:t xml:space="preserve">The keeping of accurate records is a key role in health and social care, as it helps to ensure safe, effective and ongoing care. Good documentation makes sure that significant information </w:t>
      </w:r>
      <w:proofErr w:type="gramStart"/>
      <w:r w:rsidR="008153A4" w:rsidRPr="008153A4">
        <w:rPr>
          <w:rFonts w:ascii="Arial" w:hAnsi="Arial" w:cs="Arial"/>
          <w:color w:val="000000" w:themeColor="text1"/>
        </w:rPr>
        <w:t>of</w:t>
      </w:r>
      <w:proofErr w:type="gramEnd"/>
      <w:r w:rsidR="008153A4" w:rsidRPr="008153A4">
        <w:rPr>
          <w:rFonts w:ascii="Arial" w:hAnsi="Arial" w:cs="Arial"/>
          <w:color w:val="000000" w:themeColor="text1"/>
        </w:rPr>
        <w:t xml:space="preserve"> an individual's risks and care needs, medication and health is accessible for </w:t>
      </w:r>
      <w:r w:rsidR="00753D64" w:rsidRPr="008153A4">
        <w:rPr>
          <w:rFonts w:ascii="Arial" w:hAnsi="Arial" w:cs="Arial"/>
          <w:color w:val="000000" w:themeColor="text1"/>
        </w:rPr>
        <w:t>authorized</w:t>
      </w:r>
      <w:r w:rsidR="008153A4" w:rsidRPr="008153A4">
        <w:rPr>
          <w:rFonts w:ascii="Arial" w:hAnsi="Arial" w:cs="Arial"/>
          <w:color w:val="000000" w:themeColor="text1"/>
        </w:rPr>
        <w:t xml:space="preserve"> individuals. In the case of </w:t>
      </w:r>
      <w:r w:rsidR="00753D64" w:rsidRPr="008153A4">
        <w:rPr>
          <w:rFonts w:ascii="Arial" w:hAnsi="Arial" w:cs="Arial"/>
          <w:color w:val="000000" w:themeColor="text1"/>
        </w:rPr>
        <w:t>Mrs.</w:t>
      </w:r>
      <w:r w:rsidR="008153A4" w:rsidRPr="008153A4">
        <w:rPr>
          <w:rFonts w:ascii="Arial" w:hAnsi="Arial" w:cs="Arial"/>
          <w:color w:val="000000" w:themeColor="text1"/>
        </w:rPr>
        <w:t xml:space="preserve"> Thompson, who has dementia, accurate records are paramount as this could change over time and the different health professionals will need to be informed, so they can make appropriate decisions (</w:t>
      </w:r>
      <w:proofErr w:type="spellStart"/>
      <w:r w:rsidR="008153A4" w:rsidRPr="008153A4">
        <w:rPr>
          <w:rFonts w:ascii="Arial" w:hAnsi="Arial" w:cs="Arial"/>
          <w:color w:val="000000" w:themeColor="text1"/>
        </w:rPr>
        <w:t>Ocloo</w:t>
      </w:r>
      <w:proofErr w:type="spellEnd"/>
      <w:r w:rsidR="008153A4" w:rsidRPr="008153A4">
        <w:rPr>
          <w:rFonts w:ascii="Arial" w:hAnsi="Arial" w:cs="Arial"/>
          <w:color w:val="000000" w:themeColor="text1"/>
        </w:rPr>
        <w:t xml:space="preserve"> et al., 2021).</w:t>
      </w:r>
    </w:p>
    <w:p w14:paraId="2238C461" w14:textId="30505046"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Care records should be a straightforward, factual and up-to-date record of the care received and any concerns that are raised. This would be a medication chart, medication not given/failing to give medication, observations around the pneumonia and safeguarding issues (found outside with no suitable clothing etc.) for </w:t>
      </w:r>
      <w:r w:rsidR="00753D64" w:rsidRPr="008153A4">
        <w:rPr>
          <w:rFonts w:ascii="Arial" w:hAnsi="Arial" w:cs="Arial"/>
          <w:color w:val="000000" w:themeColor="text1"/>
        </w:rPr>
        <w:t>Mrs.</w:t>
      </w:r>
      <w:r w:rsidRPr="008153A4">
        <w:rPr>
          <w:rFonts w:ascii="Arial" w:hAnsi="Arial" w:cs="Arial"/>
          <w:color w:val="000000" w:themeColor="text1"/>
        </w:rPr>
        <w:t xml:space="preserve"> Thompson. Beware, if care workers, nurses, GP's or social </w:t>
      </w:r>
      <w:r w:rsidRPr="008153A4">
        <w:rPr>
          <w:rFonts w:ascii="Arial" w:hAnsi="Arial" w:cs="Arial"/>
          <w:color w:val="000000" w:themeColor="text1"/>
        </w:rPr>
        <w:lastRenderedPageBreak/>
        <w:t>workers do not keep proper records, they won't be able to gather sufficient information to identify dangers, monitor improvements or make appropriate interventions.</w:t>
      </w:r>
    </w:p>
    <w:p w14:paraId="02B3A8BA" w14:textId="77777777"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The impact of poor record keeping on service users is that there is risk of medication errors, delays in treatment, poor decisions and ineffective communication between professionals. Records can also have an effect on accountability; if they are inadequate or inaccurate then they are not evidence of the care that has been provided. For this reason, it is important that records are documented timely, clear, objective and accurate (Hartzog and Richards, 2020).</w:t>
      </w:r>
    </w:p>
    <w:p w14:paraId="15B28FB2" w14:textId="512ACFCD"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This is also applicable to the Data Protection Act 2018 because health and social care </w:t>
      </w:r>
      <w:r w:rsidR="00753D64" w:rsidRPr="008153A4">
        <w:rPr>
          <w:rFonts w:ascii="Arial" w:hAnsi="Arial" w:cs="Arial"/>
          <w:color w:val="000000" w:themeColor="text1"/>
        </w:rPr>
        <w:t>organizations</w:t>
      </w:r>
      <w:r w:rsidRPr="008153A4">
        <w:rPr>
          <w:rFonts w:ascii="Arial" w:hAnsi="Arial" w:cs="Arial"/>
          <w:color w:val="000000" w:themeColor="text1"/>
        </w:rPr>
        <w:t xml:space="preserve"> are dealing with sensitive personal information. The Act adheres to the principles of the General Data Protection Regulation (GDPR) and the information must be processed lawfully, fairly and transparently. Collecting personal data should be done only where there is a need for this and the data should be kept secure and properly accessible only by authorized persons for a legitimate purpose (Tamburri, 2020).</w:t>
      </w:r>
    </w:p>
    <w:p w14:paraId="609024CA" w14:textId="7654BEFF"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To </w:t>
      </w:r>
      <w:r w:rsidR="00176E26" w:rsidRPr="008153A4">
        <w:rPr>
          <w:rFonts w:ascii="Arial" w:hAnsi="Arial" w:cs="Arial"/>
          <w:color w:val="000000" w:themeColor="text1"/>
        </w:rPr>
        <w:t>Mrs.</w:t>
      </w:r>
      <w:r w:rsidRPr="008153A4">
        <w:rPr>
          <w:rFonts w:ascii="Arial" w:hAnsi="Arial" w:cs="Arial"/>
          <w:color w:val="000000" w:themeColor="text1"/>
        </w:rPr>
        <w:t xml:space="preserve"> Thompson this means information about her dementia, medication, health and safeguarding issues will have to be kept confidential. Records need to be kept on a secure electronic system, on password protected storage or be locked in storage. The dignity and trust placed in </w:t>
      </w:r>
      <w:r w:rsidR="00176E26" w:rsidRPr="008153A4">
        <w:rPr>
          <w:rFonts w:ascii="Arial" w:hAnsi="Arial" w:cs="Arial"/>
          <w:color w:val="000000" w:themeColor="text1"/>
        </w:rPr>
        <w:t>Mrs.</w:t>
      </w:r>
      <w:r w:rsidRPr="008153A4">
        <w:rPr>
          <w:rFonts w:ascii="Arial" w:hAnsi="Arial" w:cs="Arial"/>
          <w:color w:val="000000" w:themeColor="text1"/>
        </w:rPr>
        <w:t xml:space="preserve"> Thompson should be respected and information should be shared only with those professionals whose care is needed.</w:t>
      </w:r>
    </w:p>
    <w:p w14:paraId="4AA6627A" w14:textId="77777777"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Follow the Caldicott Principles while processing Mrs. Thompson's information. They recommend strategies to keep information private while allowing sharing when needed. These include explaining the expert why you want confidential information, telling them only what they need to know, and telling them about confidentiality.</w:t>
      </w:r>
    </w:p>
    <w:p w14:paraId="6C1CCA8B" w14:textId="77777777"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Sharing just professional knowledge is one of those standards. A domiciliary care worker may need medication and dementia risk information, but not personal information. However, information must be given to protect Mrs. Thompson, such as reporting safeguarding concerns to relevant specialists.</w:t>
      </w:r>
    </w:p>
    <w:p w14:paraId="279329BD" w14:textId="4F369179"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The NMC Code and CQC requirements </w:t>
      </w:r>
      <w:r w:rsidR="00176E26" w:rsidRPr="008153A4">
        <w:rPr>
          <w:rFonts w:ascii="Arial" w:hAnsi="Arial" w:cs="Arial"/>
          <w:color w:val="000000" w:themeColor="text1"/>
        </w:rPr>
        <w:t>emphasize</w:t>
      </w:r>
      <w:r w:rsidRPr="008153A4">
        <w:rPr>
          <w:rFonts w:ascii="Arial" w:hAnsi="Arial" w:cs="Arial"/>
          <w:color w:val="000000" w:themeColor="text1"/>
        </w:rPr>
        <w:t xml:space="preserve"> accurate record keeping, confidentiality, and safety. Good documentation allows interdisciplinary professionals to see Mrs. Thompson's condition changes and care plan. This improves cooperation and reduces communication hazards (Karam et al., 2021).</w:t>
      </w:r>
    </w:p>
    <w:p w14:paraId="5493DC00" w14:textId="60C9D712" w:rsidR="00A97708" w:rsidRPr="00541AE8"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lastRenderedPageBreak/>
        <w:t>Good record keeping, information management, and information sharing are essential to protecting Mrs. Thompson's security, confidentiality, and welfare and providing her with person-centered care.</w:t>
      </w:r>
    </w:p>
    <w:p w14:paraId="476BCF48" w14:textId="77777777" w:rsidR="00A97708" w:rsidRPr="00541AE8" w:rsidRDefault="00A97708" w:rsidP="00541AE8">
      <w:pPr>
        <w:pStyle w:val="Heading1"/>
        <w:spacing w:line="360" w:lineRule="auto"/>
        <w:jc w:val="both"/>
        <w:rPr>
          <w:rFonts w:ascii="Arial" w:hAnsi="Arial" w:cs="Arial"/>
          <w:b/>
          <w:bCs/>
          <w:color w:val="000000" w:themeColor="text1"/>
          <w:sz w:val="22"/>
          <w:szCs w:val="22"/>
        </w:rPr>
      </w:pPr>
      <w:bookmarkStart w:id="3" w:name="_Toc234127398"/>
      <w:r w:rsidRPr="00541AE8">
        <w:rPr>
          <w:rFonts w:ascii="Arial" w:hAnsi="Arial" w:cs="Arial"/>
          <w:b/>
          <w:bCs/>
          <w:color w:val="000000" w:themeColor="text1"/>
          <w:sz w:val="22"/>
          <w:szCs w:val="22"/>
        </w:rPr>
        <w:t>4. Collaborative Working</w:t>
      </w:r>
      <w:bookmarkEnd w:id="3"/>
      <w:r w:rsidRPr="00541AE8">
        <w:rPr>
          <w:rFonts w:ascii="Arial" w:hAnsi="Arial" w:cs="Arial"/>
          <w:b/>
          <w:bCs/>
          <w:color w:val="000000" w:themeColor="text1"/>
          <w:sz w:val="22"/>
          <w:szCs w:val="22"/>
        </w:rPr>
        <w:t xml:space="preserve"> </w:t>
      </w:r>
    </w:p>
    <w:p w14:paraId="08C22CD0" w14:textId="6B37DAD7"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In health and social care, it is important for people to work together as people with complex needs may require support from a range of health and social care professionals. Issues are raised </w:t>
      </w:r>
      <w:r w:rsidR="00176E26" w:rsidRPr="008153A4">
        <w:rPr>
          <w:rFonts w:ascii="Arial" w:hAnsi="Arial" w:cs="Arial"/>
          <w:color w:val="000000" w:themeColor="text1"/>
        </w:rPr>
        <w:t>regarding</w:t>
      </w:r>
      <w:r w:rsidRPr="008153A4">
        <w:rPr>
          <w:rFonts w:ascii="Arial" w:hAnsi="Arial" w:cs="Arial"/>
          <w:color w:val="000000" w:themeColor="text1"/>
        </w:rPr>
        <w:t xml:space="preserve"> </w:t>
      </w:r>
      <w:r w:rsidR="00176E26" w:rsidRPr="008153A4">
        <w:rPr>
          <w:rFonts w:ascii="Arial" w:hAnsi="Arial" w:cs="Arial"/>
          <w:color w:val="000000" w:themeColor="text1"/>
        </w:rPr>
        <w:t>Mrs.</w:t>
      </w:r>
      <w:r w:rsidRPr="008153A4">
        <w:rPr>
          <w:rFonts w:ascii="Arial" w:hAnsi="Arial" w:cs="Arial"/>
          <w:color w:val="000000" w:themeColor="text1"/>
        </w:rPr>
        <w:t xml:space="preserve"> Thompson's physical health, dementia and safeguarding and these need a </w:t>
      </w:r>
      <w:r w:rsidR="00176E26" w:rsidRPr="008153A4">
        <w:rPr>
          <w:rFonts w:ascii="Arial" w:hAnsi="Arial" w:cs="Arial"/>
          <w:color w:val="000000" w:themeColor="text1"/>
        </w:rPr>
        <w:t>coordinated</w:t>
      </w:r>
      <w:r w:rsidRPr="008153A4">
        <w:rPr>
          <w:rFonts w:ascii="Arial" w:hAnsi="Arial" w:cs="Arial"/>
          <w:color w:val="000000" w:themeColor="text1"/>
        </w:rPr>
        <w:t xml:space="preserve"> approach to enable </w:t>
      </w:r>
      <w:r w:rsidR="00176E26" w:rsidRPr="008153A4">
        <w:rPr>
          <w:rFonts w:ascii="Arial" w:hAnsi="Arial" w:cs="Arial"/>
          <w:color w:val="000000" w:themeColor="text1"/>
        </w:rPr>
        <w:t>Mrs.</w:t>
      </w:r>
      <w:r w:rsidRPr="008153A4">
        <w:rPr>
          <w:rFonts w:ascii="Arial" w:hAnsi="Arial" w:cs="Arial"/>
          <w:color w:val="000000" w:themeColor="text1"/>
        </w:rPr>
        <w:t xml:space="preserve"> Thompson to receive </w:t>
      </w:r>
      <w:r w:rsidR="00176E26" w:rsidRPr="008153A4">
        <w:rPr>
          <w:rFonts w:ascii="Arial" w:hAnsi="Arial" w:cs="Arial"/>
          <w:color w:val="000000" w:themeColor="text1"/>
        </w:rPr>
        <w:t>person-contradicted</w:t>
      </w:r>
      <w:r w:rsidRPr="008153A4">
        <w:rPr>
          <w:rFonts w:ascii="Arial" w:hAnsi="Arial" w:cs="Arial"/>
          <w:color w:val="000000" w:themeColor="text1"/>
        </w:rPr>
        <w:t xml:space="preserve"> care. No single agency will be able to address all of her needs, there needs to be effective communication between the agencies.</w:t>
      </w:r>
    </w:p>
    <w:p w14:paraId="0E6D24C3" w14:textId="46390C7B"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This multi-agency team can consist </w:t>
      </w:r>
      <w:r w:rsidR="00EA4646" w:rsidRPr="008153A4">
        <w:rPr>
          <w:rFonts w:ascii="Arial" w:hAnsi="Arial" w:cs="Arial"/>
          <w:color w:val="000000" w:themeColor="text1"/>
        </w:rPr>
        <w:t>of</w:t>
      </w:r>
      <w:r w:rsidRPr="008153A4">
        <w:rPr>
          <w:rFonts w:ascii="Arial" w:hAnsi="Arial" w:cs="Arial"/>
          <w:color w:val="000000" w:themeColor="text1"/>
        </w:rPr>
        <w:t xml:space="preserve"> the GP, community nurse, all domiciliary care workers and social services that may have been involved in the care of </w:t>
      </w:r>
      <w:r w:rsidR="00EA4646" w:rsidRPr="008153A4">
        <w:rPr>
          <w:rFonts w:ascii="Arial" w:hAnsi="Arial" w:cs="Arial"/>
          <w:color w:val="000000" w:themeColor="text1"/>
        </w:rPr>
        <w:t>Mrs.</w:t>
      </w:r>
      <w:r w:rsidRPr="008153A4">
        <w:rPr>
          <w:rFonts w:ascii="Arial" w:hAnsi="Arial" w:cs="Arial"/>
          <w:color w:val="000000" w:themeColor="text1"/>
        </w:rPr>
        <w:t xml:space="preserve"> Thompson. The GP can keep an eye on her while she's recovering from pneumonia, and can revisit the medicines, and the community nurse can keep an eye on how she's doing, and provide support for medicines. </w:t>
      </w:r>
      <w:r w:rsidR="00EA4646" w:rsidRPr="008153A4">
        <w:rPr>
          <w:rFonts w:ascii="Arial" w:hAnsi="Arial" w:cs="Arial"/>
          <w:color w:val="000000" w:themeColor="text1"/>
        </w:rPr>
        <w:t>Domiciliary</w:t>
      </w:r>
      <w:r w:rsidRPr="008153A4">
        <w:rPr>
          <w:rFonts w:ascii="Arial" w:hAnsi="Arial" w:cs="Arial"/>
          <w:color w:val="000000" w:themeColor="text1"/>
        </w:rPr>
        <w:t xml:space="preserve"> </w:t>
      </w:r>
      <w:r w:rsidR="00EA4646" w:rsidRPr="008153A4">
        <w:rPr>
          <w:rFonts w:ascii="Arial" w:hAnsi="Arial" w:cs="Arial"/>
          <w:color w:val="000000" w:themeColor="text1"/>
        </w:rPr>
        <w:t>care is</w:t>
      </w:r>
      <w:r w:rsidRPr="008153A4">
        <w:rPr>
          <w:rFonts w:ascii="Arial" w:hAnsi="Arial" w:cs="Arial"/>
          <w:color w:val="000000" w:themeColor="text1"/>
        </w:rPr>
        <w:t xml:space="preserve"> important to assist her with daily living and know when it's not right. Social services might get involved due to safeguarding concerns for her safety, seeing as when she was found, she was outside without appropriate clothing (Karam et al., 2021).</w:t>
      </w:r>
    </w:p>
    <w:p w14:paraId="0199E9E0" w14:textId="35A34A88"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Regular multidisciplinary team (MDT) meetings and shared plans of care allow for good </w:t>
      </w:r>
      <w:proofErr w:type="gramStart"/>
      <w:r w:rsidRPr="008153A4">
        <w:rPr>
          <w:rFonts w:ascii="Arial" w:hAnsi="Arial" w:cs="Arial"/>
          <w:color w:val="000000" w:themeColor="text1"/>
        </w:rPr>
        <w:t>co</w:t>
      </w:r>
      <w:r w:rsidR="00C850BA">
        <w:rPr>
          <w:rFonts w:ascii="Arial" w:hAnsi="Arial" w:cs="Arial"/>
          <w:color w:val="000000" w:themeColor="text1"/>
        </w:rPr>
        <w:t xml:space="preserve"> </w:t>
      </w:r>
      <w:proofErr w:type="spellStart"/>
      <w:r w:rsidRPr="008153A4">
        <w:rPr>
          <w:rFonts w:ascii="Arial" w:hAnsi="Arial" w:cs="Arial"/>
          <w:color w:val="000000" w:themeColor="text1"/>
        </w:rPr>
        <w:t>mmunication</w:t>
      </w:r>
      <w:proofErr w:type="spellEnd"/>
      <w:proofErr w:type="gramEnd"/>
      <w:r w:rsidRPr="008153A4">
        <w:rPr>
          <w:rFonts w:ascii="Arial" w:hAnsi="Arial" w:cs="Arial"/>
          <w:color w:val="000000" w:themeColor="text1"/>
        </w:rPr>
        <w:t xml:space="preserve"> and risk assessment. This can reduce medication errors, improve safeguarding, and put Mrs. Thompson's needs first (Douglas et al., 2022).</w:t>
      </w:r>
    </w:p>
    <w:p w14:paraId="08ADF458" w14:textId="64F0C4A4" w:rsidR="008153A4" w:rsidRPr="008153A4" w:rsidRDefault="008153A4" w:rsidP="008153A4">
      <w:pPr>
        <w:spacing w:line="360" w:lineRule="auto"/>
        <w:jc w:val="both"/>
        <w:rPr>
          <w:rFonts w:ascii="Arial" w:hAnsi="Arial" w:cs="Arial"/>
          <w:color w:val="000000" w:themeColor="text1"/>
        </w:rPr>
      </w:pPr>
      <w:r w:rsidRPr="008153A4">
        <w:rPr>
          <w:rFonts w:ascii="Arial" w:hAnsi="Arial" w:cs="Arial"/>
          <w:color w:val="000000" w:themeColor="text1"/>
        </w:rPr>
        <w:t xml:space="preserve">However, lack of communication between </w:t>
      </w:r>
      <w:r w:rsidR="009F67CF" w:rsidRPr="008153A4">
        <w:rPr>
          <w:rFonts w:ascii="Arial" w:hAnsi="Arial" w:cs="Arial"/>
          <w:color w:val="000000" w:themeColor="text1"/>
        </w:rPr>
        <w:t>organizations</w:t>
      </w:r>
      <w:r w:rsidRPr="008153A4">
        <w:rPr>
          <w:rFonts w:ascii="Arial" w:hAnsi="Arial" w:cs="Arial"/>
          <w:color w:val="000000" w:themeColor="text1"/>
        </w:rPr>
        <w:t>, unclear roles and duties, and late information sharing may hinder collaboration. Clear referral pathways, well-documented information, regular meetings, and secure electronic data reduce these concerns (Ham, 2024).</w:t>
      </w:r>
    </w:p>
    <w:p w14:paraId="52E2EF42" w14:textId="162F0F3C" w:rsidR="00A97708" w:rsidRPr="00CC06CC" w:rsidRDefault="008153A4" w:rsidP="008153A4">
      <w:pPr>
        <w:spacing w:line="360" w:lineRule="auto"/>
        <w:jc w:val="both"/>
        <w:rPr>
          <w:rFonts w:ascii="Arial" w:hAnsi="Arial" w:cs="Arial"/>
          <w:color w:val="000000" w:themeColor="text1"/>
          <w:highlight w:val="yellow"/>
        </w:rPr>
      </w:pPr>
      <w:r w:rsidRPr="008153A4">
        <w:rPr>
          <w:rFonts w:ascii="Arial" w:hAnsi="Arial" w:cs="Arial"/>
          <w:color w:val="000000" w:themeColor="text1"/>
        </w:rPr>
        <w:t>Due to effective cooperation, all of Mrs. Thompson's healthcare professionals assist her. Agencies can work together to reduce risk, promote independence, and improve her safety and quality of life.</w:t>
      </w:r>
    </w:p>
    <w:p w14:paraId="67019DB4" w14:textId="4B9B1DEB" w:rsidR="00A97708" w:rsidRPr="00CC06CC" w:rsidRDefault="004C2C2A" w:rsidP="00541AE8">
      <w:pPr>
        <w:pStyle w:val="Heading1"/>
        <w:spacing w:line="360" w:lineRule="auto"/>
        <w:jc w:val="both"/>
        <w:rPr>
          <w:rFonts w:ascii="Arial" w:hAnsi="Arial" w:cs="Arial"/>
          <w:b/>
          <w:bCs/>
          <w:color w:val="000000" w:themeColor="text1"/>
          <w:sz w:val="22"/>
          <w:szCs w:val="22"/>
        </w:rPr>
      </w:pPr>
      <w:bookmarkStart w:id="4" w:name="_Toc234127399"/>
      <w:r w:rsidRPr="00CC06CC">
        <w:rPr>
          <w:rFonts w:ascii="Arial" w:hAnsi="Arial" w:cs="Arial"/>
          <w:b/>
          <w:bCs/>
          <w:color w:val="000000" w:themeColor="text1"/>
          <w:sz w:val="22"/>
          <w:szCs w:val="22"/>
        </w:rPr>
        <w:t xml:space="preserve">5. </w:t>
      </w:r>
      <w:r w:rsidR="00A97708" w:rsidRPr="00CC06CC">
        <w:rPr>
          <w:rFonts w:ascii="Arial" w:hAnsi="Arial" w:cs="Arial"/>
          <w:b/>
          <w:bCs/>
          <w:color w:val="000000" w:themeColor="text1"/>
          <w:sz w:val="22"/>
          <w:szCs w:val="22"/>
        </w:rPr>
        <w:t>Conclusion</w:t>
      </w:r>
      <w:bookmarkEnd w:id="4"/>
      <w:r w:rsidR="00A97708" w:rsidRPr="00CC06CC">
        <w:rPr>
          <w:rFonts w:ascii="Arial" w:hAnsi="Arial" w:cs="Arial"/>
          <w:b/>
          <w:bCs/>
          <w:color w:val="000000" w:themeColor="text1"/>
          <w:sz w:val="22"/>
          <w:szCs w:val="22"/>
        </w:rPr>
        <w:t xml:space="preserve"> </w:t>
      </w:r>
    </w:p>
    <w:p w14:paraId="6201B99A" w14:textId="469275A9" w:rsidR="004C2C2A" w:rsidRPr="00541AE8" w:rsidRDefault="008153A4" w:rsidP="00CC06CC">
      <w:pPr>
        <w:spacing w:line="360" w:lineRule="auto"/>
        <w:jc w:val="both"/>
        <w:rPr>
          <w:rFonts w:ascii="Arial" w:hAnsi="Arial" w:cs="Arial"/>
          <w:color w:val="000000" w:themeColor="text1"/>
        </w:rPr>
      </w:pPr>
      <w:r w:rsidRPr="008153A4">
        <w:rPr>
          <w:rFonts w:ascii="Arial" w:hAnsi="Arial" w:cs="Arial"/>
          <w:color w:val="000000" w:themeColor="text1"/>
        </w:rPr>
        <w:t xml:space="preserve">This paper shows that safe and effective health and social care requires communication, record keeping, and collaboration. Clear communication helps her comprehend, feel dignified, and participate in her care, and appropriate changes, as outlined in the Equality Acts 2010, </w:t>
      </w:r>
      <w:r w:rsidR="009F67CF" w:rsidRPr="008153A4">
        <w:rPr>
          <w:rFonts w:ascii="Arial" w:hAnsi="Arial" w:cs="Arial"/>
          <w:color w:val="000000" w:themeColor="text1"/>
        </w:rPr>
        <w:t>recognize</w:t>
      </w:r>
      <w:r w:rsidRPr="008153A4">
        <w:rPr>
          <w:rFonts w:ascii="Arial" w:hAnsi="Arial" w:cs="Arial"/>
          <w:color w:val="000000" w:themeColor="text1"/>
        </w:rPr>
        <w:t xml:space="preserve"> her dementia needs. Due to proper recording and the Caldicott Principles, her information is kept </w:t>
      </w:r>
      <w:r w:rsidRPr="008153A4">
        <w:rPr>
          <w:rFonts w:ascii="Arial" w:hAnsi="Arial" w:cs="Arial"/>
          <w:color w:val="000000" w:themeColor="text1"/>
        </w:rPr>
        <w:lastRenderedPageBreak/>
        <w:t>secure and shared between experts. Coordination and multi-agency support reduce medicine administration, misunderstanding, and safeguarding problems. All of these strategies promote person-centered care and improve results for vulnerable people like Mrs. Thompson.</w:t>
      </w:r>
      <w:r w:rsidR="004C2C2A" w:rsidRPr="00541AE8">
        <w:rPr>
          <w:rFonts w:ascii="Arial" w:hAnsi="Arial" w:cs="Arial"/>
          <w:color w:val="000000" w:themeColor="text1"/>
        </w:rPr>
        <w:br w:type="page"/>
      </w:r>
    </w:p>
    <w:p w14:paraId="6C1C9FDA" w14:textId="52D5FD41" w:rsidR="00794771" w:rsidRPr="00541AE8" w:rsidRDefault="004C2C2A" w:rsidP="00541AE8">
      <w:pPr>
        <w:pStyle w:val="Heading1"/>
        <w:spacing w:line="360" w:lineRule="auto"/>
        <w:jc w:val="both"/>
        <w:rPr>
          <w:rFonts w:ascii="Arial" w:hAnsi="Arial" w:cs="Arial"/>
          <w:b/>
          <w:bCs/>
          <w:color w:val="000000" w:themeColor="text1"/>
          <w:sz w:val="22"/>
          <w:szCs w:val="22"/>
        </w:rPr>
      </w:pPr>
      <w:bookmarkStart w:id="5" w:name="_Toc234127400"/>
      <w:r w:rsidRPr="00541AE8">
        <w:rPr>
          <w:rFonts w:ascii="Arial" w:hAnsi="Arial" w:cs="Arial"/>
          <w:b/>
          <w:bCs/>
          <w:color w:val="000000" w:themeColor="text1"/>
          <w:sz w:val="22"/>
          <w:szCs w:val="22"/>
        </w:rPr>
        <w:lastRenderedPageBreak/>
        <w:t>6. References</w:t>
      </w:r>
      <w:bookmarkEnd w:id="5"/>
    </w:p>
    <w:p w14:paraId="51E05128"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t>Afriyie, D. (2020) Effective communication between nurses and patients: an evolutionary concept analysis. </w:t>
      </w:r>
      <w:r w:rsidRPr="00541AE8">
        <w:rPr>
          <w:rFonts w:ascii="Arial" w:hAnsi="Arial" w:cs="Arial"/>
          <w:i/>
          <w:iCs/>
          <w:color w:val="222222"/>
          <w:sz w:val="22"/>
          <w:szCs w:val="22"/>
          <w:shd w:val="clear" w:color="auto" w:fill="FFFFFF"/>
        </w:rPr>
        <w:t>British journal of community nursing</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25</w:t>
      </w:r>
      <w:r w:rsidRPr="00541AE8">
        <w:rPr>
          <w:rFonts w:ascii="Arial" w:hAnsi="Arial" w:cs="Arial"/>
          <w:color w:val="222222"/>
          <w:sz w:val="22"/>
          <w:szCs w:val="22"/>
          <w:shd w:val="clear" w:color="auto" w:fill="FFFFFF"/>
        </w:rPr>
        <w:t>(9), pp.438-445.</w:t>
      </w:r>
      <w:r w:rsidRPr="00541AE8">
        <w:rPr>
          <w:rFonts w:ascii="Arial" w:hAnsi="Arial" w:cs="Arial"/>
          <w:sz w:val="22"/>
          <w:szCs w:val="22"/>
        </w:rPr>
        <w:t xml:space="preserve"> </w:t>
      </w:r>
      <w:hyperlink r:id="rId8" w:history="1">
        <w:r w:rsidRPr="00541AE8">
          <w:rPr>
            <w:rStyle w:val="Hyperlink"/>
            <w:rFonts w:ascii="Arial" w:hAnsi="Arial" w:cs="Arial"/>
            <w:sz w:val="22"/>
            <w:szCs w:val="22"/>
            <w:shd w:val="clear" w:color="auto" w:fill="FFFFFF"/>
          </w:rPr>
          <w:t>https://www.magonlinelibrary.com/doi/abs/10.12968/bjcn.2020.25.9.438</w:t>
        </w:r>
      </w:hyperlink>
    </w:p>
    <w:p w14:paraId="25965735"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t>Douglas, N., Mays, N., Al-</w:t>
      </w:r>
      <w:proofErr w:type="spellStart"/>
      <w:r w:rsidRPr="00541AE8">
        <w:rPr>
          <w:rFonts w:ascii="Arial" w:hAnsi="Arial" w:cs="Arial"/>
          <w:color w:val="222222"/>
          <w:sz w:val="22"/>
          <w:szCs w:val="22"/>
          <w:shd w:val="clear" w:color="auto" w:fill="FFFFFF"/>
        </w:rPr>
        <w:t>Haboubi</w:t>
      </w:r>
      <w:proofErr w:type="spellEnd"/>
      <w:r w:rsidRPr="00541AE8">
        <w:rPr>
          <w:rFonts w:ascii="Arial" w:hAnsi="Arial" w:cs="Arial"/>
          <w:color w:val="222222"/>
          <w:sz w:val="22"/>
          <w:szCs w:val="22"/>
          <w:shd w:val="clear" w:color="auto" w:fill="FFFFFF"/>
        </w:rPr>
        <w:t xml:space="preserve">, M., </w:t>
      </w:r>
      <w:proofErr w:type="spellStart"/>
      <w:r w:rsidRPr="00541AE8">
        <w:rPr>
          <w:rFonts w:ascii="Arial" w:hAnsi="Arial" w:cs="Arial"/>
          <w:color w:val="222222"/>
          <w:sz w:val="22"/>
          <w:szCs w:val="22"/>
          <w:shd w:val="clear" w:color="auto" w:fill="FFFFFF"/>
        </w:rPr>
        <w:t>Manacorda</w:t>
      </w:r>
      <w:proofErr w:type="spellEnd"/>
      <w:r w:rsidRPr="00541AE8">
        <w:rPr>
          <w:rFonts w:ascii="Arial" w:hAnsi="Arial" w:cs="Arial"/>
          <w:color w:val="222222"/>
          <w:sz w:val="22"/>
          <w:szCs w:val="22"/>
          <w:shd w:val="clear" w:color="auto" w:fill="FFFFFF"/>
        </w:rPr>
        <w:t xml:space="preserve">, T., Thana, L., </w:t>
      </w:r>
      <w:proofErr w:type="spellStart"/>
      <w:r w:rsidRPr="00541AE8">
        <w:rPr>
          <w:rFonts w:ascii="Arial" w:hAnsi="Arial" w:cs="Arial"/>
          <w:color w:val="222222"/>
          <w:sz w:val="22"/>
          <w:szCs w:val="22"/>
          <w:shd w:val="clear" w:color="auto" w:fill="FFFFFF"/>
        </w:rPr>
        <w:t>Wistow</w:t>
      </w:r>
      <w:proofErr w:type="spellEnd"/>
      <w:r w:rsidRPr="00541AE8">
        <w:rPr>
          <w:rFonts w:ascii="Arial" w:hAnsi="Arial" w:cs="Arial"/>
          <w:color w:val="222222"/>
          <w:sz w:val="22"/>
          <w:szCs w:val="22"/>
          <w:shd w:val="clear" w:color="auto" w:fill="FFFFFF"/>
        </w:rPr>
        <w:t>, G. and Durand, M.A. (2022) Observations of community-based multidisciplinary team meetings in health and social care for older people with long term conditions in England. </w:t>
      </w:r>
      <w:r w:rsidRPr="00541AE8">
        <w:rPr>
          <w:rFonts w:ascii="Arial" w:hAnsi="Arial" w:cs="Arial"/>
          <w:i/>
          <w:iCs/>
          <w:color w:val="222222"/>
          <w:sz w:val="22"/>
          <w:szCs w:val="22"/>
          <w:shd w:val="clear" w:color="auto" w:fill="FFFFFF"/>
        </w:rPr>
        <w:t>BMC Health Services Research</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22</w:t>
      </w:r>
      <w:r w:rsidRPr="00541AE8">
        <w:rPr>
          <w:rFonts w:ascii="Arial" w:hAnsi="Arial" w:cs="Arial"/>
          <w:color w:val="222222"/>
          <w:sz w:val="22"/>
          <w:szCs w:val="22"/>
          <w:shd w:val="clear" w:color="auto" w:fill="FFFFFF"/>
        </w:rPr>
        <w:t>(1), p.758.</w:t>
      </w:r>
      <w:r w:rsidRPr="00541AE8">
        <w:rPr>
          <w:rFonts w:ascii="Arial" w:hAnsi="Arial" w:cs="Arial"/>
          <w:sz w:val="22"/>
          <w:szCs w:val="22"/>
        </w:rPr>
        <w:t xml:space="preserve"> </w:t>
      </w:r>
      <w:hyperlink r:id="rId9" w:history="1">
        <w:r w:rsidRPr="00541AE8">
          <w:rPr>
            <w:rStyle w:val="Hyperlink"/>
            <w:rFonts w:ascii="Arial" w:hAnsi="Arial" w:cs="Arial"/>
            <w:sz w:val="22"/>
            <w:szCs w:val="22"/>
            <w:shd w:val="clear" w:color="auto" w:fill="FFFFFF"/>
          </w:rPr>
          <w:t>https://link.springer.com/article/10.1186/s12913-022-07971-x</w:t>
        </w:r>
      </w:hyperlink>
      <w:r w:rsidRPr="00541AE8">
        <w:rPr>
          <w:rFonts w:ascii="Arial" w:hAnsi="Arial" w:cs="Arial"/>
          <w:color w:val="222222"/>
          <w:sz w:val="22"/>
          <w:szCs w:val="22"/>
          <w:shd w:val="clear" w:color="auto" w:fill="FFFFFF"/>
        </w:rPr>
        <w:t xml:space="preserve"> </w:t>
      </w:r>
    </w:p>
    <w:p w14:paraId="6C5F9970"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t>Grote, H., Toma, K., Crosby, L., Robson, C., Palmer, C., Land, C., Ball, J. and Baker, E. (2021) Outliers from national audits: their analysis and use by the Care Quality Commission in quality assurance and regulation of healthcare services in England. </w:t>
      </w:r>
      <w:r w:rsidRPr="00541AE8">
        <w:rPr>
          <w:rFonts w:ascii="Arial" w:hAnsi="Arial" w:cs="Arial"/>
          <w:i/>
          <w:iCs/>
          <w:color w:val="222222"/>
          <w:sz w:val="22"/>
          <w:szCs w:val="22"/>
          <w:shd w:val="clear" w:color="auto" w:fill="FFFFFF"/>
        </w:rPr>
        <w:t>Clinical Medicine</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21</w:t>
      </w:r>
      <w:r w:rsidRPr="00541AE8">
        <w:rPr>
          <w:rFonts w:ascii="Arial" w:hAnsi="Arial" w:cs="Arial"/>
          <w:color w:val="222222"/>
          <w:sz w:val="22"/>
          <w:szCs w:val="22"/>
          <w:shd w:val="clear" w:color="auto" w:fill="FFFFFF"/>
        </w:rPr>
        <w:t xml:space="preserve">(5), </w:t>
      </w:r>
      <w:proofErr w:type="gramStart"/>
      <w:r w:rsidRPr="00541AE8">
        <w:rPr>
          <w:rFonts w:ascii="Arial" w:hAnsi="Arial" w:cs="Arial"/>
          <w:color w:val="222222"/>
          <w:sz w:val="22"/>
          <w:szCs w:val="22"/>
          <w:shd w:val="clear" w:color="auto" w:fill="FFFFFF"/>
        </w:rPr>
        <w:t>pp.e</w:t>
      </w:r>
      <w:proofErr w:type="gramEnd"/>
      <w:r w:rsidRPr="00541AE8">
        <w:rPr>
          <w:rFonts w:ascii="Arial" w:hAnsi="Arial" w:cs="Arial"/>
          <w:color w:val="222222"/>
          <w:sz w:val="22"/>
          <w:szCs w:val="22"/>
          <w:shd w:val="clear" w:color="auto" w:fill="FFFFFF"/>
        </w:rPr>
        <w:t>511-e516.</w:t>
      </w:r>
      <w:r w:rsidRPr="00541AE8">
        <w:rPr>
          <w:rFonts w:ascii="Arial" w:hAnsi="Arial" w:cs="Arial"/>
          <w:sz w:val="22"/>
          <w:szCs w:val="22"/>
        </w:rPr>
        <w:t xml:space="preserve"> </w:t>
      </w:r>
      <w:hyperlink r:id="rId10" w:history="1">
        <w:r w:rsidRPr="00541AE8">
          <w:rPr>
            <w:rStyle w:val="Hyperlink"/>
            <w:rFonts w:ascii="Arial" w:hAnsi="Arial" w:cs="Arial"/>
            <w:sz w:val="22"/>
            <w:szCs w:val="22"/>
            <w:shd w:val="clear" w:color="auto" w:fill="FFFFFF"/>
          </w:rPr>
          <w:t>https://www.sciencedirect.com/science/article/pii/S1470211824030720</w:t>
        </w:r>
      </w:hyperlink>
      <w:r w:rsidRPr="00541AE8">
        <w:rPr>
          <w:rFonts w:ascii="Arial" w:hAnsi="Arial" w:cs="Arial"/>
          <w:color w:val="222222"/>
          <w:sz w:val="22"/>
          <w:szCs w:val="22"/>
          <w:shd w:val="clear" w:color="auto" w:fill="FFFFFF"/>
        </w:rPr>
        <w:t xml:space="preserve"> </w:t>
      </w:r>
    </w:p>
    <w:p w14:paraId="2A8E5EB7"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t>Ham, C. (2024) </w:t>
      </w:r>
      <w:r w:rsidRPr="00541AE8">
        <w:rPr>
          <w:rFonts w:ascii="Arial" w:hAnsi="Arial" w:cs="Arial"/>
          <w:i/>
          <w:iCs/>
          <w:color w:val="222222"/>
          <w:sz w:val="22"/>
          <w:szCs w:val="22"/>
          <w:shd w:val="clear" w:color="auto" w:fill="FFFFFF"/>
        </w:rPr>
        <w:t>Health policy in Britain: The politics and organization of the National Health Service</w:t>
      </w:r>
      <w:r w:rsidRPr="00541AE8">
        <w:rPr>
          <w:rFonts w:ascii="Arial" w:hAnsi="Arial" w:cs="Arial"/>
          <w:color w:val="222222"/>
          <w:sz w:val="22"/>
          <w:szCs w:val="22"/>
          <w:shd w:val="clear" w:color="auto" w:fill="FFFFFF"/>
        </w:rPr>
        <w:t>. Routledge.</w:t>
      </w:r>
      <w:r w:rsidRPr="00541AE8">
        <w:rPr>
          <w:rFonts w:ascii="Arial" w:hAnsi="Arial" w:cs="Arial"/>
          <w:sz w:val="22"/>
          <w:szCs w:val="22"/>
        </w:rPr>
        <w:t xml:space="preserve"> </w:t>
      </w:r>
      <w:hyperlink r:id="rId11" w:history="1">
        <w:r w:rsidRPr="00541AE8">
          <w:rPr>
            <w:rStyle w:val="Hyperlink"/>
            <w:rFonts w:ascii="Arial" w:hAnsi="Arial" w:cs="Arial"/>
            <w:sz w:val="22"/>
            <w:szCs w:val="22"/>
            <w:shd w:val="clear" w:color="auto" w:fill="FFFFFF"/>
          </w:rPr>
          <w:t>https://www.taylorfrancis.com/books/mono/10.4324/9781003571896/health-policy-britain-christopher-ham</w:t>
        </w:r>
      </w:hyperlink>
    </w:p>
    <w:p w14:paraId="32D4643A"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t>Hartzog, W. and Richards, N.M. (2020) Privacy's constitutional moment and the limits of data protection. </w:t>
      </w:r>
      <w:r w:rsidRPr="00541AE8">
        <w:rPr>
          <w:rFonts w:ascii="Arial" w:hAnsi="Arial" w:cs="Arial"/>
          <w:i/>
          <w:iCs/>
          <w:color w:val="222222"/>
          <w:sz w:val="22"/>
          <w:szCs w:val="22"/>
          <w:shd w:val="clear" w:color="auto" w:fill="FFFFFF"/>
        </w:rPr>
        <w:t>Boston College Law Review</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61</w:t>
      </w:r>
      <w:r w:rsidRPr="00541AE8">
        <w:rPr>
          <w:rFonts w:ascii="Arial" w:hAnsi="Arial" w:cs="Arial"/>
          <w:color w:val="222222"/>
          <w:sz w:val="22"/>
          <w:szCs w:val="22"/>
          <w:shd w:val="clear" w:color="auto" w:fill="FFFFFF"/>
        </w:rPr>
        <w:t>(5), p.1687.</w:t>
      </w:r>
      <w:r w:rsidRPr="00541AE8">
        <w:rPr>
          <w:rFonts w:ascii="Arial" w:hAnsi="Arial" w:cs="Arial"/>
          <w:sz w:val="22"/>
          <w:szCs w:val="22"/>
        </w:rPr>
        <w:t xml:space="preserve"> </w:t>
      </w:r>
      <w:hyperlink r:id="rId12" w:history="1">
        <w:r w:rsidRPr="00541AE8">
          <w:rPr>
            <w:rStyle w:val="Hyperlink"/>
            <w:rFonts w:ascii="Arial" w:hAnsi="Arial" w:cs="Arial"/>
            <w:sz w:val="22"/>
            <w:szCs w:val="22"/>
            <w:shd w:val="clear" w:color="auto" w:fill="FFFFFF"/>
          </w:rPr>
          <w:t>https://scholarship.law.bu.edu/faculty_scholarship/3050/</w:t>
        </w:r>
      </w:hyperlink>
    </w:p>
    <w:p w14:paraId="1915E56E" w14:textId="5AE578FE" w:rsidR="0010660E" w:rsidRDefault="0010660E" w:rsidP="0010660E">
      <w:pPr>
        <w:pStyle w:val="NormalWeb"/>
        <w:spacing w:line="360" w:lineRule="auto"/>
        <w:ind w:left="720" w:hanging="720"/>
        <w:jc w:val="both"/>
        <w:rPr>
          <w:rStyle w:val="Hyperlink"/>
          <w:rFonts w:ascii="Arial" w:hAnsi="Arial" w:cs="Arial"/>
          <w:sz w:val="22"/>
          <w:szCs w:val="22"/>
          <w:shd w:val="clear" w:color="auto" w:fill="FFFFFF"/>
        </w:rPr>
      </w:pPr>
      <w:r w:rsidRPr="00541AE8">
        <w:rPr>
          <w:rFonts w:ascii="Arial" w:hAnsi="Arial" w:cs="Arial"/>
          <w:color w:val="222222"/>
          <w:sz w:val="22"/>
          <w:szCs w:val="22"/>
          <w:shd w:val="clear" w:color="auto" w:fill="FFFFFF"/>
        </w:rPr>
        <w:t>Karam, M., Chouinard, M.C., Poitras, M.E., Couturier, Y., Vedel, I., Grgurevic, N. and Hudon, C. (2021) Nursing care coordination for patients with complex needs in primary healthcare: a scoping review. </w:t>
      </w:r>
      <w:r w:rsidRPr="00541AE8">
        <w:rPr>
          <w:rFonts w:ascii="Arial" w:hAnsi="Arial" w:cs="Arial"/>
          <w:i/>
          <w:iCs/>
          <w:color w:val="222222"/>
          <w:sz w:val="22"/>
          <w:szCs w:val="22"/>
          <w:shd w:val="clear" w:color="auto" w:fill="FFFFFF"/>
        </w:rPr>
        <w:t>International journal of integrated care</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21</w:t>
      </w:r>
      <w:r w:rsidRPr="00541AE8">
        <w:rPr>
          <w:rFonts w:ascii="Arial" w:hAnsi="Arial" w:cs="Arial"/>
          <w:color w:val="222222"/>
          <w:sz w:val="22"/>
          <w:szCs w:val="22"/>
          <w:shd w:val="clear" w:color="auto" w:fill="FFFFFF"/>
        </w:rPr>
        <w:t>(1), p.16.</w:t>
      </w:r>
      <w:r w:rsidRPr="00541AE8">
        <w:rPr>
          <w:rFonts w:ascii="Arial" w:hAnsi="Arial" w:cs="Arial"/>
          <w:sz w:val="22"/>
          <w:szCs w:val="22"/>
        </w:rPr>
        <w:t xml:space="preserve"> </w:t>
      </w:r>
      <w:hyperlink r:id="rId13" w:history="1">
        <w:r w:rsidRPr="00541AE8">
          <w:rPr>
            <w:rStyle w:val="Hyperlink"/>
            <w:rFonts w:ascii="Arial" w:hAnsi="Arial" w:cs="Arial"/>
            <w:sz w:val="22"/>
            <w:szCs w:val="22"/>
            <w:shd w:val="clear" w:color="auto" w:fill="FFFFFF"/>
          </w:rPr>
          <w:t>https://pmc.ncbi.nlm.nih.gov/articles/PMC7977020/</w:t>
        </w:r>
      </w:hyperlink>
    </w:p>
    <w:p w14:paraId="305F960B" w14:textId="0784BC25" w:rsidR="00C063FB" w:rsidRPr="00541AE8" w:rsidRDefault="00C063FB" w:rsidP="0010660E">
      <w:pPr>
        <w:pStyle w:val="NormalWeb"/>
        <w:spacing w:line="360" w:lineRule="auto"/>
        <w:ind w:left="720" w:hanging="720"/>
        <w:jc w:val="both"/>
        <w:rPr>
          <w:rFonts w:ascii="Arial" w:hAnsi="Arial" w:cs="Arial"/>
          <w:color w:val="222222"/>
          <w:sz w:val="22"/>
          <w:szCs w:val="22"/>
          <w:shd w:val="clear" w:color="auto" w:fill="FFFFFF"/>
        </w:rPr>
      </w:pPr>
      <w:r>
        <w:rPr>
          <w:rFonts w:ascii="Arial" w:hAnsi="Arial" w:cs="Arial"/>
          <w:color w:val="222222"/>
          <w:sz w:val="20"/>
          <w:szCs w:val="20"/>
          <w:shd w:val="clear" w:color="auto" w:fill="FFFFFF"/>
        </w:rPr>
        <w:t>Kapur, R. (2020) The models of communication. </w:t>
      </w:r>
      <w:r>
        <w:rPr>
          <w:rFonts w:ascii="Arial" w:hAnsi="Arial" w:cs="Arial"/>
          <w:i/>
          <w:iCs/>
          <w:color w:val="222222"/>
          <w:sz w:val="20"/>
          <w:szCs w:val="20"/>
          <w:shd w:val="clear" w:color="auto" w:fill="FFFFFF"/>
        </w:rPr>
        <w:t>University of Delhi</w:t>
      </w:r>
      <w:r>
        <w:rPr>
          <w:rFonts w:ascii="Arial" w:hAnsi="Arial" w:cs="Arial"/>
          <w:color w:val="222222"/>
          <w:sz w:val="20"/>
          <w:szCs w:val="20"/>
          <w:shd w:val="clear" w:color="auto" w:fill="FFFFFF"/>
        </w:rPr>
        <w:t>, pp.1-10.</w:t>
      </w:r>
      <w:r w:rsidRPr="00C063FB">
        <w:t xml:space="preserve"> </w:t>
      </w:r>
      <w:hyperlink r:id="rId14" w:history="1">
        <w:r w:rsidRPr="001D01DB">
          <w:rPr>
            <w:rStyle w:val="Hyperlink"/>
            <w:rFonts w:ascii="Arial" w:hAnsi="Arial" w:cs="Arial"/>
            <w:sz w:val="20"/>
            <w:szCs w:val="20"/>
            <w:shd w:val="clear" w:color="auto" w:fill="FFFFFF"/>
          </w:rPr>
          <w:t>https://www.researchgate.net/profile/Radhika-Kapur-2/publication/344295651_The_Models_of_Communication/links/5f6452b8a6fdcc00862976da/The-Models-of-Communication</w:t>
        </w:r>
      </w:hyperlink>
      <w:r>
        <w:rPr>
          <w:rFonts w:ascii="Arial" w:hAnsi="Arial" w:cs="Arial"/>
          <w:color w:val="222222"/>
          <w:sz w:val="20"/>
          <w:szCs w:val="20"/>
          <w:shd w:val="clear" w:color="auto" w:fill="FFFFFF"/>
        </w:rPr>
        <w:t xml:space="preserve"> </w:t>
      </w:r>
    </w:p>
    <w:p w14:paraId="780F7710"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lastRenderedPageBreak/>
        <w:t xml:space="preserve">Nordin, S., Sturge, J., Ayoub, M., Jones, A., McKee, K., Dahlberg, L., </w:t>
      </w:r>
      <w:proofErr w:type="spellStart"/>
      <w:r w:rsidRPr="00541AE8">
        <w:rPr>
          <w:rFonts w:ascii="Arial" w:hAnsi="Arial" w:cs="Arial"/>
          <w:color w:val="222222"/>
          <w:sz w:val="22"/>
          <w:szCs w:val="22"/>
          <w:shd w:val="clear" w:color="auto" w:fill="FFFFFF"/>
        </w:rPr>
        <w:t>Meijering</w:t>
      </w:r>
      <w:proofErr w:type="spellEnd"/>
      <w:r w:rsidRPr="00541AE8">
        <w:rPr>
          <w:rFonts w:ascii="Arial" w:hAnsi="Arial" w:cs="Arial"/>
          <w:color w:val="222222"/>
          <w:sz w:val="22"/>
          <w:szCs w:val="22"/>
          <w:shd w:val="clear" w:color="auto" w:fill="FFFFFF"/>
        </w:rPr>
        <w:t>, L. and Elf, M. (2021) The role of information and communication technology (ICT) for older adults’ decision-making related to health, and health and social care services in daily life—A scoping review. </w:t>
      </w:r>
      <w:r w:rsidRPr="00541AE8">
        <w:rPr>
          <w:rFonts w:ascii="Arial" w:hAnsi="Arial" w:cs="Arial"/>
          <w:i/>
          <w:iCs/>
          <w:color w:val="222222"/>
          <w:sz w:val="22"/>
          <w:szCs w:val="22"/>
          <w:shd w:val="clear" w:color="auto" w:fill="FFFFFF"/>
        </w:rPr>
        <w:t>International Journal of Environmental Research and Public Health</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19</w:t>
      </w:r>
      <w:r w:rsidRPr="00541AE8">
        <w:rPr>
          <w:rFonts w:ascii="Arial" w:hAnsi="Arial" w:cs="Arial"/>
          <w:color w:val="222222"/>
          <w:sz w:val="22"/>
          <w:szCs w:val="22"/>
          <w:shd w:val="clear" w:color="auto" w:fill="FFFFFF"/>
        </w:rPr>
        <w:t>(1), p.151.</w:t>
      </w:r>
      <w:r w:rsidRPr="00541AE8">
        <w:rPr>
          <w:rFonts w:ascii="Arial" w:hAnsi="Arial" w:cs="Arial"/>
          <w:sz w:val="22"/>
          <w:szCs w:val="22"/>
        </w:rPr>
        <w:t xml:space="preserve"> </w:t>
      </w:r>
      <w:hyperlink r:id="rId15" w:history="1">
        <w:r w:rsidRPr="00541AE8">
          <w:rPr>
            <w:rStyle w:val="Hyperlink"/>
            <w:rFonts w:ascii="Arial" w:hAnsi="Arial" w:cs="Arial"/>
            <w:sz w:val="22"/>
            <w:szCs w:val="22"/>
            <w:shd w:val="clear" w:color="auto" w:fill="FFFFFF"/>
          </w:rPr>
          <w:t>https://www.mdpi.com/1660-4601/19/1/151</w:t>
        </w:r>
      </w:hyperlink>
    </w:p>
    <w:p w14:paraId="0457934F"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proofErr w:type="spellStart"/>
      <w:r w:rsidRPr="00541AE8">
        <w:rPr>
          <w:rFonts w:ascii="Arial" w:hAnsi="Arial" w:cs="Arial"/>
          <w:color w:val="222222"/>
          <w:sz w:val="22"/>
          <w:szCs w:val="22"/>
          <w:shd w:val="clear" w:color="auto" w:fill="FFFFFF"/>
        </w:rPr>
        <w:t>Nutbeam</w:t>
      </w:r>
      <w:proofErr w:type="spellEnd"/>
      <w:r w:rsidRPr="00541AE8">
        <w:rPr>
          <w:rFonts w:ascii="Arial" w:hAnsi="Arial" w:cs="Arial"/>
          <w:color w:val="222222"/>
          <w:sz w:val="22"/>
          <w:szCs w:val="22"/>
          <w:shd w:val="clear" w:color="auto" w:fill="FFFFFF"/>
        </w:rPr>
        <w:t>, D. and Lloyd, J.E. (2021) Understanding and responding to health literacy as a social determinant of health. </w:t>
      </w:r>
      <w:r w:rsidRPr="00541AE8">
        <w:rPr>
          <w:rFonts w:ascii="Arial" w:hAnsi="Arial" w:cs="Arial"/>
          <w:i/>
          <w:iCs/>
          <w:color w:val="222222"/>
          <w:sz w:val="22"/>
          <w:szCs w:val="22"/>
          <w:shd w:val="clear" w:color="auto" w:fill="FFFFFF"/>
        </w:rPr>
        <w:t>Annual review of public health</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42</w:t>
      </w:r>
      <w:r w:rsidRPr="00541AE8">
        <w:rPr>
          <w:rFonts w:ascii="Arial" w:hAnsi="Arial" w:cs="Arial"/>
          <w:color w:val="222222"/>
          <w:sz w:val="22"/>
          <w:szCs w:val="22"/>
          <w:shd w:val="clear" w:color="auto" w:fill="FFFFFF"/>
        </w:rPr>
        <w:t>(1), pp.159-173.</w:t>
      </w:r>
      <w:r w:rsidRPr="00541AE8">
        <w:rPr>
          <w:rFonts w:ascii="Arial" w:hAnsi="Arial" w:cs="Arial"/>
          <w:sz w:val="22"/>
          <w:szCs w:val="22"/>
        </w:rPr>
        <w:t xml:space="preserve"> </w:t>
      </w:r>
      <w:hyperlink r:id="rId16" w:history="1">
        <w:r w:rsidRPr="00541AE8">
          <w:rPr>
            <w:rStyle w:val="Hyperlink"/>
            <w:rFonts w:ascii="Arial" w:hAnsi="Arial" w:cs="Arial"/>
            <w:sz w:val="22"/>
            <w:szCs w:val="22"/>
            <w:shd w:val="clear" w:color="auto" w:fill="FFFFFF"/>
          </w:rPr>
          <w:t>https://www.annualreviews.org/content/journals/10.1146/annurev-publhealth-090419-102529</w:t>
        </w:r>
      </w:hyperlink>
    </w:p>
    <w:p w14:paraId="2EBADFCB"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proofErr w:type="spellStart"/>
      <w:r w:rsidRPr="00541AE8">
        <w:rPr>
          <w:rFonts w:ascii="Arial" w:hAnsi="Arial" w:cs="Arial"/>
          <w:color w:val="222222"/>
          <w:sz w:val="22"/>
          <w:szCs w:val="22"/>
          <w:shd w:val="clear" w:color="auto" w:fill="FFFFFF"/>
        </w:rPr>
        <w:t>Ocloo</w:t>
      </w:r>
      <w:proofErr w:type="spellEnd"/>
      <w:r w:rsidRPr="00541AE8">
        <w:rPr>
          <w:rFonts w:ascii="Arial" w:hAnsi="Arial" w:cs="Arial"/>
          <w:color w:val="222222"/>
          <w:sz w:val="22"/>
          <w:szCs w:val="22"/>
          <w:shd w:val="clear" w:color="auto" w:fill="FFFFFF"/>
        </w:rPr>
        <w:t>, J., Garfield, S., Franklin, B.D. and Dawson, S. (2021) Exploring the theory, barriers and enablers for patient and public involvement across health, social care and patient safety: a systematic review of reviews. </w:t>
      </w:r>
      <w:r w:rsidRPr="00541AE8">
        <w:rPr>
          <w:rFonts w:ascii="Arial" w:hAnsi="Arial" w:cs="Arial"/>
          <w:i/>
          <w:iCs/>
          <w:color w:val="222222"/>
          <w:sz w:val="22"/>
          <w:szCs w:val="22"/>
          <w:shd w:val="clear" w:color="auto" w:fill="FFFFFF"/>
        </w:rPr>
        <w:t>Health research policy and systems</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19</w:t>
      </w:r>
      <w:r w:rsidRPr="00541AE8">
        <w:rPr>
          <w:rFonts w:ascii="Arial" w:hAnsi="Arial" w:cs="Arial"/>
          <w:color w:val="222222"/>
          <w:sz w:val="22"/>
          <w:szCs w:val="22"/>
          <w:shd w:val="clear" w:color="auto" w:fill="FFFFFF"/>
        </w:rPr>
        <w:t>(1), p.8.</w:t>
      </w:r>
      <w:r w:rsidRPr="00541AE8">
        <w:rPr>
          <w:rFonts w:ascii="Arial" w:hAnsi="Arial" w:cs="Arial"/>
          <w:sz w:val="22"/>
          <w:szCs w:val="22"/>
        </w:rPr>
        <w:t xml:space="preserve"> </w:t>
      </w:r>
      <w:hyperlink r:id="rId17" w:history="1">
        <w:r w:rsidRPr="00541AE8">
          <w:rPr>
            <w:rStyle w:val="Hyperlink"/>
            <w:rFonts w:ascii="Arial" w:hAnsi="Arial" w:cs="Arial"/>
            <w:sz w:val="22"/>
            <w:szCs w:val="22"/>
            <w:shd w:val="clear" w:color="auto" w:fill="FFFFFF"/>
          </w:rPr>
          <w:t>https://link.springer.com/article/10.1186/s12961-020-00644-3</w:t>
        </w:r>
      </w:hyperlink>
      <w:r w:rsidRPr="00541AE8">
        <w:rPr>
          <w:rFonts w:ascii="Arial" w:hAnsi="Arial" w:cs="Arial"/>
          <w:color w:val="222222"/>
          <w:sz w:val="22"/>
          <w:szCs w:val="22"/>
          <w:shd w:val="clear" w:color="auto" w:fill="FFFFFF"/>
        </w:rPr>
        <w:t xml:space="preserve"> </w:t>
      </w:r>
    </w:p>
    <w:p w14:paraId="52283B06"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t>Putri, P. and Afandi, A.T. (2023) The SBAR Communication Method (Situation-Background-Assessment-Recommendation) In Nursing: A Literature Review. </w:t>
      </w:r>
      <w:proofErr w:type="spellStart"/>
      <w:r w:rsidRPr="00541AE8">
        <w:rPr>
          <w:rFonts w:ascii="Arial" w:hAnsi="Arial" w:cs="Arial"/>
          <w:i/>
          <w:iCs/>
          <w:color w:val="222222"/>
          <w:sz w:val="22"/>
          <w:szCs w:val="22"/>
          <w:shd w:val="clear" w:color="auto" w:fill="FFFFFF"/>
        </w:rPr>
        <w:t>Jurnal</w:t>
      </w:r>
      <w:proofErr w:type="spellEnd"/>
      <w:r w:rsidRPr="00541AE8">
        <w:rPr>
          <w:rFonts w:ascii="Arial" w:hAnsi="Arial" w:cs="Arial"/>
          <w:i/>
          <w:iCs/>
          <w:color w:val="222222"/>
          <w:sz w:val="22"/>
          <w:szCs w:val="22"/>
          <w:shd w:val="clear" w:color="auto" w:fill="FFFFFF"/>
        </w:rPr>
        <w:t xml:space="preserve"> Kesehatan </w:t>
      </w:r>
      <w:proofErr w:type="spellStart"/>
      <w:r w:rsidRPr="00541AE8">
        <w:rPr>
          <w:rFonts w:ascii="Arial" w:hAnsi="Arial" w:cs="Arial"/>
          <w:i/>
          <w:iCs/>
          <w:color w:val="222222"/>
          <w:sz w:val="22"/>
          <w:szCs w:val="22"/>
          <w:shd w:val="clear" w:color="auto" w:fill="FFFFFF"/>
        </w:rPr>
        <w:t>Komunitas</w:t>
      </w:r>
      <w:proofErr w:type="spellEnd"/>
      <w:r w:rsidRPr="00541AE8">
        <w:rPr>
          <w:rFonts w:ascii="Arial" w:hAnsi="Arial" w:cs="Arial"/>
          <w:i/>
          <w:iCs/>
          <w:color w:val="222222"/>
          <w:sz w:val="22"/>
          <w:szCs w:val="22"/>
          <w:shd w:val="clear" w:color="auto" w:fill="FFFFFF"/>
        </w:rPr>
        <w:t xml:space="preserve"> Indonesia</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3</w:t>
      </w:r>
      <w:r w:rsidRPr="00541AE8">
        <w:rPr>
          <w:rFonts w:ascii="Arial" w:hAnsi="Arial" w:cs="Arial"/>
          <w:color w:val="222222"/>
          <w:sz w:val="22"/>
          <w:szCs w:val="22"/>
          <w:shd w:val="clear" w:color="auto" w:fill="FFFFFF"/>
        </w:rPr>
        <w:t>(2), pp.194-200.</w:t>
      </w:r>
      <w:r w:rsidRPr="00541AE8">
        <w:rPr>
          <w:rFonts w:ascii="Arial" w:hAnsi="Arial" w:cs="Arial"/>
          <w:sz w:val="22"/>
          <w:szCs w:val="22"/>
        </w:rPr>
        <w:t xml:space="preserve"> </w:t>
      </w:r>
      <w:hyperlink r:id="rId18" w:history="1">
        <w:r w:rsidRPr="00541AE8">
          <w:rPr>
            <w:rStyle w:val="Hyperlink"/>
            <w:rFonts w:ascii="Arial" w:hAnsi="Arial" w:cs="Arial"/>
            <w:sz w:val="22"/>
            <w:szCs w:val="22"/>
            <w:shd w:val="clear" w:color="auto" w:fill="FFFFFF"/>
          </w:rPr>
          <w:t>https://ebsina.or.id/journals/index.php/jkki/article/view/118</w:t>
        </w:r>
      </w:hyperlink>
    </w:p>
    <w:p w14:paraId="6C6D2B92"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t>Pyper, D. (2020) The public sector equality duty and equality impact assessments. </w:t>
      </w:r>
      <w:r w:rsidRPr="00541AE8">
        <w:rPr>
          <w:rFonts w:ascii="Arial" w:hAnsi="Arial" w:cs="Arial"/>
          <w:i/>
          <w:iCs/>
          <w:color w:val="222222"/>
          <w:sz w:val="22"/>
          <w:szCs w:val="22"/>
          <w:shd w:val="clear" w:color="auto" w:fill="FFFFFF"/>
        </w:rPr>
        <w:t>Briefing Paper</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6591</w:t>
      </w:r>
      <w:r w:rsidRPr="00541AE8">
        <w:rPr>
          <w:rFonts w:ascii="Arial" w:hAnsi="Arial" w:cs="Arial"/>
          <w:color w:val="222222"/>
          <w:sz w:val="22"/>
          <w:szCs w:val="22"/>
          <w:shd w:val="clear" w:color="auto" w:fill="FFFFFF"/>
        </w:rPr>
        <w:t>.</w:t>
      </w:r>
      <w:r w:rsidRPr="00541AE8">
        <w:rPr>
          <w:rFonts w:ascii="Arial" w:hAnsi="Arial" w:cs="Arial"/>
          <w:sz w:val="22"/>
          <w:szCs w:val="22"/>
        </w:rPr>
        <w:t xml:space="preserve"> </w:t>
      </w:r>
      <w:hyperlink r:id="rId19" w:history="1">
        <w:r w:rsidRPr="00541AE8">
          <w:rPr>
            <w:rStyle w:val="Hyperlink"/>
            <w:rFonts w:ascii="Arial" w:hAnsi="Arial" w:cs="Arial"/>
            <w:sz w:val="22"/>
            <w:szCs w:val="22"/>
            <w:shd w:val="clear" w:color="auto" w:fill="FFFFFF"/>
          </w:rPr>
          <w:t>https://www.equallyours.org.uk/wp-content/uploads/2013/09/sn06591.pdf</w:t>
        </w:r>
      </w:hyperlink>
    </w:p>
    <w:p w14:paraId="332D6A70" w14:textId="77777777" w:rsidR="0010660E" w:rsidRPr="00541AE8" w:rsidRDefault="0010660E" w:rsidP="0010660E">
      <w:pPr>
        <w:pStyle w:val="NormalWeb"/>
        <w:spacing w:line="360" w:lineRule="auto"/>
        <w:ind w:left="720" w:hanging="720"/>
        <w:jc w:val="both"/>
        <w:rPr>
          <w:rFonts w:ascii="Arial" w:hAnsi="Arial" w:cs="Arial"/>
          <w:color w:val="222222"/>
          <w:sz w:val="22"/>
          <w:szCs w:val="22"/>
          <w:shd w:val="clear" w:color="auto" w:fill="FFFFFF"/>
        </w:rPr>
      </w:pPr>
      <w:r w:rsidRPr="00541AE8">
        <w:rPr>
          <w:rFonts w:ascii="Arial" w:hAnsi="Arial" w:cs="Arial"/>
          <w:color w:val="222222"/>
          <w:sz w:val="22"/>
          <w:szCs w:val="22"/>
          <w:shd w:val="clear" w:color="auto" w:fill="FFFFFF"/>
        </w:rPr>
        <w:t>Tamburri, D.A. (2020) Design principles for the General Data Protection Regulation (GDPR): A formal concept analysis and its evaluation. </w:t>
      </w:r>
      <w:r w:rsidRPr="00541AE8">
        <w:rPr>
          <w:rFonts w:ascii="Arial" w:hAnsi="Arial" w:cs="Arial"/>
          <w:i/>
          <w:iCs/>
          <w:color w:val="222222"/>
          <w:sz w:val="22"/>
          <w:szCs w:val="22"/>
          <w:shd w:val="clear" w:color="auto" w:fill="FFFFFF"/>
        </w:rPr>
        <w:t>Information Systems</w:t>
      </w:r>
      <w:r w:rsidRPr="00541AE8">
        <w:rPr>
          <w:rFonts w:ascii="Arial" w:hAnsi="Arial" w:cs="Arial"/>
          <w:color w:val="222222"/>
          <w:sz w:val="22"/>
          <w:szCs w:val="22"/>
          <w:shd w:val="clear" w:color="auto" w:fill="FFFFFF"/>
        </w:rPr>
        <w:t>, </w:t>
      </w:r>
      <w:r w:rsidRPr="00541AE8">
        <w:rPr>
          <w:rFonts w:ascii="Arial" w:hAnsi="Arial" w:cs="Arial"/>
          <w:i/>
          <w:iCs/>
          <w:color w:val="222222"/>
          <w:sz w:val="22"/>
          <w:szCs w:val="22"/>
          <w:shd w:val="clear" w:color="auto" w:fill="FFFFFF"/>
        </w:rPr>
        <w:t>91</w:t>
      </w:r>
      <w:r w:rsidRPr="00541AE8">
        <w:rPr>
          <w:rFonts w:ascii="Arial" w:hAnsi="Arial" w:cs="Arial"/>
          <w:color w:val="222222"/>
          <w:sz w:val="22"/>
          <w:szCs w:val="22"/>
          <w:shd w:val="clear" w:color="auto" w:fill="FFFFFF"/>
        </w:rPr>
        <w:t>, p.101469.</w:t>
      </w:r>
      <w:r w:rsidRPr="00541AE8">
        <w:rPr>
          <w:rFonts w:ascii="Arial" w:hAnsi="Arial" w:cs="Arial"/>
          <w:sz w:val="22"/>
          <w:szCs w:val="22"/>
        </w:rPr>
        <w:t xml:space="preserve"> </w:t>
      </w:r>
      <w:hyperlink r:id="rId20" w:history="1">
        <w:r w:rsidRPr="00541AE8">
          <w:rPr>
            <w:rStyle w:val="Hyperlink"/>
            <w:rFonts w:ascii="Arial" w:hAnsi="Arial" w:cs="Arial"/>
            <w:sz w:val="22"/>
            <w:szCs w:val="22"/>
            <w:shd w:val="clear" w:color="auto" w:fill="FFFFFF"/>
          </w:rPr>
          <w:t>https://www.sciencedirect.com/science/article/pii/S0306437919305216</w:t>
        </w:r>
      </w:hyperlink>
    </w:p>
    <w:p w14:paraId="76618159" w14:textId="77777777" w:rsidR="004C2C2A" w:rsidRPr="00541AE8" w:rsidRDefault="004C2C2A" w:rsidP="00541AE8">
      <w:pPr>
        <w:spacing w:line="360" w:lineRule="auto"/>
        <w:jc w:val="both"/>
        <w:rPr>
          <w:rFonts w:ascii="Arial" w:hAnsi="Arial" w:cs="Arial"/>
          <w:color w:val="000000" w:themeColor="text1"/>
        </w:rPr>
      </w:pPr>
    </w:p>
    <w:p w14:paraId="75FCF011" w14:textId="77777777" w:rsidR="004C2C2A" w:rsidRPr="00541AE8" w:rsidRDefault="004C2C2A" w:rsidP="00541AE8">
      <w:pPr>
        <w:spacing w:line="360" w:lineRule="auto"/>
        <w:jc w:val="both"/>
        <w:rPr>
          <w:rFonts w:ascii="Arial" w:hAnsi="Arial" w:cs="Arial"/>
          <w:color w:val="000000" w:themeColor="text1"/>
        </w:rPr>
      </w:pPr>
    </w:p>
    <w:sectPr w:rsidR="004C2C2A" w:rsidRPr="00541AE8">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F9CA" w14:textId="77777777" w:rsidR="00AE6C09" w:rsidRDefault="00AE6C09" w:rsidP="00541AE8">
      <w:pPr>
        <w:spacing w:after="0" w:line="240" w:lineRule="auto"/>
      </w:pPr>
      <w:r>
        <w:separator/>
      </w:r>
    </w:p>
  </w:endnote>
  <w:endnote w:type="continuationSeparator" w:id="0">
    <w:p w14:paraId="26C2AB73" w14:textId="77777777" w:rsidR="00AE6C09" w:rsidRDefault="00AE6C09" w:rsidP="00541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645279"/>
      <w:docPartObj>
        <w:docPartGallery w:val="Page Numbers (Bottom of Page)"/>
        <w:docPartUnique/>
      </w:docPartObj>
    </w:sdtPr>
    <w:sdtEndPr>
      <w:rPr>
        <w:noProof/>
      </w:rPr>
    </w:sdtEndPr>
    <w:sdtContent>
      <w:p w14:paraId="0825D268" w14:textId="25682E3D" w:rsidR="00541AE8" w:rsidRDefault="00541A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FAFAF8" w14:textId="77777777" w:rsidR="00541AE8" w:rsidRDefault="00541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BAEE6" w14:textId="77777777" w:rsidR="00AE6C09" w:rsidRDefault="00AE6C09" w:rsidP="00541AE8">
      <w:pPr>
        <w:spacing w:after="0" w:line="240" w:lineRule="auto"/>
      </w:pPr>
      <w:r>
        <w:separator/>
      </w:r>
    </w:p>
  </w:footnote>
  <w:footnote w:type="continuationSeparator" w:id="0">
    <w:p w14:paraId="01915FD0" w14:textId="77777777" w:rsidR="00AE6C09" w:rsidRDefault="00AE6C09" w:rsidP="00541A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80E"/>
    <w:rsid w:val="00074E3C"/>
    <w:rsid w:val="000F5BA7"/>
    <w:rsid w:val="0010660E"/>
    <w:rsid w:val="001371AF"/>
    <w:rsid w:val="00157085"/>
    <w:rsid w:val="00176E26"/>
    <w:rsid w:val="001C787A"/>
    <w:rsid w:val="0021580E"/>
    <w:rsid w:val="0023750A"/>
    <w:rsid w:val="002F2E18"/>
    <w:rsid w:val="00316E9B"/>
    <w:rsid w:val="003A7C71"/>
    <w:rsid w:val="003B44FD"/>
    <w:rsid w:val="003D2859"/>
    <w:rsid w:val="004C265F"/>
    <w:rsid w:val="004C2C2A"/>
    <w:rsid w:val="00541AE8"/>
    <w:rsid w:val="00583C18"/>
    <w:rsid w:val="00753D64"/>
    <w:rsid w:val="00794771"/>
    <w:rsid w:val="007D38D4"/>
    <w:rsid w:val="008153A4"/>
    <w:rsid w:val="00843482"/>
    <w:rsid w:val="008C5EBB"/>
    <w:rsid w:val="009C6977"/>
    <w:rsid w:val="009F67CF"/>
    <w:rsid w:val="00A3310B"/>
    <w:rsid w:val="00A8788D"/>
    <w:rsid w:val="00A90CFD"/>
    <w:rsid w:val="00A97708"/>
    <w:rsid w:val="00AC4030"/>
    <w:rsid w:val="00AD5FEA"/>
    <w:rsid w:val="00AE6C09"/>
    <w:rsid w:val="00B472BE"/>
    <w:rsid w:val="00C063FB"/>
    <w:rsid w:val="00C850BA"/>
    <w:rsid w:val="00CC06CC"/>
    <w:rsid w:val="00CD7F53"/>
    <w:rsid w:val="00D03A91"/>
    <w:rsid w:val="00D211A6"/>
    <w:rsid w:val="00D70D8E"/>
    <w:rsid w:val="00D76555"/>
    <w:rsid w:val="00DE7683"/>
    <w:rsid w:val="00E117E9"/>
    <w:rsid w:val="00E25C33"/>
    <w:rsid w:val="00E26C73"/>
    <w:rsid w:val="00EA4646"/>
    <w:rsid w:val="00EE409A"/>
    <w:rsid w:val="00F22F7A"/>
    <w:rsid w:val="00FB5A4E"/>
    <w:rsid w:val="00FE2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79B7D"/>
  <w15:chartTrackingRefBased/>
  <w15:docId w15:val="{5C50711B-EDCC-44F6-B792-F0F8CE3F0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C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50A"/>
    <w:pPr>
      <w:ind w:left="720"/>
      <w:contextualSpacing/>
    </w:pPr>
  </w:style>
  <w:style w:type="character" w:customStyle="1" w:styleId="Heading1Char">
    <w:name w:val="Heading 1 Char"/>
    <w:basedOn w:val="DefaultParagraphFont"/>
    <w:link w:val="Heading1"/>
    <w:uiPriority w:val="9"/>
    <w:rsid w:val="004C2C2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C2C2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4C2C2A"/>
    <w:rPr>
      <w:color w:val="0000FF"/>
      <w:u w:val="single"/>
    </w:rPr>
  </w:style>
  <w:style w:type="paragraph" w:styleId="Header">
    <w:name w:val="header"/>
    <w:basedOn w:val="Normal"/>
    <w:link w:val="HeaderChar"/>
    <w:uiPriority w:val="99"/>
    <w:unhideWhenUsed/>
    <w:rsid w:val="00541A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E8"/>
  </w:style>
  <w:style w:type="paragraph" w:styleId="Footer">
    <w:name w:val="footer"/>
    <w:basedOn w:val="Normal"/>
    <w:link w:val="FooterChar"/>
    <w:uiPriority w:val="99"/>
    <w:unhideWhenUsed/>
    <w:rsid w:val="00541A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E8"/>
  </w:style>
  <w:style w:type="paragraph" w:styleId="TOCHeading">
    <w:name w:val="TOC Heading"/>
    <w:basedOn w:val="Heading1"/>
    <w:next w:val="Normal"/>
    <w:uiPriority w:val="39"/>
    <w:unhideWhenUsed/>
    <w:qFormat/>
    <w:rsid w:val="00541AE8"/>
    <w:pPr>
      <w:outlineLvl w:val="9"/>
    </w:pPr>
    <w:rPr>
      <w:kern w:val="0"/>
      <w14:ligatures w14:val="none"/>
    </w:rPr>
  </w:style>
  <w:style w:type="paragraph" w:styleId="TOC1">
    <w:name w:val="toc 1"/>
    <w:basedOn w:val="Normal"/>
    <w:next w:val="Normal"/>
    <w:autoRedefine/>
    <w:uiPriority w:val="39"/>
    <w:unhideWhenUsed/>
    <w:rsid w:val="00541AE8"/>
    <w:pPr>
      <w:spacing w:after="100"/>
    </w:pPr>
  </w:style>
  <w:style w:type="character" w:styleId="UnresolvedMention">
    <w:name w:val="Unresolved Mention"/>
    <w:basedOn w:val="DefaultParagraphFont"/>
    <w:uiPriority w:val="99"/>
    <w:semiHidden/>
    <w:unhideWhenUsed/>
    <w:rsid w:val="00C06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gonlinelibrary.com/doi/abs/10.12968/bjcn.2020.25.9.438" TargetMode="External"/><Relationship Id="rId13" Type="http://schemas.openxmlformats.org/officeDocument/2006/relationships/hyperlink" Target="https://pmc.ncbi.nlm.nih.gov/articles/PMC7977020/" TargetMode="External"/><Relationship Id="rId18" Type="http://schemas.openxmlformats.org/officeDocument/2006/relationships/hyperlink" Target="https://ebsina.or.id/journals/index.php/jkki/article/view/118"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scholarship.law.bu.edu/faculty_scholarship/3050/" TargetMode="External"/><Relationship Id="rId17" Type="http://schemas.openxmlformats.org/officeDocument/2006/relationships/hyperlink" Target="https://link.springer.com/article/10.1186/s12961-020-00644-3" TargetMode="External"/><Relationship Id="rId2" Type="http://schemas.openxmlformats.org/officeDocument/2006/relationships/styles" Target="styles.xml"/><Relationship Id="rId16" Type="http://schemas.openxmlformats.org/officeDocument/2006/relationships/hyperlink" Target="https://www.annualreviews.org/content/journals/10.1146/annurev-publhealth-090419-102529" TargetMode="External"/><Relationship Id="rId20" Type="http://schemas.openxmlformats.org/officeDocument/2006/relationships/hyperlink" Target="https://www.sciencedirect.com/science/article/pii/S03064379193052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ylorfrancis.com/books/mono/10.4324/9781003571896/health-policy-britain-christopher-ham" TargetMode="External"/><Relationship Id="rId5" Type="http://schemas.openxmlformats.org/officeDocument/2006/relationships/footnotes" Target="footnotes.xml"/><Relationship Id="rId15" Type="http://schemas.openxmlformats.org/officeDocument/2006/relationships/hyperlink" Target="https://www.mdpi.com/1660-4601/19/1/151" TargetMode="External"/><Relationship Id="rId23" Type="http://schemas.openxmlformats.org/officeDocument/2006/relationships/theme" Target="theme/theme1.xml"/><Relationship Id="rId10" Type="http://schemas.openxmlformats.org/officeDocument/2006/relationships/hyperlink" Target="https://www.sciencedirect.com/science/article/pii/S1470211824030720" TargetMode="External"/><Relationship Id="rId19" Type="http://schemas.openxmlformats.org/officeDocument/2006/relationships/hyperlink" Target="https://www.equallyours.org.uk/wp-content/uploads/2013/09/sn06591.pdf" TargetMode="External"/><Relationship Id="rId4" Type="http://schemas.openxmlformats.org/officeDocument/2006/relationships/webSettings" Target="webSettings.xml"/><Relationship Id="rId9" Type="http://schemas.openxmlformats.org/officeDocument/2006/relationships/hyperlink" Target="https://link.springer.com/article/10.1186/s12913-022-07971-x" TargetMode="External"/><Relationship Id="rId14" Type="http://schemas.openxmlformats.org/officeDocument/2006/relationships/hyperlink" Target="https://www.researchgate.net/profile/Radhika-Kapur-2/publication/344295651_The_Models_of_Communication/links/5f6452b8a6fdcc00862976da/The-Models-of-Communic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ED534D-2052-46F0-83F1-DC35F941D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9</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luminita iancu</cp:lastModifiedBy>
  <cp:revision>31</cp:revision>
  <dcterms:created xsi:type="dcterms:W3CDTF">2026-07-05T13:10:00Z</dcterms:created>
  <dcterms:modified xsi:type="dcterms:W3CDTF">2026-07-15T18:22:00Z</dcterms:modified>
</cp:coreProperties>
</file>