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045C05" w14:textId="1B140EFA" w:rsidR="00A75E31" w:rsidRPr="00663AA9" w:rsidRDefault="00A75E31" w:rsidP="00663AA9">
      <w:pPr>
        <w:pStyle w:val="Nornal"/>
        <w:spacing w:line="276" w:lineRule="auto"/>
        <w:rPr>
          <w:color w:val="000000" w:themeColor="text1"/>
        </w:rPr>
      </w:pPr>
      <w:r w:rsidRPr="00663AA9">
        <w:rPr>
          <w:color w:val="000000" w:themeColor="text1"/>
        </w:rPr>
        <w:t xml:space="preserve"> (AC 1.1)</w:t>
      </w:r>
    </w:p>
    <w:p w14:paraId="64BBDB93" w14:textId="77777777" w:rsidR="00227D10" w:rsidRPr="00663AA9" w:rsidRDefault="00227D10" w:rsidP="00663AA9">
      <w:pPr>
        <w:pStyle w:val="Nornal"/>
        <w:spacing w:line="276" w:lineRule="auto"/>
        <w:rPr>
          <w:color w:val="000000" w:themeColor="text1"/>
        </w:rPr>
      </w:pPr>
    </w:p>
    <w:p w14:paraId="542D0B7A" w14:textId="11A78D00" w:rsidR="00227D10" w:rsidRPr="00663AA9" w:rsidRDefault="00365D4B" w:rsidP="00663AA9">
      <w:pPr>
        <w:pStyle w:val="Nornal"/>
        <w:spacing w:line="276" w:lineRule="auto"/>
        <w:rPr>
          <w:color w:val="000000" w:themeColor="text1"/>
        </w:rPr>
      </w:pPr>
      <w:r w:rsidRPr="00663AA9">
        <w:rPr>
          <w:color w:val="000000" w:themeColor="text1"/>
        </w:rPr>
        <w:t xml:space="preserve">Employment law </w:t>
      </w:r>
      <w:r w:rsidR="00595CFE" w:rsidRPr="00663AA9">
        <w:rPr>
          <w:color w:val="000000" w:themeColor="text1"/>
        </w:rPr>
        <w:t xml:space="preserve">attempts to </w:t>
      </w:r>
      <w:r w:rsidR="00897992" w:rsidRPr="00663AA9">
        <w:rPr>
          <w:color w:val="000000" w:themeColor="text1"/>
        </w:rPr>
        <w:t>strike</w:t>
      </w:r>
      <w:r w:rsidR="00595CFE" w:rsidRPr="00663AA9">
        <w:rPr>
          <w:color w:val="000000" w:themeColor="text1"/>
        </w:rPr>
        <w:t xml:space="preserve"> a balance between economic stability and the protection of workers </w:t>
      </w:r>
      <w:sdt>
        <w:sdtPr>
          <w:rPr>
            <w:color w:val="000000" w:themeColor="text1"/>
          </w:rPr>
          <w:id w:val="-1004745375"/>
          <w:citation/>
        </w:sdtPr>
        <w:sdtContent>
          <w:r w:rsidR="002D4F79" w:rsidRPr="00663AA9">
            <w:rPr>
              <w:color w:val="000000" w:themeColor="text1"/>
            </w:rPr>
            <w:fldChar w:fldCharType="begin"/>
          </w:r>
          <w:r w:rsidR="002D4F79" w:rsidRPr="00663AA9">
            <w:rPr>
              <w:color w:val="000000" w:themeColor="text1"/>
              <w:lang w:val="en-US"/>
            </w:rPr>
            <w:instrText xml:space="preserve"> CITATION Tay15 \l 1033 </w:instrText>
          </w:r>
          <w:r w:rsidR="002D4F79" w:rsidRPr="00663AA9">
            <w:rPr>
              <w:color w:val="000000" w:themeColor="text1"/>
            </w:rPr>
            <w:fldChar w:fldCharType="separate"/>
          </w:r>
          <w:r w:rsidR="0084748A" w:rsidRPr="0084748A">
            <w:rPr>
              <w:noProof/>
              <w:color w:val="000000" w:themeColor="text1"/>
              <w:lang w:val="en-US"/>
            </w:rPr>
            <w:t>(Taylor &amp; Emir, 2015)</w:t>
          </w:r>
          <w:r w:rsidR="002D4F79" w:rsidRPr="00663AA9">
            <w:rPr>
              <w:color w:val="000000" w:themeColor="text1"/>
            </w:rPr>
            <w:fldChar w:fldCharType="end"/>
          </w:r>
        </w:sdtContent>
      </w:sdt>
      <w:r w:rsidR="00897992" w:rsidRPr="00663AA9">
        <w:rPr>
          <w:color w:val="000000" w:themeColor="text1"/>
        </w:rPr>
        <w:t>.</w:t>
      </w:r>
      <w:r w:rsidR="00FC0571" w:rsidRPr="00663AA9">
        <w:rPr>
          <w:color w:val="000000" w:themeColor="text1"/>
        </w:rPr>
        <w:t xml:space="preserve"> </w:t>
      </w:r>
      <w:r w:rsidR="00885838" w:rsidRPr="00663AA9">
        <w:rPr>
          <w:color w:val="000000" w:themeColor="text1"/>
        </w:rPr>
        <w:t xml:space="preserve">It can be argued that too much regulation, or ‘red tape’ can lead to </w:t>
      </w:r>
      <w:r w:rsidR="00D05535" w:rsidRPr="00663AA9">
        <w:rPr>
          <w:color w:val="000000" w:themeColor="text1"/>
        </w:rPr>
        <w:t xml:space="preserve">lower external investment and slower economic growth </w:t>
      </w:r>
      <w:sdt>
        <w:sdtPr>
          <w:rPr>
            <w:color w:val="000000" w:themeColor="text1"/>
          </w:rPr>
          <w:id w:val="-249272118"/>
          <w:citation/>
        </w:sdtPr>
        <w:sdtContent>
          <w:r w:rsidR="00D05535" w:rsidRPr="00663AA9">
            <w:rPr>
              <w:color w:val="000000" w:themeColor="text1"/>
            </w:rPr>
            <w:fldChar w:fldCharType="begin"/>
          </w:r>
          <w:r w:rsidR="00D05535" w:rsidRPr="00663AA9">
            <w:rPr>
              <w:color w:val="000000" w:themeColor="text1"/>
              <w:lang w:val="en-US"/>
            </w:rPr>
            <w:instrText xml:space="preserve"> CITATION Tay15 \l 1033 </w:instrText>
          </w:r>
          <w:r w:rsidR="00D05535" w:rsidRPr="00663AA9">
            <w:rPr>
              <w:color w:val="000000" w:themeColor="text1"/>
            </w:rPr>
            <w:fldChar w:fldCharType="separate"/>
          </w:r>
          <w:r w:rsidR="0084748A" w:rsidRPr="0084748A">
            <w:rPr>
              <w:noProof/>
              <w:color w:val="000000" w:themeColor="text1"/>
              <w:lang w:val="en-US"/>
            </w:rPr>
            <w:t>(Taylor &amp; Emir, 2015)</w:t>
          </w:r>
          <w:r w:rsidR="00D05535" w:rsidRPr="00663AA9">
            <w:rPr>
              <w:color w:val="000000" w:themeColor="text1"/>
            </w:rPr>
            <w:fldChar w:fldCharType="end"/>
          </w:r>
        </w:sdtContent>
      </w:sdt>
      <w:r w:rsidR="00D05535" w:rsidRPr="00663AA9">
        <w:rPr>
          <w:color w:val="000000" w:themeColor="text1"/>
        </w:rPr>
        <w:t xml:space="preserve">. </w:t>
      </w:r>
      <w:r w:rsidR="00325EE7" w:rsidRPr="00663AA9">
        <w:rPr>
          <w:color w:val="000000" w:themeColor="text1"/>
        </w:rPr>
        <w:t xml:space="preserve">Further, implemented additional benefits can lead to </w:t>
      </w:r>
      <w:r w:rsidR="00DF63D5" w:rsidRPr="00663AA9">
        <w:rPr>
          <w:color w:val="000000" w:themeColor="text1"/>
        </w:rPr>
        <w:t>organisations</w:t>
      </w:r>
      <w:r w:rsidR="00325EE7" w:rsidRPr="00663AA9">
        <w:rPr>
          <w:color w:val="000000" w:themeColor="text1"/>
        </w:rPr>
        <w:t xml:space="preserve"> becoming </w:t>
      </w:r>
      <w:r w:rsidR="00DF63D5" w:rsidRPr="00663AA9">
        <w:rPr>
          <w:color w:val="000000" w:themeColor="text1"/>
        </w:rPr>
        <w:t>uncompetitive</w:t>
      </w:r>
      <w:r w:rsidR="00325EE7" w:rsidRPr="00663AA9">
        <w:rPr>
          <w:color w:val="000000" w:themeColor="text1"/>
        </w:rPr>
        <w:t xml:space="preserve"> </w:t>
      </w:r>
      <w:r w:rsidR="00DF63D5" w:rsidRPr="00663AA9">
        <w:rPr>
          <w:color w:val="000000" w:themeColor="text1"/>
        </w:rPr>
        <w:t>with international markets, due to their increased costs to remain compliant</w:t>
      </w:r>
      <w:r w:rsidR="002D7E59" w:rsidRPr="00663AA9">
        <w:rPr>
          <w:color w:val="000000" w:themeColor="text1"/>
        </w:rPr>
        <w:t xml:space="preserve">, which can lead to a </w:t>
      </w:r>
      <w:r w:rsidR="009B2C4E" w:rsidRPr="00663AA9">
        <w:rPr>
          <w:color w:val="000000" w:themeColor="text1"/>
        </w:rPr>
        <w:t xml:space="preserve">number of negative </w:t>
      </w:r>
      <w:r w:rsidR="00440465" w:rsidRPr="00663AA9">
        <w:rPr>
          <w:color w:val="000000" w:themeColor="text1"/>
        </w:rPr>
        <w:t>repercussions</w:t>
      </w:r>
      <w:r w:rsidR="009B2C4E" w:rsidRPr="00663AA9">
        <w:rPr>
          <w:color w:val="000000" w:themeColor="text1"/>
        </w:rPr>
        <w:t xml:space="preserve">. For example, </w:t>
      </w:r>
      <w:r w:rsidR="00FC444D" w:rsidRPr="00663AA9">
        <w:rPr>
          <w:color w:val="000000" w:themeColor="text1"/>
        </w:rPr>
        <w:t>economic growth is both hindered by uncompetitive markets</w:t>
      </w:r>
      <w:r w:rsidR="00B41C48" w:rsidRPr="00663AA9">
        <w:rPr>
          <w:color w:val="000000" w:themeColor="text1"/>
        </w:rPr>
        <w:t xml:space="preserve"> whereby competitors can operate with less regulation and cost</w:t>
      </w:r>
      <w:r w:rsidR="00440465" w:rsidRPr="00663AA9">
        <w:rPr>
          <w:color w:val="000000" w:themeColor="text1"/>
        </w:rPr>
        <w:t xml:space="preserve"> </w:t>
      </w:r>
      <w:sdt>
        <w:sdtPr>
          <w:rPr>
            <w:color w:val="000000" w:themeColor="text1"/>
          </w:rPr>
          <w:id w:val="474264049"/>
          <w:citation/>
        </w:sdtPr>
        <w:sdtContent>
          <w:r w:rsidR="00440465" w:rsidRPr="00663AA9">
            <w:rPr>
              <w:color w:val="000000" w:themeColor="text1"/>
            </w:rPr>
            <w:fldChar w:fldCharType="begin"/>
          </w:r>
          <w:r w:rsidR="00440465" w:rsidRPr="00663AA9">
            <w:rPr>
              <w:color w:val="000000" w:themeColor="text1"/>
              <w:lang w:val="en-US"/>
            </w:rPr>
            <w:instrText xml:space="preserve"> CITATION Rut22 \l 1033 </w:instrText>
          </w:r>
          <w:r w:rsidR="00440465" w:rsidRPr="00663AA9">
            <w:rPr>
              <w:color w:val="000000" w:themeColor="text1"/>
            </w:rPr>
            <w:fldChar w:fldCharType="separate"/>
          </w:r>
          <w:r w:rsidR="0084748A" w:rsidRPr="0084748A">
            <w:rPr>
              <w:noProof/>
              <w:color w:val="000000" w:themeColor="text1"/>
              <w:lang w:val="en-US"/>
            </w:rPr>
            <w:t>(Strachan, 2022)</w:t>
          </w:r>
          <w:r w:rsidR="00440465" w:rsidRPr="00663AA9">
            <w:rPr>
              <w:color w:val="000000" w:themeColor="text1"/>
            </w:rPr>
            <w:fldChar w:fldCharType="end"/>
          </w:r>
        </w:sdtContent>
      </w:sdt>
      <w:r w:rsidR="00FC444D" w:rsidRPr="00663AA9">
        <w:rPr>
          <w:color w:val="000000" w:themeColor="text1"/>
        </w:rPr>
        <w:t xml:space="preserve">, but also </w:t>
      </w:r>
      <w:r w:rsidR="001C48AC" w:rsidRPr="00663AA9">
        <w:rPr>
          <w:color w:val="000000" w:themeColor="text1"/>
        </w:rPr>
        <w:t>lack of internation investment (due to perceived costs)</w:t>
      </w:r>
      <w:r w:rsidR="00FC444D" w:rsidRPr="00663AA9">
        <w:rPr>
          <w:color w:val="000000" w:themeColor="text1"/>
        </w:rPr>
        <w:t xml:space="preserve"> </w:t>
      </w:r>
      <w:sdt>
        <w:sdtPr>
          <w:rPr>
            <w:color w:val="000000" w:themeColor="text1"/>
          </w:rPr>
          <w:id w:val="-1073733247"/>
          <w:citation/>
        </w:sdtPr>
        <w:sdtContent>
          <w:r w:rsidR="006E0F5B" w:rsidRPr="00663AA9">
            <w:rPr>
              <w:color w:val="000000" w:themeColor="text1"/>
            </w:rPr>
            <w:fldChar w:fldCharType="begin"/>
          </w:r>
          <w:r w:rsidR="006E0F5B" w:rsidRPr="00663AA9">
            <w:rPr>
              <w:color w:val="000000" w:themeColor="text1"/>
              <w:lang w:val="en-US"/>
            </w:rPr>
            <w:instrText xml:space="preserve"> CITATION Ari19 \l 1033 </w:instrText>
          </w:r>
          <w:r w:rsidR="006E0F5B" w:rsidRPr="00663AA9">
            <w:rPr>
              <w:color w:val="000000" w:themeColor="text1"/>
            </w:rPr>
            <w:fldChar w:fldCharType="separate"/>
          </w:r>
          <w:r w:rsidR="0084748A" w:rsidRPr="0084748A">
            <w:rPr>
              <w:noProof/>
              <w:color w:val="000000" w:themeColor="text1"/>
              <w:lang w:val="en-US"/>
            </w:rPr>
            <w:t>(Dube, 2019)</w:t>
          </w:r>
          <w:r w:rsidR="006E0F5B" w:rsidRPr="00663AA9">
            <w:rPr>
              <w:color w:val="000000" w:themeColor="text1"/>
            </w:rPr>
            <w:fldChar w:fldCharType="end"/>
          </w:r>
        </w:sdtContent>
      </w:sdt>
      <w:r w:rsidR="00ED6878" w:rsidRPr="00663AA9">
        <w:rPr>
          <w:color w:val="000000" w:themeColor="text1"/>
        </w:rPr>
        <w:t>.</w:t>
      </w:r>
      <w:r w:rsidR="00DF63D5" w:rsidRPr="00663AA9">
        <w:rPr>
          <w:color w:val="000000" w:themeColor="text1"/>
        </w:rPr>
        <w:t xml:space="preserve"> </w:t>
      </w:r>
      <w:r w:rsidR="00644FA0" w:rsidRPr="00663AA9">
        <w:rPr>
          <w:color w:val="000000" w:themeColor="text1"/>
        </w:rPr>
        <w:t>Subsequently</w:t>
      </w:r>
      <w:r w:rsidR="00D05535" w:rsidRPr="00663AA9">
        <w:rPr>
          <w:color w:val="000000" w:themeColor="text1"/>
        </w:rPr>
        <w:t>,</w:t>
      </w:r>
      <w:r w:rsidR="000D12FE" w:rsidRPr="00663AA9">
        <w:rPr>
          <w:color w:val="000000" w:themeColor="text1"/>
        </w:rPr>
        <w:t xml:space="preserve"> a lack of protection can lead to a number of unfair practices, such as inequality and discrimination </w:t>
      </w:r>
      <w:sdt>
        <w:sdtPr>
          <w:rPr>
            <w:color w:val="000000" w:themeColor="text1"/>
          </w:rPr>
          <w:id w:val="-1941821957"/>
          <w:citation/>
        </w:sdtPr>
        <w:sdtContent>
          <w:r w:rsidR="000D12FE" w:rsidRPr="00663AA9">
            <w:rPr>
              <w:color w:val="000000" w:themeColor="text1"/>
            </w:rPr>
            <w:fldChar w:fldCharType="begin"/>
          </w:r>
          <w:r w:rsidR="000D12FE" w:rsidRPr="00663AA9">
            <w:rPr>
              <w:color w:val="000000" w:themeColor="text1"/>
              <w:lang w:val="en-US"/>
            </w:rPr>
            <w:instrText xml:space="preserve"> CITATION CIP17 \l 1033 </w:instrText>
          </w:r>
          <w:r w:rsidR="000D12FE" w:rsidRPr="00663AA9">
            <w:rPr>
              <w:color w:val="000000" w:themeColor="text1"/>
            </w:rPr>
            <w:fldChar w:fldCharType="separate"/>
          </w:r>
          <w:r w:rsidR="0084748A" w:rsidRPr="0084748A">
            <w:rPr>
              <w:noProof/>
              <w:color w:val="000000" w:themeColor="text1"/>
              <w:lang w:val="en-US"/>
            </w:rPr>
            <w:t>(CIPD, 2017)</w:t>
          </w:r>
          <w:r w:rsidR="000D12FE" w:rsidRPr="00663AA9">
            <w:rPr>
              <w:color w:val="000000" w:themeColor="text1"/>
            </w:rPr>
            <w:fldChar w:fldCharType="end"/>
          </w:r>
        </w:sdtContent>
      </w:sdt>
      <w:r w:rsidR="005D764A" w:rsidRPr="00663AA9">
        <w:rPr>
          <w:color w:val="000000" w:themeColor="text1"/>
        </w:rPr>
        <w:t xml:space="preserve">. </w:t>
      </w:r>
      <w:r w:rsidR="00AD78CE" w:rsidRPr="00663AA9">
        <w:rPr>
          <w:color w:val="000000" w:themeColor="text1"/>
        </w:rPr>
        <w:t xml:space="preserve">UK employment law </w:t>
      </w:r>
      <w:r w:rsidR="001371AE">
        <w:rPr>
          <w:color w:val="000000" w:themeColor="text1"/>
        </w:rPr>
        <w:t>provides</w:t>
      </w:r>
      <w:r w:rsidR="0090367F" w:rsidRPr="00663AA9">
        <w:rPr>
          <w:color w:val="000000" w:themeColor="text1"/>
        </w:rPr>
        <w:t xml:space="preserve"> a framework of regulations which </w:t>
      </w:r>
      <w:r w:rsidR="0064434D" w:rsidRPr="00663AA9">
        <w:rPr>
          <w:color w:val="000000" w:themeColor="text1"/>
        </w:rPr>
        <w:t xml:space="preserve">can </w:t>
      </w:r>
      <w:r w:rsidR="001371AE">
        <w:rPr>
          <w:color w:val="000000" w:themeColor="text1"/>
        </w:rPr>
        <w:t>facilitate</w:t>
      </w:r>
      <w:r w:rsidR="0064434D" w:rsidRPr="00663AA9">
        <w:rPr>
          <w:color w:val="000000" w:themeColor="text1"/>
        </w:rPr>
        <w:t xml:space="preserve"> positive economic growth in addition to providing social </w:t>
      </w:r>
      <w:r w:rsidR="00CE3D1D" w:rsidRPr="00663AA9">
        <w:rPr>
          <w:color w:val="000000" w:themeColor="text1"/>
        </w:rPr>
        <w:t>enhancement. It attempts to address the balance of power between the employer and worker.</w:t>
      </w:r>
      <w:r w:rsidR="006D3C78" w:rsidRPr="00663AA9">
        <w:rPr>
          <w:color w:val="000000" w:themeColor="text1"/>
        </w:rPr>
        <w:t xml:space="preserve"> The balance has been</w:t>
      </w:r>
      <w:r w:rsidR="001F422D" w:rsidRPr="00663AA9">
        <w:rPr>
          <w:color w:val="000000" w:themeColor="text1"/>
        </w:rPr>
        <w:t xml:space="preserve"> a pendulum between employers and workers, </w:t>
      </w:r>
      <w:r w:rsidR="00444310" w:rsidRPr="00663AA9">
        <w:rPr>
          <w:color w:val="000000" w:themeColor="text1"/>
        </w:rPr>
        <w:t>with trade union power</w:t>
      </w:r>
      <w:r w:rsidR="00110B1D" w:rsidRPr="00663AA9">
        <w:rPr>
          <w:color w:val="000000" w:themeColor="text1"/>
        </w:rPr>
        <w:t xml:space="preserve"> reviews in the 80</w:t>
      </w:r>
      <w:r w:rsidR="004E6B7D" w:rsidRPr="00663AA9">
        <w:rPr>
          <w:color w:val="000000" w:themeColor="text1"/>
        </w:rPr>
        <w:t>s</w:t>
      </w:r>
      <w:r w:rsidR="00543DC9" w:rsidRPr="00663AA9">
        <w:rPr>
          <w:color w:val="000000" w:themeColor="text1"/>
        </w:rPr>
        <w:t>, which</w:t>
      </w:r>
      <w:r w:rsidR="00B152C9" w:rsidRPr="00663AA9">
        <w:rPr>
          <w:color w:val="000000" w:themeColor="text1"/>
        </w:rPr>
        <w:t xml:space="preserve"> was</w:t>
      </w:r>
      <w:r w:rsidR="00543DC9" w:rsidRPr="00663AA9">
        <w:rPr>
          <w:color w:val="000000" w:themeColor="text1"/>
        </w:rPr>
        <w:t xml:space="preserve"> consolidated in the</w:t>
      </w:r>
      <w:r w:rsidR="00543DC9" w:rsidRPr="00663AA9">
        <w:rPr>
          <w:color w:val="000000" w:themeColor="text1"/>
          <w:shd w:val="clear" w:color="auto" w:fill="FFFFFF"/>
        </w:rPr>
        <w:t> </w:t>
      </w:r>
      <w:r w:rsidR="00543DC9" w:rsidRPr="00663AA9">
        <w:rPr>
          <w:color w:val="000000" w:themeColor="text1"/>
        </w:rPr>
        <w:t>Trade Union and Labour Relations (Consolidation) Act 1992 (TULRCA 1992).</w:t>
      </w:r>
      <w:r w:rsidR="001923AB" w:rsidRPr="00663AA9">
        <w:rPr>
          <w:color w:val="000000" w:themeColor="text1"/>
        </w:rPr>
        <w:t xml:space="preserve"> Further there was an </w:t>
      </w:r>
      <w:r w:rsidR="00924B01" w:rsidRPr="00663AA9">
        <w:rPr>
          <w:color w:val="000000" w:themeColor="text1"/>
        </w:rPr>
        <w:t>implementation</w:t>
      </w:r>
      <w:r w:rsidR="00110B1D" w:rsidRPr="00663AA9">
        <w:rPr>
          <w:color w:val="000000" w:themeColor="text1"/>
        </w:rPr>
        <w:t xml:space="preserve"> of </w:t>
      </w:r>
      <w:r w:rsidR="003D7959" w:rsidRPr="00663AA9">
        <w:rPr>
          <w:color w:val="000000" w:themeColor="text1"/>
        </w:rPr>
        <w:t>the Social Charter in the late 90s</w:t>
      </w:r>
      <w:r w:rsidR="00817963" w:rsidRPr="00663AA9">
        <w:rPr>
          <w:color w:val="000000" w:themeColor="text1"/>
        </w:rPr>
        <w:t xml:space="preserve">, which identified basic rights such as minimum wage, </w:t>
      </w:r>
      <w:r w:rsidR="005B01DF" w:rsidRPr="00663AA9">
        <w:rPr>
          <w:color w:val="000000" w:themeColor="text1"/>
        </w:rPr>
        <w:t xml:space="preserve">rights of trade unions and the right to be consulted </w:t>
      </w:r>
      <w:sdt>
        <w:sdtPr>
          <w:rPr>
            <w:color w:val="000000" w:themeColor="text1"/>
          </w:rPr>
          <w:id w:val="-1420551624"/>
          <w:citation/>
        </w:sdtPr>
        <w:sdtContent>
          <w:r w:rsidR="005B01DF" w:rsidRPr="00663AA9">
            <w:rPr>
              <w:color w:val="000000" w:themeColor="text1"/>
            </w:rPr>
            <w:fldChar w:fldCharType="begin"/>
          </w:r>
          <w:r w:rsidR="005B01DF" w:rsidRPr="00663AA9">
            <w:rPr>
              <w:color w:val="000000" w:themeColor="text1"/>
              <w:lang w:val="en-US"/>
            </w:rPr>
            <w:instrText xml:space="preserve"> CITATION Kat222 \l 1033 </w:instrText>
          </w:r>
          <w:r w:rsidR="005B01DF" w:rsidRPr="00663AA9">
            <w:rPr>
              <w:color w:val="000000" w:themeColor="text1"/>
            </w:rPr>
            <w:fldChar w:fldCharType="separate"/>
          </w:r>
          <w:r w:rsidR="0084748A" w:rsidRPr="0084748A">
            <w:rPr>
              <w:noProof/>
              <w:color w:val="000000" w:themeColor="text1"/>
              <w:lang w:val="en-US"/>
            </w:rPr>
            <w:t>(Daniels, 2022)</w:t>
          </w:r>
          <w:r w:rsidR="005B01DF" w:rsidRPr="00663AA9">
            <w:rPr>
              <w:color w:val="000000" w:themeColor="text1"/>
            </w:rPr>
            <w:fldChar w:fldCharType="end"/>
          </w:r>
        </w:sdtContent>
      </w:sdt>
      <w:r w:rsidR="008E1962" w:rsidRPr="00663AA9">
        <w:rPr>
          <w:color w:val="000000" w:themeColor="text1"/>
        </w:rPr>
        <w:t>. M</w:t>
      </w:r>
      <w:r w:rsidR="00F0554B" w:rsidRPr="00663AA9">
        <w:rPr>
          <w:color w:val="000000" w:themeColor="text1"/>
        </w:rPr>
        <w:t xml:space="preserve">ore recently further focus on </w:t>
      </w:r>
      <w:r w:rsidR="00462E90" w:rsidRPr="00663AA9">
        <w:rPr>
          <w:color w:val="000000" w:themeColor="text1"/>
        </w:rPr>
        <w:t>modern working practices</w:t>
      </w:r>
      <w:r w:rsidR="004047D3" w:rsidRPr="00663AA9">
        <w:rPr>
          <w:color w:val="000000" w:themeColor="text1"/>
        </w:rPr>
        <w:t xml:space="preserve">, which included </w:t>
      </w:r>
      <w:r w:rsidR="00924B01" w:rsidRPr="00663AA9">
        <w:rPr>
          <w:color w:val="000000" w:themeColor="text1"/>
        </w:rPr>
        <w:t>clarifications</w:t>
      </w:r>
      <w:r w:rsidR="0083532D" w:rsidRPr="00663AA9">
        <w:rPr>
          <w:color w:val="000000" w:themeColor="text1"/>
        </w:rPr>
        <w:t xml:space="preserve"> on employment status and enforcement </w:t>
      </w:r>
      <w:sdt>
        <w:sdtPr>
          <w:rPr>
            <w:color w:val="000000" w:themeColor="text1"/>
          </w:rPr>
          <w:id w:val="652721461"/>
          <w:citation/>
        </w:sdtPr>
        <w:sdtContent>
          <w:r w:rsidR="0083532D" w:rsidRPr="00663AA9">
            <w:rPr>
              <w:color w:val="000000" w:themeColor="text1"/>
            </w:rPr>
            <w:fldChar w:fldCharType="begin"/>
          </w:r>
          <w:r w:rsidR="0083532D" w:rsidRPr="00663AA9">
            <w:rPr>
              <w:color w:val="000000" w:themeColor="text1"/>
              <w:lang w:val="en-US"/>
            </w:rPr>
            <w:instrText xml:space="preserve"> CITATION Tay17 \l 1033 </w:instrText>
          </w:r>
          <w:r w:rsidR="0083532D" w:rsidRPr="00663AA9">
            <w:rPr>
              <w:color w:val="000000" w:themeColor="text1"/>
            </w:rPr>
            <w:fldChar w:fldCharType="separate"/>
          </w:r>
          <w:r w:rsidR="0084748A" w:rsidRPr="0084748A">
            <w:rPr>
              <w:noProof/>
              <w:color w:val="000000" w:themeColor="text1"/>
              <w:lang w:val="en-US"/>
            </w:rPr>
            <w:t>(Taylor, 2017)</w:t>
          </w:r>
          <w:r w:rsidR="0083532D" w:rsidRPr="00663AA9">
            <w:rPr>
              <w:color w:val="000000" w:themeColor="text1"/>
            </w:rPr>
            <w:fldChar w:fldCharType="end"/>
          </w:r>
        </w:sdtContent>
      </w:sdt>
      <w:r w:rsidR="00924B01" w:rsidRPr="00663AA9">
        <w:rPr>
          <w:color w:val="000000" w:themeColor="text1"/>
        </w:rPr>
        <w:t>.</w:t>
      </w:r>
      <w:r w:rsidR="00C84EFA" w:rsidRPr="00663AA9">
        <w:rPr>
          <w:color w:val="000000" w:themeColor="text1"/>
        </w:rPr>
        <w:t xml:space="preserve"> These regulations can help to </w:t>
      </w:r>
      <w:r w:rsidR="00C84E1D" w:rsidRPr="00663AA9">
        <w:rPr>
          <w:color w:val="000000" w:themeColor="text1"/>
        </w:rPr>
        <w:t>alleviate the power of employers, which reduces the likelihood of exploitation.</w:t>
      </w:r>
      <w:r w:rsidR="00E2049C" w:rsidRPr="00663AA9">
        <w:rPr>
          <w:color w:val="000000" w:themeColor="text1"/>
        </w:rPr>
        <w:t xml:space="preserve"> </w:t>
      </w:r>
      <w:r w:rsidR="002C605A" w:rsidRPr="00663AA9">
        <w:rPr>
          <w:color w:val="000000" w:themeColor="text1"/>
        </w:rPr>
        <w:t xml:space="preserve">The Equality Act 2010 includes protection for people </w:t>
      </w:r>
      <w:r w:rsidR="000F6C78" w:rsidRPr="00663AA9">
        <w:rPr>
          <w:color w:val="000000" w:themeColor="text1"/>
        </w:rPr>
        <w:t>facing inequality</w:t>
      </w:r>
      <w:r w:rsidR="00493275" w:rsidRPr="00663AA9">
        <w:rPr>
          <w:color w:val="000000" w:themeColor="text1"/>
        </w:rPr>
        <w:t xml:space="preserve">. Equality </w:t>
      </w:r>
      <w:r w:rsidR="009857E0" w:rsidRPr="00663AA9">
        <w:rPr>
          <w:color w:val="000000" w:themeColor="text1"/>
        </w:rPr>
        <w:t xml:space="preserve">and modern working practice </w:t>
      </w:r>
      <w:r w:rsidR="00493275" w:rsidRPr="00663AA9">
        <w:rPr>
          <w:color w:val="000000" w:themeColor="text1"/>
        </w:rPr>
        <w:t xml:space="preserve">regulations can help to create a more attractive </w:t>
      </w:r>
      <w:r w:rsidR="009857E0" w:rsidRPr="00663AA9">
        <w:rPr>
          <w:color w:val="000000" w:themeColor="text1"/>
        </w:rPr>
        <w:t xml:space="preserve">job market, which </w:t>
      </w:r>
      <w:r w:rsidR="00D86F5B" w:rsidRPr="00663AA9">
        <w:rPr>
          <w:color w:val="000000" w:themeColor="text1"/>
        </w:rPr>
        <w:t>improves the popularity of the UK, for international professionals and workers</w:t>
      </w:r>
      <w:r w:rsidR="00E95EF4" w:rsidRPr="00663AA9">
        <w:rPr>
          <w:color w:val="000000" w:themeColor="text1"/>
        </w:rPr>
        <w:t xml:space="preserve"> </w:t>
      </w:r>
      <w:sdt>
        <w:sdtPr>
          <w:rPr>
            <w:color w:val="000000" w:themeColor="text1"/>
          </w:rPr>
          <w:id w:val="-1882860322"/>
          <w:citation/>
        </w:sdtPr>
        <w:sdtContent>
          <w:r w:rsidR="00E95EF4" w:rsidRPr="00663AA9">
            <w:rPr>
              <w:color w:val="000000" w:themeColor="text1"/>
            </w:rPr>
            <w:fldChar w:fldCharType="begin"/>
          </w:r>
          <w:r w:rsidR="00E95EF4" w:rsidRPr="00663AA9">
            <w:rPr>
              <w:color w:val="000000" w:themeColor="text1"/>
              <w:lang w:val="en-US"/>
            </w:rPr>
            <w:instrText xml:space="preserve"> CITATION Guy19 \l 1033 </w:instrText>
          </w:r>
          <w:r w:rsidR="00E95EF4" w:rsidRPr="00663AA9">
            <w:rPr>
              <w:color w:val="000000" w:themeColor="text1"/>
            </w:rPr>
            <w:fldChar w:fldCharType="separate"/>
          </w:r>
          <w:r w:rsidR="0084748A" w:rsidRPr="0084748A">
            <w:rPr>
              <w:noProof/>
              <w:color w:val="000000" w:themeColor="text1"/>
              <w:lang w:val="en-US"/>
            </w:rPr>
            <w:t>(Guyan &amp; Oloyede, 2019)</w:t>
          </w:r>
          <w:r w:rsidR="00E95EF4" w:rsidRPr="00663AA9">
            <w:rPr>
              <w:color w:val="000000" w:themeColor="text1"/>
            </w:rPr>
            <w:fldChar w:fldCharType="end"/>
          </w:r>
        </w:sdtContent>
      </w:sdt>
      <w:r w:rsidR="00D86F5B" w:rsidRPr="00663AA9">
        <w:rPr>
          <w:color w:val="000000" w:themeColor="text1"/>
        </w:rPr>
        <w:t>.</w:t>
      </w:r>
    </w:p>
    <w:p w14:paraId="746848EF" w14:textId="19353CCB" w:rsidR="00C91330" w:rsidRPr="00663AA9" w:rsidRDefault="00C84E1D" w:rsidP="00663AA9">
      <w:pPr>
        <w:pStyle w:val="Nornal"/>
        <w:spacing w:line="276" w:lineRule="auto"/>
        <w:rPr>
          <w:color w:val="000000" w:themeColor="text1"/>
        </w:rPr>
      </w:pPr>
      <w:r w:rsidRPr="00663AA9">
        <w:rPr>
          <w:color w:val="000000" w:themeColor="text1"/>
        </w:rPr>
        <w:t xml:space="preserve">Ultimately, employment law attempts to evolve with the </w:t>
      </w:r>
      <w:r w:rsidR="001648ED" w:rsidRPr="00663AA9">
        <w:rPr>
          <w:color w:val="000000" w:themeColor="text1"/>
        </w:rPr>
        <w:t>ever-changing</w:t>
      </w:r>
      <w:r w:rsidRPr="00663AA9">
        <w:rPr>
          <w:color w:val="000000" w:themeColor="text1"/>
        </w:rPr>
        <w:t xml:space="preserve"> employment market, </w:t>
      </w:r>
      <w:r w:rsidR="00374603" w:rsidRPr="00663AA9">
        <w:rPr>
          <w:color w:val="000000" w:themeColor="text1"/>
        </w:rPr>
        <w:t xml:space="preserve">it is one of the most adaptive types of law in the UK </w:t>
      </w:r>
      <w:sdt>
        <w:sdtPr>
          <w:rPr>
            <w:color w:val="000000" w:themeColor="text1"/>
          </w:rPr>
          <w:id w:val="-321282542"/>
          <w:citation/>
        </w:sdtPr>
        <w:sdtContent>
          <w:r w:rsidR="00374603" w:rsidRPr="00663AA9">
            <w:rPr>
              <w:color w:val="000000" w:themeColor="text1"/>
            </w:rPr>
            <w:fldChar w:fldCharType="begin"/>
          </w:r>
          <w:r w:rsidR="00374603" w:rsidRPr="00663AA9">
            <w:rPr>
              <w:color w:val="000000" w:themeColor="text1"/>
              <w:lang w:val="en-US"/>
            </w:rPr>
            <w:instrText xml:space="preserve"> CITATION Kat222 \l 1033 </w:instrText>
          </w:r>
          <w:r w:rsidR="00374603" w:rsidRPr="00663AA9">
            <w:rPr>
              <w:color w:val="000000" w:themeColor="text1"/>
            </w:rPr>
            <w:fldChar w:fldCharType="separate"/>
          </w:r>
          <w:r w:rsidR="0084748A" w:rsidRPr="0084748A">
            <w:rPr>
              <w:noProof/>
              <w:color w:val="000000" w:themeColor="text1"/>
              <w:lang w:val="en-US"/>
            </w:rPr>
            <w:t>(Daniels, 2022)</w:t>
          </w:r>
          <w:r w:rsidR="00374603" w:rsidRPr="00663AA9">
            <w:rPr>
              <w:color w:val="000000" w:themeColor="text1"/>
            </w:rPr>
            <w:fldChar w:fldCharType="end"/>
          </w:r>
        </w:sdtContent>
      </w:sdt>
      <w:r w:rsidR="00374603" w:rsidRPr="00663AA9">
        <w:rPr>
          <w:color w:val="000000" w:themeColor="text1"/>
        </w:rPr>
        <w:t xml:space="preserve">. </w:t>
      </w:r>
      <w:r w:rsidR="000409B1" w:rsidRPr="00663AA9">
        <w:rPr>
          <w:color w:val="000000" w:themeColor="text1"/>
        </w:rPr>
        <w:t>Due to this, the pendulum will continue to swing between the balance of power</w:t>
      </w:r>
      <w:r w:rsidR="00C22CEF">
        <w:rPr>
          <w:color w:val="000000" w:themeColor="text1"/>
        </w:rPr>
        <w:t xml:space="preserve">. </w:t>
      </w:r>
      <w:r w:rsidR="005B179C" w:rsidRPr="00663AA9">
        <w:rPr>
          <w:color w:val="000000" w:themeColor="text1"/>
        </w:rPr>
        <w:t xml:space="preserve">Employment law helps to create a sustainable, quality, </w:t>
      </w:r>
      <w:r w:rsidR="00EA463E" w:rsidRPr="00663AA9">
        <w:rPr>
          <w:color w:val="000000" w:themeColor="text1"/>
        </w:rPr>
        <w:t>and engaged working population,</w:t>
      </w:r>
      <w:r w:rsidR="00DC6C12" w:rsidRPr="00663AA9">
        <w:rPr>
          <w:color w:val="000000" w:themeColor="text1"/>
        </w:rPr>
        <w:t xml:space="preserve"> </w:t>
      </w:r>
      <w:sdt>
        <w:sdtPr>
          <w:rPr>
            <w:color w:val="000000" w:themeColor="text1"/>
          </w:rPr>
          <w:id w:val="-1032035512"/>
          <w:citation/>
        </w:sdtPr>
        <w:sdtContent>
          <w:r w:rsidR="00DC6C12" w:rsidRPr="00663AA9">
            <w:rPr>
              <w:color w:val="000000" w:themeColor="text1"/>
            </w:rPr>
            <w:fldChar w:fldCharType="begin"/>
          </w:r>
          <w:r w:rsidR="00DC6C12" w:rsidRPr="00663AA9">
            <w:rPr>
              <w:color w:val="000000" w:themeColor="text1"/>
              <w:lang w:val="en-US"/>
            </w:rPr>
            <w:instrText xml:space="preserve"> CITATION Rin21 \l 1033 </w:instrText>
          </w:r>
          <w:r w:rsidR="00DC6C12" w:rsidRPr="00663AA9">
            <w:rPr>
              <w:color w:val="000000" w:themeColor="text1"/>
            </w:rPr>
            <w:fldChar w:fldCharType="separate"/>
          </w:r>
          <w:r w:rsidR="0084748A" w:rsidRPr="0084748A">
            <w:rPr>
              <w:noProof/>
              <w:color w:val="000000" w:themeColor="text1"/>
              <w:lang w:val="en-US"/>
            </w:rPr>
            <w:t>(Rincon-Roldan &amp; Lopez-Cabrales, 2021)</w:t>
          </w:r>
          <w:r w:rsidR="00DC6C12" w:rsidRPr="00663AA9">
            <w:rPr>
              <w:color w:val="000000" w:themeColor="text1"/>
            </w:rPr>
            <w:fldChar w:fldCharType="end"/>
          </w:r>
        </w:sdtContent>
      </w:sdt>
      <w:r w:rsidR="00EA463E" w:rsidRPr="00663AA9">
        <w:rPr>
          <w:color w:val="000000" w:themeColor="text1"/>
        </w:rPr>
        <w:t xml:space="preserve"> with the view to develop </w:t>
      </w:r>
      <w:r w:rsidR="00493275" w:rsidRPr="00663AA9">
        <w:rPr>
          <w:color w:val="000000" w:themeColor="text1"/>
        </w:rPr>
        <w:t>organisational</w:t>
      </w:r>
      <w:r w:rsidR="00EA463E" w:rsidRPr="00663AA9">
        <w:rPr>
          <w:color w:val="000000" w:themeColor="text1"/>
        </w:rPr>
        <w:t xml:space="preserve"> growth and remain internationally competitive</w:t>
      </w:r>
      <w:r w:rsidR="00FD2920" w:rsidRPr="00663AA9">
        <w:rPr>
          <w:color w:val="000000" w:themeColor="text1"/>
        </w:rPr>
        <w:t xml:space="preserve">, for example agency </w:t>
      </w:r>
      <w:r w:rsidR="00CA0CB8" w:rsidRPr="00663AA9">
        <w:rPr>
          <w:color w:val="000000" w:themeColor="text1"/>
        </w:rPr>
        <w:t>workers’</w:t>
      </w:r>
      <w:r w:rsidR="00FD2920" w:rsidRPr="00663AA9">
        <w:rPr>
          <w:color w:val="000000" w:themeColor="text1"/>
        </w:rPr>
        <w:t xml:space="preserve"> rights </w:t>
      </w:r>
      <w:sdt>
        <w:sdtPr>
          <w:rPr>
            <w:color w:val="000000" w:themeColor="text1"/>
          </w:rPr>
          <w:id w:val="-1624846025"/>
          <w:citation/>
        </w:sdtPr>
        <w:sdtContent>
          <w:r w:rsidR="00FD2920" w:rsidRPr="00663AA9">
            <w:rPr>
              <w:color w:val="000000" w:themeColor="text1"/>
            </w:rPr>
            <w:fldChar w:fldCharType="begin"/>
          </w:r>
          <w:r w:rsidR="00FD2920" w:rsidRPr="00663AA9">
            <w:rPr>
              <w:color w:val="000000" w:themeColor="text1"/>
              <w:lang w:val="en-US"/>
            </w:rPr>
            <w:instrText xml:space="preserve"> CITATION Rec24 \l 1033 </w:instrText>
          </w:r>
          <w:r w:rsidR="00FD2920" w:rsidRPr="00663AA9">
            <w:rPr>
              <w:color w:val="000000" w:themeColor="text1"/>
            </w:rPr>
            <w:fldChar w:fldCharType="separate"/>
          </w:r>
          <w:r w:rsidR="0084748A" w:rsidRPr="0084748A">
            <w:rPr>
              <w:noProof/>
              <w:color w:val="000000" w:themeColor="text1"/>
              <w:lang w:val="en-US"/>
            </w:rPr>
            <w:t>(Recruitment &amp; Employment Federation, 2024)</w:t>
          </w:r>
          <w:r w:rsidR="00FD2920" w:rsidRPr="00663AA9">
            <w:rPr>
              <w:color w:val="000000" w:themeColor="text1"/>
            </w:rPr>
            <w:fldChar w:fldCharType="end"/>
          </w:r>
        </w:sdtContent>
      </w:sdt>
      <w:r w:rsidR="00EA463E" w:rsidRPr="00663AA9">
        <w:rPr>
          <w:color w:val="000000" w:themeColor="text1"/>
        </w:rPr>
        <w:t xml:space="preserve">. </w:t>
      </w:r>
    </w:p>
    <w:p w14:paraId="0B4B25D7" w14:textId="3376195A" w:rsidR="00A75E31" w:rsidRPr="00663AA9" w:rsidRDefault="00A75E31" w:rsidP="00663AA9">
      <w:pPr>
        <w:pStyle w:val="Nornal"/>
        <w:spacing w:line="276" w:lineRule="auto"/>
        <w:rPr>
          <w:color w:val="000000" w:themeColor="text1"/>
        </w:rPr>
      </w:pPr>
      <w:r w:rsidRPr="00663AA9">
        <w:rPr>
          <w:color w:val="000000" w:themeColor="text1"/>
        </w:rPr>
        <w:t>(AC 1.2)</w:t>
      </w:r>
    </w:p>
    <w:p w14:paraId="491425D1" w14:textId="2A5F7AA5" w:rsidR="00D25A5E" w:rsidRPr="00663AA9" w:rsidRDefault="00FA6CA3" w:rsidP="00663AA9">
      <w:pPr>
        <w:pStyle w:val="Nornal"/>
        <w:spacing w:line="276" w:lineRule="auto"/>
        <w:rPr>
          <w:color w:val="000000" w:themeColor="text1"/>
        </w:rPr>
      </w:pPr>
      <w:r w:rsidRPr="00663AA9">
        <w:rPr>
          <w:color w:val="000000" w:themeColor="text1"/>
        </w:rPr>
        <w:t>Employment tribunals wer</w:t>
      </w:r>
      <w:r w:rsidR="00C15C98" w:rsidRPr="00663AA9">
        <w:rPr>
          <w:color w:val="000000" w:themeColor="text1"/>
        </w:rPr>
        <w:t xml:space="preserve">e established in 1964 </w:t>
      </w:r>
      <w:sdt>
        <w:sdtPr>
          <w:rPr>
            <w:color w:val="000000" w:themeColor="text1"/>
          </w:rPr>
          <w:id w:val="-70586191"/>
          <w:citation/>
        </w:sdtPr>
        <w:sdtContent>
          <w:r w:rsidR="00C15C98" w:rsidRPr="00663AA9">
            <w:rPr>
              <w:color w:val="000000" w:themeColor="text1"/>
            </w:rPr>
            <w:fldChar w:fldCharType="begin"/>
          </w:r>
          <w:r w:rsidR="00C15C98" w:rsidRPr="00663AA9">
            <w:rPr>
              <w:color w:val="000000" w:themeColor="text1"/>
              <w:lang w:val="en-US"/>
            </w:rPr>
            <w:instrText xml:space="preserve"> CITATION Jud24 \l 1033 </w:instrText>
          </w:r>
          <w:r w:rsidR="00C15C98" w:rsidRPr="00663AA9">
            <w:rPr>
              <w:color w:val="000000" w:themeColor="text1"/>
            </w:rPr>
            <w:fldChar w:fldCharType="separate"/>
          </w:r>
          <w:r w:rsidR="0084748A" w:rsidRPr="0084748A">
            <w:rPr>
              <w:noProof/>
              <w:color w:val="000000" w:themeColor="text1"/>
              <w:lang w:val="en-US"/>
            </w:rPr>
            <w:t>(Judiciary, 2024)</w:t>
          </w:r>
          <w:r w:rsidR="00C15C98" w:rsidRPr="00663AA9">
            <w:rPr>
              <w:color w:val="000000" w:themeColor="text1"/>
            </w:rPr>
            <w:fldChar w:fldCharType="end"/>
          </w:r>
        </w:sdtContent>
      </w:sdt>
      <w:r w:rsidR="00C15C98" w:rsidRPr="00663AA9">
        <w:rPr>
          <w:color w:val="000000" w:themeColor="text1"/>
        </w:rPr>
        <w:t xml:space="preserve"> and have evolved significantly to become what they are today</w:t>
      </w:r>
      <w:r w:rsidR="00787263" w:rsidRPr="00663AA9">
        <w:rPr>
          <w:color w:val="000000" w:themeColor="text1"/>
        </w:rPr>
        <w:t>. E</w:t>
      </w:r>
      <w:r w:rsidR="007A4356" w:rsidRPr="00663AA9">
        <w:rPr>
          <w:color w:val="000000" w:themeColor="text1"/>
        </w:rPr>
        <w:t>specially</w:t>
      </w:r>
      <w:r w:rsidR="00787263" w:rsidRPr="00663AA9">
        <w:rPr>
          <w:color w:val="000000" w:themeColor="text1"/>
        </w:rPr>
        <w:t xml:space="preserve"> the introduction of the </w:t>
      </w:r>
      <w:r w:rsidR="00D54674" w:rsidRPr="00663AA9">
        <w:rPr>
          <w:color w:val="000000" w:themeColor="text1"/>
        </w:rPr>
        <w:t>Industrial Relations Act 1971 with</w:t>
      </w:r>
      <w:r w:rsidR="007A4356" w:rsidRPr="00663AA9">
        <w:rPr>
          <w:color w:val="000000" w:themeColor="text1"/>
        </w:rPr>
        <w:t xml:space="preserve"> </w:t>
      </w:r>
      <w:r w:rsidR="00787263" w:rsidRPr="00663AA9">
        <w:rPr>
          <w:color w:val="000000" w:themeColor="text1"/>
        </w:rPr>
        <w:t>the evolution of statutory redundancy payments for unfair dismissal</w:t>
      </w:r>
      <w:r w:rsidR="00D54674" w:rsidRPr="00663AA9">
        <w:rPr>
          <w:color w:val="000000" w:themeColor="text1"/>
        </w:rPr>
        <w:t>.</w:t>
      </w:r>
      <w:r w:rsidR="00A171FF" w:rsidRPr="00663AA9">
        <w:rPr>
          <w:color w:val="000000" w:themeColor="text1"/>
        </w:rPr>
        <w:t xml:space="preserve"> With further developments, such as claims of discrimination under the Equality Act 2010.</w:t>
      </w:r>
      <w:r w:rsidR="007807E8" w:rsidRPr="00663AA9">
        <w:rPr>
          <w:color w:val="000000" w:themeColor="text1"/>
        </w:rPr>
        <w:t xml:space="preserve"> </w:t>
      </w:r>
      <w:r w:rsidR="00BF4E3C" w:rsidRPr="00663AA9">
        <w:rPr>
          <w:color w:val="000000" w:themeColor="text1"/>
        </w:rPr>
        <w:t>Such claims have a set process to bring a claim</w:t>
      </w:r>
      <w:r w:rsidR="004576DC" w:rsidRPr="00663AA9">
        <w:rPr>
          <w:color w:val="000000" w:themeColor="text1"/>
        </w:rPr>
        <w:t xml:space="preserve">, with pathways to enable early reconciliation. </w:t>
      </w:r>
      <w:r w:rsidR="00726FE6" w:rsidRPr="00663AA9">
        <w:rPr>
          <w:color w:val="000000" w:themeColor="text1"/>
        </w:rPr>
        <w:t>For the majority of initiating claims, attempts are made for conciliation through ACAS</w:t>
      </w:r>
      <w:r w:rsidR="00413666" w:rsidRPr="00663AA9">
        <w:rPr>
          <w:color w:val="000000" w:themeColor="text1"/>
        </w:rPr>
        <w:t>, as this can sometimes alleviate disagreements without initiating court proceedings</w:t>
      </w:r>
      <w:r w:rsidR="00A263CA" w:rsidRPr="00663AA9">
        <w:rPr>
          <w:color w:val="000000" w:themeColor="text1"/>
        </w:rPr>
        <w:t xml:space="preserve">, with 36% resulting in a positive outcome </w:t>
      </w:r>
      <w:sdt>
        <w:sdtPr>
          <w:rPr>
            <w:color w:val="000000" w:themeColor="text1"/>
          </w:rPr>
          <w:id w:val="85653414"/>
          <w:citation/>
        </w:sdtPr>
        <w:sdtContent>
          <w:r w:rsidR="00A263CA" w:rsidRPr="00663AA9">
            <w:rPr>
              <w:color w:val="000000" w:themeColor="text1"/>
            </w:rPr>
            <w:fldChar w:fldCharType="begin"/>
          </w:r>
          <w:r w:rsidR="00A263CA" w:rsidRPr="00663AA9">
            <w:rPr>
              <w:color w:val="000000" w:themeColor="text1"/>
              <w:lang w:val="en-US"/>
            </w:rPr>
            <w:instrText xml:space="preserve"> CITATION ACA221 \l 1033 </w:instrText>
          </w:r>
          <w:r w:rsidR="00A263CA" w:rsidRPr="00663AA9">
            <w:rPr>
              <w:color w:val="000000" w:themeColor="text1"/>
            </w:rPr>
            <w:fldChar w:fldCharType="separate"/>
          </w:r>
          <w:r w:rsidR="0084748A" w:rsidRPr="0084748A">
            <w:rPr>
              <w:noProof/>
              <w:color w:val="000000" w:themeColor="text1"/>
              <w:lang w:val="en-US"/>
            </w:rPr>
            <w:t>(ACAS, 2022)</w:t>
          </w:r>
          <w:r w:rsidR="00A263CA" w:rsidRPr="00663AA9">
            <w:rPr>
              <w:color w:val="000000" w:themeColor="text1"/>
            </w:rPr>
            <w:fldChar w:fldCharType="end"/>
          </w:r>
        </w:sdtContent>
      </w:sdt>
      <w:r w:rsidR="00AB71B6" w:rsidRPr="00663AA9">
        <w:rPr>
          <w:color w:val="000000" w:themeColor="text1"/>
        </w:rPr>
        <w:t>.</w:t>
      </w:r>
      <w:r w:rsidR="008D3567" w:rsidRPr="00663AA9">
        <w:rPr>
          <w:color w:val="000000" w:themeColor="text1"/>
        </w:rPr>
        <w:t xml:space="preserve"> Early reconciliation </w:t>
      </w:r>
      <w:r w:rsidR="00FA0A12" w:rsidRPr="00663AA9">
        <w:rPr>
          <w:color w:val="000000" w:themeColor="text1"/>
        </w:rPr>
        <w:t>runs for 6 weeks, which enables parties to negotiate a settlement</w:t>
      </w:r>
      <w:r w:rsidR="007C1433" w:rsidRPr="00663AA9">
        <w:rPr>
          <w:color w:val="000000" w:themeColor="text1"/>
        </w:rPr>
        <w:t>, if a settlement is concluded then parties sign a COT3</w:t>
      </w:r>
      <w:r w:rsidR="00793B68" w:rsidRPr="00663AA9">
        <w:rPr>
          <w:color w:val="000000" w:themeColor="text1"/>
        </w:rPr>
        <w:t>, if no agreement can be made, then an ET1 must be submitted</w:t>
      </w:r>
      <w:r w:rsidR="0089550C" w:rsidRPr="00663AA9">
        <w:rPr>
          <w:color w:val="000000" w:themeColor="text1"/>
        </w:rPr>
        <w:t xml:space="preserve"> to initiate court proceedings. </w:t>
      </w:r>
      <w:r w:rsidR="00F91049" w:rsidRPr="00663AA9">
        <w:rPr>
          <w:color w:val="000000" w:themeColor="text1"/>
        </w:rPr>
        <w:t xml:space="preserve">Information within an ET1 consists of the allegations and loss. </w:t>
      </w:r>
      <w:r w:rsidR="00093C4F" w:rsidRPr="00663AA9">
        <w:rPr>
          <w:color w:val="000000" w:themeColor="text1"/>
        </w:rPr>
        <w:t xml:space="preserve">An ET3 is an </w:t>
      </w:r>
      <w:r w:rsidR="00B75CD4" w:rsidRPr="00663AA9">
        <w:rPr>
          <w:color w:val="000000" w:themeColor="text1"/>
        </w:rPr>
        <w:t>employer’s</w:t>
      </w:r>
      <w:r w:rsidR="00093C4F" w:rsidRPr="00663AA9">
        <w:rPr>
          <w:color w:val="000000" w:themeColor="text1"/>
        </w:rPr>
        <w:t xml:space="preserve"> response and defence to the </w:t>
      </w:r>
      <w:r w:rsidR="00CA0CB8" w:rsidRPr="00663AA9">
        <w:rPr>
          <w:color w:val="000000" w:themeColor="text1"/>
        </w:rPr>
        <w:t>employees’</w:t>
      </w:r>
      <w:r w:rsidR="00093C4F" w:rsidRPr="00663AA9">
        <w:rPr>
          <w:color w:val="000000" w:themeColor="text1"/>
        </w:rPr>
        <w:t xml:space="preserve"> allegations. </w:t>
      </w:r>
      <w:r w:rsidR="00C44943" w:rsidRPr="00663AA9">
        <w:rPr>
          <w:color w:val="000000" w:themeColor="text1"/>
        </w:rPr>
        <w:t>Claims are subsequently assessed at the preliminary he</w:t>
      </w:r>
      <w:r w:rsidR="00A339E6" w:rsidRPr="00663AA9">
        <w:rPr>
          <w:color w:val="000000" w:themeColor="text1"/>
        </w:rPr>
        <w:t xml:space="preserve">aring. The hearing takes place and a </w:t>
      </w:r>
      <w:r w:rsidR="00A339E6" w:rsidRPr="00663AA9">
        <w:rPr>
          <w:color w:val="000000" w:themeColor="text1"/>
        </w:rPr>
        <w:lastRenderedPageBreak/>
        <w:t>subsequent judgement is made.</w:t>
      </w:r>
      <w:r w:rsidR="00FA0A12" w:rsidRPr="00663AA9">
        <w:rPr>
          <w:color w:val="000000" w:themeColor="text1"/>
        </w:rPr>
        <w:t xml:space="preserve"> </w:t>
      </w:r>
      <w:r w:rsidR="00170B55" w:rsidRPr="00663AA9">
        <w:rPr>
          <w:color w:val="000000" w:themeColor="text1"/>
        </w:rPr>
        <w:t xml:space="preserve"> For cases being brought to court, there is a hierarchy </w:t>
      </w:r>
      <w:r w:rsidR="00D25A5E" w:rsidRPr="00663AA9">
        <w:rPr>
          <w:color w:val="000000" w:themeColor="text1"/>
        </w:rPr>
        <w:t>of the courts, as set out below.</w:t>
      </w:r>
    </w:p>
    <w:p w14:paraId="098554D3" w14:textId="2E9137EA" w:rsidR="002A297B" w:rsidRPr="00663AA9" w:rsidRDefault="00333CDA" w:rsidP="00663AA9">
      <w:pPr>
        <w:pStyle w:val="Nornal"/>
        <w:spacing w:line="276" w:lineRule="auto"/>
        <w:rPr>
          <w:color w:val="000000" w:themeColor="text1"/>
        </w:rPr>
      </w:pPr>
      <w:r w:rsidRPr="00663AA9">
        <w:rPr>
          <w:noProof/>
          <w:color w:val="000000" w:themeColor="text1"/>
          <w14:ligatures w14:val="standardContextual"/>
        </w:rPr>
        <w:drawing>
          <wp:inline distT="0" distB="0" distL="0" distR="0" wp14:anchorId="141AC51B" wp14:editId="6E15D8B6">
            <wp:extent cx="5486400" cy="3535680"/>
            <wp:effectExtent l="0" t="0" r="0" b="26670"/>
            <wp:docPr id="198833759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r w:rsidR="004576DC" w:rsidRPr="00663AA9">
        <w:rPr>
          <w:color w:val="000000" w:themeColor="text1"/>
        </w:rPr>
        <w:t xml:space="preserve"> </w:t>
      </w:r>
    </w:p>
    <w:p w14:paraId="5D272135" w14:textId="7E99B2A5" w:rsidR="003D792B" w:rsidRPr="00663AA9" w:rsidRDefault="00000000" w:rsidP="00663AA9">
      <w:pPr>
        <w:pStyle w:val="Nornal"/>
        <w:spacing w:line="276" w:lineRule="auto"/>
        <w:jc w:val="right"/>
        <w:rPr>
          <w:color w:val="000000" w:themeColor="text1"/>
        </w:rPr>
      </w:pPr>
      <w:sdt>
        <w:sdtPr>
          <w:rPr>
            <w:color w:val="000000" w:themeColor="text1"/>
          </w:rPr>
          <w:id w:val="-1565332588"/>
          <w:citation/>
        </w:sdtPr>
        <w:sdtContent>
          <w:r w:rsidR="003D792B" w:rsidRPr="00663AA9">
            <w:rPr>
              <w:color w:val="000000" w:themeColor="text1"/>
            </w:rPr>
            <w:fldChar w:fldCharType="begin"/>
          </w:r>
          <w:r w:rsidR="003D792B" w:rsidRPr="00663AA9">
            <w:rPr>
              <w:color w:val="000000" w:themeColor="text1"/>
              <w:lang w:val="en-US"/>
            </w:rPr>
            <w:instrText xml:space="preserve"> CITATION Jud241 \l 1033 </w:instrText>
          </w:r>
          <w:r w:rsidR="003D792B" w:rsidRPr="00663AA9">
            <w:rPr>
              <w:color w:val="000000" w:themeColor="text1"/>
            </w:rPr>
            <w:fldChar w:fldCharType="separate"/>
          </w:r>
          <w:r w:rsidR="0084748A" w:rsidRPr="0084748A">
            <w:rPr>
              <w:noProof/>
              <w:color w:val="000000" w:themeColor="text1"/>
              <w:lang w:val="en-US"/>
            </w:rPr>
            <w:t>(Judiciary, 2024)</w:t>
          </w:r>
          <w:r w:rsidR="003D792B" w:rsidRPr="00663AA9">
            <w:rPr>
              <w:color w:val="000000" w:themeColor="text1"/>
            </w:rPr>
            <w:fldChar w:fldCharType="end"/>
          </w:r>
        </w:sdtContent>
      </w:sdt>
    </w:p>
    <w:p w14:paraId="79735F09" w14:textId="4129E090" w:rsidR="003D792B" w:rsidRPr="00663AA9" w:rsidRDefault="006722AC" w:rsidP="00663AA9">
      <w:pPr>
        <w:pStyle w:val="Nornal"/>
        <w:spacing w:line="276" w:lineRule="auto"/>
        <w:rPr>
          <w:color w:val="000000" w:themeColor="text1"/>
        </w:rPr>
      </w:pPr>
      <w:r w:rsidRPr="00663AA9">
        <w:rPr>
          <w:color w:val="000000" w:themeColor="text1"/>
        </w:rPr>
        <w:t>Claims begin in the employment tribunal</w:t>
      </w:r>
      <w:r w:rsidR="0032422E" w:rsidRPr="00663AA9">
        <w:rPr>
          <w:color w:val="000000" w:themeColor="text1"/>
        </w:rPr>
        <w:t xml:space="preserve"> court, </w:t>
      </w:r>
      <w:r w:rsidR="008641F3" w:rsidRPr="00663AA9">
        <w:rPr>
          <w:color w:val="000000" w:themeColor="text1"/>
        </w:rPr>
        <w:t xml:space="preserve">whereby claimants have a maximum of </w:t>
      </w:r>
      <w:r w:rsidR="006D1D69" w:rsidRPr="00663AA9">
        <w:rPr>
          <w:color w:val="000000" w:themeColor="text1"/>
        </w:rPr>
        <w:t xml:space="preserve">3 months (minus one day) to bring a claim </w:t>
      </w:r>
      <w:sdt>
        <w:sdtPr>
          <w:rPr>
            <w:color w:val="000000" w:themeColor="text1"/>
          </w:rPr>
          <w:id w:val="29923561"/>
          <w:citation/>
        </w:sdtPr>
        <w:sdtContent>
          <w:r w:rsidR="006D1D69" w:rsidRPr="00663AA9">
            <w:rPr>
              <w:color w:val="000000" w:themeColor="text1"/>
            </w:rPr>
            <w:fldChar w:fldCharType="begin"/>
          </w:r>
          <w:r w:rsidR="006D1D69" w:rsidRPr="00663AA9">
            <w:rPr>
              <w:color w:val="000000" w:themeColor="text1"/>
              <w:lang w:val="en-US"/>
            </w:rPr>
            <w:instrText xml:space="preserve"> CITATION ACA24 \l 1033 </w:instrText>
          </w:r>
          <w:r w:rsidR="006D1D69" w:rsidRPr="00663AA9">
            <w:rPr>
              <w:color w:val="000000" w:themeColor="text1"/>
            </w:rPr>
            <w:fldChar w:fldCharType="separate"/>
          </w:r>
          <w:r w:rsidR="0084748A" w:rsidRPr="0084748A">
            <w:rPr>
              <w:noProof/>
              <w:color w:val="000000" w:themeColor="text1"/>
              <w:lang w:val="en-US"/>
            </w:rPr>
            <w:t>(ACAS, 2024)</w:t>
          </w:r>
          <w:r w:rsidR="006D1D69" w:rsidRPr="00663AA9">
            <w:rPr>
              <w:color w:val="000000" w:themeColor="text1"/>
            </w:rPr>
            <w:fldChar w:fldCharType="end"/>
          </w:r>
        </w:sdtContent>
      </w:sdt>
      <w:r w:rsidR="006D1D69" w:rsidRPr="00663AA9">
        <w:rPr>
          <w:color w:val="000000" w:themeColor="text1"/>
        </w:rPr>
        <w:t>.</w:t>
      </w:r>
      <w:r w:rsidR="00601649" w:rsidRPr="00663AA9">
        <w:rPr>
          <w:color w:val="000000" w:themeColor="text1"/>
        </w:rPr>
        <w:t xml:space="preserve"> However, parties can only move further up the hierarchy if </w:t>
      </w:r>
      <w:r w:rsidR="00C61F7D" w:rsidRPr="00663AA9">
        <w:rPr>
          <w:color w:val="000000" w:themeColor="text1"/>
        </w:rPr>
        <w:t>there is a failure in a point of law, or that there is new evidence</w:t>
      </w:r>
      <w:r w:rsidR="00B74BE0" w:rsidRPr="00663AA9">
        <w:rPr>
          <w:color w:val="000000" w:themeColor="text1"/>
        </w:rPr>
        <w:t xml:space="preserve"> </w:t>
      </w:r>
      <w:sdt>
        <w:sdtPr>
          <w:rPr>
            <w:color w:val="000000" w:themeColor="text1"/>
          </w:rPr>
          <w:id w:val="1989434020"/>
          <w:citation/>
        </w:sdtPr>
        <w:sdtContent>
          <w:r w:rsidR="00B74BE0" w:rsidRPr="00663AA9">
            <w:rPr>
              <w:color w:val="000000" w:themeColor="text1"/>
            </w:rPr>
            <w:fldChar w:fldCharType="begin"/>
          </w:r>
          <w:r w:rsidR="00B74BE0" w:rsidRPr="00663AA9">
            <w:rPr>
              <w:color w:val="000000" w:themeColor="text1"/>
              <w:lang w:val="en-US"/>
            </w:rPr>
            <w:instrText xml:space="preserve"> CITATION Jud242 \l 1033 </w:instrText>
          </w:r>
          <w:r w:rsidR="00B74BE0" w:rsidRPr="00663AA9">
            <w:rPr>
              <w:color w:val="000000" w:themeColor="text1"/>
            </w:rPr>
            <w:fldChar w:fldCharType="separate"/>
          </w:r>
          <w:r w:rsidR="0084748A" w:rsidRPr="0084748A">
            <w:rPr>
              <w:noProof/>
              <w:color w:val="000000" w:themeColor="text1"/>
              <w:lang w:val="en-US"/>
            </w:rPr>
            <w:t>(Judiciary, 2024)</w:t>
          </w:r>
          <w:r w:rsidR="00B74BE0" w:rsidRPr="00663AA9">
            <w:rPr>
              <w:color w:val="000000" w:themeColor="text1"/>
            </w:rPr>
            <w:fldChar w:fldCharType="end"/>
          </w:r>
        </w:sdtContent>
      </w:sdt>
      <w:r w:rsidR="00294A85" w:rsidRPr="00663AA9">
        <w:rPr>
          <w:color w:val="000000" w:themeColor="text1"/>
        </w:rPr>
        <w:t xml:space="preserve">. Courts higher up can overrule those below, </w:t>
      </w:r>
      <w:r w:rsidR="00011B32" w:rsidRPr="00663AA9">
        <w:rPr>
          <w:color w:val="000000" w:themeColor="text1"/>
        </w:rPr>
        <w:t>in addition to setting precedents so that lower courts must follow for future cases</w:t>
      </w:r>
      <w:r w:rsidR="00982AC8" w:rsidRPr="00663AA9">
        <w:rPr>
          <w:color w:val="000000" w:themeColor="text1"/>
        </w:rPr>
        <w:t xml:space="preserve"> </w:t>
      </w:r>
      <w:sdt>
        <w:sdtPr>
          <w:rPr>
            <w:color w:val="000000" w:themeColor="text1"/>
          </w:rPr>
          <w:id w:val="1622726353"/>
          <w:citation/>
        </w:sdtPr>
        <w:sdtContent>
          <w:r w:rsidR="00982AC8" w:rsidRPr="00663AA9">
            <w:rPr>
              <w:color w:val="000000" w:themeColor="text1"/>
            </w:rPr>
            <w:fldChar w:fldCharType="begin"/>
          </w:r>
          <w:r w:rsidR="00982AC8" w:rsidRPr="00663AA9">
            <w:rPr>
              <w:color w:val="000000" w:themeColor="text1"/>
              <w:lang w:val="en-US"/>
            </w:rPr>
            <w:instrText xml:space="preserve"> CITATION CIP2320 \l 1033 </w:instrText>
          </w:r>
          <w:r w:rsidR="00982AC8" w:rsidRPr="00663AA9">
            <w:rPr>
              <w:color w:val="000000" w:themeColor="text1"/>
            </w:rPr>
            <w:fldChar w:fldCharType="separate"/>
          </w:r>
          <w:r w:rsidR="0084748A" w:rsidRPr="0084748A">
            <w:rPr>
              <w:noProof/>
              <w:color w:val="000000" w:themeColor="text1"/>
              <w:lang w:val="en-US"/>
            </w:rPr>
            <w:t>(CIPD, 2023)</w:t>
          </w:r>
          <w:r w:rsidR="00982AC8" w:rsidRPr="00663AA9">
            <w:rPr>
              <w:color w:val="000000" w:themeColor="text1"/>
            </w:rPr>
            <w:fldChar w:fldCharType="end"/>
          </w:r>
        </w:sdtContent>
      </w:sdt>
      <w:r w:rsidR="00D61C36" w:rsidRPr="00663AA9">
        <w:rPr>
          <w:color w:val="000000" w:themeColor="text1"/>
        </w:rPr>
        <w:t>.</w:t>
      </w:r>
      <w:r w:rsidR="005475A6" w:rsidRPr="00663AA9">
        <w:rPr>
          <w:color w:val="000000" w:themeColor="text1"/>
        </w:rPr>
        <w:t xml:space="preserve"> </w:t>
      </w:r>
    </w:p>
    <w:p w14:paraId="5E78BFB2" w14:textId="47AFA32D" w:rsidR="0073092C" w:rsidRPr="00663AA9" w:rsidRDefault="0073092C" w:rsidP="00663AA9">
      <w:pPr>
        <w:pStyle w:val="Nornal"/>
        <w:spacing w:line="276" w:lineRule="auto"/>
        <w:rPr>
          <w:color w:val="000000" w:themeColor="text1"/>
        </w:rPr>
      </w:pPr>
      <w:r w:rsidRPr="00663AA9">
        <w:rPr>
          <w:color w:val="000000" w:themeColor="text1"/>
        </w:rPr>
        <w:t xml:space="preserve">The systems and processes set out above help to allow claimants and defendants to </w:t>
      </w:r>
      <w:r w:rsidR="00172F31" w:rsidRPr="00663AA9">
        <w:rPr>
          <w:color w:val="000000" w:themeColor="text1"/>
        </w:rPr>
        <w:t xml:space="preserve">adequately put forward their grievances. Further, </w:t>
      </w:r>
      <w:r w:rsidR="000C67BA" w:rsidRPr="00663AA9">
        <w:rPr>
          <w:color w:val="000000" w:themeColor="text1"/>
        </w:rPr>
        <w:t xml:space="preserve">the option for early reconciliation allows parties to resolve disputes quickly and before costs occur. </w:t>
      </w:r>
      <w:r w:rsidR="002E5433" w:rsidRPr="00663AA9">
        <w:rPr>
          <w:color w:val="000000" w:themeColor="text1"/>
        </w:rPr>
        <w:t xml:space="preserve">While at court the processes help to identify the main issues to allow for </w:t>
      </w:r>
      <w:r w:rsidR="0063134D" w:rsidRPr="00663AA9">
        <w:rPr>
          <w:color w:val="000000" w:themeColor="text1"/>
        </w:rPr>
        <w:t xml:space="preserve">a trial at court. Once the judgement is cast then settlement must follow. Unsatisfied parties cannot appeal decisions, unless it is a point of law. </w:t>
      </w:r>
    </w:p>
    <w:p w14:paraId="6462A26A" w14:textId="2EA501EF" w:rsidR="00293006" w:rsidRPr="00663AA9" w:rsidRDefault="00293006" w:rsidP="00663AA9">
      <w:pPr>
        <w:pStyle w:val="Nornal"/>
        <w:spacing w:line="276" w:lineRule="auto"/>
        <w:rPr>
          <w:color w:val="000000" w:themeColor="text1"/>
        </w:rPr>
      </w:pPr>
      <w:r w:rsidRPr="00663AA9">
        <w:rPr>
          <w:color w:val="000000" w:themeColor="text1"/>
        </w:rPr>
        <w:t xml:space="preserve">There are pathways for employees to take employers to court outside the </w:t>
      </w:r>
      <w:r w:rsidR="00D34781" w:rsidRPr="00663AA9">
        <w:rPr>
          <w:color w:val="000000" w:themeColor="text1"/>
        </w:rPr>
        <w:t xml:space="preserve">above processes, but this is </w:t>
      </w:r>
      <w:r w:rsidR="00B851BE" w:rsidRPr="00663AA9">
        <w:rPr>
          <w:color w:val="000000" w:themeColor="text1"/>
        </w:rPr>
        <w:t>primarily</w:t>
      </w:r>
      <w:r w:rsidR="00D34781" w:rsidRPr="00663AA9">
        <w:rPr>
          <w:color w:val="000000" w:themeColor="text1"/>
        </w:rPr>
        <w:t xml:space="preserve"> for breach of contract, </w:t>
      </w:r>
      <w:r w:rsidR="00B851BE" w:rsidRPr="00663AA9">
        <w:rPr>
          <w:color w:val="000000" w:themeColor="text1"/>
        </w:rPr>
        <w:t>whereby claimants have up to 6 years to claim.</w:t>
      </w:r>
    </w:p>
    <w:p w14:paraId="59DA64ED" w14:textId="77777777" w:rsidR="005475A6" w:rsidRPr="00663AA9" w:rsidRDefault="005475A6" w:rsidP="00663AA9">
      <w:pPr>
        <w:pStyle w:val="Nornal"/>
        <w:spacing w:line="276" w:lineRule="auto"/>
        <w:rPr>
          <w:color w:val="000000" w:themeColor="text1"/>
        </w:rPr>
      </w:pPr>
    </w:p>
    <w:p w14:paraId="5CF76832" w14:textId="02334523" w:rsidR="00A75E31" w:rsidRPr="00663AA9" w:rsidRDefault="00A75E31" w:rsidP="00663AA9">
      <w:pPr>
        <w:pStyle w:val="Nornal"/>
        <w:spacing w:line="276" w:lineRule="auto"/>
        <w:rPr>
          <w:color w:val="000000" w:themeColor="text1"/>
        </w:rPr>
      </w:pPr>
      <w:r w:rsidRPr="00663AA9">
        <w:rPr>
          <w:color w:val="000000" w:themeColor="text1"/>
        </w:rPr>
        <w:t xml:space="preserve"> (AC 1.3)</w:t>
      </w:r>
    </w:p>
    <w:p w14:paraId="43A969A6" w14:textId="39E5B45E" w:rsidR="00850EC7" w:rsidRPr="00663AA9" w:rsidRDefault="00850EC7" w:rsidP="00663AA9">
      <w:pPr>
        <w:pStyle w:val="Nornal"/>
        <w:spacing w:line="276" w:lineRule="auto"/>
        <w:rPr>
          <w:color w:val="000000" w:themeColor="text1"/>
        </w:rPr>
      </w:pPr>
      <w:r w:rsidRPr="00663AA9">
        <w:rPr>
          <w:color w:val="000000" w:themeColor="text1"/>
        </w:rPr>
        <w:t xml:space="preserve">There are two ways which cases can be settled before and during legal procedures; early </w:t>
      </w:r>
      <w:r w:rsidR="00575047" w:rsidRPr="00663AA9">
        <w:rPr>
          <w:color w:val="000000" w:themeColor="text1"/>
        </w:rPr>
        <w:t>reconciliation</w:t>
      </w:r>
      <w:r w:rsidRPr="00663AA9">
        <w:rPr>
          <w:color w:val="000000" w:themeColor="text1"/>
        </w:rPr>
        <w:t xml:space="preserve"> and </w:t>
      </w:r>
      <w:r w:rsidR="00575047" w:rsidRPr="00663AA9">
        <w:rPr>
          <w:color w:val="000000" w:themeColor="text1"/>
        </w:rPr>
        <w:t xml:space="preserve">settlement agreements. </w:t>
      </w:r>
    </w:p>
    <w:p w14:paraId="2DD736CA" w14:textId="3252AA85" w:rsidR="00B7102D" w:rsidRPr="00663AA9" w:rsidRDefault="00575047" w:rsidP="00663AA9">
      <w:pPr>
        <w:pStyle w:val="Nornal"/>
        <w:spacing w:line="276" w:lineRule="auto"/>
        <w:rPr>
          <w:color w:val="000000" w:themeColor="text1"/>
        </w:rPr>
      </w:pPr>
      <w:r w:rsidRPr="00663AA9">
        <w:rPr>
          <w:color w:val="000000" w:themeColor="text1"/>
        </w:rPr>
        <w:t>Early reconciliation</w:t>
      </w:r>
      <w:r w:rsidR="005F257B" w:rsidRPr="00663AA9">
        <w:rPr>
          <w:color w:val="000000" w:themeColor="text1"/>
        </w:rPr>
        <w:t xml:space="preserve"> is usually the first stage in all tribunal claims. It involves negotiations between the employer and employee </w:t>
      </w:r>
      <w:r w:rsidR="00F64670" w:rsidRPr="00663AA9">
        <w:rPr>
          <w:color w:val="000000" w:themeColor="text1"/>
        </w:rPr>
        <w:t xml:space="preserve">to settle using an intermediary, </w:t>
      </w:r>
      <w:r w:rsidR="00B928AE" w:rsidRPr="00663AA9">
        <w:rPr>
          <w:color w:val="000000" w:themeColor="text1"/>
        </w:rPr>
        <w:t>using ACAS.</w:t>
      </w:r>
      <w:r w:rsidR="00E648D8" w:rsidRPr="00663AA9">
        <w:rPr>
          <w:color w:val="000000" w:themeColor="text1"/>
        </w:rPr>
        <w:t xml:space="preserve"> </w:t>
      </w:r>
      <w:r w:rsidR="00A04574" w:rsidRPr="00663AA9">
        <w:rPr>
          <w:color w:val="000000" w:themeColor="text1"/>
        </w:rPr>
        <w:t>Claimants</w:t>
      </w:r>
      <w:r w:rsidR="00E648D8" w:rsidRPr="00663AA9">
        <w:rPr>
          <w:color w:val="000000" w:themeColor="text1"/>
        </w:rPr>
        <w:t xml:space="preserve"> must </w:t>
      </w:r>
      <w:r w:rsidR="00043FCD" w:rsidRPr="00663AA9">
        <w:rPr>
          <w:color w:val="000000" w:themeColor="text1"/>
        </w:rPr>
        <w:t xml:space="preserve">make </w:t>
      </w:r>
      <w:r w:rsidR="00A04574" w:rsidRPr="00663AA9">
        <w:rPr>
          <w:color w:val="000000" w:themeColor="text1"/>
        </w:rPr>
        <w:t>submit their claim within 3 months less a day, known as the limitation date.</w:t>
      </w:r>
      <w:r w:rsidR="00B81840" w:rsidRPr="00663AA9">
        <w:rPr>
          <w:color w:val="000000" w:themeColor="text1"/>
        </w:rPr>
        <w:t xml:space="preserve"> </w:t>
      </w:r>
      <w:r w:rsidR="00FB1D41" w:rsidRPr="00663AA9">
        <w:rPr>
          <w:color w:val="000000" w:themeColor="text1"/>
        </w:rPr>
        <w:lastRenderedPageBreak/>
        <w:t xml:space="preserve">Claims received after this will not be considered as seen in </w:t>
      </w:r>
      <w:r w:rsidR="00FB1D41" w:rsidRPr="00663AA9">
        <w:rPr>
          <w:i/>
          <w:iCs/>
          <w:color w:val="000000" w:themeColor="text1"/>
        </w:rPr>
        <w:t>Avon Count</w:t>
      </w:r>
      <w:r w:rsidR="00757829" w:rsidRPr="00663AA9">
        <w:rPr>
          <w:i/>
          <w:iCs/>
          <w:color w:val="000000" w:themeColor="text1"/>
        </w:rPr>
        <w:t>y Council v Haywood-Hicks (1978)</w:t>
      </w:r>
      <w:r w:rsidR="00CE1146" w:rsidRPr="00663AA9">
        <w:rPr>
          <w:i/>
          <w:iCs/>
          <w:color w:val="000000" w:themeColor="text1"/>
        </w:rPr>
        <w:t xml:space="preserve">. </w:t>
      </w:r>
      <w:r w:rsidR="00B81840" w:rsidRPr="00663AA9">
        <w:rPr>
          <w:color w:val="000000" w:themeColor="text1"/>
        </w:rPr>
        <w:t xml:space="preserve">However, once ACAS receive the claim the limitation date is paused during early </w:t>
      </w:r>
      <w:r w:rsidR="005940C1" w:rsidRPr="00663AA9">
        <w:rPr>
          <w:color w:val="000000" w:themeColor="text1"/>
        </w:rPr>
        <w:t>reconciliation</w:t>
      </w:r>
      <w:r w:rsidR="00B81840" w:rsidRPr="00663AA9">
        <w:rPr>
          <w:color w:val="000000" w:themeColor="text1"/>
        </w:rPr>
        <w:t xml:space="preserve"> to allow sufficient </w:t>
      </w:r>
      <w:r w:rsidR="009967EF" w:rsidRPr="00663AA9">
        <w:rPr>
          <w:color w:val="000000" w:themeColor="text1"/>
        </w:rPr>
        <w:t>negotiations to take place.</w:t>
      </w:r>
      <w:r w:rsidR="00B33895" w:rsidRPr="00663AA9">
        <w:rPr>
          <w:color w:val="000000" w:themeColor="text1"/>
        </w:rPr>
        <w:t xml:space="preserve"> Early reconciliation take place over 6 weeks, whereby ACAS </w:t>
      </w:r>
      <w:r w:rsidR="0008061B" w:rsidRPr="00663AA9">
        <w:rPr>
          <w:color w:val="000000" w:themeColor="text1"/>
        </w:rPr>
        <w:t xml:space="preserve">act as the mediator between the parties to relay information. ACAS do not provide legal advice, they </w:t>
      </w:r>
      <w:r w:rsidR="00CF72EE" w:rsidRPr="00663AA9">
        <w:rPr>
          <w:color w:val="000000" w:themeColor="text1"/>
        </w:rPr>
        <w:t xml:space="preserve">provide strengths and weaknesses for both parties and potentially options, but they do not provide advice or recommendations. </w:t>
      </w:r>
      <w:r w:rsidR="00154975" w:rsidRPr="00663AA9">
        <w:rPr>
          <w:color w:val="000000" w:themeColor="text1"/>
        </w:rPr>
        <w:t>If the parties reach an agreement, then they will sign a COT3 form, which formalises the agreement</w:t>
      </w:r>
      <w:r w:rsidR="006C1F9D" w:rsidRPr="00663AA9">
        <w:rPr>
          <w:color w:val="000000" w:themeColor="text1"/>
        </w:rPr>
        <w:t xml:space="preserve"> and settles the claim. </w:t>
      </w:r>
      <w:r w:rsidR="000C56CE" w:rsidRPr="00663AA9">
        <w:rPr>
          <w:color w:val="000000" w:themeColor="text1"/>
        </w:rPr>
        <w:t xml:space="preserve">The </w:t>
      </w:r>
      <w:r w:rsidR="00B86B8C" w:rsidRPr="00663AA9">
        <w:rPr>
          <w:color w:val="000000" w:themeColor="text1"/>
        </w:rPr>
        <w:t>scope of early reconciliation is to ensure that disputes are resolved promptly before costs incur</w:t>
      </w:r>
      <w:r w:rsidR="001F75DF" w:rsidRPr="00663AA9">
        <w:rPr>
          <w:color w:val="000000" w:themeColor="text1"/>
        </w:rPr>
        <w:t xml:space="preserve">, it can also help parties resolve their disputes without direct interaction. </w:t>
      </w:r>
      <w:r w:rsidR="00E2206F" w:rsidRPr="00663AA9">
        <w:rPr>
          <w:color w:val="000000" w:themeColor="text1"/>
        </w:rPr>
        <w:t xml:space="preserve">Usually, parties begin with polar expectations, but through ACAS </w:t>
      </w:r>
      <w:r w:rsidR="00556368" w:rsidRPr="00663AA9">
        <w:rPr>
          <w:color w:val="000000" w:themeColor="text1"/>
        </w:rPr>
        <w:t>facilitation</w:t>
      </w:r>
      <w:r w:rsidR="00B537F1" w:rsidRPr="00663AA9">
        <w:rPr>
          <w:color w:val="000000" w:themeColor="text1"/>
        </w:rPr>
        <w:t xml:space="preserve">, </w:t>
      </w:r>
      <w:r w:rsidR="00E2206F" w:rsidRPr="00663AA9">
        <w:rPr>
          <w:color w:val="000000" w:themeColor="text1"/>
        </w:rPr>
        <w:t xml:space="preserve">an agreement </w:t>
      </w:r>
      <w:r w:rsidR="00556368" w:rsidRPr="00663AA9">
        <w:rPr>
          <w:color w:val="000000" w:themeColor="text1"/>
        </w:rPr>
        <w:t>can be made.</w:t>
      </w:r>
      <w:r w:rsidR="00B219A6" w:rsidRPr="00663AA9">
        <w:rPr>
          <w:color w:val="000000" w:themeColor="text1"/>
        </w:rPr>
        <w:t xml:space="preserve"> ACAS commonly highlight the cost and stress implications with </w:t>
      </w:r>
      <w:r w:rsidR="00D236CA" w:rsidRPr="00663AA9">
        <w:rPr>
          <w:color w:val="000000" w:themeColor="text1"/>
        </w:rPr>
        <w:t xml:space="preserve">moving to a tribunal, </w:t>
      </w:r>
      <w:r w:rsidR="004550CE" w:rsidRPr="00663AA9">
        <w:rPr>
          <w:color w:val="000000" w:themeColor="text1"/>
        </w:rPr>
        <w:t>especially when professionals are involved</w:t>
      </w:r>
      <w:r w:rsidR="00576573" w:rsidRPr="00663AA9">
        <w:rPr>
          <w:color w:val="000000" w:themeColor="text1"/>
        </w:rPr>
        <w:t xml:space="preserve">, alongside potential financial </w:t>
      </w:r>
      <w:r w:rsidR="00755F56" w:rsidRPr="00663AA9">
        <w:rPr>
          <w:color w:val="000000" w:themeColor="text1"/>
        </w:rPr>
        <w:t>a</w:t>
      </w:r>
      <w:r w:rsidR="00576573" w:rsidRPr="00663AA9">
        <w:rPr>
          <w:color w:val="000000" w:themeColor="text1"/>
        </w:rPr>
        <w:t xml:space="preserve">wards if the claimant is successful. </w:t>
      </w:r>
    </w:p>
    <w:p w14:paraId="1E4EBE7A" w14:textId="77777777" w:rsidR="000A4F03" w:rsidRPr="00663AA9" w:rsidRDefault="000A4F03" w:rsidP="00663AA9">
      <w:pPr>
        <w:pStyle w:val="Nornal"/>
        <w:spacing w:line="276" w:lineRule="auto"/>
        <w:rPr>
          <w:color w:val="000000" w:themeColor="text1"/>
        </w:rPr>
      </w:pPr>
    </w:p>
    <w:p w14:paraId="3EDBDFE0" w14:textId="7C799556" w:rsidR="000A4F03" w:rsidRPr="00663AA9" w:rsidRDefault="00DC7011" w:rsidP="00663AA9">
      <w:pPr>
        <w:pStyle w:val="Nornal"/>
        <w:spacing w:line="276" w:lineRule="auto"/>
        <w:rPr>
          <w:color w:val="000000" w:themeColor="text1"/>
        </w:rPr>
      </w:pPr>
      <w:r w:rsidRPr="00663AA9">
        <w:rPr>
          <w:color w:val="000000" w:themeColor="text1"/>
        </w:rPr>
        <w:t>Settlement agreements</w:t>
      </w:r>
    </w:p>
    <w:p w14:paraId="7169E0B8" w14:textId="7FFBFB4C" w:rsidR="00DC7011" w:rsidRPr="00663AA9" w:rsidRDefault="00976637" w:rsidP="00663AA9">
      <w:pPr>
        <w:pStyle w:val="Nornal"/>
        <w:spacing w:line="276" w:lineRule="auto"/>
        <w:rPr>
          <w:color w:val="000000" w:themeColor="text1"/>
        </w:rPr>
      </w:pPr>
      <w:r w:rsidRPr="00663AA9">
        <w:rPr>
          <w:color w:val="000000" w:themeColor="text1"/>
        </w:rPr>
        <w:t>The En</w:t>
      </w:r>
      <w:r w:rsidR="002D50C1" w:rsidRPr="00663AA9">
        <w:rPr>
          <w:color w:val="000000" w:themeColor="text1"/>
        </w:rPr>
        <w:t xml:space="preserve">terprise and Regulatory Reform Act 2013 </w:t>
      </w:r>
      <w:r w:rsidR="00895AD8" w:rsidRPr="00663AA9">
        <w:rPr>
          <w:color w:val="000000" w:themeColor="text1"/>
        </w:rPr>
        <w:t xml:space="preserve">allowed for the use of ‘confidential pre-termination </w:t>
      </w:r>
      <w:r w:rsidR="00CA0CB8" w:rsidRPr="00663AA9">
        <w:rPr>
          <w:color w:val="000000" w:themeColor="text1"/>
        </w:rPr>
        <w:t>negotiations</w:t>
      </w:r>
      <w:r w:rsidR="00CA0CB8">
        <w:rPr>
          <w:color w:val="000000" w:themeColor="text1"/>
        </w:rPr>
        <w:t>’</w:t>
      </w:r>
      <w:r w:rsidR="00895AD8" w:rsidRPr="00663AA9">
        <w:rPr>
          <w:color w:val="000000" w:themeColor="text1"/>
        </w:rPr>
        <w:t xml:space="preserve">. </w:t>
      </w:r>
      <w:r w:rsidR="00D021EE" w:rsidRPr="00663AA9">
        <w:rPr>
          <w:color w:val="000000" w:themeColor="text1"/>
        </w:rPr>
        <w:t xml:space="preserve">Settlement agreements are legally binding </w:t>
      </w:r>
      <w:r w:rsidR="009E29FA" w:rsidRPr="00663AA9">
        <w:rPr>
          <w:color w:val="000000" w:themeColor="text1"/>
        </w:rPr>
        <w:t xml:space="preserve">contracts that are </w:t>
      </w:r>
      <w:r w:rsidR="006B401A" w:rsidRPr="00663AA9">
        <w:rPr>
          <w:color w:val="000000" w:themeColor="text1"/>
        </w:rPr>
        <w:t>utilised</w:t>
      </w:r>
      <w:r w:rsidR="009E29FA" w:rsidRPr="00663AA9">
        <w:rPr>
          <w:color w:val="000000" w:themeColor="text1"/>
        </w:rPr>
        <w:t xml:space="preserve"> to cease the employment relationship, based upon agreed terms.</w:t>
      </w:r>
      <w:r w:rsidR="00AC2854" w:rsidRPr="00663AA9">
        <w:rPr>
          <w:color w:val="000000" w:themeColor="text1"/>
        </w:rPr>
        <w:t xml:space="preserve"> </w:t>
      </w:r>
      <w:r w:rsidR="002F6E62" w:rsidRPr="00663AA9">
        <w:rPr>
          <w:color w:val="000000" w:themeColor="text1"/>
        </w:rPr>
        <w:t xml:space="preserve">However, they can be </w:t>
      </w:r>
      <w:r w:rsidR="00A21079" w:rsidRPr="00663AA9">
        <w:rPr>
          <w:color w:val="000000" w:themeColor="text1"/>
        </w:rPr>
        <w:t xml:space="preserve">offered at any level of the employee </w:t>
      </w:r>
      <w:r w:rsidR="0098154C" w:rsidRPr="00663AA9">
        <w:rPr>
          <w:color w:val="000000" w:themeColor="text1"/>
        </w:rPr>
        <w:t>relationship</w:t>
      </w:r>
      <w:sdt>
        <w:sdtPr>
          <w:rPr>
            <w:color w:val="000000" w:themeColor="text1"/>
          </w:rPr>
          <w:id w:val="-929972406"/>
          <w:citation/>
        </w:sdtPr>
        <w:sdtContent>
          <w:r w:rsidR="00236EBF" w:rsidRPr="00663AA9">
            <w:rPr>
              <w:color w:val="000000" w:themeColor="text1"/>
            </w:rPr>
            <w:fldChar w:fldCharType="begin"/>
          </w:r>
          <w:r w:rsidR="00236EBF" w:rsidRPr="00663AA9">
            <w:rPr>
              <w:color w:val="000000" w:themeColor="text1"/>
              <w:lang w:val="en-US"/>
            </w:rPr>
            <w:instrText xml:space="preserve"> CITATION ACA18 \l 1033 </w:instrText>
          </w:r>
          <w:r w:rsidR="00236EBF" w:rsidRPr="00663AA9">
            <w:rPr>
              <w:color w:val="000000" w:themeColor="text1"/>
            </w:rPr>
            <w:fldChar w:fldCharType="separate"/>
          </w:r>
          <w:r w:rsidR="0084748A">
            <w:rPr>
              <w:noProof/>
              <w:color w:val="000000" w:themeColor="text1"/>
              <w:lang w:val="en-US"/>
            </w:rPr>
            <w:t xml:space="preserve"> </w:t>
          </w:r>
          <w:r w:rsidR="0084748A" w:rsidRPr="0084748A">
            <w:rPr>
              <w:noProof/>
              <w:color w:val="000000" w:themeColor="text1"/>
              <w:lang w:val="en-US"/>
            </w:rPr>
            <w:t>(ACAS, 2018)</w:t>
          </w:r>
          <w:r w:rsidR="00236EBF" w:rsidRPr="00663AA9">
            <w:rPr>
              <w:color w:val="000000" w:themeColor="text1"/>
            </w:rPr>
            <w:fldChar w:fldCharType="end"/>
          </w:r>
        </w:sdtContent>
      </w:sdt>
      <w:r w:rsidR="0098154C" w:rsidRPr="00663AA9">
        <w:rPr>
          <w:color w:val="000000" w:themeColor="text1"/>
        </w:rPr>
        <w:t xml:space="preserve">. </w:t>
      </w:r>
      <w:r w:rsidR="00CA0CB8" w:rsidRPr="00663AA9">
        <w:rPr>
          <w:color w:val="000000" w:themeColor="text1"/>
        </w:rPr>
        <w:t>Usually,</w:t>
      </w:r>
      <w:r w:rsidR="00AC2854" w:rsidRPr="00663AA9">
        <w:rPr>
          <w:color w:val="000000" w:themeColor="text1"/>
        </w:rPr>
        <w:t xml:space="preserve"> </w:t>
      </w:r>
      <w:r w:rsidR="00C37228" w:rsidRPr="00663AA9">
        <w:rPr>
          <w:color w:val="000000" w:themeColor="text1"/>
        </w:rPr>
        <w:t xml:space="preserve">an agreement is made in </w:t>
      </w:r>
      <w:r w:rsidR="00C84E18" w:rsidRPr="00663AA9">
        <w:rPr>
          <w:color w:val="000000" w:themeColor="text1"/>
        </w:rPr>
        <w:t>lieu</w:t>
      </w:r>
      <w:r w:rsidR="00C37228" w:rsidRPr="00663AA9">
        <w:rPr>
          <w:color w:val="000000" w:themeColor="text1"/>
        </w:rPr>
        <w:t xml:space="preserve"> of payment and </w:t>
      </w:r>
      <w:r w:rsidR="000335E0" w:rsidRPr="00663AA9">
        <w:rPr>
          <w:color w:val="000000" w:themeColor="text1"/>
        </w:rPr>
        <w:t xml:space="preserve">company </w:t>
      </w:r>
      <w:r w:rsidR="009F7FEF" w:rsidRPr="00663AA9">
        <w:rPr>
          <w:color w:val="000000" w:themeColor="text1"/>
        </w:rPr>
        <w:t>referenc</w:t>
      </w:r>
      <w:r w:rsidR="00ED748F" w:rsidRPr="00663AA9">
        <w:rPr>
          <w:color w:val="000000" w:themeColor="text1"/>
        </w:rPr>
        <w:t>e</w:t>
      </w:r>
      <w:r w:rsidR="009F7FEF" w:rsidRPr="00663AA9">
        <w:rPr>
          <w:color w:val="000000" w:themeColor="text1"/>
        </w:rPr>
        <w:t>, or ‘financial settlement’</w:t>
      </w:r>
      <w:r w:rsidR="00371DCA" w:rsidRPr="00663AA9">
        <w:rPr>
          <w:color w:val="000000" w:themeColor="text1"/>
        </w:rPr>
        <w:t xml:space="preserve"> </w:t>
      </w:r>
      <w:sdt>
        <w:sdtPr>
          <w:rPr>
            <w:color w:val="000000" w:themeColor="text1"/>
          </w:rPr>
          <w:id w:val="-553235098"/>
          <w:citation/>
        </w:sdtPr>
        <w:sdtContent>
          <w:r w:rsidR="00371DCA" w:rsidRPr="00663AA9">
            <w:rPr>
              <w:color w:val="000000" w:themeColor="text1"/>
            </w:rPr>
            <w:fldChar w:fldCharType="begin"/>
          </w:r>
          <w:r w:rsidR="00371DCA" w:rsidRPr="00663AA9">
            <w:rPr>
              <w:color w:val="000000" w:themeColor="text1"/>
              <w:lang w:val="en-US"/>
            </w:rPr>
            <w:instrText xml:space="preserve"> CITATION Cit23 \l 1033 </w:instrText>
          </w:r>
          <w:r w:rsidR="00371DCA" w:rsidRPr="00663AA9">
            <w:rPr>
              <w:color w:val="000000" w:themeColor="text1"/>
            </w:rPr>
            <w:fldChar w:fldCharType="separate"/>
          </w:r>
          <w:r w:rsidR="0084748A" w:rsidRPr="0084748A">
            <w:rPr>
              <w:noProof/>
              <w:color w:val="000000" w:themeColor="text1"/>
              <w:lang w:val="en-US"/>
            </w:rPr>
            <w:t>(Citizens Advice, 2023)</w:t>
          </w:r>
          <w:r w:rsidR="00371DCA" w:rsidRPr="00663AA9">
            <w:rPr>
              <w:color w:val="000000" w:themeColor="text1"/>
            </w:rPr>
            <w:fldChar w:fldCharType="end"/>
          </w:r>
        </w:sdtContent>
      </w:sdt>
      <w:r w:rsidR="000335E0" w:rsidRPr="00663AA9">
        <w:rPr>
          <w:color w:val="000000" w:themeColor="text1"/>
        </w:rPr>
        <w:t>. Th</w:t>
      </w:r>
      <w:r w:rsidR="00981A4D" w:rsidRPr="00663AA9">
        <w:rPr>
          <w:color w:val="000000" w:themeColor="text1"/>
        </w:rPr>
        <w:t>ese</w:t>
      </w:r>
      <w:r w:rsidR="000335E0" w:rsidRPr="00663AA9">
        <w:rPr>
          <w:color w:val="000000" w:themeColor="text1"/>
        </w:rPr>
        <w:t xml:space="preserve"> type</w:t>
      </w:r>
      <w:r w:rsidR="00981A4D" w:rsidRPr="00663AA9">
        <w:rPr>
          <w:color w:val="000000" w:themeColor="text1"/>
        </w:rPr>
        <w:t>s</w:t>
      </w:r>
      <w:r w:rsidR="000335E0" w:rsidRPr="00663AA9">
        <w:rPr>
          <w:color w:val="000000" w:themeColor="text1"/>
        </w:rPr>
        <w:t xml:space="preserve"> of a</w:t>
      </w:r>
      <w:r w:rsidR="00C93BD7" w:rsidRPr="00663AA9">
        <w:rPr>
          <w:color w:val="000000" w:themeColor="text1"/>
        </w:rPr>
        <w:t>greement</w:t>
      </w:r>
      <w:r w:rsidR="00981A4D" w:rsidRPr="00663AA9">
        <w:rPr>
          <w:color w:val="000000" w:themeColor="text1"/>
        </w:rPr>
        <w:t>s</w:t>
      </w:r>
      <w:r w:rsidR="00C93BD7" w:rsidRPr="00663AA9">
        <w:rPr>
          <w:color w:val="000000" w:themeColor="text1"/>
        </w:rPr>
        <w:t xml:space="preserve"> are entered into voluntarily and must be mutually agreed, therefore, either party can depart from negotiation at any point. </w:t>
      </w:r>
      <w:r w:rsidR="006455F5" w:rsidRPr="00663AA9">
        <w:rPr>
          <w:color w:val="000000" w:themeColor="text1"/>
        </w:rPr>
        <w:t xml:space="preserve">Further, the agreements and negotiations are made without prejudice. </w:t>
      </w:r>
      <w:r w:rsidR="00080ABD" w:rsidRPr="00663AA9">
        <w:rPr>
          <w:color w:val="000000" w:themeColor="text1"/>
        </w:rPr>
        <w:t xml:space="preserve">However, </w:t>
      </w:r>
      <w:r w:rsidR="000641E3" w:rsidRPr="00663AA9">
        <w:rPr>
          <w:color w:val="000000" w:themeColor="text1"/>
        </w:rPr>
        <w:t xml:space="preserve">it is important to note that the employee must be offered independent legal advice, to ensure they fully understand the agreement, and </w:t>
      </w:r>
      <w:r w:rsidR="00C84E18" w:rsidRPr="00663AA9">
        <w:rPr>
          <w:color w:val="000000" w:themeColor="text1"/>
        </w:rPr>
        <w:t xml:space="preserve">what rights they are potentially waiving. </w:t>
      </w:r>
      <w:r w:rsidR="007133F5" w:rsidRPr="00663AA9">
        <w:rPr>
          <w:color w:val="000000" w:themeColor="text1"/>
        </w:rPr>
        <w:t xml:space="preserve">Nonetheless, the contents of the discussions are confidential and </w:t>
      </w:r>
      <w:r w:rsidR="00000F07" w:rsidRPr="00663AA9">
        <w:rPr>
          <w:color w:val="000000" w:themeColor="text1"/>
        </w:rPr>
        <w:t>usually are not admissible as evidence if the claim reaches a tribunal or court proceeding</w:t>
      </w:r>
      <w:r w:rsidR="009F4629" w:rsidRPr="00663AA9">
        <w:rPr>
          <w:color w:val="000000" w:themeColor="text1"/>
        </w:rPr>
        <w:t>, unless there is evidence of improper behaviour</w:t>
      </w:r>
      <w:r w:rsidR="008921F7" w:rsidRPr="00663AA9">
        <w:rPr>
          <w:color w:val="000000" w:themeColor="text1"/>
        </w:rPr>
        <w:t xml:space="preserve"> </w:t>
      </w:r>
      <w:sdt>
        <w:sdtPr>
          <w:rPr>
            <w:color w:val="000000" w:themeColor="text1"/>
          </w:rPr>
          <w:id w:val="150030956"/>
          <w:citation/>
        </w:sdtPr>
        <w:sdtContent>
          <w:r w:rsidR="008921F7" w:rsidRPr="00663AA9">
            <w:rPr>
              <w:color w:val="000000" w:themeColor="text1"/>
            </w:rPr>
            <w:fldChar w:fldCharType="begin"/>
          </w:r>
          <w:r w:rsidR="008921F7" w:rsidRPr="00663AA9">
            <w:rPr>
              <w:color w:val="000000" w:themeColor="text1"/>
              <w:lang w:val="en-US"/>
            </w:rPr>
            <w:instrText xml:space="preserve"> CITATION Kat223 \l 1033 </w:instrText>
          </w:r>
          <w:r w:rsidR="008921F7" w:rsidRPr="00663AA9">
            <w:rPr>
              <w:color w:val="000000" w:themeColor="text1"/>
            </w:rPr>
            <w:fldChar w:fldCharType="separate"/>
          </w:r>
          <w:r w:rsidR="0084748A" w:rsidRPr="0084748A">
            <w:rPr>
              <w:noProof/>
              <w:color w:val="000000" w:themeColor="text1"/>
              <w:lang w:val="en-US"/>
            </w:rPr>
            <w:t>(Daniels, 2022)</w:t>
          </w:r>
          <w:r w:rsidR="008921F7" w:rsidRPr="00663AA9">
            <w:rPr>
              <w:color w:val="000000" w:themeColor="text1"/>
            </w:rPr>
            <w:fldChar w:fldCharType="end"/>
          </w:r>
        </w:sdtContent>
      </w:sdt>
      <w:r w:rsidR="00000F07" w:rsidRPr="00663AA9">
        <w:rPr>
          <w:color w:val="000000" w:themeColor="text1"/>
        </w:rPr>
        <w:t xml:space="preserve">. </w:t>
      </w:r>
      <w:r w:rsidR="00CA0CB8" w:rsidRPr="00663AA9">
        <w:rPr>
          <w:color w:val="000000" w:themeColor="text1"/>
        </w:rPr>
        <w:t>Usually,</w:t>
      </w:r>
      <w:r w:rsidR="004A6B91" w:rsidRPr="00663AA9">
        <w:rPr>
          <w:color w:val="000000" w:themeColor="text1"/>
        </w:rPr>
        <w:t xml:space="preserve"> employers </w:t>
      </w:r>
      <w:r w:rsidR="00D00EBE" w:rsidRPr="00663AA9">
        <w:rPr>
          <w:color w:val="000000" w:themeColor="text1"/>
        </w:rPr>
        <w:t xml:space="preserve">set in terms that the claimant cannot bring a tribunal claim </w:t>
      </w:r>
      <w:r w:rsidR="007F035A" w:rsidRPr="00663AA9">
        <w:rPr>
          <w:color w:val="000000" w:themeColor="text1"/>
        </w:rPr>
        <w:t xml:space="preserve">covered by the agreement. </w:t>
      </w:r>
      <w:r w:rsidR="00813459" w:rsidRPr="00663AA9">
        <w:rPr>
          <w:color w:val="000000" w:themeColor="text1"/>
        </w:rPr>
        <w:t>These types of agreements</w:t>
      </w:r>
      <w:r w:rsidR="00D15CB1" w:rsidRPr="00663AA9">
        <w:rPr>
          <w:color w:val="000000" w:themeColor="text1"/>
        </w:rPr>
        <w:t xml:space="preserve"> can help </w:t>
      </w:r>
      <w:r w:rsidR="0098154C" w:rsidRPr="00663AA9">
        <w:rPr>
          <w:color w:val="000000" w:themeColor="text1"/>
        </w:rPr>
        <w:t>efficiently</w:t>
      </w:r>
      <w:r w:rsidR="006825A1" w:rsidRPr="00663AA9">
        <w:rPr>
          <w:color w:val="000000" w:themeColor="text1"/>
        </w:rPr>
        <w:t xml:space="preserve"> deal with breakdown in employment relationships, they are much cheaper, less stressful </w:t>
      </w:r>
      <w:r w:rsidR="0069444B" w:rsidRPr="00663AA9">
        <w:rPr>
          <w:color w:val="000000" w:themeColor="text1"/>
        </w:rPr>
        <w:t xml:space="preserve">and save significant time. However, they can sometimes </w:t>
      </w:r>
      <w:r w:rsidR="0098154C" w:rsidRPr="00663AA9">
        <w:rPr>
          <w:color w:val="000000" w:themeColor="text1"/>
        </w:rPr>
        <w:t xml:space="preserve">have negative results, especially when an agreement is </w:t>
      </w:r>
      <w:r w:rsidR="00BA1EAC">
        <w:rPr>
          <w:color w:val="000000" w:themeColor="text1"/>
        </w:rPr>
        <w:t xml:space="preserve">has </w:t>
      </w:r>
      <w:r w:rsidR="0098154C" w:rsidRPr="00663AA9">
        <w:rPr>
          <w:color w:val="000000" w:themeColor="text1"/>
        </w:rPr>
        <w:t xml:space="preserve">not </w:t>
      </w:r>
      <w:r w:rsidR="00BA1EAC">
        <w:rPr>
          <w:color w:val="000000" w:themeColor="text1"/>
        </w:rPr>
        <w:t xml:space="preserve">been </w:t>
      </w:r>
      <w:r w:rsidR="0098154C" w:rsidRPr="00663AA9">
        <w:rPr>
          <w:color w:val="000000" w:themeColor="text1"/>
        </w:rPr>
        <w:t>reached</w:t>
      </w:r>
      <w:r w:rsidR="00AA7F1F" w:rsidRPr="00663AA9">
        <w:rPr>
          <w:color w:val="000000" w:themeColor="text1"/>
        </w:rPr>
        <w:t>, which leads to a further breakdown of the relationship</w:t>
      </w:r>
      <w:r w:rsidR="005F12CF" w:rsidRPr="00663AA9">
        <w:rPr>
          <w:color w:val="000000" w:themeColor="text1"/>
        </w:rPr>
        <w:t xml:space="preserve"> </w:t>
      </w:r>
      <w:sdt>
        <w:sdtPr>
          <w:rPr>
            <w:color w:val="000000" w:themeColor="text1"/>
          </w:rPr>
          <w:id w:val="595128481"/>
          <w:citation/>
        </w:sdtPr>
        <w:sdtContent>
          <w:r w:rsidR="00C775C0" w:rsidRPr="00663AA9">
            <w:rPr>
              <w:color w:val="000000" w:themeColor="text1"/>
            </w:rPr>
            <w:fldChar w:fldCharType="begin"/>
          </w:r>
          <w:r w:rsidR="00C775C0" w:rsidRPr="00663AA9">
            <w:rPr>
              <w:color w:val="000000" w:themeColor="text1"/>
              <w:lang w:val="en-US"/>
            </w:rPr>
            <w:instrText xml:space="preserve"> CITATION Wad20 \l 1033 </w:instrText>
          </w:r>
          <w:r w:rsidR="00C775C0" w:rsidRPr="00663AA9">
            <w:rPr>
              <w:color w:val="000000" w:themeColor="text1"/>
            </w:rPr>
            <w:fldChar w:fldCharType="separate"/>
          </w:r>
          <w:r w:rsidR="0084748A" w:rsidRPr="0084748A">
            <w:rPr>
              <w:noProof/>
              <w:color w:val="000000" w:themeColor="text1"/>
              <w:lang w:val="en-US"/>
            </w:rPr>
            <w:t>(Waddington, 2020)</w:t>
          </w:r>
          <w:r w:rsidR="00C775C0" w:rsidRPr="00663AA9">
            <w:rPr>
              <w:color w:val="000000" w:themeColor="text1"/>
            </w:rPr>
            <w:fldChar w:fldCharType="end"/>
          </w:r>
        </w:sdtContent>
      </w:sdt>
      <w:r w:rsidR="00C775C0" w:rsidRPr="00663AA9">
        <w:rPr>
          <w:color w:val="000000" w:themeColor="text1"/>
        </w:rPr>
        <w:t>.</w:t>
      </w:r>
    </w:p>
    <w:p w14:paraId="0B147CB6" w14:textId="77777777" w:rsidR="00326C1D" w:rsidRPr="00663AA9" w:rsidRDefault="00326C1D" w:rsidP="00663AA9">
      <w:pPr>
        <w:pStyle w:val="Nornal"/>
        <w:spacing w:line="276" w:lineRule="auto"/>
        <w:rPr>
          <w:color w:val="000000" w:themeColor="text1"/>
        </w:rPr>
      </w:pPr>
    </w:p>
    <w:p w14:paraId="34335BEA" w14:textId="1CD89EEE" w:rsidR="00A75E31" w:rsidRPr="00663AA9" w:rsidRDefault="00A75E31" w:rsidP="00663AA9">
      <w:pPr>
        <w:pStyle w:val="Nornal"/>
        <w:spacing w:line="276" w:lineRule="auto"/>
        <w:rPr>
          <w:color w:val="000000" w:themeColor="text1"/>
        </w:rPr>
      </w:pPr>
      <w:r w:rsidRPr="00663AA9">
        <w:rPr>
          <w:color w:val="000000" w:themeColor="text1"/>
        </w:rPr>
        <w:t xml:space="preserve"> (AC 2.1) </w:t>
      </w:r>
    </w:p>
    <w:p w14:paraId="15941372" w14:textId="1C3539F4" w:rsidR="005C400E" w:rsidRPr="00663AA9" w:rsidRDefault="008D3193" w:rsidP="00663AA9">
      <w:pPr>
        <w:pStyle w:val="Nornal"/>
        <w:spacing w:line="276" w:lineRule="auto"/>
        <w:rPr>
          <w:color w:val="000000" w:themeColor="text1"/>
        </w:rPr>
      </w:pPr>
      <w:r w:rsidRPr="00663AA9">
        <w:rPr>
          <w:color w:val="000000" w:themeColor="text1"/>
        </w:rPr>
        <w:t xml:space="preserve">The business owners need to be wary of recruiting with this mindset. There are clear rules </w:t>
      </w:r>
      <w:r w:rsidR="00D64F55" w:rsidRPr="00663AA9">
        <w:rPr>
          <w:color w:val="000000" w:themeColor="text1"/>
        </w:rPr>
        <w:t xml:space="preserve">surrounding the recruitment and selection of employees. Primarily, certain characteristics are protected under The Equality Act 2010. This legislation looks to </w:t>
      </w:r>
      <w:r w:rsidR="009D6DD3" w:rsidRPr="00663AA9">
        <w:rPr>
          <w:color w:val="000000" w:themeColor="text1"/>
        </w:rPr>
        <w:t xml:space="preserve">provide protection for people against </w:t>
      </w:r>
      <w:r w:rsidR="00501974" w:rsidRPr="00663AA9">
        <w:rPr>
          <w:color w:val="000000" w:themeColor="text1"/>
        </w:rPr>
        <w:t>discrimination; protected characterises can include, but not limited to sex, age, disability</w:t>
      </w:r>
      <w:r w:rsidR="00C03F78" w:rsidRPr="00663AA9">
        <w:rPr>
          <w:color w:val="000000" w:themeColor="text1"/>
        </w:rPr>
        <w:t>, pregnancy</w:t>
      </w:r>
      <w:r w:rsidR="00501974" w:rsidRPr="00663AA9">
        <w:rPr>
          <w:color w:val="000000" w:themeColor="text1"/>
        </w:rPr>
        <w:t xml:space="preserve"> and religion. Organisations need to ensure that they comply with these rule</w:t>
      </w:r>
      <w:r w:rsidR="00277E02" w:rsidRPr="00663AA9">
        <w:rPr>
          <w:color w:val="000000" w:themeColor="text1"/>
        </w:rPr>
        <w:t>s, ensuring their recruitment and selection process is deemed fair.</w:t>
      </w:r>
      <w:r w:rsidR="00FE5668" w:rsidRPr="00663AA9">
        <w:rPr>
          <w:color w:val="000000" w:themeColor="text1"/>
        </w:rPr>
        <w:t xml:space="preserve"> The legislation covers employees, workers, job applicants and ex-employees.</w:t>
      </w:r>
      <w:r w:rsidR="0008759F" w:rsidRPr="00663AA9">
        <w:rPr>
          <w:color w:val="000000" w:themeColor="text1"/>
        </w:rPr>
        <w:t xml:space="preserve"> There are different types of discrimination </w:t>
      </w:r>
      <w:r w:rsidR="00031C4B" w:rsidRPr="00663AA9">
        <w:rPr>
          <w:color w:val="000000" w:themeColor="text1"/>
        </w:rPr>
        <w:t>known a</w:t>
      </w:r>
      <w:r w:rsidR="0008759F" w:rsidRPr="00663AA9">
        <w:rPr>
          <w:color w:val="000000" w:themeColor="text1"/>
        </w:rPr>
        <w:t xml:space="preserve">s direct and indirect. </w:t>
      </w:r>
      <w:r w:rsidR="0006597D" w:rsidRPr="00663AA9">
        <w:rPr>
          <w:color w:val="000000" w:themeColor="text1"/>
        </w:rPr>
        <w:t xml:space="preserve">Direct can occur when treating someone negatively directly due to their protected characteristics, while </w:t>
      </w:r>
      <w:r w:rsidR="001F0ECC" w:rsidRPr="00663AA9">
        <w:rPr>
          <w:color w:val="000000" w:themeColor="text1"/>
        </w:rPr>
        <w:t>indirect discrimination can put</w:t>
      </w:r>
      <w:r w:rsidR="00611D94" w:rsidRPr="00663AA9">
        <w:rPr>
          <w:color w:val="000000" w:themeColor="text1"/>
        </w:rPr>
        <w:t xml:space="preserve"> </w:t>
      </w:r>
      <w:r w:rsidR="00611D94" w:rsidRPr="00663AA9">
        <w:rPr>
          <w:color w:val="000000" w:themeColor="text1"/>
        </w:rPr>
        <w:lastRenderedPageBreak/>
        <w:t xml:space="preserve">someone at a disadvantage when compared to </w:t>
      </w:r>
      <w:r w:rsidR="00B31F36" w:rsidRPr="00663AA9">
        <w:rPr>
          <w:color w:val="000000" w:themeColor="text1"/>
        </w:rPr>
        <w:t>others</w:t>
      </w:r>
      <w:r w:rsidR="0067168A" w:rsidRPr="00663AA9">
        <w:rPr>
          <w:color w:val="000000" w:themeColor="text1"/>
        </w:rPr>
        <w:t xml:space="preserve">, such as asking for young people </w:t>
      </w:r>
      <w:r w:rsidR="00E25A6A" w:rsidRPr="00663AA9">
        <w:rPr>
          <w:color w:val="000000" w:themeColor="text1"/>
        </w:rPr>
        <w:t>when advertising for an entry level role</w:t>
      </w:r>
      <w:r w:rsidR="00B31F36" w:rsidRPr="00663AA9">
        <w:rPr>
          <w:color w:val="000000" w:themeColor="text1"/>
        </w:rPr>
        <w:t xml:space="preserve">. </w:t>
      </w:r>
      <w:r w:rsidR="00EB32EC" w:rsidRPr="00663AA9">
        <w:rPr>
          <w:color w:val="000000" w:themeColor="text1"/>
        </w:rPr>
        <w:t xml:space="preserve">An example of indirect discrimination can be seen in </w:t>
      </w:r>
      <w:r w:rsidR="00EB32EC" w:rsidRPr="00663AA9">
        <w:rPr>
          <w:i/>
          <w:iCs/>
          <w:color w:val="000000" w:themeColor="text1"/>
        </w:rPr>
        <w:t>The Government Legal Service v Ms T Brookes (2017) UKEAT/0302/16/RN</w:t>
      </w:r>
      <w:r w:rsidR="00294EB3" w:rsidRPr="00663AA9">
        <w:rPr>
          <w:i/>
          <w:iCs/>
          <w:color w:val="000000" w:themeColor="text1"/>
        </w:rPr>
        <w:t xml:space="preserve"> </w:t>
      </w:r>
      <w:r w:rsidR="00294EB3" w:rsidRPr="005352CF">
        <w:rPr>
          <w:color w:val="000000" w:themeColor="text1"/>
        </w:rPr>
        <w:t>whereby the recruiter failed to make reasonable adjustments.</w:t>
      </w:r>
    </w:p>
    <w:p w14:paraId="1E8D98E7" w14:textId="6DC26337" w:rsidR="001709E6" w:rsidRPr="00663AA9" w:rsidRDefault="00B31F36" w:rsidP="00663AA9">
      <w:pPr>
        <w:pStyle w:val="Nornal"/>
        <w:spacing w:line="276" w:lineRule="auto"/>
        <w:rPr>
          <w:color w:val="000000" w:themeColor="text1"/>
        </w:rPr>
      </w:pPr>
      <w:r w:rsidRPr="00663AA9">
        <w:rPr>
          <w:color w:val="000000" w:themeColor="text1"/>
        </w:rPr>
        <w:t xml:space="preserve">Recruiting a certain age group would directly contradict the </w:t>
      </w:r>
      <w:r w:rsidR="00914C37" w:rsidRPr="00663AA9">
        <w:rPr>
          <w:color w:val="000000" w:themeColor="text1"/>
        </w:rPr>
        <w:t>intentions</w:t>
      </w:r>
      <w:r w:rsidRPr="00663AA9">
        <w:rPr>
          <w:color w:val="000000" w:themeColor="text1"/>
        </w:rPr>
        <w:t xml:space="preserve"> of The Equality Act</w:t>
      </w:r>
      <w:r w:rsidR="000C6276" w:rsidRPr="00663AA9">
        <w:rPr>
          <w:color w:val="000000" w:themeColor="text1"/>
        </w:rPr>
        <w:t xml:space="preserve">. </w:t>
      </w:r>
      <w:r w:rsidR="00CC0A16">
        <w:rPr>
          <w:color w:val="000000" w:themeColor="text1"/>
        </w:rPr>
        <w:t>Job adverts</w:t>
      </w:r>
      <w:r w:rsidR="00454F0B" w:rsidRPr="00663AA9">
        <w:rPr>
          <w:color w:val="000000" w:themeColor="text1"/>
        </w:rPr>
        <w:t xml:space="preserve"> </w:t>
      </w:r>
      <w:r w:rsidR="00BE0EB6" w:rsidRPr="00663AA9">
        <w:rPr>
          <w:color w:val="000000" w:themeColor="text1"/>
        </w:rPr>
        <w:t>cannot promote certain age groups</w:t>
      </w:r>
      <w:r w:rsidR="00912FE8" w:rsidRPr="00663AA9">
        <w:rPr>
          <w:color w:val="000000" w:themeColor="text1"/>
        </w:rPr>
        <w:t>.</w:t>
      </w:r>
      <w:r w:rsidR="00454F0B" w:rsidRPr="00663AA9">
        <w:rPr>
          <w:color w:val="000000" w:themeColor="text1"/>
        </w:rPr>
        <w:t xml:space="preserve"> </w:t>
      </w:r>
      <w:r w:rsidR="008407A0" w:rsidRPr="00663AA9">
        <w:rPr>
          <w:color w:val="000000" w:themeColor="text1"/>
        </w:rPr>
        <w:t xml:space="preserve">Subsequently, the same rules apply to sex, therefore, </w:t>
      </w:r>
      <w:r w:rsidR="003C016D" w:rsidRPr="00663AA9">
        <w:rPr>
          <w:color w:val="000000" w:themeColor="text1"/>
        </w:rPr>
        <w:t>the adverts must remain gender neutral</w:t>
      </w:r>
      <w:r w:rsidR="00486300" w:rsidRPr="00663AA9">
        <w:rPr>
          <w:color w:val="000000" w:themeColor="text1"/>
        </w:rPr>
        <w:t xml:space="preserve"> </w:t>
      </w:r>
      <w:sdt>
        <w:sdtPr>
          <w:rPr>
            <w:color w:val="000000" w:themeColor="text1"/>
          </w:rPr>
          <w:id w:val="238302762"/>
          <w:citation/>
        </w:sdtPr>
        <w:sdtContent>
          <w:r w:rsidR="00486300" w:rsidRPr="00663AA9">
            <w:rPr>
              <w:color w:val="000000" w:themeColor="text1"/>
            </w:rPr>
            <w:fldChar w:fldCharType="begin"/>
          </w:r>
          <w:r w:rsidR="00486300" w:rsidRPr="00663AA9">
            <w:rPr>
              <w:color w:val="000000" w:themeColor="text1"/>
              <w:lang w:val="en-US"/>
            </w:rPr>
            <w:instrText xml:space="preserve"> CITATION ACA241 \l 1033 </w:instrText>
          </w:r>
          <w:r w:rsidR="00486300" w:rsidRPr="00663AA9">
            <w:rPr>
              <w:color w:val="000000" w:themeColor="text1"/>
            </w:rPr>
            <w:fldChar w:fldCharType="separate"/>
          </w:r>
          <w:r w:rsidR="0084748A" w:rsidRPr="0084748A">
            <w:rPr>
              <w:noProof/>
              <w:color w:val="000000" w:themeColor="text1"/>
              <w:lang w:val="en-US"/>
            </w:rPr>
            <w:t>(ACAS, 2024)</w:t>
          </w:r>
          <w:r w:rsidR="00486300" w:rsidRPr="00663AA9">
            <w:rPr>
              <w:color w:val="000000" w:themeColor="text1"/>
            </w:rPr>
            <w:fldChar w:fldCharType="end"/>
          </w:r>
        </w:sdtContent>
      </w:sdt>
      <w:r w:rsidR="003C016D" w:rsidRPr="00663AA9">
        <w:rPr>
          <w:color w:val="000000" w:themeColor="text1"/>
        </w:rPr>
        <w:t>.</w:t>
      </w:r>
      <w:r w:rsidR="007435D0" w:rsidRPr="00663AA9">
        <w:rPr>
          <w:color w:val="000000" w:themeColor="text1"/>
        </w:rPr>
        <w:t xml:space="preserve"> Further, they may find </w:t>
      </w:r>
      <w:r w:rsidR="003925CE" w:rsidRPr="00663AA9">
        <w:rPr>
          <w:color w:val="000000" w:themeColor="text1"/>
        </w:rPr>
        <w:t xml:space="preserve">discriminating against sex and pregnancy is </w:t>
      </w:r>
      <w:r w:rsidR="00C10CA3" w:rsidRPr="00663AA9">
        <w:rPr>
          <w:color w:val="000000" w:themeColor="text1"/>
        </w:rPr>
        <w:t>l</w:t>
      </w:r>
      <w:r w:rsidR="003925CE" w:rsidRPr="00663AA9">
        <w:rPr>
          <w:color w:val="000000" w:themeColor="text1"/>
        </w:rPr>
        <w:t xml:space="preserve">ikely to bring tribunal claims. </w:t>
      </w:r>
      <w:r w:rsidR="00C10CA3" w:rsidRPr="00663AA9">
        <w:rPr>
          <w:color w:val="000000" w:themeColor="text1"/>
        </w:rPr>
        <w:t>This is compounded by the intention to avoid recruiting these individuals, promoting ‘</w:t>
      </w:r>
      <w:r w:rsidR="00A52A06" w:rsidRPr="00663AA9">
        <w:rPr>
          <w:color w:val="000000" w:themeColor="text1"/>
        </w:rPr>
        <w:t>purpose</w:t>
      </w:r>
      <w:r w:rsidR="00C10CA3" w:rsidRPr="00663AA9">
        <w:rPr>
          <w:color w:val="000000" w:themeColor="text1"/>
        </w:rPr>
        <w:t xml:space="preserve"> and </w:t>
      </w:r>
      <w:r w:rsidR="00A52A06" w:rsidRPr="00663AA9">
        <w:rPr>
          <w:color w:val="000000" w:themeColor="text1"/>
        </w:rPr>
        <w:t>effect’</w:t>
      </w:r>
      <w:r w:rsidR="00C474DA" w:rsidRPr="00663AA9">
        <w:rPr>
          <w:color w:val="000000" w:themeColor="text1"/>
        </w:rPr>
        <w:t xml:space="preserve"> </w:t>
      </w:r>
      <w:sdt>
        <w:sdtPr>
          <w:rPr>
            <w:color w:val="000000" w:themeColor="text1"/>
          </w:rPr>
          <w:id w:val="1775903784"/>
          <w:citation/>
        </w:sdtPr>
        <w:sdtContent>
          <w:r w:rsidR="00C474DA" w:rsidRPr="00663AA9">
            <w:rPr>
              <w:color w:val="000000" w:themeColor="text1"/>
            </w:rPr>
            <w:fldChar w:fldCharType="begin"/>
          </w:r>
          <w:r w:rsidR="00C474DA" w:rsidRPr="00663AA9">
            <w:rPr>
              <w:color w:val="000000" w:themeColor="text1"/>
              <w:lang w:val="en-US"/>
            </w:rPr>
            <w:instrText xml:space="preserve"> CITATION Cit24 \l 1033 </w:instrText>
          </w:r>
          <w:r w:rsidR="00C474DA" w:rsidRPr="00663AA9">
            <w:rPr>
              <w:color w:val="000000" w:themeColor="text1"/>
            </w:rPr>
            <w:fldChar w:fldCharType="separate"/>
          </w:r>
          <w:r w:rsidR="0084748A" w:rsidRPr="0084748A">
            <w:rPr>
              <w:noProof/>
              <w:color w:val="000000" w:themeColor="text1"/>
              <w:lang w:val="en-US"/>
            </w:rPr>
            <w:t>(Citizens Advice, 2024)</w:t>
          </w:r>
          <w:r w:rsidR="00C474DA" w:rsidRPr="00663AA9">
            <w:rPr>
              <w:color w:val="000000" w:themeColor="text1"/>
            </w:rPr>
            <w:fldChar w:fldCharType="end"/>
          </w:r>
        </w:sdtContent>
      </w:sdt>
      <w:r w:rsidR="00A52A06" w:rsidRPr="00663AA9">
        <w:rPr>
          <w:color w:val="000000" w:themeColor="text1"/>
        </w:rPr>
        <w:t xml:space="preserve">. </w:t>
      </w:r>
      <w:r w:rsidR="00BB506B" w:rsidRPr="00663AA9">
        <w:rPr>
          <w:color w:val="000000" w:themeColor="text1"/>
        </w:rPr>
        <w:t>However, employers can promote a certain protected characteristic, known as positive action</w:t>
      </w:r>
      <w:r w:rsidR="00790C2D" w:rsidRPr="00663AA9">
        <w:rPr>
          <w:color w:val="000000" w:themeColor="text1"/>
        </w:rPr>
        <w:t>, as seen in</w:t>
      </w:r>
      <w:r w:rsidR="0056271F" w:rsidRPr="00663AA9">
        <w:rPr>
          <w:color w:val="000000" w:themeColor="text1"/>
        </w:rPr>
        <w:t xml:space="preserve"> </w:t>
      </w:r>
      <w:r w:rsidR="0056271F" w:rsidRPr="00663AA9">
        <w:rPr>
          <w:i/>
          <w:iCs/>
          <w:color w:val="000000" w:themeColor="text1"/>
        </w:rPr>
        <w:t>Mr M Furlong v The Chief Constable of Cheshire Police (2018)</w:t>
      </w:r>
      <w:r w:rsidR="0056271F" w:rsidRPr="00663AA9">
        <w:rPr>
          <w:color w:val="000000" w:themeColor="text1"/>
        </w:rPr>
        <w:t xml:space="preserve">. </w:t>
      </w:r>
      <w:r w:rsidR="00813459" w:rsidRPr="00663AA9">
        <w:rPr>
          <w:color w:val="000000" w:themeColor="text1"/>
        </w:rPr>
        <w:t>However,</w:t>
      </w:r>
      <w:r w:rsidR="00650311" w:rsidRPr="00663AA9">
        <w:rPr>
          <w:color w:val="000000" w:themeColor="text1"/>
        </w:rPr>
        <w:t xml:space="preserve"> this cannot </w:t>
      </w:r>
      <w:r w:rsidR="00DF36D8" w:rsidRPr="00663AA9">
        <w:rPr>
          <w:color w:val="000000" w:themeColor="text1"/>
        </w:rPr>
        <w:t>influence</w:t>
      </w:r>
      <w:r w:rsidR="00650311" w:rsidRPr="00663AA9">
        <w:rPr>
          <w:color w:val="000000" w:themeColor="text1"/>
        </w:rPr>
        <w:t xml:space="preserve"> how the person is selected. For example, inviting </w:t>
      </w:r>
      <w:r w:rsidR="00F32275" w:rsidRPr="00663AA9">
        <w:rPr>
          <w:color w:val="000000" w:themeColor="text1"/>
        </w:rPr>
        <w:t xml:space="preserve">a higher percentage of </w:t>
      </w:r>
      <w:r w:rsidR="00A52A06" w:rsidRPr="00663AA9">
        <w:rPr>
          <w:color w:val="000000" w:themeColor="text1"/>
        </w:rPr>
        <w:t>females</w:t>
      </w:r>
      <w:r w:rsidR="00F32275" w:rsidRPr="00663AA9">
        <w:rPr>
          <w:color w:val="000000" w:themeColor="text1"/>
        </w:rPr>
        <w:t xml:space="preserve"> into an interview to promote gender equality in a male dominant career, </w:t>
      </w:r>
      <w:r w:rsidR="00AE761F" w:rsidRPr="00663AA9">
        <w:rPr>
          <w:color w:val="000000" w:themeColor="text1"/>
        </w:rPr>
        <w:t>but</w:t>
      </w:r>
      <w:r w:rsidR="00F32275" w:rsidRPr="00663AA9">
        <w:rPr>
          <w:color w:val="000000" w:themeColor="text1"/>
        </w:rPr>
        <w:t xml:space="preserve"> the successful person cannot be selected based upon their gender.</w:t>
      </w:r>
      <w:r w:rsidR="00F62F25" w:rsidRPr="00663AA9">
        <w:rPr>
          <w:color w:val="000000" w:themeColor="text1"/>
        </w:rPr>
        <w:t xml:space="preserve"> The use of selection </w:t>
      </w:r>
      <w:r w:rsidR="00A52A06" w:rsidRPr="00663AA9">
        <w:rPr>
          <w:color w:val="000000" w:themeColor="text1"/>
        </w:rPr>
        <w:t>criteria’s</w:t>
      </w:r>
      <w:r w:rsidR="00F62F25" w:rsidRPr="00663AA9">
        <w:rPr>
          <w:color w:val="000000" w:themeColor="text1"/>
        </w:rPr>
        <w:t xml:space="preserve"> </w:t>
      </w:r>
      <w:r w:rsidR="00AE761F" w:rsidRPr="00663AA9">
        <w:rPr>
          <w:color w:val="000000" w:themeColor="text1"/>
        </w:rPr>
        <w:t>helps</w:t>
      </w:r>
      <w:r w:rsidR="00F62F25" w:rsidRPr="00663AA9">
        <w:rPr>
          <w:color w:val="000000" w:themeColor="text1"/>
        </w:rPr>
        <w:t xml:space="preserve"> to reduce the likelihood of inequality and cognitive bias. </w:t>
      </w:r>
      <w:r w:rsidR="00CE4CE8" w:rsidRPr="00663AA9">
        <w:rPr>
          <w:color w:val="000000" w:themeColor="text1"/>
        </w:rPr>
        <w:t>Utilising assessment tools like interview scoring helps to identify the best fit</w:t>
      </w:r>
      <w:r w:rsidR="00846A9C" w:rsidRPr="00663AA9">
        <w:rPr>
          <w:color w:val="000000" w:themeColor="text1"/>
        </w:rPr>
        <w:t xml:space="preserve">, excluding any characteristics they may have. </w:t>
      </w:r>
      <w:r w:rsidR="00EE3A2C" w:rsidRPr="00663AA9">
        <w:rPr>
          <w:color w:val="000000" w:themeColor="text1"/>
        </w:rPr>
        <w:t xml:space="preserve">Successful claims for </w:t>
      </w:r>
      <w:r w:rsidR="00A52A06" w:rsidRPr="00663AA9">
        <w:rPr>
          <w:color w:val="000000" w:themeColor="text1"/>
        </w:rPr>
        <w:t>discrimination</w:t>
      </w:r>
      <w:r w:rsidR="00EE3A2C" w:rsidRPr="00663AA9">
        <w:rPr>
          <w:color w:val="000000" w:themeColor="text1"/>
        </w:rPr>
        <w:t xml:space="preserve"> can include reward relating to; loss of </w:t>
      </w:r>
      <w:r w:rsidR="00A52A06" w:rsidRPr="00663AA9">
        <w:rPr>
          <w:color w:val="000000" w:themeColor="text1"/>
        </w:rPr>
        <w:t>net pay of the role, expenses, and pension contributions</w:t>
      </w:r>
      <w:r w:rsidR="00477599" w:rsidRPr="00663AA9">
        <w:rPr>
          <w:color w:val="000000" w:themeColor="text1"/>
        </w:rPr>
        <w:t xml:space="preserve"> </w:t>
      </w:r>
      <w:sdt>
        <w:sdtPr>
          <w:rPr>
            <w:color w:val="000000" w:themeColor="text1"/>
          </w:rPr>
          <w:id w:val="-1668853364"/>
          <w:citation/>
        </w:sdtPr>
        <w:sdtContent>
          <w:r w:rsidR="00477599" w:rsidRPr="00663AA9">
            <w:rPr>
              <w:color w:val="000000" w:themeColor="text1"/>
            </w:rPr>
            <w:fldChar w:fldCharType="begin"/>
          </w:r>
          <w:r w:rsidR="00477599" w:rsidRPr="00663AA9">
            <w:rPr>
              <w:color w:val="000000" w:themeColor="text1"/>
              <w:lang w:val="en-US"/>
            </w:rPr>
            <w:instrText xml:space="preserve"> CITATION ACA242 \l 1033 </w:instrText>
          </w:r>
          <w:r w:rsidR="00477599" w:rsidRPr="00663AA9">
            <w:rPr>
              <w:color w:val="000000" w:themeColor="text1"/>
            </w:rPr>
            <w:fldChar w:fldCharType="separate"/>
          </w:r>
          <w:r w:rsidR="0084748A" w:rsidRPr="0084748A">
            <w:rPr>
              <w:noProof/>
              <w:color w:val="000000" w:themeColor="text1"/>
              <w:lang w:val="en-US"/>
            </w:rPr>
            <w:t>(ACAS, 2024)</w:t>
          </w:r>
          <w:r w:rsidR="00477599" w:rsidRPr="00663AA9">
            <w:rPr>
              <w:color w:val="000000" w:themeColor="text1"/>
            </w:rPr>
            <w:fldChar w:fldCharType="end"/>
          </w:r>
        </w:sdtContent>
      </w:sdt>
      <w:r w:rsidR="00477599" w:rsidRPr="00663AA9">
        <w:rPr>
          <w:color w:val="000000" w:themeColor="text1"/>
        </w:rPr>
        <w:t>.</w:t>
      </w:r>
    </w:p>
    <w:p w14:paraId="315A01F1" w14:textId="0283EB7B" w:rsidR="00A75E31" w:rsidRPr="00663AA9" w:rsidRDefault="00A75E31" w:rsidP="00663AA9">
      <w:pPr>
        <w:pStyle w:val="Nornal"/>
        <w:spacing w:line="276" w:lineRule="auto"/>
        <w:rPr>
          <w:color w:val="000000" w:themeColor="text1"/>
        </w:rPr>
      </w:pPr>
      <w:r w:rsidRPr="00663AA9">
        <w:rPr>
          <w:color w:val="000000" w:themeColor="text1"/>
        </w:rPr>
        <w:t xml:space="preserve"> (AC 2.2)</w:t>
      </w:r>
    </w:p>
    <w:p w14:paraId="4D1E0F2D" w14:textId="2A100AF4" w:rsidR="000B3C16" w:rsidRPr="00663AA9" w:rsidRDefault="00CA71C4" w:rsidP="00663AA9">
      <w:pPr>
        <w:pStyle w:val="Nornal"/>
        <w:spacing w:line="276" w:lineRule="auto"/>
        <w:rPr>
          <w:color w:val="000000" w:themeColor="text1"/>
        </w:rPr>
      </w:pPr>
      <w:r w:rsidRPr="00663AA9">
        <w:rPr>
          <w:color w:val="000000" w:themeColor="text1"/>
        </w:rPr>
        <w:t xml:space="preserve">Equal pay </w:t>
      </w:r>
      <w:r w:rsidR="00C432C4" w:rsidRPr="00663AA9">
        <w:rPr>
          <w:color w:val="000000" w:themeColor="text1"/>
        </w:rPr>
        <w:t xml:space="preserve">is the law providing protection for workers </w:t>
      </w:r>
      <w:r w:rsidR="00955DA7" w:rsidRPr="00663AA9">
        <w:rPr>
          <w:color w:val="000000" w:themeColor="text1"/>
        </w:rPr>
        <w:t xml:space="preserve">to be paid the same across male and female. This is relevant where there are two workers </w:t>
      </w:r>
      <w:r w:rsidR="00772E31" w:rsidRPr="00663AA9">
        <w:rPr>
          <w:color w:val="000000" w:themeColor="text1"/>
        </w:rPr>
        <w:t>who can be identified</w:t>
      </w:r>
      <w:r w:rsidR="00555906" w:rsidRPr="00663AA9">
        <w:rPr>
          <w:color w:val="000000" w:themeColor="text1"/>
        </w:rPr>
        <w:t xml:space="preserve"> in three ways</w:t>
      </w:r>
      <w:r w:rsidR="006D2265" w:rsidRPr="00663AA9">
        <w:rPr>
          <w:color w:val="000000" w:themeColor="text1"/>
        </w:rPr>
        <w:t>;</w:t>
      </w:r>
      <w:r w:rsidR="00034BAC" w:rsidRPr="00663AA9">
        <w:rPr>
          <w:color w:val="000000" w:themeColor="text1"/>
        </w:rPr>
        <w:t xml:space="preserve"> </w:t>
      </w:r>
      <w:r w:rsidR="006D2265" w:rsidRPr="00663AA9">
        <w:rPr>
          <w:color w:val="000000" w:themeColor="text1"/>
        </w:rPr>
        <w:t xml:space="preserve">like work, </w:t>
      </w:r>
      <w:r w:rsidR="000B3C16" w:rsidRPr="00663AA9">
        <w:rPr>
          <w:color w:val="000000" w:themeColor="text1"/>
        </w:rPr>
        <w:t>work rated equal and equal value</w:t>
      </w:r>
      <w:r w:rsidR="00555906" w:rsidRPr="00663AA9">
        <w:rPr>
          <w:color w:val="000000" w:themeColor="text1"/>
        </w:rPr>
        <w:t xml:space="preserve">. </w:t>
      </w:r>
    </w:p>
    <w:p w14:paraId="6E41F73C" w14:textId="4F956B64" w:rsidR="00357FFE" w:rsidRPr="00663AA9" w:rsidRDefault="00555906" w:rsidP="00663AA9">
      <w:pPr>
        <w:pStyle w:val="Nornal"/>
        <w:spacing w:line="276" w:lineRule="auto"/>
        <w:rPr>
          <w:color w:val="000000" w:themeColor="text1"/>
        </w:rPr>
      </w:pPr>
      <w:r w:rsidRPr="00663AA9">
        <w:rPr>
          <w:color w:val="000000" w:themeColor="text1"/>
        </w:rPr>
        <w:t>Firstly,</w:t>
      </w:r>
      <w:r w:rsidR="00772E31" w:rsidRPr="00663AA9">
        <w:rPr>
          <w:color w:val="000000" w:themeColor="text1"/>
        </w:rPr>
        <w:t xml:space="preserve"> </w:t>
      </w:r>
      <w:r w:rsidR="006A724F" w:rsidRPr="00663AA9">
        <w:rPr>
          <w:color w:val="000000" w:themeColor="text1"/>
        </w:rPr>
        <w:t xml:space="preserve">like </w:t>
      </w:r>
      <w:r w:rsidR="00647C96" w:rsidRPr="00663AA9">
        <w:rPr>
          <w:color w:val="000000" w:themeColor="text1"/>
        </w:rPr>
        <w:t>work, this</w:t>
      </w:r>
      <w:r w:rsidR="006A724F" w:rsidRPr="00663AA9">
        <w:rPr>
          <w:color w:val="000000" w:themeColor="text1"/>
        </w:rPr>
        <w:t xml:space="preserve"> is where employees are in </w:t>
      </w:r>
      <w:r w:rsidRPr="00663AA9">
        <w:rPr>
          <w:color w:val="000000" w:themeColor="text1"/>
        </w:rPr>
        <w:t>the same or similar job roles</w:t>
      </w:r>
      <w:r w:rsidR="00750A07" w:rsidRPr="00663AA9">
        <w:rPr>
          <w:color w:val="000000" w:themeColor="text1"/>
        </w:rPr>
        <w:t xml:space="preserve">, whereby the differences </w:t>
      </w:r>
      <w:r w:rsidR="0031685E" w:rsidRPr="00663AA9">
        <w:rPr>
          <w:color w:val="000000" w:themeColor="text1"/>
        </w:rPr>
        <w:t>must have little implications within practical employment.</w:t>
      </w:r>
      <w:r w:rsidRPr="00663AA9">
        <w:rPr>
          <w:color w:val="000000" w:themeColor="text1"/>
        </w:rPr>
        <w:t xml:space="preserve"> </w:t>
      </w:r>
      <w:r w:rsidR="00142A86" w:rsidRPr="00663AA9">
        <w:rPr>
          <w:color w:val="000000" w:themeColor="text1"/>
        </w:rPr>
        <w:t xml:space="preserve">As seen in </w:t>
      </w:r>
      <w:r w:rsidR="00142A86" w:rsidRPr="00663AA9">
        <w:rPr>
          <w:i/>
          <w:iCs/>
          <w:color w:val="000000" w:themeColor="text1"/>
          <w:shd w:val="clear" w:color="auto" w:fill="FFFFFF"/>
        </w:rPr>
        <w:t>Hatch v Wadham Stringer Commercials (Ashford) Ltd (1977)</w:t>
      </w:r>
      <w:r w:rsidR="00142A86" w:rsidRPr="00663AA9">
        <w:rPr>
          <w:color w:val="000000" w:themeColor="text1"/>
          <w:shd w:val="clear" w:color="auto" w:fill="FFFFFF"/>
        </w:rPr>
        <w:t xml:space="preserve">, whereby </w:t>
      </w:r>
      <w:r w:rsidR="00750A07" w:rsidRPr="00663AA9">
        <w:rPr>
          <w:color w:val="000000" w:themeColor="text1"/>
          <w:shd w:val="clear" w:color="auto" w:fill="FFFFFF"/>
        </w:rPr>
        <w:t>similar work can include variation in shifts and hours.</w:t>
      </w:r>
    </w:p>
    <w:p w14:paraId="43AA8955" w14:textId="5B7516FC" w:rsidR="00357FFE" w:rsidRPr="00663AA9" w:rsidRDefault="00555906" w:rsidP="00663AA9">
      <w:pPr>
        <w:pStyle w:val="Nornal"/>
        <w:spacing w:line="276" w:lineRule="auto"/>
        <w:rPr>
          <w:color w:val="000000" w:themeColor="text1"/>
        </w:rPr>
      </w:pPr>
      <w:r w:rsidRPr="00663AA9">
        <w:rPr>
          <w:color w:val="000000" w:themeColor="text1"/>
        </w:rPr>
        <w:t xml:space="preserve">Secondly, </w:t>
      </w:r>
      <w:r w:rsidR="00545210" w:rsidRPr="00663AA9">
        <w:rPr>
          <w:color w:val="000000" w:themeColor="text1"/>
        </w:rPr>
        <w:t xml:space="preserve">roles which have been identified as equivalent through </w:t>
      </w:r>
      <w:r w:rsidR="00377F46" w:rsidRPr="00663AA9">
        <w:rPr>
          <w:color w:val="000000" w:themeColor="text1"/>
        </w:rPr>
        <w:t xml:space="preserve">a job evaluation study. </w:t>
      </w:r>
      <w:r w:rsidR="00FF0B43" w:rsidRPr="00663AA9">
        <w:rPr>
          <w:color w:val="000000" w:themeColor="text1"/>
        </w:rPr>
        <w:t xml:space="preserve">There are 5 main </w:t>
      </w:r>
      <w:r w:rsidR="00A60EC8" w:rsidRPr="00663AA9">
        <w:rPr>
          <w:color w:val="000000" w:themeColor="text1"/>
        </w:rPr>
        <w:t xml:space="preserve">methods of job </w:t>
      </w:r>
      <w:r w:rsidR="00813459" w:rsidRPr="00663AA9">
        <w:rPr>
          <w:color w:val="000000" w:themeColor="text1"/>
        </w:rPr>
        <w:t>evaluation:</w:t>
      </w:r>
      <w:r w:rsidR="00A60EC8" w:rsidRPr="00663AA9">
        <w:rPr>
          <w:color w:val="000000" w:themeColor="text1"/>
        </w:rPr>
        <w:t xml:space="preserve"> Points of assessment, factor comparison, job ranking, paired comparison and job classification</w:t>
      </w:r>
      <w:r w:rsidR="00F546BE" w:rsidRPr="00663AA9">
        <w:rPr>
          <w:color w:val="000000" w:themeColor="text1"/>
        </w:rPr>
        <w:t xml:space="preserve"> </w:t>
      </w:r>
      <w:sdt>
        <w:sdtPr>
          <w:rPr>
            <w:color w:val="000000" w:themeColor="text1"/>
          </w:rPr>
          <w:id w:val="1992209942"/>
          <w:citation/>
        </w:sdtPr>
        <w:sdtContent>
          <w:r w:rsidR="00F546BE" w:rsidRPr="00663AA9">
            <w:rPr>
              <w:color w:val="000000" w:themeColor="text1"/>
            </w:rPr>
            <w:fldChar w:fldCharType="begin"/>
          </w:r>
          <w:r w:rsidR="00F546BE" w:rsidRPr="00663AA9">
            <w:rPr>
              <w:color w:val="000000" w:themeColor="text1"/>
              <w:lang w:val="en-US"/>
            </w:rPr>
            <w:instrText xml:space="preserve"> CITATION CIP243 \l 1033 </w:instrText>
          </w:r>
          <w:r w:rsidR="00F546BE" w:rsidRPr="00663AA9">
            <w:rPr>
              <w:color w:val="000000" w:themeColor="text1"/>
            </w:rPr>
            <w:fldChar w:fldCharType="separate"/>
          </w:r>
          <w:r w:rsidR="0084748A" w:rsidRPr="0084748A">
            <w:rPr>
              <w:noProof/>
              <w:color w:val="000000" w:themeColor="text1"/>
              <w:lang w:val="en-US"/>
            </w:rPr>
            <w:t>(CIPD, 2024)</w:t>
          </w:r>
          <w:r w:rsidR="00F546BE" w:rsidRPr="00663AA9">
            <w:rPr>
              <w:color w:val="000000" w:themeColor="text1"/>
            </w:rPr>
            <w:fldChar w:fldCharType="end"/>
          </w:r>
        </w:sdtContent>
      </w:sdt>
      <w:r w:rsidR="003353EB" w:rsidRPr="00663AA9">
        <w:rPr>
          <w:color w:val="000000" w:themeColor="text1"/>
        </w:rPr>
        <w:t>.</w:t>
      </w:r>
    </w:p>
    <w:p w14:paraId="37AE5F82" w14:textId="77777777" w:rsidR="0031685E" w:rsidRPr="00663AA9" w:rsidRDefault="00377F46" w:rsidP="00663AA9">
      <w:pPr>
        <w:pStyle w:val="Nornal"/>
        <w:spacing w:line="276" w:lineRule="auto"/>
        <w:rPr>
          <w:color w:val="000000" w:themeColor="text1"/>
        </w:rPr>
      </w:pPr>
      <w:r w:rsidRPr="00663AA9">
        <w:rPr>
          <w:color w:val="000000" w:themeColor="text1"/>
        </w:rPr>
        <w:t xml:space="preserve">Thirdly, where the role requires the same level of skill and ability, so produces work of equal value. </w:t>
      </w:r>
    </w:p>
    <w:p w14:paraId="17FFCE49" w14:textId="79CBCC08" w:rsidR="00CA71C4" w:rsidRPr="00663AA9" w:rsidRDefault="00986936" w:rsidP="00663AA9">
      <w:pPr>
        <w:pStyle w:val="Nornal"/>
        <w:spacing w:line="276" w:lineRule="auto"/>
        <w:rPr>
          <w:color w:val="000000" w:themeColor="text1"/>
        </w:rPr>
      </w:pPr>
      <w:r w:rsidRPr="00663AA9">
        <w:rPr>
          <w:color w:val="000000" w:themeColor="text1"/>
        </w:rPr>
        <w:t xml:space="preserve">There are </w:t>
      </w:r>
      <w:r w:rsidR="00F4224C">
        <w:rPr>
          <w:color w:val="000000" w:themeColor="text1"/>
        </w:rPr>
        <w:t xml:space="preserve">several </w:t>
      </w:r>
      <w:r w:rsidRPr="00663AA9">
        <w:rPr>
          <w:color w:val="000000" w:themeColor="text1"/>
        </w:rPr>
        <w:t xml:space="preserve">factors within Charlotte’s scenario which could </w:t>
      </w:r>
      <w:r w:rsidR="00813459" w:rsidRPr="00663AA9">
        <w:rPr>
          <w:color w:val="000000" w:themeColor="text1"/>
        </w:rPr>
        <w:t>affect</w:t>
      </w:r>
      <w:r w:rsidRPr="00663AA9">
        <w:rPr>
          <w:color w:val="000000" w:themeColor="text1"/>
        </w:rPr>
        <w:t xml:space="preserve"> the right for Cat to </w:t>
      </w:r>
      <w:r w:rsidR="00604A41" w:rsidRPr="00663AA9">
        <w:rPr>
          <w:color w:val="000000" w:themeColor="text1"/>
        </w:rPr>
        <w:t xml:space="preserve">make a claim. Firstly, it does appear that Cat and the other manager have similar job </w:t>
      </w:r>
      <w:r w:rsidR="00084351" w:rsidRPr="00663AA9">
        <w:rPr>
          <w:color w:val="000000" w:themeColor="text1"/>
        </w:rPr>
        <w:t xml:space="preserve">roles, so that it may be difficult to refuse Cat’s salary increment. </w:t>
      </w:r>
      <w:r w:rsidR="00C25D0D" w:rsidRPr="00663AA9">
        <w:rPr>
          <w:color w:val="000000" w:themeColor="text1"/>
        </w:rPr>
        <w:t xml:space="preserve">However, the second and third </w:t>
      </w:r>
      <w:r w:rsidR="00BD1CBF" w:rsidRPr="00663AA9">
        <w:rPr>
          <w:color w:val="000000" w:themeColor="text1"/>
        </w:rPr>
        <w:t>factors</w:t>
      </w:r>
      <w:r w:rsidR="00C25D0D" w:rsidRPr="00663AA9">
        <w:rPr>
          <w:color w:val="000000" w:themeColor="text1"/>
        </w:rPr>
        <w:t xml:space="preserve"> rely on the roles themselves. For example, are they managing different size</w:t>
      </w:r>
      <w:r w:rsidR="00587DC6" w:rsidRPr="00663AA9">
        <w:rPr>
          <w:color w:val="000000" w:themeColor="text1"/>
        </w:rPr>
        <w:t xml:space="preserve">d </w:t>
      </w:r>
      <w:r w:rsidR="00BD1CBF" w:rsidRPr="00663AA9">
        <w:rPr>
          <w:color w:val="000000" w:themeColor="text1"/>
        </w:rPr>
        <w:t>restaurants</w:t>
      </w:r>
      <w:r w:rsidR="00587DC6" w:rsidRPr="00663AA9">
        <w:rPr>
          <w:color w:val="000000" w:themeColor="text1"/>
        </w:rPr>
        <w:t>, with additional staff members and customers to manage.</w:t>
      </w:r>
      <w:r w:rsidR="00045782" w:rsidRPr="00663AA9">
        <w:rPr>
          <w:color w:val="000000" w:themeColor="text1"/>
        </w:rPr>
        <w:t xml:space="preserve"> Further, there could be other material factors such as qualifications and experience.</w:t>
      </w:r>
      <w:r w:rsidR="009B3C59" w:rsidRPr="00663AA9">
        <w:rPr>
          <w:color w:val="000000" w:themeColor="text1"/>
        </w:rPr>
        <w:t xml:space="preserve"> Under this scenario, it would be advantageous to </w:t>
      </w:r>
      <w:r w:rsidR="00F00D68" w:rsidRPr="00663AA9">
        <w:rPr>
          <w:color w:val="000000" w:themeColor="text1"/>
        </w:rPr>
        <w:t xml:space="preserve">find out the reasons behind why Charlotte had refused the pay increment, and whether it </w:t>
      </w:r>
      <w:r w:rsidR="00BD490C" w:rsidRPr="00663AA9">
        <w:rPr>
          <w:color w:val="000000" w:themeColor="text1"/>
        </w:rPr>
        <w:t xml:space="preserve">was due to any material reason, or due to discrimination. It would be advisable in this regard to carry out a full job evaluation </w:t>
      </w:r>
      <w:r w:rsidR="00132A0A" w:rsidRPr="00663AA9">
        <w:rPr>
          <w:color w:val="000000" w:themeColor="text1"/>
        </w:rPr>
        <w:t xml:space="preserve">across all managers </w:t>
      </w:r>
      <w:r w:rsidR="00C10824" w:rsidRPr="00663AA9">
        <w:rPr>
          <w:color w:val="000000" w:themeColor="text1"/>
        </w:rPr>
        <w:t xml:space="preserve">to create </w:t>
      </w:r>
      <w:r w:rsidR="003740BE" w:rsidRPr="00663AA9">
        <w:rPr>
          <w:color w:val="000000" w:themeColor="text1"/>
        </w:rPr>
        <w:t>uniformity</w:t>
      </w:r>
      <w:r w:rsidR="00C10824" w:rsidRPr="00663AA9">
        <w:rPr>
          <w:color w:val="000000" w:themeColor="text1"/>
        </w:rPr>
        <w:t xml:space="preserve"> and provide clarity on any discrepancies.</w:t>
      </w:r>
      <w:r w:rsidR="00FC0753" w:rsidRPr="00663AA9">
        <w:rPr>
          <w:color w:val="000000" w:themeColor="text1"/>
        </w:rPr>
        <w:t xml:space="preserve"> Additionally, a cross evaluation of</w:t>
      </w:r>
      <w:r w:rsidR="003740BE" w:rsidRPr="00663AA9">
        <w:rPr>
          <w:color w:val="000000" w:themeColor="text1"/>
        </w:rPr>
        <w:t xml:space="preserve"> the manager salaries across</w:t>
      </w:r>
      <w:r w:rsidR="00FC0753" w:rsidRPr="00663AA9">
        <w:rPr>
          <w:color w:val="000000" w:themeColor="text1"/>
        </w:rPr>
        <w:t xml:space="preserve"> all ten outlets would be advantages to verify any discrepancies to </w:t>
      </w:r>
      <w:r w:rsidR="003740BE" w:rsidRPr="00663AA9">
        <w:rPr>
          <w:color w:val="000000" w:themeColor="text1"/>
        </w:rPr>
        <w:t xml:space="preserve">help defend any equal pay claims. </w:t>
      </w:r>
      <w:r w:rsidR="008D26BD" w:rsidRPr="00663AA9">
        <w:rPr>
          <w:color w:val="000000" w:themeColor="text1"/>
        </w:rPr>
        <w:t xml:space="preserve">Nonetheless, </w:t>
      </w:r>
      <w:r w:rsidR="008C7853" w:rsidRPr="00663AA9">
        <w:rPr>
          <w:color w:val="000000" w:themeColor="text1"/>
        </w:rPr>
        <w:t>communication</w:t>
      </w:r>
      <w:r w:rsidR="008D26BD" w:rsidRPr="00663AA9">
        <w:rPr>
          <w:color w:val="000000" w:themeColor="text1"/>
        </w:rPr>
        <w:t xml:space="preserve"> is key in this scenario so </w:t>
      </w:r>
      <w:r w:rsidR="00897E7E" w:rsidRPr="00663AA9">
        <w:rPr>
          <w:color w:val="000000" w:themeColor="text1"/>
        </w:rPr>
        <w:lastRenderedPageBreak/>
        <w:t xml:space="preserve">that Cat can understand the reasons, as they may be genuine. </w:t>
      </w:r>
      <w:r w:rsidR="00AF59F3" w:rsidRPr="00663AA9">
        <w:rPr>
          <w:color w:val="000000" w:themeColor="text1"/>
        </w:rPr>
        <w:t>Refusal</w:t>
      </w:r>
      <w:r w:rsidR="00897E7E" w:rsidRPr="00663AA9">
        <w:rPr>
          <w:color w:val="000000" w:themeColor="text1"/>
        </w:rPr>
        <w:t xml:space="preserve"> without explanation leaves </w:t>
      </w:r>
      <w:r w:rsidR="00D13CD4" w:rsidRPr="00663AA9">
        <w:rPr>
          <w:color w:val="000000" w:themeColor="text1"/>
        </w:rPr>
        <w:t xml:space="preserve">Charlotte’s decision open to interpretation, and potentially </w:t>
      </w:r>
      <w:r w:rsidR="00AF59F3" w:rsidRPr="00663AA9">
        <w:rPr>
          <w:color w:val="000000" w:themeColor="text1"/>
        </w:rPr>
        <w:t>a wrongful conclusion.</w:t>
      </w:r>
      <w:r w:rsidR="00DB6618" w:rsidRPr="00663AA9">
        <w:rPr>
          <w:color w:val="000000" w:themeColor="text1"/>
        </w:rPr>
        <w:t xml:space="preserve"> Ultimately, this may lead to </w:t>
      </w:r>
      <w:r w:rsidR="000524A4" w:rsidRPr="00663AA9">
        <w:rPr>
          <w:color w:val="000000" w:themeColor="text1"/>
        </w:rPr>
        <w:t>a claim of sex discrimination</w:t>
      </w:r>
      <w:r w:rsidR="00AC3454" w:rsidRPr="00663AA9">
        <w:rPr>
          <w:color w:val="000000" w:themeColor="text1"/>
        </w:rPr>
        <w:t xml:space="preserve">, </w:t>
      </w:r>
      <w:r w:rsidR="00070EBA" w:rsidRPr="00663AA9">
        <w:rPr>
          <w:color w:val="000000" w:themeColor="text1"/>
        </w:rPr>
        <w:t xml:space="preserve">which can result in a reward in back pay, as seen in an extreme version of </w:t>
      </w:r>
      <w:r w:rsidR="00070EBA" w:rsidRPr="00663AA9">
        <w:rPr>
          <w:i/>
          <w:iCs/>
          <w:color w:val="000000" w:themeColor="text1"/>
        </w:rPr>
        <w:t>Birmingham City Council V Adbulla and others</w:t>
      </w:r>
      <w:r w:rsidR="006F245A" w:rsidRPr="00663AA9">
        <w:rPr>
          <w:i/>
          <w:iCs/>
          <w:color w:val="000000" w:themeColor="text1"/>
        </w:rPr>
        <w:t xml:space="preserve"> </w:t>
      </w:r>
      <w:r w:rsidR="00101E69" w:rsidRPr="00663AA9">
        <w:rPr>
          <w:i/>
          <w:iCs/>
          <w:color w:val="000000" w:themeColor="text1"/>
        </w:rPr>
        <w:t>(</w:t>
      </w:r>
      <w:r w:rsidR="006F245A" w:rsidRPr="00663AA9">
        <w:rPr>
          <w:i/>
          <w:iCs/>
          <w:color w:val="000000" w:themeColor="text1"/>
        </w:rPr>
        <w:t>2012</w:t>
      </w:r>
      <w:r w:rsidR="00101E69" w:rsidRPr="00663AA9">
        <w:rPr>
          <w:i/>
          <w:iCs/>
          <w:color w:val="000000" w:themeColor="text1"/>
        </w:rPr>
        <w:t>)</w:t>
      </w:r>
      <w:r w:rsidR="006F245A" w:rsidRPr="00663AA9">
        <w:rPr>
          <w:color w:val="000000" w:themeColor="text1"/>
        </w:rPr>
        <w:t xml:space="preserve">, whereby </w:t>
      </w:r>
      <w:r w:rsidR="00101E69" w:rsidRPr="00663AA9">
        <w:rPr>
          <w:color w:val="000000" w:themeColor="text1"/>
        </w:rPr>
        <w:t xml:space="preserve">systemic </w:t>
      </w:r>
      <w:r w:rsidR="00C0499F" w:rsidRPr="00663AA9">
        <w:rPr>
          <w:color w:val="000000" w:themeColor="text1"/>
        </w:rPr>
        <w:t xml:space="preserve">pay inequality </w:t>
      </w:r>
      <w:r w:rsidR="00DE0ACC" w:rsidRPr="00663AA9">
        <w:rPr>
          <w:color w:val="000000" w:themeColor="text1"/>
        </w:rPr>
        <w:t>led</w:t>
      </w:r>
      <w:r w:rsidR="00C0499F" w:rsidRPr="00663AA9">
        <w:rPr>
          <w:color w:val="000000" w:themeColor="text1"/>
        </w:rPr>
        <w:t xml:space="preserve"> to </w:t>
      </w:r>
      <w:r w:rsidR="006F245A" w:rsidRPr="00663AA9">
        <w:rPr>
          <w:color w:val="000000" w:themeColor="text1"/>
        </w:rPr>
        <w:t>the reward bankrupt</w:t>
      </w:r>
      <w:r w:rsidR="00C0499F" w:rsidRPr="00663AA9">
        <w:rPr>
          <w:color w:val="000000" w:themeColor="text1"/>
        </w:rPr>
        <w:t>ing</w:t>
      </w:r>
      <w:r w:rsidR="006F245A" w:rsidRPr="00663AA9">
        <w:rPr>
          <w:color w:val="000000" w:themeColor="text1"/>
        </w:rPr>
        <w:t xml:space="preserve"> the council.</w:t>
      </w:r>
    </w:p>
    <w:p w14:paraId="035F16BB" w14:textId="77777777" w:rsidR="00D5317B" w:rsidRPr="00663AA9" w:rsidRDefault="00D5317B" w:rsidP="00663AA9">
      <w:pPr>
        <w:pStyle w:val="Nornal"/>
        <w:spacing w:line="276" w:lineRule="auto"/>
        <w:rPr>
          <w:color w:val="000000" w:themeColor="text1"/>
        </w:rPr>
      </w:pPr>
    </w:p>
    <w:p w14:paraId="1FDF4673" w14:textId="439E4438" w:rsidR="00913236" w:rsidRPr="00663AA9" w:rsidRDefault="00A75E31" w:rsidP="00663AA9">
      <w:pPr>
        <w:pStyle w:val="Nornal"/>
        <w:spacing w:line="276" w:lineRule="auto"/>
        <w:rPr>
          <w:color w:val="000000" w:themeColor="text1"/>
        </w:rPr>
      </w:pPr>
      <w:r w:rsidRPr="00663AA9">
        <w:rPr>
          <w:color w:val="000000" w:themeColor="text1"/>
        </w:rPr>
        <w:t xml:space="preserve"> (AC 3.1)</w:t>
      </w:r>
    </w:p>
    <w:p w14:paraId="3A02F574" w14:textId="01A5D6E9" w:rsidR="008B1DDA" w:rsidRDefault="00017FD6" w:rsidP="00663AA9">
      <w:pPr>
        <w:pStyle w:val="Nornal"/>
        <w:spacing w:line="276" w:lineRule="auto"/>
        <w:rPr>
          <w:color w:val="000000" w:themeColor="text1"/>
          <w:highlight w:val="yellow"/>
        </w:rPr>
      </w:pPr>
      <w:r w:rsidRPr="002936BF">
        <w:rPr>
          <w:color w:val="000000" w:themeColor="text1"/>
          <w:highlight w:val="yellow"/>
        </w:rPr>
        <w:t>Section 105 of the Employment Relations Act 1996 provides</w:t>
      </w:r>
      <w:r w:rsidR="00913236" w:rsidRPr="002936BF">
        <w:rPr>
          <w:color w:val="000000" w:themeColor="text1"/>
          <w:highlight w:val="yellow"/>
        </w:rPr>
        <w:t xml:space="preserve"> protections for work</w:t>
      </w:r>
      <w:r w:rsidRPr="002936BF">
        <w:rPr>
          <w:color w:val="000000" w:themeColor="text1"/>
          <w:highlight w:val="yellow"/>
        </w:rPr>
        <w:t>ers</w:t>
      </w:r>
      <w:r w:rsidR="00913236" w:rsidRPr="002936BF">
        <w:rPr>
          <w:color w:val="000000" w:themeColor="text1"/>
          <w:highlight w:val="yellow"/>
        </w:rPr>
        <w:t xml:space="preserve"> who have </w:t>
      </w:r>
      <w:r w:rsidR="00B72FF0" w:rsidRPr="002936BF">
        <w:rPr>
          <w:color w:val="000000" w:themeColor="text1"/>
          <w:highlight w:val="yellow"/>
        </w:rPr>
        <w:t>been employed for more than 2 years</w:t>
      </w:r>
      <w:r w:rsidR="003406BB" w:rsidRPr="002936BF">
        <w:rPr>
          <w:color w:val="000000" w:themeColor="text1"/>
          <w:highlight w:val="yellow"/>
        </w:rPr>
        <w:t xml:space="preserve">, who are at risk of </w:t>
      </w:r>
      <w:r w:rsidR="003F0E01" w:rsidRPr="002936BF">
        <w:rPr>
          <w:color w:val="000000" w:themeColor="text1"/>
          <w:highlight w:val="yellow"/>
        </w:rPr>
        <w:t>their employment being terminate by their employer. T</w:t>
      </w:r>
      <w:r w:rsidR="00B72FF0" w:rsidRPr="002936BF">
        <w:rPr>
          <w:color w:val="000000" w:themeColor="text1"/>
          <w:highlight w:val="yellow"/>
        </w:rPr>
        <w:t xml:space="preserve">hese workers are entitled to </w:t>
      </w:r>
      <w:r w:rsidR="00B57D07" w:rsidRPr="002936BF">
        <w:rPr>
          <w:color w:val="000000" w:themeColor="text1"/>
          <w:highlight w:val="yellow"/>
        </w:rPr>
        <w:t xml:space="preserve">statutory </w:t>
      </w:r>
      <w:r w:rsidR="00B72FF0" w:rsidRPr="002936BF">
        <w:rPr>
          <w:color w:val="000000" w:themeColor="text1"/>
          <w:highlight w:val="yellow"/>
        </w:rPr>
        <w:t>redundancy payments, as se</w:t>
      </w:r>
      <w:r w:rsidR="003F0E01" w:rsidRPr="002936BF">
        <w:rPr>
          <w:color w:val="000000" w:themeColor="text1"/>
          <w:highlight w:val="yellow"/>
        </w:rPr>
        <w:t>t</w:t>
      </w:r>
      <w:r w:rsidR="00B72FF0" w:rsidRPr="002936BF">
        <w:rPr>
          <w:color w:val="000000" w:themeColor="text1"/>
          <w:highlight w:val="yellow"/>
        </w:rPr>
        <w:t xml:space="preserve"> out in </w:t>
      </w:r>
      <w:r w:rsidR="001B799E" w:rsidRPr="002936BF">
        <w:rPr>
          <w:color w:val="000000" w:themeColor="text1"/>
          <w:highlight w:val="yellow"/>
        </w:rPr>
        <w:t xml:space="preserve">section 139 of the Employment Relations Act 1996. </w:t>
      </w:r>
      <w:r w:rsidR="00F53E82" w:rsidRPr="002936BF">
        <w:rPr>
          <w:color w:val="000000" w:themeColor="text1"/>
          <w:highlight w:val="yellow"/>
        </w:rPr>
        <w:t xml:space="preserve">Employers must follow the rules in order to avoid </w:t>
      </w:r>
      <w:r w:rsidR="00DB1C70" w:rsidRPr="002936BF">
        <w:rPr>
          <w:color w:val="000000" w:themeColor="text1"/>
          <w:highlight w:val="yellow"/>
        </w:rPr>
        <w:t>subsequent claims.</w:t>
      </w:r>
      <w:r w:rsidR="00CC42FC" w:rsidRPr="002936BF">
        <w:rPr>
          <w:color w:val="000000" w:themeColor="text1"/>
          <w:highlight w:val="yellow"/>
        </w:rPr>
        <w:t xml:space="preserve"> Firstly, employers must provide a consultation period</w:t>
      </w:r>
      <w:r w:rsidR="00650FB5" w:rsidRPr="002936BF">
        <w:rPr>
          <w:color w:val="000000" w:themeColor="text1"/>
          <w:highlight w:val="yellow"/>
        </w:rPr>
        <w:t xml:space="preserve"> and information must be provided to the workers, such as reasons for redundancy, </w:t>
      </w:r>
      <w:r w:rsidR="00CD5AD2" w:rsidRPr="002936BF">
        <w:rPr>
          <w:color w:val="000000" w:themeColor="text1"/>
          <w:highlight w:val="yellow"/>
        </w:rPr>
        <w:t>the number, proposed selection method and their payment calculations. As there are less than 20 workers at risk,</w:t>
      </w:r>
      <w:r w:rsidR="00F33293">
        <w:rPr>
          <w:color w:val="000000" w:themeColor="text1"/>
          <w:highlight w:val="yellow"/>
        </w:rPr>
        <w:t xml:space="preserve"> there must be a ‘meaningful’ consultation period</w:t>
      </w:r>
      <w:r w:rsidR="005C71F5">
        <w:rPr>
          <w:color w:val="000000" w:themeColor="text1"/>
          <w:highlight w:val="yellow"/>
        </w:rPr>
        <w:t xml:space="preserve">. Meaningful period can depend upon the complexity of the </w:t>
      </w:r>
      <w:r w:rsidR="00AB49A5">
        <w:rPr>
          <w:color w:val="000000" w:themeColor="text1"/>
          <w:highlight w:val="yellow"/>
        </w:rPr>
        <w:t xml:space="preserve">organisation, but as per </w:t>
      </w:r>
      <w:r w:rsidR="00AB49A5" w:rsidRPr="00F721D4">
        <w:rPr>
          <w:i/>
          <w:iCs/>
          <w:color w:val="000000" w:themeColor="text1"/>
          <w:highlight w:val="yellow"/>
        </w:rPr>
        <w:t>Joseph De Bank Haycock v ADP RPO UK Ltd</w:t>
      </w:r>
      <w:r w:rsidR="00AE7916">
        <w:rPr>
          <w:color w:val="000000" w:themeColor="text1"/>
          <w:highlight w:val="yellow"/>
        </w:rPr>
        <w:t>, the courts held 14 days was insufficient</w:t>
      </w:r>
      <w:r w:rsidR="00CD5AD2" w:rsidRPr="002936BF">
        <w:rPr>
          <w:color w:val="000000" w:themeColor="text1"/>
          <w:highlight w:val="yellow"/>
        </w:rPr>
        <w:t xml:space="preserve">. </w:t>
      </w:r>
      <w:r w:rsidR="00E2786F">
        <w:rPr>
          <w:color w:val="000000" w:themeColor="text1"/>
          <w:highlight w:val="yellow"/>
        </w:rPr>
        <w:t>Therefore, in the interest of avoiding future claims, 30 days consultation would be fair</w:t>
      </w:r>
      <w:r w:rsidR="00AA475F">
        <w:rPr>
          <w:color w:val="000000" w:themeColor="text1"/>
          <w:highlight w:val="yellow"/>
        </w:rPr>
        <w:t xml:space="preserve"> </w:t>
      </w:r>
      <w:sdt>
        <w:sdtPr>
          <w:rPr>
            <w:color w:val="000000" w:themeColor="text1"/>
            <w:highlight w:val="yellow"/>
          </w:rPr>
          <w:id w:val="-187378095"/>
          <w:citation/>
        </w:sdtPr>
        <w:sdtContent>
          <w:r w:rsidR="007E2E10">
            <w:rPr>
              <w:color w:val="000000" w:themeColor="text1"/>
              <w:highlight w:val="yellow"/>
            </w:rPr>
            <w:fldChar w:fldCharType="begin"/>
          </w:r>
          <w:r w:rsidR="007E2E10">
            <w:rPr>
              <w:color w:val="000000" w:themeColor="text1"/>
              <w:highlight w:val="yellow"/>
              <w:lang w:val="en-US"/>
            </w:rPr>
            <w:instrText xml:space="preserve"> CITATION ACA236 \l 1033 </w:instrText>
          </w:r>
          <w:r w:rsidR="007E2E10">
            <w:rPr>
              <w:color w:val="000000" w:themeColor="text1"/>
              <w:highlight w:val="yellow"/>
            </w:rPr>
            <w:fldChar w:fldCharType="separate"/>
          </w:r>
          <w:r w:rsidR="0084748A" w:rsidRPr="0084748A">
            <w:rPr>
              <w:noProof/>
              <w:color w:val="000000" w:themeColor="text1"/>
              <w:highlight w:val="yellow"/>
              <w:lang w:val="en-US"/>
            </w:rPr>
            <w:t>(ACAS, 2023)</w:t>
          </w:r>
          <w:r w:rsidR="007E2E10">
            <w:rPr>
              <w:color w:val="000000" w:themeColor="text1"/>
              <w:highlight w:val="yellow"/>
            </w:rPr>
            <w:fldChar w:fldCharType="end"/>
          </w:r>
        </w:sdtContent>
      </w:sdt>
      <w:r w:rsidR="00EE716B" w:rsidRPr="002936BF">
        <w:rPr>
          <w:color w:val="000000" w:themeColor="text1"/>
          <w:highlight w:val="yellow"/>
        </w:rPr>
        <w:t>.</w:t>
      </w:r>
      <w:r w:rsidR="009A3C72" w:rsidRPr="002936BF">
        <w:rPr>
          <w:color w:val="000000" w:themeColor="text1"/>
          <w:highlight w:val="yellow"/>
        </w:rPr>
        <w:t xml:space="preserve"> </w:t>
      </w:r>
      <w:r w:rsidR="00410F91">
        <w:rPr>
          <w:color w:val="000000" w:themeColor="text1"/>
          <w:highlight w:val="yellow"/>
        </w:rPr>
        <w:t xml:space="preserve">Further, </w:t>
      </w:r>
      <w:r w:rsidR="00361EC2">
        <w:rPr>
          <w:color w:val="000000" w:themeColor="text1"/>
          <w:highlight w:val="yellow"/>
        </w:rPr>
        <w:t>if there are potential</w:t>
      </w:r>
      <w:r w:rsidR="0050785F">
        <w:rPr>
          <w:color w:val="000000" w:themeColor="text1"/>
          <w:highlight w:val="yellow"/>
        </w:rPr>
        <w:t xml:space="preserve"> suitable</w:t>
      </w:r>
      <w:r w:rsidR="00361EC2">
        <w:rPr>
          <w:color w:val="000000" w:themeColor="text1"/>
          <w:highlight w:val="yellow"/>
        </w:rPr>
        <w:t xml:space="preserve"> alternative employment, this must be offered to the workers at risk</w:t>
      </w:r>
      <w:r w:rsidR="007F094D">
        <w:rPr>
          <w:color w:val="000000" w:themeColor="text1"/>
          <w:highlight w:val="yellow"/>
        </w:rPr>
        <w:t xml:space="preserve"> </w:t>
      </w:r>
      <w:sdt>
        <w:sdtPr>
          <w:rPr>
            <w:color w:val="000000" w:themeColor="text1"/>
            <w:highlight w:val="yellow"/>
          </w:rPr>
          <w:id w:val="57371146"/>
          <w:citation/>
        </w:sdtPr>
        <w:sdtContent>
          <w:r w:rsidR="007F094D">
            <w:rPr>
              <w:color w:val="000000" w:themeColor="text1"/>
              <w:highlight w:val="yellow"/>
            </w:rPr>
            <w:fldChar w:fldCharType="begin"/>
          </w:r>
          <w:r w:rsidR="007F094D">
            <w:rPr>
              <w:color w:val="000000" w:themeColor="text1"/>
              <w:highlight w:val="yellow"/>
              <w:lang w:val="en-US"/>
            </w:rPr>
            <w:instrText xml:space="preserve"> CITATION ACA247 \l 1033 </w:instrText>
          </w:r>
          <w:r w:rsidR="007F094D">
            <w:rPr>
              <w:color w:val="000000" w:themeColor="text1"/>
              <w:highlight w:val="yellow"/>
            </w:rPr>
            <w:fldChar w:fldCharType="separate"/>
          </w:r>
          <w:r w:rsidR="0084748A" w:rsidRPr="0084748A">
            <w:rPr>
              <w:noProof/>
              <w:color w:val="000000" w:themeColor="text1"/>
              <w:highlight w:val="yellow"/>
              <w:lang w:val="en-US"/>
            </w:rPr>
            <w:t>(ACAS, 2024)</w:t>
          </w:r>
          <w:r w:rsidR="007F094D">
            <w:rPr>
              <w:color w:val="000000" w:themeColor="text1"/>
              <w:highlight w:val="yellow"/>
            </w:rPr>
            <w:fldChar w:fldCharType="end"/>
          </w:r>
        </w:sdtContent>
      </w:sdt>
      <w:r w:rsidR="007F094D">
        <w:rPr>
          <w:color w:val="000000" w:themeColor="text1"/>
          <w:highlight w:val="yellow"/>
        </w:rPr>
        <w:t>.</w:t>
      </w:r>
      <w:r w:rsidR="0050785F">
        <w:rPr>
          <w:color w:val="000000" w:themeColor="text1"/>
          <w:highlight w:val="yellow"/>
        </w:rPr>
        <w:t xml:space="preserve"> This must be offered to employees be</w:t>
      </w:r>
      <w:r w:rsidR="00593352">
        <w:rPr>
          <w:color w:val="000000" w:themeColor="text1"/>
          <w:highlight w:val="yellow"/>
        </w:rPr>
        <w:t xml:space="preserve">fore their current employment ends. The offer must include information such was, renumeration, location, </w:t>
      </w:r>
      <w:r w:rsidR="008750C5">
        <w:rPr>
          <w:color w:val="000000" w:themeColor="text1"/>
          <w:highlight w:val="yellow"/>
        </w:rPr>
        <w:t>similarities and terms</w:t>
      </w:r>
      <w:r w:rsidR="009D1ED9">
        <w:rPr>
          <w:color w:val="000000" w:themeColor="text1"/>
          <w:highlight w:val="yellow"/>
        </w:rPr>
        <w:t xml:space="preserve"> and be submitted before their end of employment to avoid tribunal appeal, as seen in</w:t>
      </w:r>
      <w:r w:rsidR="001C0E39">
        <w:rPr>
          <w:color w:val="000000" w:themeColor="text1"/>
          <w:highlight w:val="yellow"/>
        </w:rPr>
        <w:t xml:space="preserve"> Stevenson v Mid Essex Hospital Services NHS Trust.</w:t>
      </w:r>
      <w:r w:rsidR="00321C39">
        <w:rPr>
          <w:color w:val="000000" w:themeColor="text1"/>
          <w:highlight w:val="yellow"/>
        </w:rPr>
        <w:t xml:space="preserve"> Suitable employment within this scenario can depend on the accessibility of the other branches,</w:t>
      </w:r>
      <w:r w:rsidR="00DD7FC3">
        <w:rPr>
          <w:color w:val="000000" w:themeColor="text1"/>
          <w:highlight w:val="yellow"/>
        </w:rPr>
        <w:t xml:space="preserve"> for example the extra time for commute</w:t>
      </w:r>
      <w:r w:rsidR="00433368">
        <w:rPr>
          <w:color w:val="000000" w:themeColor="text1"/>
          <w:highlight w:val="yellow"/>
        </w:rPr>
        <w:t xml:space="preserve">, if other branches are nearby, this </w:t>
      </w:r>
      <w:r w:rsidR="009206EF">
        <w:rPr>
          <w:color w:val="000000" w:themeColor="text1"/>
          <w:highlight w:val="yellow"/>
        </w:rPr>
        <w:t>should</w:t>
      </w:r>
      <w:r w:rsidR="00433368">
        <w:rPr>
          <w:color w:val="000000" w:themeColor="text1"/>
          <w:highlight w:val="yellow"/>
        </w:rPr>
        <w:t xml:space="preserve"> be offered.</w:t>
      </w:r>
    </w:p>
    <w:p w14:paraId="7582991D" w14:textId="77777777" w:rsidR="008B1DDA" w:rsidRDefault="008B1DDA" w:rsidP="00663AA9">
      <w:pPr>
        <w:pStyle w:val="Nornal"/>
        <w:spacing w:line="276" w:lineRule="auto"/>
        <w:rPr>
          <w:color w:val="000000" w:themeColor="text1"/>
          <w:highlight w:val="yellow"/>
        </w:rPr>
      </w:pPr>
    </w:p>
    <w:p w14:paraId="0BD7C5F4" w14:textId="1E8F2B73" w:rsidR="00913236" w:rsidRPr="002936BF" w:rsidRDefault="009A3C72" w:rsidP="00663AA9">
      <w:pPr>
        <w:pStyle w:val="Nornal"/>
        <w:spacing w:line="276" w:lineRule="auto"/>
        <w:rPr>
          <w:color w:val="000000" w:themeColor="text1"/>
          <w:highlight w:val="yellow"/>
        </w:rPr>
      </w:pPr>
      <w:r w:rsidRPr="002936BF">
        <w:rPr>
          <w:color w:val="000000" w:themeColor="text1"/>
          <w:highlight w:val="yellow"/>
        </w:rPr>
        <w:t>In terms of the correct redundancy calculations, each worker should receive the following</w:t>
      </w:r>
    </w:p>
    <w:p w14:paraId="490156A7" w14:textId="2E60C6C0" w:rsidR="009A3C72" w:rsidRPr="002936BF" w:rsidRDefault="003C579E" w:rsidP="00663AA9">
      <w:pPr>
        <w:pStyle w:val="Nornal"/>
        <w:numPr>
          <w:ilvl w:val="0"/>
          <w:numId w:val="3"/>
        </w:numPr>
        <w:spacing w:line="276" w:lineRule="auto"/>
        <w:rPr>
          <w:color w:val="000000" w:themeColor="text1"/>
          <w:highlight w:val="yellow"/>
        </w:rPr>
      </w:pPr>
      <w:r w:rsidRPr="002936BF">
        <w:rPr>
          <w:color w:val="000000" w:themeColor="text1"/>
          <w:highlight w:val="yellow"/>
        </w:rPr>
        <w:t xml:space="preserve">Angela, having been employed for more than 2 years </w:t>
      </w:r>
      <w:r w:rsidR="00600EC7" w:rsidRPr="002936BF">
        <w:rPr>
          <w:color w:val="000000" w:themeColor="text1"/>
          <w:highlight w:val="yellow"/>
        </w:rPr>
        <w:t>is</w:t>
      </w:r>
      <w:r w:rsidR="00F578E1" w:rsidRPr="002936BF">
        <w:rPr>
          <w:color w:val="000000" w:themeColor="text1"/>
          <w:highlight w:val="yellow"/>
        </w:rPr>
        <w:t xml:space="preserve"> entitled</w:t>
      </w:r>
      <w:r w:rsidR="00600EC7" w:rsidRPr="002936BF">
        <w:rPr>
          <w:color w:val="000000" w:themeColor="text1"/>
          <w:highlight w:val="yellow"/>
        </w:rPr>
        <w:t xml:space="preserve"> to redundancy pay. As she is within the 41 and 64 age </w:t>
      </w:r>
      <w:r w:rsidR="00DE0ACC" w:rsidRPr="002936BF">
        <w:rPr>
          <w:color w:val="000000" w:themeColor="text1"/>
          <w:highlight w:val="yellow"/>
        </w:rPr>
        <w:t>range,</w:t>
      </w:r>
      <w:r w:rsidR="00600EC7" w:rsidRPr="002936BF">
        <w:rPr>
          <w:color w:val="000000" w:themeColor="text1"/>
          <w:highlight w:val="yellow"/>
        </w:rPr>
        <w:t xml:space="preserve"> she </w:t>
      </w:r>
      <w:r w:rsidR="00A92692" w:rsidRPr="002936BF">
        <w:rPr>
          <w:color w:val="000000" w:themeColor="text1"/>
          <w:highlight w:val="yellow"/>
        </w:rPr>
        <w:t xml:space="preserve">is entitled to 1.5 </w:t>
      </w:r>
      <w:r w:rsidR="00DE0ACC" w:rsidRPr="002936BF">
        <w:rPr>
          <w:color w:val="000000" w:themeColor="text1"/>
          <w:highlight w:val="yellow"/>
        </w:rPr>
        <w:t>weeks’</w:t>
      </w:r>
      <w:r w:rsidR="00A92692" w:rsidRPr="002936BF">
        <w:rPr>
          <w:color w:val="000000" w:themeColor="text1"/>
          <w:highlight w:val="yellow"/>
        </w:rPr>
        <w:t xml:space="preserve"> pay for every year of employment</w:t>
      </w:r>
      <w:r w:rsidR="00872C4A" w:rsidRPr="002936BF">
        <w:rPr>
          <w:color w:val="000000" w:themeColor="text1"/>
          <w:highlight w:val="yellow"/>
        </w:rPr>
        <w:t xml:space="preserve">, in addition to her notice period payments. </w:t>
      </w:r>
      <w:r w:rsidR="00FD28F9" w:rsidRPr="002936BF">
        <w:rPr>
          <w:color w:val="000000" w:themeColor="text1"/>
          <w:highlight w:val="yellow"/>
        </w:rPr>
        <w:t xml:space="preserve">However, there is a limit of £700 per week </w:t>
      </w:r>
      <w:r w:rsidR="00A22716" w:rsidRPr="002936BF">
        <w:rPr>
          <w:color w:val="000000" w:themeColor="text1"/>
          <w:highlight w:val="yellow"/>
        </w:rPr>
        <w:t xml:space="preserve">when calculating payments. </w:t>
      </w:r>
      <w:r w:rsidR="00872C4A" w:rsidRPr="002936BF">
        <w:rPr>
          <w:color w:val="000000" w:themeColor="text1"/>
          <w:highlight w:val="yellow"/>
        </w:rPr>
        <w:t xml:space="preserve">Therefore, Angela is entitled to a total </w:t>
      </w:r>
      <w:r w:rsidR="00F578E1" w:rsidRPr="002936BF">
        <w:rPr>
          <w:color w:val="000000" w:themeColor="text1"/>
          <w:highlight w:val="yellow"/>
        </w:rPr>
        <w:t xml:space="preserve">redundancy </w:t>
      </w:r>
      <w:r w:rsidR="00872C4A" w:rsidRPr="002936BF">
        <w:rPr>
          <w:color w:val="000000" w:themeColor="text1"/>
          <w:highlight w:val="yellow"/>
        </w:rPr>
        <w:t xml:space="preserve">renumeration of </w:t>
      </w:r>
      <w:r w:rsidR="00A22716" w:rsidRPr="002936BF">
        <w:rPr>
          <w:color w:val="000000" w:themeColor="text1"/>
          <w:highlight w:val="yellow"/>
        </w:rPr>
        <w:t>£8,400 plus their £1,400 notice payment.</w:t>
      </w:r>
    </w:p>
    <w:p w14:paraId="60640E37" w14:textId="2ED2A6D3" w:rsidR="00F578E1" w:rsidRPr="002936BF" w:rsidRDefault="00F578E1" w:rsidP="00663AA9">
      <w:pPr>
        <w:pStyle w:val="Nornal"/>
        <w:numPr>
          <w:ilvl w:val="0"/>
          <w:numId w:val="3"/>
        </w:numPr>
        <w:spacing w:line="276" w:lineRule="auto"/>
        <w:rPr>
          <w:color w:val="000000" w:themeColor="text1"/>
          <w:highlight w:val="yellow"/>
        </w:rPr>
      </w:pPr>
      <w:r w:rsidRPr="002936BF">
        <w:rPr>
          <w:color w:val="000000" w:themeColor="text1"/>
          <w:highlight w:val="yellow"/>
        </w:rPr>
        <w:t xml:space="preserve">Safron, having </w:t>
      </w:r>
      <w:r w:rsidR="00DE2B61" w:rsidRPr="002936BF">
        <w:rPr>
          <w:color w:val="000000" w:themeColor="text1"/>
          <w:highlight w:val="yellow"/>
        </w:rPr>
        <w:t>been</w:t>
      </w:r>
      <w:r w:rsidRPr="002936BF">
        <w:rPr>
          <w:color w:val="000000" w:themeColor="text1"/>
          <w:highlight w:val="yellow"/>
        </w:rPr>
        <w:t xml:space="preserve"> employed more than 2 years is entitled to redundancy pay, </w:t>
      </w:r>
      <w:r w:rsidR="00813459" w:rsidRPr="002936BF">
        <w:rPr>
          <w:color w:val="000000" w:themeColor="text1"/>
          <w:highlight w:val="yellow"/>
        </w:rPr>
        <w:t>as</w:t>
      </w:r>
      <w:r w:rsidRPr="002936BF">
        <w:rPr>
          <w:color w:val="000000" w:themeColor="text1"/>
          <w:highlight w:val="yellow"/>
        </w:rPr>
        <w:t xml:space="preserve"> she</w:t>
      </w:r>
      <w:r w:rsidR="005A5B3F" w:rsidRPr="002936BF">
        <w:rPr>
          <w:color w:val="000000" w:themeColor="text1"/>
          <w:highlight w:val="yellow"/>
        </w:rPr>
        <w:t xml:space="preserve"> is within the 22 and 40 age range, she is entitled t</w:t>
      </w:r>
      <w:r w:rsidR="00BB31A8" w:rsidRPr="002936BF">
        <w:rPr>
          <w:color w:val="000000" w:themeColor="text1"/>
          <w:highlight w:val="yellow"/>
        </w:rPr>
        <w:t xml:space="preserve">o 1 </w:t>
      </w:r>
      <w:r w:rsidR="00DE2B61" w:rsidRPr="002936BF">
        <w:rPr>
          <w:color w:val="000000" w:themeColor="text1"/>
          <w:highlight w:val="yellow"/>
        </w:rPr>
        <w:t>weeks’</w:t>
      </w:r>
      <w:r w:rsidR="00BB31A8" w:rsidRPr="002936BF">
        <w:rPr>
          <w:color w:val="000000" w:themeColor="text1"/>
          <w:highlight w:val="yellow"/>
        </w:rPr>
        <w:t xml:space="preserve"> pay for every year of employment. Therefore, Safron is entitled to a total redundancy renumeration of £</w:t>
      </w:r>
      <w:r w:rsidR="007B21A2" w:rsidRPr="002936BF">
        <w:rPr>
          <w:color w:val="000000" w:themeColor="text1"/>
          <w:highlight w:val="yellow"/>
        </w:rPr>
        <w:t>1,750, plus</w:t>
      </w:r>
      <w:r w:rsidR="00BC7BB9" w:rsidRPr="002936BF">
        <w:rPr>
          <w:color w:val="000000" w:themeColor="text1"/>
          <w:highlight w:val="yellow"/>
        </w:rPr>
        <w:t xml:space="preserve"> their £700 notice payment.</w:t>
      </w:r>
    </w:p>
    <w:p w14:paraId="783D10B8" w14:textId="449CC333" w:rsidR="00BC7BB9" w:rsidRPr="002936BF" w:rsidRDefault="00125B06" w:rsidP="00663AA9">
      <w:pPr>
        <w:pStyle w:val="Nornal"/>
        <w:numPr>
          <w:ilvl w:val="0"/>
          <w:numId w:val="3"/>
        </w:numPr>
        <w:spacing w:line="276" w:lineRule="auto"/>
        <w:rPr>
          <w:color w:val="000000" w:themeColor="text1"/>
          <w:highlight w:val="yellow"/>
        </w:rPr>
      </w:pPr>
      <w:r w:rsidRPr="002936BF">
        <w:rPr>
          <w:color w:val="000000" w:themeColor="text1"/>
          <w:highlight w:val="yellow"/>
        </w:rPr>
        <w:t xml:space="preserve">As none of the remaining employees have 2 years employment tenure, they are not entitled to </w:t>
      </w:r>
      <w:r w:rsidR="00172CED" w:rsidRPr="002936BF">
        <w:rPr>
          <w:color w:val="000000" w:themeColor="text1"/>
          <w:highlight w:val="yellow"/>
        </w:rPr>
        <w:t xml:space="preserve">statutory redundancy, therefore, it would only be their notice payment </w:t>
      </w:r>
      <w:r w:rsidR="00455967" w:rsidRPr="002936BF">
        <w:rPr>
          <w:color w:val="000000" w:themeColor="text1"/>
          <w:highlight w:val="yellow"/>
        </w:rPr>
        <w:t>of £450 each.</w:t>
      </w:r>
      <w:r w:rsidR="00B57D07" w:rsidRPr="002936BF">
        <w:rPr>
          <w:color w:val="000000" w:themeColor="text1"/>
          <w:highlight w:val="yellow"/>
        </w:rPr>
        <w:t xml:space="preserve"> If they had been over 2 years employment, they would have been enti</w:t>
      </w:r>
      <w:r w:rsidR="00391D4B" w:rsidRPr="002936BF">
        <w:rPr>
          <w:color w:val="000000" w:themeColor="text1"/>
          <w:highlight w:val="yellow"/>
        </w:rPr>
        <w:t>tl</w:t>
      </w:r>
      <w:r w:rsidR="00B57D07" w:rsidRPr="002936BF">
        <w:rPr>
          <w:color w:val="000000" w:themeColor="text1"/>
          <w:highlight w:val="yellow"/>
        </w:rPr>
        <w:t xml:space="preserve">ed to </w:t>
      </w:r>
      <w:r w:rsidR="00391D4B" w:rsidRPr="002936BF">
        <w:rPr>
          <w:color w:val="000000" w:themeColor="text1"/>
          <w:highlight w:val="yellow"/>
        </w:rPr>
        <w:t xml:space="preserve">0.5 </w:t>
      </w:r>
      <w:r w:rsidR="00DE2B61" w:rsidRPr="002936BF">
        <w:rPr>
          <w:color w:val="000000" w:themeColor="text1"/>
          <w:highlight w:val="yellow"/>
        </w:rPr>
        <w:t>weeks’</w:t>
      </w:r>
      <w:r w:rsidR="00391D4B" w:rsidRPr="002936BF">
        <w:rPr>
          <w:color w:val="000000" w:themeColor="text1"/>
          <w:highlight w:val="yellow"/>
        </w:rPr>
        <w:t xml:space="preserve"> pay for every year</w:t>
      </w:r>
      <w:r w:rsidR="005E3458" w:rsidRPr="002936BF">
        <w:rPr>
          <w:color w:val="000000" w:themeColor="text1"/>
          <w:highlight w:val="yellow"/>
        </w:rPr>
        <w:t xml:space="preserve"> of employment.</w:t>
      </w:r>
    </w:p>
    <w:p w14:paraId="65F3293D" w14:textId="71D5C81C" w:rsidR="0020377F" w:rsidRPr="00663AA9" w:rsidRDefault="0020377F" w:rsidP="00663AA9">
      <w:pPr>
        <w:pStyle w:val="Nornal"/>
        <w:spacing w:line="276" w:lineRule="auto"/>
        <w:rPr>
          <w:color w:val="000000" w:themeColor="text1"/>
        </w:rPr>
      </w:pPr>
      <w:r w:rsidRPr="002936BF">
        <w:rPr>
          <w:color w:val="000000" w:themeColor="text1"/>
          <w:highlight w:val="yellow"/>
        </w:rPr>
        <w:t xml:space="preserve">Failure to </w:t>
      </w:r>
      <w:r w:rsidR="00D5317B" w:rsidRPr="002936BF">
        <w:rPr>
          <w:color w:val="000000" w:themeColor="text1"/>
          <w:highlight w:val="yellow"/>
        </w:rPr>
        <w:t>adhere</w:t>
      </w:r>
      <w:r w:rsidRPr="002936BF">
        <w:rPr>
          <w:color w:val="000000" w:themeColor="text1"/>
          <w:highlight w:val="yellow"/>
        </w:rPr>
        <w:t xml:space="preserve"> to the redundancy process will result in claims </w:t>
      </w:r>
      <w:r w:rsidR="00D5317B" w:rsidRPr="002936BF">
        <w:rPr>
          <w:color w:val="000000" w:themeColor="text1"/>
          <w:highlight w:val="yellow"/>
        </w:rPr>
        <w:t xml:space="preserve">of unfair dismissal. The reward for these claims can be up to 90 days full pay for every employee affected by the failure </w:t>
      </w:r>
      <w:sdt>
        <w:sdtPr>
          <w:rPr>
            <w:color w:val="000000" w:themeColor="text1"/>
            <w:highlight w:val="yellow"/>
          </w:rPr>
          <w:id w:val="-2099933153"/>
          <w:citation/>
        </w:sdtPr>
        <w:sdtContent>
          <w:r w:rsidR="00D5317B" w:rsidRPr="002936BF">
            <w:rPr>
              <w:color w:val="000000" w:themeColor="text1"/>
              <w:highlight w:val="yellow"/>
            </w:rPr>
            <w:fldChar w:fldCharType="begin"/>
          </w:r>
          <w:r w:rsidR="00D5317B" w:rsidRPr="002936BF">
            <w:rPr>
              <w:color w:val="000000" w:themeColor="text1"/>
              <w:highlight w:val="yellow"/>
              <w:lang w:val="en-US"/>
            </w:rPr>
            <w:instrText xml:space="preserve"> CITATION ACA243 \l 1033 </w:instrText>
          </w:r>
          <w:r w:rsidR="00D5317B" w:rsidRPr="002936BF">
            <w:rPr>
              <w:color w:val="000000" w:themeColor="text1"/>
              <w:highlight w:val="yellow"/>
            </w:rPr>
            <w:fldChar w:fldCharType="separate"/>
          </w:r>
          <w:r w:rsidR="0084748A" w:rsidRPr="0084748A">
            <w:rPr>
              <w:noProof/>
              <w:color w:val="000000" w:themeColor="text1"/>
              <w:highlight w:val="yellow"/>
              <w:lang w:val="en-US"/>
            </w:rPr>
            <w:t>(ACAS, 2024)</w:t>
          </w:r>
          <w:r w:rsidR="00D5317B" w:rsidRPr="002936BF">
            <w:rPr>
              <w:color w:val="000000" w:themeColor="text1"/>
              <w:highlight w:val="yellow"/>
            </w:rPr>
            <w:fldChar w:fldCharType="end"/>
          </w:r>
        </w:sdtContent>
      </w:sdt>
      <w:r w:rsidR="00D5317B" w:rsidRPr="002936BF">
        <w:rPr>
          <w:color w:val="000000" w:themeColor="text1"/>
          <w:highlight w:val="yellow"/>
        </w:rPr>
        <w:t>.</w:t>
      </w:r>
    </w:p>
    <w:p w14:paraId="291D2EFD" w14:textId="77777777" w:rsidR="002E36F1" w:rsidRPr="00663AA9" w:rsidRDefault="002E36F1" w:rsidP="00663AA9">
      <w:pPr>
        <w:pStyle w:val="Nornal"/>
        <w:spacing w:line="276" w:lineRule="auto"/>
        <w:rPr>
          <w:color w:val="000000" w:themeColor="text1"/>
        </w:rPr>
      </w:pPr>
    </w:p>
    <w:p w14:paraId="3F1ACF1E" w14:textId="194D7B5C" w:rsidR="00A75E31" w:rsidRPr="00663AA9" w:rsidRDefault="00A75E31" w:rsidP="00663AA9">
      <w:pPr>
        <w:pStyle w:val="Nornal"/>
        <w:spacing w:line="276" w:lineRule="auto"/>
        <w:rPr>
          <w:color w:val="000000" w:themeColor="text1"/>
        </w:rPr>
      </w:pPr>
      <w:r w:rsidRPr="00663AA9">
        <w:rPr>
          <w:color w:val="000000" w:themeColor="text1"/>
        </w:rPr>
        <w:t xml:space="preserve"> (AC 3.2)</w:t>
      </w:r>
    </w:p>
    <w:p w14:paraId="696A50C7" w14:textId="5814EE02" w:rsidR="009B3B45" w:rsidRPr="00663AA9" w:rsidRDefault="00C02215" w:rsidP="00663AA9">
      <w:pPr>
        <w:pStyle w:val="Nornal"/>
        <w:spacing w:line="276" w:lineRule="auto"/>
        <w:rPr>
          <w:color w:val="000000" w:themeColor="text1"/>
        </w:rPr>
      </w:pPr>
      <w:r w:rsidRPr="00663AA9">
        <w:rPr>
          <w:color w:val="000000" w:themeColor="text1"/>
        </w:rPr>
        <w:t xml:space="preserve">There are some rules around </w:t>
      </w:r>
      <w:r w:rsidR="00F536DE" w:rsidRPr="00663AA9">
        <w:rPr>
          <w:color w:val="000000" w:themeColor="text1"/>
        </w:rPr>
        <w:t xml:space="preserve">transferring staff between business entities. </w:t>
      </w:r>
      <w:r w:rsidR="003A16CA" w:rsidRPr="00663AA9">
        <w:rPr>
          <w:color w:val="000000" w:themeColor="text1"/>
        </w:rPr>
        <w:t xml:space="preserve">When there is a transfer of economic entity whereby its identity remains the same, then </w:t>
      </w:r>
      <w:r w:rsidR="00F14891" w:rsidRPr="00663AA9">
        <w:rPr>
          <w:color w:val="000000" w:themeColor="text1"/>
        </w:rPr>
        <w:t xml:space="preserve">the regulation of </w:t>
      </w:r>
      <w:r w:rsidR="00315FF9" w:rsidRPr="00663AA9">
        <w:rPr>
          <w:color w:val="000000" w:themeColor="text1"/>
        </w:rPr>
        <w:t xml:space="preserve">Transfer of Undertakings Protection of Employment </w:t>
      </w:r>
      <w:r w:rsidR="00055F75" w:rsidRPr="00663AA9">
        <w:rPr>
          <w:color w:val="000000" w:themeColor="text1"/>
        </w:rPr>
        <w:t>2006</w:t>
      </w:r>
      <w:r w:rsidR="00315FF9" w:rsidRPr="00663AA9">
        <w:rPr>
          <w:color w:val="000000" w:themeColor="text1"/>
        </w:rPr>
        <w:t xml:space="preserve"> (TUPE) applies</w:t>
      </w:r>
      <w:r w:rsidR="00055F75" w:rsidRPr="00663AA9">
        <w:rPr>
          <w:color w:val="000000" w:themeColor="text1"/>
        </w:rPr>
        <w:t xml:space="preserve">. </w:t>
      </w:r>
      <w:r w:rsidR="005615E3" w:rsidRPr="00663AA9">
        <w:rPr>
          <w:color w:val="000000" w:themeColor="text1"/>
        </w:rPr>
        <w:t xml:space="preserve">These rules apply to both the transferer and transferor. </w:t>
      </w:r>
      <w:r w:rsidR="00564766" w:rsidRPr="00663AA9">
        <w:rPr>
          <w:color w:val="000000" w:themeColor="text1"/>
        </w:rPr>
        <w:t>All staff classed as employees (and to some extent workers)</w:t>
      </w:r>
      <w:r w:rsidR="00684E05" w:rsidRPr="00663AA9">
        <w:rPr>
          <w:color w:val="000000" w:themeColor="text1"/>
        </w:rPr>
        <w:t xml:space="preserve"> are protected. </w:t>
      </w:r>
      <w:r w:rsidR="00900E00" w:rsidRPr="00663AA9">
        <w:rPr>
          <w:color w:val="000000" w:themeColor="text1"/>
        </w:rPr>
        <w:t xml:space="preserve">Therefore, all 12 employees will be protected, </w:t>
      </w:r>
      <w:r w:rsidR="00F61840" w:rsidRPr="00663AA9">
        <w:rPr>
          <w:color w:val="000000" w:themeColor="text1"/>
        </w:rPr>
        <w:t xml:space="preserve">so both businesses will need to engage to ensure compliance. </w:t>
      </w:r>
      <w:r w:rsidR="0085458C" w:rsidRPr="00663AA9">
        <w:rPr>
          <w:color w:val="000000" w:themeColor="text1"/>
        </w:rPr>
        <w:t xml:space="preserve">TUPE states that ‘All the </w:t>
      </w:r>
      <w:r w:rsidR="00FC386E" w:rsidRPr="00663AA9">
        <w:rPr>
          <w:color w:val="000000" w:themeColor="text1"/>
        </w:rPr>
        <w:t>transferor’s</w:t>
      </w:r>
      <w:r w:rsidR="0085458C" w:rsidRPr="00663AA9">
        <w:rPr>
          <w:color w:val="000000" w:themeColor="text1"/>
        </w:rPr>
        <w:t xml:space="preserve"> right, powers, duties and liabilities under or in </w:t>
      </w:r>
      <w:r w:rsidR="00FC386E" w:rsidRPr="00663AA9">
        <w:rPr>
          <w:color w:val="000000" w:themeColor="text1"/>
        </w:rPr>
        <w:t xml:space="preserve">connection with the transferring employees’ contracts of employment are transferred to the transferee’. </w:t>
      </w:r>
      <w:r w:rsidR="005852EF" w:rsidRPr="00663AA9">
        <w:rPr>
          <w:color w:val="000000" w:themeColor="text1"/>
        </w:rPr>
        <w:t xml:space="preserve">Subsequently, Peachy Deserts Ltd will be bound by the previous employment contracts agreed with the new employees and Crumbly Cakes. </w:t>
      </w:r>
      <w:r w:rsidR="004403E4" w:rsidRPr="00663AA9">
        <w:rPr>
          <w:color w:val="000000" w:themeColor="text1"/>
        </w:rPr>
        <w:t>As such, the beneficial rights will be transferred under TUPE regulations</w:t>
      </w:r>
      <w:r w:rsidR="00B81584" w:rsidRPr="00663AA9">
        <w:rPr>
          <w:color w:val="000000" w:themeColor="text1"/>
        </w:rPr>
        <w:t xml:space="preserve"> and be incorporated into Peach Desserts Ltd</w:t>
      </w:r>
      <w:r w:rsidR="00B326B1" w:rsidRPr="00663AA9">
        <w:rPr>
          <w:color w:val="000000" w:themeColor="text1"/>
        </w:rPr>
        <w:t xml:space="preserve">, as seen in </w:t>
      </w:r>
      <w:r w:rsidR="00B326B1" w:rsidRPr="00663AA9">
        <w:rPr>
          <w:i/>
          <w:iCs/>
          <w:color w:val="000000" w:themeColor="text1"/>
        </w:rPr>
        <w:t>Ponticelli UK Ltd v. Gallagher (2023</w:t>
      </w:r>
      <w:r w:rsidR="00B326B1" w:rsidRPr="00663AA9">
        <w:rPr>
          <w:color w:val="000000" w:themeColor="text1"/>
        </w:rPr>
        <w:t xml:space="preserve">) </w:t>
      </w:r>
      <w:r w:rsidR="00A9673A" w:rsidRPr="00663AA9">
        <w:rPr>
          <w:color w:val="000000" w:themeColor="text1"/>
        </w:rPr>
        <w:t xml:space="preserve">where an </w:t>
      </w:r>
      <w:r w:rsidR="00DE2B61" w:rsidRPr="00663AA9">
        <w:rPr>
          <w:color w:val="000000" w:themeColor="text1"/>
        </w:rPr>
        <w:t>employee’s</w:t>
      </w:r>
      <w:r w:rsidR="00A9673A" w:rsidRPr="00663AA9">
        <w:rPr>
          <w:color w:val="000000" w:themeColor="text1"/>
        </w:rPr>
        <w:t xml:space="preserve"> benefit should have been included within the transfer</w:t>
      </w:r>
      <w:r w:rsidR="00B81584" w:rsidRPr="00663AA9">
        <w:rPr>
          <w:color w:val="000000" w:themeColor="text1"/>
        </w:rPr>
        <w:t xml:space="preserve">. Therefore, it is advisable at the consultation period to identity </w:t>
      </w:r>
      <w:r w:rsidR="00900729" w:rsidRPr="00663AA9">
        <w:rPr>
          <w:color w:val="000000" w:themeColor="text1"/>
        </w:rPr>
        <w:t xml:space="preserve">the nature of the employment contracts, their terms and their commercial viability. </w:t>
      </w:r>
      <w:r w:rsidR="000A12D7" w:rsidRPr="00663AA9">
        <w:rPr>
          <w:color w:val="000000" w:themeColor="text1"/>
        </w:rPr>
        <w:t xml:space="preserve">There is also a duty to </w:t>
      </w:r>
      <w:r w:rsidR="00377BCF" w:rsidRPr="00663AA9">
        <w:rPr>
          <w:color w:val="000000" w:themeColor="text1"/>
        </w:rPr>
        <w:t>inform</w:t>
      </w:r>
      <w:r w:rsidR="000A12D7" w:rsidRPr="00663AA9">
        <w:rPr>
          <w:color w:val="000000" w:themeColor="text1"/>
        </w:rPr>
        <w:t xml:space="preserve"> and cons</w:t>
      </w:r>
      <w:r w:rsidR="008B1F9A" w:rsidRPr="00663AA9">
        <w:rPr>
          <w:color w:val="000000" w:themeColor="text1"/>
        </w:rPr>
        <w:t xml:space="preserve">ult for both the transferer and transferor which includes clarifications on; proposed transfer date, </w:t>
      </w:r>
      <w:r w:rsidR="00A557D5" w:rsidRPr="00663AA9">
        <w:rPr>
          <w:color w:val="000000" w:themeColor="text1"/>
        </w:rPr>
        <w:t xml:space="preserve">economic and social </w:t>
      </w:r>
      <w:r w:rsidR="00377BCF" w:rsidRPr="00663AA9">
        <w:rPr>
          <w:color w:val="000000" w:themeColor="text1"/>
        </w:rPr>
        <w:t>implications</w:t>
      </w:r>
      <w:r w:rsidR="00A557D5" w:rsidRPr="00663AA9">
        <w:rPr>
          <w:color w:val="000000" w:themeColor="text1"/>
        </w:rPr>
        <w:t>, and any additional measures that are likely to be in place</w:t>
      </w:r>
      <w:r w:rsidR="003633CF" w:rsidRPr="00663AA9">
        <w:rPr>
          <w:color w:val="000000" w:themeColor="text1"/>
        </w:rPr>
        <w:t xml:space="preserve"> </w:t>
      </w:r>
      <w:sdt>
        <w:sdtPr>
          <w:rPr>
            <w:color w:val="000000" w:themeColor="text1"/>
          </w:rPr>
          <w:id w:val="1637137584"/>
          <w:citation/>
        </w:sdtPr>
        <w:sdtContent>
          <w:r w:rsidR="003633CF" w:rsidRPr="00663AA9">
            <w:rPr>
              <w:color w:val="000000" w:themeColor="text1"/>
            </w:rPr>
            <w:fldChar w:fldCharType="begin"/>
          </w:r>
          <w:r w:rsidR="003633CF" w:rsidRPr="00663AA9">
            <w:rPr>
              <w:color w:val="000000" w:themeColor="text1"/>
              <w:lang w:val="en-US"/>
            </w:rPr>
            <w:instrText xml:space="preserve"> CITATION ACA244 \l 1033 </w:instrText>
          </w:r>
          <w:r w:rsidR="003633CF" w:rsidRPr="00663AA9">
            <w:rPr>
              <w:color w:val="000000" w:themeColor="text1"/>
            </w:rPr>
            <w:fldChar w:fldCharType="separate"/>
          </w:r>
          <w:r w:rsidR="0084748A" w:rsidRPr="0084748A">
            <w:rPr>
              <w:noProof/>
              <w:color w:val="000000" w:themeColor="text1"/>
              <w:lang w:val="en-US"/>
            </w:rPr>
            <w:t>(ACAS, 2024)</w:t>
          </w:r>
          <w:r w:rsidR="003633CF" w:rsidRPr="00663AA9">
            <w:rPr>
              <w:color w:val="000000" w:themeColor="text1"/>
            </w:rPr>
            <w:fldChar w:fldCharType="end"/>
          </w:r>
        </w:sdtContent>
      </w:sdt>
      <w:r w:rsidR="00FF6FCB" w:rsidRPr="00663AA9">
        <w:rPr>
          <w:color w:val="000000" w:themeColor="text1"/>
        </w:rPr>
        <w:t xml:space="preserve"> as seen in</w:t>
      </w:r>
      <w:r w:rsidR="00FF6FCB" w:rsidRPr="00663AA9">
        <w:rPr>
          <w:i/>
          <w:iCs/>
          <w:color w:val="000000" w:themeColor="text1"/>
        </w:rPr>
        <w:t xml:space="preserve"> I Lab Facilities v Metcalfe (2012)</w:t>
      </w:r>
      <w:r w:rsidR="00A557D5" w:rsidRPr="00663AA9">
        <w:rPr>
          <w:color w:val="000000" w:themeColor="text1"/>
        </w:rPr>
        <w:t xml:space="preserve">. </w:t>
      </w:r>
      <w:r w:rsidR="00E337D8" w:rsidRPr="00663AA9">
        <w:rPr>
          <w:color w:val="000000" w:themeColor="text1"/>
        </w:rPr>
        <w:t>There cannot be any contractual change</w:t>
      </w:r>
      <w:r w:rsidR="0058284C" w:rsidRPr="00663AA9">
        <w:rPr>
          <w:color w:val="000000" w:themeColor="text1"/>
        </w:rPr>
        <w:t xml:space="preserve"> relating to the transfer, </w:t>
      </w:r>
      <w:r w:rsidR="004B5D76" w:rsidRPr="00663AA9">
        <w:rPr>
          <w:color w:val="000000" w:themeColor="text1"/>
        </w:rPr>
        <w:t xml:space="preserve">unless there is an economic, technical or </w:t>
      </w:r>
      <w:r w:rsidR="004D6CCC" w:rsidRPr="00663AA9">
        <w:rPr>
          <w:color w:val="000000" w:themeColor="text1"/>
        </w:rPr>
        <w:t>organisational</w:t>
      </w:r>
      <w:r w:rsidR="004B5D76" w:rsidRPr="00663AA9">
        <w:rPr>
          <w:color w:val="000000" w:themeColor="text1"/>
        </w:rPr>
        <w:t xml:space="preserve"> reason (ETO), such as </w:t>
      </w:r>
      <w:r w:rsidR="001E1DED" w:rsidRPr="00663AA9">
        <w:rPr>
          <w:color w:val="000000" w:themeColor="text1"/>
        </w:rPr>
        <w:t xml:space="preserve">limitations in the production process. </w:t>
      </w:r>
      <w:r w:rsidR="004D6CCC" w:rsidRPr="00663AA9">
        <w:rPr>
          <w:color w:val="000000" w:themeColor="text1"/>
        </w:rPr>
        <w:t xml:space="preserve">Further, employees are protected </w:t>
      </w:r>
      <w:r w:rsidR="001B36AB" w:rsidRPr="00663AA9">
        <w:rPr>
          <w:color w:val="000000" w:themeColor="text1"/>
        </w:rPr>
        <w:t>by unfair dismissal if the reason is the transfer itself</w:t>
      </w:r>
      <w:r w:rsidR="00F72932" w:rsidRPr="00663AA9">
        <w:rPr>
          <w:color w:val="000000" w:themeColor="text1"/>
        </w:rPr>
        <w:t>, excluding ETO reasons.</w:t>
      </w:r>
      <w:r w:rsidR="009B3B45" w:rsidRPr="00663AA9">
        <w:rPr>
          <w:color w:val="000000" w:themeColor="text1"/>
        </w:rPr>
        <w:t xml:space="preserve"> Nonetheless, Peach Desse</w:t>
      </w:r>
      <w:r w:rsidR="001E5774" w:rsidRPr="00663AA9">
        <w:rPr>
          <w:color w:val="000000" w:themeColor="text1"/>
        </w:rPr>
        <w:t>r</w:t>
      </w:r>
      <w:r w:rsidR="009B3B45" w:rsidRPr="00663AA9">
        <w:rPr>
          <w:color w:val="000000" w:themeColor="text1"/>
        </w:rPr>
        <w:t>ts are required to onboard the transferring employees</w:t>
      </w:r>
      <w:r w:rsidR="00A72AEE" w:rsidRPr="00663AA9">
        <w:rPr>
          <w:color w:val="000000" w:themeColor="text1"/>
        </w:rPr>
        <w:t xml:space="preserve"> and include any existing beneficial terms, in addition to terms provided by Peach Desserts. </w:t>
      </w:r>
      <w:r w:rsidR="00B01750" w:rsidRPr="00663AA9">
        <w:rPr>
          <w:color w:val="000000" w:themeColor="text1"/>
        </w:rPr>
        <w:t xml:space="preserve">Further, </w:t>
      </w:r>
      <w:r w:rsidR="00083D36" w:rsidRPr="00663AA9">
        <w:rPr>
          <w:color w:val="000000" w:themeColor="text1"/>
        </w:rPr>
        <w:t xml:space="preserve">Peach Desserts </w:t>
      </w:r>
      <w:r w:rsidR="00AD2A08" w:rsidRPr="00663AA9">
        <w:rPr>
          <w:color w:val="000000" w:themeColor="text1"/>
        </w:rPr>
        <w:t xml:space="preserve">also become responsible for the well-being </w:t>
      </w:r>
      <w:r w:rsidR="00DA00A1" w:rsidRPr="00663AA9">
        <w:rPr>
          <w:color w:val="000000" w:themeColor="text1"/>
        </w:rPr>
        <w:t xml:space="preserve">and any ongoing </w:t>
      </w:r>
      <w:r w:rsidR="003B50A9" w:rsidRPr="00663AA9">
        <w:rPr>
          <w:color w:val="000000" w:themeColor="text1"/>
        </w:rPr>
        <w:t>liabilities</w:t>
      </w:r>
      <w:r w:rsidR="00F753B5" w:rsidRPr="00663AA9">
        <w:rPr>
          <w:color w:val="000000" w:themeColor="text1"/>
        </w:rPr>
        <w:t xml:space="preserve"> relating to discrimination, equality </w:t>
      </w:r>
      <w:r w:rsidR="003B50A9" w:rsidRPr="00663AA9">
        <w:rPr>
          <w:color w:val="000000" w:themeColor="text1"/>
        </w:rPr>
        <w:t>or an</w:t>
      </w:r>
      <w:r w:rsidR="00DE2B61">
        <w:rPr>
          <w:color w:val="000000" w:themeColor="text1"/>
        </w:rPr>
        <w:t>y</w:t>
      </w:r>
      <w:r w:rsidR="003B50A9" w:rsidRPr="00663AA9">
        <w:rPr>
          <w:color w:val="000000" w:themeColor="text1"/>
        </w:rPr>
        <w:t xml:space="preserve"> other duties.</w:t>
      </w:r>
    </w:p>
    <w:p w14:paraId="028896E8" w14:textId="79FC5376" w:rsidR="00A75E31" w:rsidRPr="00663AA9" w:rsidRDefault="00A75E31" w:rsidP="00663AA9">
      <w:pPr>
        <w:tabs>
          <w:tab w:val="left" w:pos="3240"/>
        </w:tabs>
        <w:spacing w:after="120" w:line="276" w:lineRule="auto"/>
        <w:rPr>
          <w:rFonts w:cs="Arial"/>
          <w:color w:val="000000" w:themeColor="text1"/>
          <w:szCs w:val="22"/>
        </w:rPr>
      </w:pPr>
      <w:r w:rsidRPr="00663AA9">
        <w:rPr>
          <w:rFonts w:cs="Arial"/>
          <w:color w:val="000000" w:themeColor="text1"/>
          <w:szCs w:val="22"/>
        </w:rPr>
        <w:t xml:space="preserve"> (AC 4.1)</w:t>
      </w:r>
      <w:r w:rsidR="00663AA9">
        <w:rPr>
          <w:rFonts w:cs="Arial"/>
          <w:color w:val="000000" w:themeColor="text1"/>
          <w:szCs w:val="22"/>
        </w:rPr>
        <w:tab/>
      </w:r>
    </w:p>
    <w:p w14:paraId="60466E2E" w14:textId="1E4A01D0" w:rsidR="007908F9" w:rsidRPr="00BE0EB0" w:rsidRDefault="006812BF" w:rsidP="00663AA9">
      <w:pPr>
        <w:spacing w:after="120" w:line="276" w:lineRule="auto"/>
        <w:rPr>
          <w:rFonts w:cs="Arial"/>
          <w:color w:val="000000" w:themeColor="text1"/>
          <w:szCs w:val="22"/>
          <w:highlight w:val="yellow"/>
        </w:rPr>
      </w:pPr>
      <w:r w:rsidRPr="00BE0EB0">
        <w:rPr>
          <w:rFonts w:cs="Arial"/>
          <w:color w:val="000000" w:themeColor="text1"/>
          <w:szCs w:val="22"/>
          <w:highlight w:val="yellow"/>
        </w:rPr>
        <w:t>There are statutory minimums for payment of workers</w:t>
      </w:r>
      <w:r w:rsidR="00B7737C" w:rsidRPr="00BE0EB0">
        <w:rPr>
          <w:rFonts w:cs="Arial"/>
          <w:color w:val="000000" w:themeColor="text1"/>
          <w:szCs w:val="22"/>
          <w:highlight w:val="yellow"/>
        </w:rPr>
        <w:t xml:space="preserve"> under the </w:t>
      </w:r>
      <w:r w:rsidR="002302F3" w:rsidRPr="00BE0EB0">
        <w:rPr>
          <w:rFonts w:cs="Arial"/>
          <w:color w:val="000000" w:themeColor="text1"/>
          <w:szCs w:val="22"/>
          <w:highlight w:val="yellow"/>
        </w:rPr>
        <w:t>National Minimum Wage Act 1998</w:t>
      </w:r>
      <w:r w:rsidR="001E51AE" w:rsidRPr="00BE0EB0">
        <w:rPr>
          <w:rFonts w:cs="Arial"/>
          <w:color w:val="000000" w:themeColor="text1"/>
          <w:szCs w:val="22"/>
          <w:highlight w:val="yellow"/>
        </w:rPr>
        <w:t>, which is regularly updated with government budgets</w:t>
      </w:r>
      <w:r w:rsidR="00C32949" w:rsidRPr="00BE0EB0">
        <w:rPr>
          <w:rFonts w:cs="Arial"/>
          <w:color w:val="000000" w:themeColor="text1"/>
          <w:szCs w:val="22"/>
          <w:highlight w:val="yellow"/>
        </w:rPr>
        <w:t xml:space="preserve">. </w:t>
      </w:r>
      <w:r w:rsidR="009C4630" w:rsidRPr="00BE0EB0">
        <w:rPr>
          <w:rFonts w:cs="Arial"/>
          <w:color w:val="000000" w:themeColor="text1"/>
          <w:szCs w:val="22"/>
          <w:highlight w:val="yellow"/>
        </w:rPr>
        <w:t>The minimum renumeration is on a scale, depending on the workers age</w:t>
      </w:r>
      <w:r w:rsidR="006C2CD3" w:rsidRPr="00BE0EB0">
        <w:rPr>
          <w:rFonts w:cs="Arial"/>
          <w:color w:val="000000" w:themeColor="text1"/>
          <w:szCs w:val="22"/>
          <w:highlight w:val="yellow"/>
        </w:rPr>
        <w:t xml:space="preserve">, for example </w:t>
      </w:r>
      <w:r w:rsidR="00592EDA" w:rsidRPr="00BE0EB0">
        <w:rPr>
          <w:rFonts w:cs="Arial"/>
          <w:color w:val="000000" w:themeColor="text1"/>
          <w:szCs w:val="22"/>
          <w:highlight w:val="yellow"/>
        </w:rPr>
        <w:t xml:space="preserve">under 18 </w:t>
      </w:r>
      <w:r w:rsidR="006C2CD3" w:rsidRPr="00BE0EB0">
        <w:rPr>
          <w:rFonts w:cs="Arial"/>
          <w:color w:val="000000" w:themeColor="text1"/>
          <w:szCs w:val="22"/>
          <w:highlight w:val="yellow"/>
        </w:rPr>
        <w:t xml:space="preserve">year olds are entitled to £6.40 per hour, </w:t>
      </w:r>
      <w:r w:rsidR="005D7599" w:rsidRPr="00BE0EB0">
        <w:rPr>
          <w:rFonts w:cs="Arial"/>
          <w:color w:val="000000" w:themeColor="text1"/>
          <w:szCs w:val="22"/>
          <w:highlight w:val="yellow"/>
        </w:rPr>
        <w:t xml:space="preserve">18-20 year olds are entitled to £8.60 per hour, </w:t>
      </w:r>
      <w:r w:rsidR="006C2CD3" w:rsidRPr="00BE0EB0">
        <w:rPr>
          <w:rFonts w:cs="Arial"/>
          <w:color w:val="000000" w:themeColor="text1"/>
          <w:szCs w:val="22"/>
          <w:highlight w:val="yellow"/>
        </w:rPr>
        <w:t xml:space="preserve">while </w:t>
      </w:r>
      <w:r w:rsidR="00EE0498" w:rsidRPr="00BE0EB0">
        <w:rPr>
          <w:rFonts w:cs="Arial"/>
          <w:color w:val="000000" w:themeColor="text1"/>
          <w:szCs w:val="22"/>
          <w:highlight w:val="yellow"/>
        </w:rPr>
        <w:t>over 21 year olds are entitled to £11.44 per hour</w:t>
      </w:r>
      <w:r w:rsidR="00F25A90" w:rsidRPr="00BE0EB0">
        <w:rPr>
          <w:rFonts w:cs="Arial"/>
          <w:color w:val="000000" w:themeColor="text1"/>
          <w:szCs w:val="22"/>
          <w:highlight w:val="yellow"/>
        </w:rPr>
        <w:t xml:space="preserve"> </w:t>
      </w:r>
      <w:sdt>
        <w:sdtPr>
          <w:rPr>
            <w:rFonts w:cs="Arial"/>
            <w:color w:val="000000" w:themeColor="text1"/>
            <w:szCs w:val="22"/>
            <w:highlight w:val="yellow"/>
          </w:rPr>
          <w:id w:val="-710337746"/>
          <w:citation/>
        </w:sdtPr>
        <w:sdtContent>
          <w:r w:rsidR="00F25A90" w:rsidRPr="00BE0EB0">
            <w:rPr>
              <w:rFonts w:cs="Arial"/>
              <w:color w:val="000000" w:themeColor="text1"/>
              <w:szCs w:val="22"/>
              <w:highlight w:val="yellow"/>
            </w:rPr>
            <w:fldChar w:fldCharType="begin"/>
          </w:r>
          <w:r w:rsidR="00F25A90" w:rsidRPr="00BE0EB0">
            <w:rPr>
              <w:rFonts w:cs="Arial"/>
              <w:color w:val="000000" w:themeColor="text1"/>
              <w:szCs w:val="22"/>
              <w:highlight w:val="yellow"/>
              <w:lang w:val="en-US"/>
            </w:rPr>
            <w:instrText xml:space="preserve"> CITATION ACA245 \l 1033 </w:instrText>
          </w:r>
          <w:r w:rsidR="00F25A90" w:rsidRPr="00BE0EB0">
            <w:rPr>
              <w:rFonts w:cs="Arial"/>
              <w:color w:val="000000" w:themeColor="text1"/>
              <w:szCs w:val="22"/>
              <w:highlight w:val="yellow"/>
            </w:rPr>
            <w:fldChar w:fldCharType="separate"/>
          </w:r>
          <w:r w:rsidR="0084748A" w:rsidRPr="0084748A">
            <w:rPr>
              <w:rFonts w:cs="Arial"/>
              <w:noProof/>
              <w:color w:val="000000" w:themeColor="text1"/>
              <w:szCs w:val="22"/>
              <w:highlight w:val="yellow"/>
              <w:lang w:val="en-US"/>
            </w:rPr>
            <w:t>(ACAS, 2024)</w:t>
          </w:r>
          <w:r w:rsidR="00F25A90" w:rsidRPr="00BE0EB0">
            <w:rPr>
              <w:rFonts w:cs="Arial"/>
              <w:color w:val="000000" w:themeColor="text1"/>
              <w:szCs w:val="22"/>
              <w:highlight w:val="yellow"/>
            </w:rPr>
            <w:fldChar w:fldCharType="end"/>
          </w:r>
        </w:sdtContent>
      </w:sdt>
      <w:r w:rsidR="00EE0498" w:rsidRPr="00BE0EB0">
        <w:rPr>
          <w:rFonts w:cs="Arial"/>
          <w:color w:val="000000" w:themeColor="text1"/>
          <w:szCs w:val="22"/>
          <w:highlight w:val="yellow"/>
        </w:rPr>
        <w:t xml:space="preserve">. Therefore, while creating set pay scales can </w:t>
      </w:r>
      <w:r w:rsidR="00EE486D" w:rsidRPr="00BE0EB0">
        <w:rPr>
          <w:rFonts w:cs="Arial"/>
          <w:color w:val="000000" w:themeColor="text1"/>
          <w:szCs w:val="22"/>
          <w:highlight w:val="yellow"/>
        </w:rPr>
        <w:t xml:space="preserve">help with pay transparency, </w:t>
      </w:r>
      <w:r w:rsidR="0007778B" w:rsidRPr="00BE0EB0">
        <w:rPr>
          <w:rFonts w:cs="Arial"/>
          <w:color w:val="000000" w:themeColor="text1"/>
          <w:szCs w:val="22"/>
          <w:highlight w:val="yellow"/>
        </w:rPr>
        <w:t xml:space="preserve">but </w:t>
      </w:r>
      <w:r w:rsidR="00EE486D" w:rsidRPr="00BE0EB0">
        <w:rPr>
          <w:rFonts w:cs="Arial"/>
          <w:color w:val="000000" w:themeColor="text1"/>
          <w:szCs w:val="22"/>
          <w:highlight w:val="yellow"/>
        </w:rPr>
        <w:t xml:space="preserve">in order to comply with the laws they would need to at least the </w:t>
      </w:r>
      <w:r w:rsidR="00F13011" w:rsidRPr="00BE0EB0">
        <w:rPr>
          <w:rFonts w:cs="Arial"/>
          <w:color w:val="000000" w:themeColor="text1"/>
          <w:szCs w:val="22"/>
          <w:highlight w:val="yellow"/>
        </w:rPr>
        <w:t>wage of the oldest worker.</w:t>
      </w:r>
      <w:r w:rsidR="00B84412" w:rsidRPr="00BE0EB0">
        <w:rPr>
          <w:rFonts w:cs="Arial"/>
          <w:color w:val="000000" w:themeColor="text1"/>
          <w:szCs w:val="22"/>
          <w:highlight w:val="yellow"/>
        </w:rPr>
        <w:t xml:space="preserve"> </w:t>
      </w:r>
      <w:r w:rsidR="00B20D7D" w:rsidRPr="00BE0EB0">
        <w:rPr>
          <w:rFonts w:cs="Arial"/>
          <w:color w:val="000000" w:themeColor="text1"/>
          <w:szCs w:val="22"/>
          <w:highlight w:val="yellow"/>
        </w:rPr>
        <w:t>Section 8 of the Empl</w:t>
      </w:r>
      <w:r w:rsidR="006B0B4D" w:rsidRPr="00BE0EB0">
        <w:rPr>
          <w:rFonts w:cs="Arial"/>
          <w:color w:val="000000" w:themeColor="text1"/>
          <w:szCs w:val="22"/>
          <w:highlight w:val="yellow"/>
        </w:rPr>
        <w:t xml:space="preserve">oyment Rights Act 1996 also requires all employees to </w:t>
      </w:r>
      <w:r w:rsidR="007908F9" w:rsidRPr="00BE0EB0">
        <w:rPr>
          <w:rFonts w:cs="Arial"/>
          <w:color w:val="000000" w:themeColor="text1"/>
          <w:szCs w:val="22"/>
          <w:highlight w:val="yellow"/>
        </w:rPr>
        <w:t xml:space="preserve">receive an itemised pay statement. </w:t>
      </w:r>
    </w:p>
    <w:p w14:paraId="19D49FCB" w14:textId="7D46EEC3" w:rsidR="00BE0EB0" w:rsidRDefault="007908F9" w:rsidP="00663AA9">
      <w:pPr>
        <w:spacing w:after="120" w:line="276" w:lineRule="auto"/>
        <w:rPr>
          <w:rFonts w:cs="Arial"/>
          <w:color w:val="000000" w:themeColor="text1"/>
          <w:szCs w:val="22"/>
          <w:highlight w:val="yellow"/>
        </w:rPr>
      </w:pPr>
      <w:r w:rsidRPr="00BE0EB0">
        <w:rPr>
          <w:rFonts w:cs="Arial"/>
          <w:color w:val="000000" w:themeColor="text1"/>
          <w:szCs w:val="22"/>
          <w:highlight w:val="yellow"/>
        </w:rPr>
        <w:t>There</w:t>
      </w:r>
      <w:r w:rsidR="00981508" w:rsidRPr="00BE0EB0">
        <w:rPr>
          <w:rFonts w:cs="Arial"/>
          <w:color w:val="000000" w:themeColor="text1"/>
          <w:szCs w:val="22"/>
          <w:highlight w:val="yellow"/>
        </w:rPr>
        <w:t xml:space="preserve"> may be tempted to recruit </w:t>
      </w:r>
      <w:r w:rsidR="00B7550C" w:rsidRPr="00BE0EB0">
        <w:rPr>
          <w:rFonts w:cs="Arial"/>
          <w:color w:val="000000" w:themeColor="text1"/>
          <w:szCs w:val="22"/>
          <w:highlight w:val="yellow"/>
        </w:rPr>
        <w:t>younger workers to avoid paying the National Livin</w:t>
      </w:r>
      <w:r w:rsidR="00EC0A10" w:rsidRPr="00BE0EB0">
        <w:rPr>
          <w:rFonts w:cs="Arial"/>
          <w:color w:val="000000" w:themeColor="text1"/>
          <w:szCs w:val="22"/>
          <w:highlight w:val="yellow"/>
        </w:rPr>
        <w:t>g</w:t>
      </w:r>
      <w:r w:rsidR="00B7550C" w:rsidRPr="00BE0EB0">
        <w:rPr>
          <w:rFonts w:cs="Arial"/>
          <w:color w:val="000000" w:themeColor="text1"/>
          <w:szCs w:val="22"/>
          <w:highlight w:val="yellow"/>
        </w:rPr>
        <w:t xml:space="preserve"> Wage, howe</w:t>
      </w:r>
      <w:r w:rsidR="00EC0A10" w:rsidRPr="00BE0EB0">
        <w:rPr>
          <w:rFonts w:cs="Arial"/>
          <w:color w:val="000000" w:themeColor="text1"/>
          <w:szCs w:val="22"/>
          <w:highlight w:val="yellow"/>
        </w:rPr>
        <w:t>ve</w:t>
      </w:r>
      <w:r w:rsidR="00B7550C" w:rsidRPr="00BE0EB0">
        <w:rPr>
          <w:rFonts w:cs="Arial"/>
          <w:color w:val="000000" w:themeColor="text1"/>
          <w:szCs w:val="22"/>
          <w:highlight w:val="yellow"/>
        </w:rPr>
        <w:t>r, this could potentially lead to age discrimination under the Equality Act 2010</w:t>
      </w:r>
      <w:r w:rsidR="00E86712" w:rsidRPr="00BE0EB0">
        <w:rPr>
          <w:rFonts w:cs="Arial"/>
          <w:color w:val="000000" w:themeColor="text1"/>
          <w:szCs w:val="22"/>
          <w:highlight w:val="yellow"/>
        </w:rPr>
        <w:t xml:space="preserve"> </w:t>
      </w:r>
      <w:sdt>
        <w:sdtPr>
          <w:rPr>
            <w:rFonts w:cs="Arial"/>
            <w:color w:val="000000" w:themeColor="text1"/>
            <w:szCs w:val="22"/>
            <w:highlight w:val="yellow"/>
          </w:rPr>
          <w:id w:val="-952546445"/>
          <w:citation/>
        </w:sdtPr>
        <w:sdtContent>
          <w:r w:rsidR="00D82946" w:rsidRPr="00BE0EB0">
            <w:rPr>
              <w:rFonts w:cs="Arial"/>
              <w:color w:val="000000" w:themeColor="text1"/>
              <w:szCs w:val="22"/>
              <w:highlight w:val="yellow"/>
            </w:rPr>
            <w:fldChar w:fldCharType="begin"/>
          </w:r>
          <w:r w:rsidR="00D82946" w:rsidRPr="00BE0EB0">
            <w:rPr>
              <w:rFonts w:cs="Arial"/>
              <w:color w:val="000000" w:themeColor="text1"/>
              <w:szCs w:val="22"/>
              <w:highlight w:val="yellow"/>
              <w:lang w:val="en-US"/>
            </w:rPr>
            <w:instrText xml:space="preserve"> CITATION Mar17 \l 1033 </w:instrText>
          </w:r>
          <w:r w:rsidR="00D82946" w:rsidRPr="00BE0EB0">
            <w:rPr>
              <w:rFonts w:cs="Arial"/>
              <w:color w:val="000000" w:themeColor="text1"/>
              <w:szCs w:val="22"/>
              <w:highlight w:val="yellow"/>
            </w:rPr>
            <w:fldChar w:fldCharType="separate"/>
          </w:r>
          <w:r w:rsidR="0084748A" w:rsidRPr="0084748A">
            <w:rPr>
              <w:rFonts w:cs="Arial"/>
              <w:noProof/>
              <w:color w:val="000000" w:themeColor="text1"/>
              <w:szCs w:val="22"/>
              <w:highlight w:val="yellow"/>
              <w:lang w:val="en-US"/>
            </w:rPr>
            <w:t>(Calnan, 2017)</w:t>
          </w:r>
          <w:r w:rsidR="00D82946" w:rsidRPr="00BE0EB0">
            <w:rPr>
              <w:rFonts w:cs="Arial"/>
              <w:color w:val="000000" w:themeColor="text1"/>
              <w:szCs w:val="22"/>
              <w:highlight w:val="yellow"/>
            </w:rPr>
            <w:fldChar w:fldCharType="end"/>
          </w:r>
        </w:sdtContent>
      </w:sdt>
      <w:r w:rsidR="00B7550C" w:rsidRPr="00BE0EB0">
        <w:rPr>
          <w:rFonts w:cs="Arial"/>
          <w:color w:val="000000" w:themeColor="text1"/>
          <w:szCs w:val="22"/>
          <w:highlight w:val="yellow"/>
        </w:rPr>
        <w:t>.</w:t>
      </w:r>
      <w:r w:rsidR="00981508" w:rsidRPr="00BE0EB0">
        <w:rPr>
          <w:rFonts w:cs="Arial"/>
          <w:color w:val="000000" w:themeColor="text1"/>
          <w:szCs w:val="22"/>
          <w:highlight w:val="yellow"/>
        </w:rPr>
        <w:t xml:space="preserve"> </w:t>
      </w:r>
      <w:r w:rsidR="004D3E24" w:rsidRPr="00BE0EB0">
        <w:rPr>
          <w:rFonts w:cs="Arial"/>
          <w:color w:val="000000" w:themeColor="text1"/>
          <w:szCs w:val="22"/>
          <w:highlight w:val="yellow"/>
        </w:rPr>
        <w:t>Paying workers £9 per hour may subject them to investigations by the HMRC</w:t>
      </w:r>
      <w:r w:rsidR="00EC0A10" w:rsidRPr="00BE0EB0">
        <w:rPr>
          <w:rFonts w:cs="Arial"/>
          <w:color w:val="000000" w:themeColor="text1"/>
          <w:szCs w:val="22"/>
          <w:highlight w:val="yellow"/>
        </w:rPr>
        <w:t>,</w:t>
      </w:r>
      <w:r w:rsidR="004D3E24" w:rsidRPr="00BE0EB0">
        <w:rPr>
          <w:rFonts w:cs="Arial"/>
          <w:color w:val="000000" w:themeColor="text1"/>
          <w:szCs w:val="22"/>
          <w:highlight w:val="yellow"/>
        </w:rPr>
        <w:t xml:space="preserve"> if </w:t>
      </w:r>
      <w:r w:rsidR="003D5317" w:rsidRPr="00BE0EB0">
        <w:rPr>
          <w:rFonts w:cs="Arial"/>
          <w:color w:val="000000" w:themeColor="text1"/>
          <w:szCs w:val="22"/>
          <w:highlight w:val="yellow"/>
        </w:rPr>
        <w:t xml:space="preserve">they have workers over 21 years of age. </w:t>
      </w:r>
      <w:r w:rsidR="00663AA9" w:rsidRPr="00BE0EB0">
        <w:rPr>
          <w:rFonts w:cs="Arial"/>
          <w:color w:val="000000" w:themeColor="text1"/>
          <w:szCs w:val="22"/>
          <w:highlight w:val="yellow"/>
        </w:rPr>
        <w:t xml:space="preserve">Employers must pay the rates to the employee as renumeration, so cannot withdraw other benefits from their pay, which would drop them below the NLW, as seen in </w:t>
      </w:r>
      <w:r w:rsidR="00663AA9" w:rsidRPr="00BE0EB0">
        <w:rPr>
          <w:rFonts w:cs="Arial"/>
          <w:i/>
          <w:iCs/>
          <w:color w:val="000000" w:themeColor="text1"/>
          <w:szCs w:val="22"/>
          <w:highlight w:val="yellow"/>
        </w:rPr>
        <w:t xml:space="preserve">Leisure Employment Services v HMRC (2007). </w:t>
      </w:r>
      <w:r w:rsidR="003D5317" w:rsidRPr="00BE0EB0">
        <w:rPr>
          <w:rFonts w:cs="Arial"/>
          <w:color w:val="000000" w:themeColor="text1"/>
          <w:szCs w:val="22"/>
          <w:highlight w:val="yellow"/>
        </w:rPr>
        <w:t xml:space="preserve">Likely implications from an HMRC investigation can include; back pay up to 6 years, </w:t>
      </w:r>
      <w:r w:rsidR="007C4E9C" w:rsidRPr="00BE0EB0">
        <w:rPr>
          <w:rFonts w:cs="Arial"/>
          <w:color w:val="000000" w:themeColor="text1"/>
          <w:szCs w:val="22"/>
          <w:highlight w:val="yellow"/>
        </w:rPr>
        <w:t>a fine up to £20,000 per employee</w:t>
      </w:r>
      <w:r w:rsidR="00AA123B" w:rsidRPr="00BE0EB0">
        <w:rPr>
          <w:rFonts w:cs="Arial"/>
          <w:color w:val="000000" w:themeColor="text1"/>
          <w:szCs w:val="22"/>
          <w:highlight w:val="yellow"/>
        </w:rPr>
        <w:t xml:space="preserve"> (As per the Enterprise and Employment Act 2015)</w:t>
      </w:r>
      <w:r w:rsidR="007C4E9C" w:rsidRPr="00BE0EB0">
        <w:rPr>
          <w:rFonts w:cs="Arial"/>
          <w:color w:val="000000" w:themeColor="text1"/>
          <w:szCs w:val="22"/>
          <w:highlight w:val="yellow"/>
        </w:rPr>
        <w:t>, criminal proceedings and public l</w:t>
      </w:r>
      <w:r w:rsidR="00E34C2A" w:rsidRPr="00BE0EB0">
        <w:rPr>
          <w:rFonts w:cs="Arial"/>
          <w:color w:val="000000" w:themeColor="text1"/>
          <w:szCs w:val="22"/>
          <w:highlight w:val="yellow"/>
        </w:rPr>
        <w:t>istings through the Department for Business and Trade</w:t>
      </w:r>
      <w:r w:rsidR="004B2D88" w:rsidRPr="00BE0EB0">
        <w:rPr>
          <w:rFonts w:cs="Arial"/>
          <w:color w:val="000000" w:themeColor="text1"/>
          <w:szCs w:val="22"/>
          <w:highlight w:val="yellow"/>
        </w:rPr>
        <w:t xml:space="preserve"> </w:t>
      </w:r>
      <w:sdt>
        <w:sdtPr>
          <w:rPr>
            <w:rFonts w:cs="Arial"/>
            <w:color w:val="000000" w:themeColor="text1"/>
            <w:szCs w:val="22"/>
            <w:highlight w:val="yellow"/>
          </w:rPr>
          <w:id w:val="2134981517"/>
          <w:citation/>
        </w:sdtPr>
        <w:sdtContent>
          <w:r w:rsidR="004B2D88" w:rsidRPr="00BE0EB0">
            <w:rPr>
              <w:rFonts w:cs="Arial"/>
              <w:color w:val="000000" w:themeColor="text1"/>
              <w:szCs w:val="22"/>
              <w:highlight w:val="yellow"/>
            </w:rPr>
            <w:fldChar w:fldCharType="begin"/>
          </w:r>
          <w:r w:rsidR="004B2D88" w:rsidRPr="00BE0EB0">
            <w:rPr>
              <w:rFonts w:cs="Arial"/>
              <w:color w:val="000000" w:themeColor="text1"/>
              <w:szCs w:val="22"/>
              <w:highlight w:val="yellow"/>
              <w:lang w:val="en-US"/>
            </w:rPr>
            <w:instrText xml:space="preserve"> CITATION GOV12 \l 1033 </w:instrText>
          </w:r>
          <w:r w:rsidR="004B2D88" w:rsidRPr="00BE0EB0">
            <w:rPr>
              <w:rFonts w:cs="Arial"/>
              <w:color w:val="000000" w:themeColor="text1"/>
              <w:szCs w:val="22"/>
              <w:highlight w:val="yellow"/>
            </w:rPr>
            <w:fldChar w:fldCharType="separate"/>
          </w:r>
          <w:r w:rsidR="0084748A" w:rsidRPr="0084748A">
            <w:rPr>
              <w:rFonts w:cs="Arial"/>
              <w:noProof/>
              <w:color w:val="000000" w:themeColor="text1"/>
              <w:szCs w:val="22"/>
              <w:highlight w:val="yellow"/>
              <w:lang w:val="en-US"/>
            </w:rPr>
            <w:t>(GOV.UK, 2012)</w:t>
          </w:r>
          <w:r w:rsidR="004B2D88" w:rsidRPr="00BE0EB0">
            <w:rPr>
              <w:rFonts w:cs="Arial"/>
              <w:color w:val="000000" w:themeColor="text1"/>
              <w:szCs w:val="22"/>
              <w:highlight w:val="yellow"/>
            </w:rPr>
            <w:fldChar w:fldCharType="end"/>
          </w:r>
        </w:sdtContent>
      </w:sdt>
      <w:r w:rsidR="00E34C2A" w:rsidRPr="00BE0EB0">
        <w:rPr>
          <w:rFonts w:cs="Arial"/>
          <w:color w:val="000000" w:themeColor="text1"/>
          <w:szCs w:val="22"/>
          <w:highlight w:val="yellow"/>
        </w:rPr>
        <w:t>.</w:t>
      </w:r>
      <w:r w:rsidR="00E46D0F" w:rsidRPr="00BE0EB0">
        <w:rPr>
          <w:rFonts w:cs="Arial"/>
          <w:color w:val="000000" w:themeColor="text1"/>
          <w:szCs w:val="22"/>
          <w:highlight w:val="yellow"/>
        </w:rPr>
        <w:t xml:space="preserve"> </w:t>
      </w:r>
    </w:p>
    <w:p w14:paraId="52B44AF6" w14:textId="52CDDADE" w:rsidR="00A87829" w:rsidRPr="00BE0EB0" w:rsidRDefault="005156B9" w:rsidP="00663AA9">
      <w:pPr>
        <w:spacing w:after="120" w:line="276" w:lineRule="auto"/>
        <w:rPr>
          <w:rFonts w:cs="Arial"/>
          <w:color w:val="000000" w:themeColor="text1"/>
          <w:szCs w:val="22"/>
          <w:highlight w:val="yellow"/>
        </w:rPr>
      </w:pPr>
      <w:r w:rsidRPr="00BE0EB0">
        <w:rPr>
          <w:rFonts w:cs="Arial"/>
          <w:color w:val="000000" w:themeColor="text1"/>
          <w:szCs w:val="22"/>
          <w:highlight w:val="yellow"/>
        </w:rPr>
        <w:lastRenderedPageBreak/>
        <w:t>A</w:t>
      </w:r>
      <w:r w:rsidR="00921A8E" w:rsidRPr="00BE0EB0">
        <w:rPr>
          <w:rFonts w:cs="Arial"/>
          <w:color w:val="000000" w:themeColor="text1"/>
          <w:szCs w:val="22"/>
          <w:highlight w:val="yellow"/>
        </w:rPr>
        <w:t>lternatively</w:t>
      </w:r>
      <w:r w:rsidRPr="00BE0EB0">
        <w:rPr>
          <w:rFonts w:cs="Arial"/>
          <w:color w:val="000000" w:themeColor="text1"/>
          <w:szCs w:val="22"/>
          <w:highlight w:val="yellow"/>
        </w:rPr>
        <w:t>, an employee can make a tribunal claim</w:t>
      </w:r>
      <w:r w:rsidR="00921A8E" w:rsidRPr="00BE0EB0">
        <w:rPr>
          <w:rFonts w:cs="Arial"/>
          <w:color w:val="000000" w:themeColor="text1"/>
          <w:szCs w:val="22"/>
          <w:highlight w:val="yellow"/>
        </w:rPr>
        <w:t xml:space="preserve"> to reclaim any discrepancies up to 2 years</w:t>
      </w:r>
      <w:r w:rsidR="007A5871">
        <w:rPr>
          <w:rFonts w:cs="Arial"/>
          <w:color w:val="000000" w:themeColor="text1"/>
          <w:szCs w:val="22"/>
          <w:highlight w:val="yellow"/>
        </w:rPr>
        <w:t xml:space="preserve"> </w:t>
      </w:r>
      <w:sdt>
        <w:sdtPr>
          <w:rPr>
            <w:rFonts w:cs="Arial"/>
            <w:color w:val="000000" w:themeColor="text1"/>
            <w:szCs w:val="22"/>
            <w:highlight w:val="yellow"/>
          </w:rPr>
          <w:id w:val="2132274645"/>
          <w:citation/>
        </w:sdtPr>
        <w:sdtContent>
          <w:r w:rsidR="007A5871">
            <w:rPr>
              <w:rFonts w:cs="Arial"/>
              <w:color w:val="000000" w:themeColor="text1"/>
              <w:szCs w:val="22"/>
              <w:highlight w:val="yellow"/>
            </w:rPr>
            <w:fldChar w:fldCharType="begin"/>
          </w:r>
          <w:r w:rsidR="007A5871">
            <w:rPr>
              <w:rFonts w:cs="Arial"/>
              <w:color w:val="000000" w:themeColor="text1"/>
              <w:szCs w:val="22"/>
              <w:highlight w:val="yellow"/>
              <w:lang w:val="en-US"/>
            </w:rPr>
            <w:instrText xml:space="preserve"> CITATION ACA237 \l 1033 </w:instrText>
          </w:r>
          <w:r w:rsidR="007A5871">
            <w:rPr>
              <w:rFonts w:cs="Arial"/>
              <w:color w:val="000000" w:themeColor="text1"/>
              <w:szCs w:val="22"/>
              <w:highlight w:val="yellow"/>
            </w:rPr>
            <w:fldChar w:fldCharType="separate"/>
          </w:r>
          <w:r w:rsidR="0084748A" w:rsidRPr="0084748A">
            <w:rPr>
              <w:rFonts w:cs="Arial"/>
              <w:noProof/>
              <w:color w:val="000000" w:themeColor="text1"/>
              <w:szCs w:val="22"/>
              <w:highlight w:val="yellow"/>
              <w:lang w:val="en-US"/>
            </w:rPr>
            <w:t>(ACAS, 2023)</w:t>
          </w:r>
          <w:r w:rsidR="007A5871">
            <w:rPr>
              <w:rFonts w:cs="Arial"/>
              <w:color w:val="000000" w:themeColor="text1"/>
              <w:szCs w:val="22"/>
              <w:highlight w:val="yellow"/>
            </w:rPr>
            <w:fldChar w:fldCharType="end"/>
          </w:r>
        </w:sdtContent>
      </w:sdt>
      <w:r w:rsidR="00A52320" w:rsidRPr="00BE0EB0">
        <w:rPr>
          <w:rFonts w:cs="Arial"/>
          <w:color w:val="000000" w:themeColor="text1"/>
          <w:szCs w:val="22"/>
          <w:highlight w:val="yellow"/>
        </w:rPr>
        <w:t>.</w:t>
      </w:r>
      <w:r w:rsidR="00D97807" w:rsidRPr="00BE0EB0">
        <w:rPr>
          <w:rFonts w:cs="Arial"/>
          <w:color w:val="000000" w:themeColor="text1"/>
          <w:szCs w:val="22"/>
          <w:highlight w:val="yellow"/>
        </w:rPr>
        <w:t xml:space="preserve"> P</w:t>
      </w:r>
      <w:r w:rsidR="00A44127" w:rsidRPr="00BE0EB0">
        <w:rPr>
          <w:rFonts w:cs="Arial"/>
          <w:color w:val="000000" w:themeColor="text1"/>
          <w:szCs w:val="22"/>
          <w:highlight w:val="yellow"/>
        </w:rPr>
        <w:t>aying below minimum wage</w:t>
      </w:r>
      <w:r w:rsidR="00FD4B6D">
        <w:rPr>
          <w:rFonts w:cs="Arial"/>
          <w:color w:val="000000" w:themeColor="text1"/>
          <w:szCs w:val="22"/>
          <w:highlight w:val="yellow"/>
        </w:rPr>
        <w:t xml:space="preserve"> </w:t>
      </w:r>
      <w:r w:rsidR="00633AFC" w:rsidRPr="00BE0EB0">
        <w:rPr>
          <w:rFonts w:cs="Arial"/>
          <w:color w:val="000000" w:themeColor="text1"/>
          <w:szCs w:val="22"/>
          <w:highlight w:val="yellow"/>
        </w:rPr>
        <w:t xml:space="preserve">may </w:t>
      </w:r>
      <w:r w:rsidR="00FD4B6D">
        <w:rPr>
          <w:rFonts w:cs="Arial"/>
          <w:color w:val="000000" w:themeColor="text1"/>
          <w:szCs w:val="22"/>
          <w:highlight w:val="yellow"/>
        </w:rPr>
        <w:t xml:space="preserve">result in </w:t>
      </w:r>
      <w:r w:rsidR="00633AFC" w:rsidRPr="00BE0EB0">
        <w:rPr>
          <w:rFonts w:cs="Arial"/>
          <w:color w:val="000000" w:themeColor="text1"/>
          <w:szCs w:val="22"/>
          <w:highlight w:val="yellow"/>
        </w:rPr>
        <w:t>recruitment and retention problem</w:t>
      </w:r>
      <w:r w:rsidR="00FD4B6D">
        <w:rPr>
          <w:rFonts w:cs="Arial"/>
          <w:color w:val="000000" w:themeColor="text1"/>
          <w:szCs w:val="22"/>
          <w:highlight w:val="yellow"/>
        </w:rPr>
        <w:t>s</w:t>
      </w:r>
      <w:r w:rsidR="00633AFC" w:rsidRPr="00BE0EB0">
        <w:rPr>
          <w:rFonts w:cs="Arial"/>
          <w:color w:val="000000" w:themeColor="text1"/>
          <w:szCs w:val="22"/>
          <w:highlight w:val="yellow"/>
        </w:rPr>
        <w:t>,</w:t>
      </w:r>
      <w:r w:rsidR="00397D37" w:rsidRPr="00BE0EB0">
        <w:rPr>
          <w:rFonts w:cs="Arial"/>
          <w:color w:val="000000" w:themeColor="text1"/>
          <w:szCs w:val="22"/>
          <w:highlight w:val="yellow"/>
        </w:rPr>
        <w:t xml:space="preserve"> with employees seeking the best rates of pay locally</w:t>
      </w:r>
      <w:r w:rsidR="00E6284D" w:rsidRPr="00BE0EB0">
        <w:rPr>
          <w:rFonts w:cs="Arial"/>
          <w:color w:val="000000" w:themeColor="text1"/>
          <w:szCs w:val="22"/>
          <w:highlight w:val="yellow"/>
        </w:rPr>
        <w:t xml:space="preserve"> </w:t>
      </w:r>
      <w:sdt>
        <w:sdtPr>
          <w:rPr>
            <w:rFonts w:cs="Arial"/>
            <w:color w:val="000000" w:themeColor="text1"/>
            <w:szCs w:val="22"/>
            <w:highlight w:val="yellow"/>
          </w:rPr>
          <w:id w:val="233436511"/>
          <w:citation/>
        </w:sdtPr>
        <w:sdtContent>
          <w:r w:rsidR="00E6284D" w:rsidRPr="00BE0EB0">
            <w:rPr>
              <w:rFonts w:cs="Arial"/>
              <w:color w:val="000000" w:themeColor="text1"/>
              <w:szCs w:val="22"/>
              <w:highlight w:val="yellow"/>
            </w:rPr>
            <w:fldChar w:fldCharType="begin"/>
          </w:r>
          <w:r w:rsidR="00E6284D" w:rsidRPr="00BE0EB0">
            <w:rPr>
              <w:rFonts w:cs="Arial"/>
              <w:color w:val="000000" w:themeColor="text1"/>
              <w:szCs w:val="22"/>
              <w:highlight w:val="yellow"/>
              <w:lang w:val="en-US"/>
            </w:rPr>
            <w:instrText xml:space="preserve"> CITATION Isa24 \l 1033 </w:instrText>
          </w:r>
          <w:r w:rsidR="00E6284D" w:rsidRPr="00BE0EB0">
            <w:rPr>
              <w:rFonts w:cs="Arial"/>
              <w:color w:val="000000" w:themeColor="text1"/>
              <w:szCs w:val="22"/>
              <w:highlight w:val="yellow"/>
            </w:rPr>
            <w:fldChar w:fldCharType="separate"/>
          </w:r>
          <w:r w:rsidR="0084748A" w:rsidRPr="0084748A">
            <w:rPr>
              <w:rFonts w:cs="Arial"/>
              <w:noProof/>
              <w:color w:val="000000" w:themeColor="text1"/>
              <w:szCs w:val="22"/>
              <w:highlight w:val="yellow"/>
              <w:lang w:val="en-US"/>
            </w:rPr>
            <w:t>(Jackson, 2024)</w:t>
          </w:r>
          <w:r w:rsidR="00E6284D" w:rsidRPr="00BE0EB0">
            <w:rPr>
              <w:rFonts w:cs="Arial"/>
              <w:color w:val="000000" w:themeColor="text1"/>
              <w:szCs w:val="22"/>
              <w:highlight w:val="yellow"/>
            </w:rPr>
            <w:fldChar w:fldCharType="end"/>
          </w:r>
        </w:sdtContent>
      </w:sdt>
      <w:r w:rsidR="00397D37" w:rsidRPr="00BE0EB0">
        <w:rPr>
          <w:rFonts w:cs="Arial"/>
          <w:color w:val="000000" w:themeColor="text1"/>
          <w:szCs w:val="22"/>
          <w:highlight w:val="yellow"/>
        </w:rPr>
        <w:t xml:space="preserve">. Further, claims of </w:t>
      </w:r>
      <w:r w:rsidR="006016DF" w:rsidRPr="00BE0EB0">
        <w:rPr>
          <w:rFonts w:cs="Arial"/>
          <w:color w:val="000000" w:themeColor="text1"/>
          <w:szCs w:val="22"/>
          <w:highlight w:val="yellow"/>
        </w:rPr>
        <w:t xml:space="preserve">breaching minimum wage can have catastrophic implications on the reputation of the business. </w:t>
      </w:r>
      <w:r w:rsidR="0004545F" w:rsidRPr="00BE0EB0">
        <w:rPr>
          <w:rFonts w:cs="Arial"/>
          <w:color w:val="000000" w:themeColor="text1"/>
          <w:szCs w:val="22"/>
          <w:highlight w:val="yellow"/>
        </w:rPr>
        <w:t>They may find that having a negative reputation will affect sales due to their perceived lack of social responsibility</w:t>
      </w:r>
      <w:r w:rsidR="00A87829" w:rsidRPr="00BE0EB0">
        <w:rPr>
          <w:rFonts w:cs="Arial"/>
          <w:color w:val="000000" w:themeColor="text1"/>
          <w:szCs w:val="22"/>
          <w:highlight w:val="yellow"/>
        </w:rPr>
        <w:t xml:space="preserve"> </w:t>
      </w:r>
      <w:sdt>
        <w:sdtPr>
          <w:rPr>
            <w:rFonts w:cs="Arial"/>
            <w:color w:val="000000" w:themeColor="text1"/>
            <w:szCs w:val="22"/>
            <w:highlight w:val="yellow"/>
          </w:rPr>
          <w:id w:val="-1443453120"/>
          <w:citation/>
        </w:sdtPr>
        <w:sdtContent>
          <w:r w:rsidR="00A87829" w:rsidRPr="00BE0EB0">
            <w:rPr>
              <w:rFonts w:cs="Arial"/>
              <w:color w:val="000000" w:themeColor="text1"/>
              <w:szCs w:val="22"/>
              <w:highlight w:val="yellow"/>
            </w:rPr>
            <w:fldChar w:fldCharType="begin"/>
          </w:r>
          <w:r w:rsidR="00A87829" w:rsidRPr="00BE0EB0">
            <w:rPr>
              <w:rFonts w:cs="Arial"/>
              <w:color w:val="000000" w:themeColor="text1"/>
              <w:szCs w:val="22"/>
              <w:highlight w:val="yellow"/>
              <w:lang w:val="en-US"/>
            </w:rPr>
            <w:instrText xml:space="preserve"> CITATION GOV21 \l 1033 </w:instrText>
          </w:r>
          <w:r w:rsidR="00A87829" w:rsidRPr="00BE0EB0">
            <w:rPr>
              <w:rFonts w:cs="Arial"/>
              <w:color w:val="000000" w:themeColor="text1"/>
              <w:szCs w:val="22"/>
              <w:highlight w:val="yellow"/>
            </w:rPr>
            <w:fldChar w:fldCharType="separate"/>
          </w:r>
          <w:r w:rsidR="0084748A" w:rsidRPr="0084748A">
            <w:rPr>
              <w:rFonts w:cs="Arial"/>
              <w:noProof/>
              <w:color w:val="000000" w:themeColor="text1"/>
              <w:szCs w:val="22"/>
              <w:highlight w:val="yellow"/>
              <w:lang w:val="en-US"/>
            </w:rPr>
            <w:t>(GOV.UK, 2021)</w:t>
          </w:r>
          <w:r w:rsidR="00A87829" w:rsidRPr="00BE0EB0">
            <w:rPr>
              <w:rFonts w:cs="Arial"/>
              <w:color w:val="000000" w:themeColor="text1"/>
              <w:szCs w:val="22"/>
              <w:highlight w:val="yellow"/>
            </w:rPr>
            <w:fldChar w:fldCharType="end"/>
          </w:r>
        </w:sdtContent>
      </w:sdt>
      <w:r w:rsidR="00E6284D" w:rsidRPr="00BE0EB0">
        <w:rPr>
          <w:rFonts w:cs="Arial"/>
          <w:color w:val="000000" w:themeColor="text1"/>
          <w:szCs w:val="22"/>
          <w:highlight w:val="yellow"/>
        </w:rPr>
        <w:t>.</w:t>
      </w:r>
      <w:r w:rsidR="001C0FCF" w:rsidRPr="00BE0EB0">
        <w:rPr>
          <w:rFonts w:cs="Arial"/>
          <w:color w:val="000000" w:themeColor="text1"/>
          <w:szCs w:val="22"/>
          <w:highlight w:val="yellow"/>
        </w:rPr>
        <w:t xml:space="preserve"> Further, there are some limited on the numbers of hours younger people can work, for example under 18 cannot work more than 8 hours per day or 40 per week </w:t>
      </w:r>
      <w:sdt>
        <w:sdtPr>
          <w:rPr>
            <w:rFonts w:cs="Arial"/>
            <w:color w:val="000000" w:themeColor="text1"/>
            <w:szCs w:val="22"/>
            <w:highlight w:val="yellow"/>
          </w:rPr>
          <w:id w:val="-25103402"/>
          <w:citation/>
        </w:sdtPr>
        <w:sdtContent>
          <w:r w:rsidR="001C0FCF" w:rsidRPr="00BE0EB0">
            <w:rPr>
              <w:rFonts w:cs="Arial"/>
              <w:color w:val="000000" w:themeColor="text1"/>
              <w:szCs w:val="22"/>
              <w:highlight w:val="yellow"/>
            </w:rPr>
            <w:fldChar w:fldCharType="begin"/>
          </w:r>
          <w:r w:rsidR="001C0FCF" w:rsidRPr="00BE0EB0">
            <w:rPr>
              <w:rFonts w:cs="Arial"/>
              <w:color w:val="000000" w:themeColor="text1"/>
              <w:szCs w:val="22"/>
              <w:highlight w:val="yellow"/>
              <w:lang w:val="en-US"/>
            </w:rPr>
            <w:instrText xml:space="preserve">CITATION Pay24 \l 1033 </w:instrText>
          </w:r>
          <w:r w:rsidR="001C0FCF" w:rsidRPr="00BE0EB0">
            <w:rPr>
              <w:rFonts w:cs="Arial"/>
              <w:color w:val="000000" w:themeColor="text1"/>
              <w:szCs w:val="22"/>
              <w:highlight w:val="yellow"/>
            </w:rPr>
            <w:fldChar w:fldCharType="separate"/>
          </w:r>
          <w:r w:rsidR="0084748A" w:rsidRPr="0084748A">
            <w:rPr>
              <w:rFonts w:cs="Arial"/>
              <w:noProof/>
              <w:color w:val="000000" w:themeColor="text1"/>
              <w:szCs w:val="22"/>
              <w:highlight w:val="yellow"/>
              <w:lang w:val="en-US"/>
            </w:rPr>
            <w:t>(ACAS, 2024)</w:t>
          </w:r>
          <w:r w:rsidR="001C0FCF" w:rsidRPr="00BE0EB0">
            <w:rPr>
              <w:rFonts w:cs="Arial"/>
              <w:color w:val="000000" w:themeColor="text1"/>
              <w:szCs w:val="22"/>
              <w:highlight w:val="yellow"/>
            </w:rPr>
            <w:fldChar w:fldCharType="end"/>
          </w:r>
        </w:sdtContent>
      </w:sdt>
      <w:r w:rsidR="001C0FCF" w:rsidRPr="00663AA9">
        <w:rPr>
          <w:rFonts w:cs="Arial"/>
          <w:color w:val="000000" w:themeColor="text1"/>
          <w:szCs w:val="22"/>
        </w:rPr>
        <w:t>.</w:t>
      </w:r>
    </w:p>
    <w:p w14:paraId="1ED6B3DD" w14:textId="77777777" w:rsidR="000B677C" w:rsidRPr="00663AA9" w:rsidRDefault="000B677C" w:rsidP="00663AA9">
      <w:pPr>
        <w:spacing w:after="120" w:line="276" w:lineRule="auto"/>
        <w:rPr>
          <w:rFonts w:cs="Arial"/>
          <w:color w:val="000000" w:themeColor="text1"/>
          <w:szCs w:val="22"/>
        </w:rPr>
      </w:pPr>
    </w:p>
    <w:p w14:paraId="5E227AF4" w14:textId="77777777" w:rsidR="00CB35DB" w:rsidRPr="00663AA9" w:rsidRDefault="00CB35DB" w:rsidP="00663AA9">
      <w:pPr>
        <w:spacing w:after="120" w:line="276" w:lineRule="auto"/>
        <w:rPr>
          <w:rFonts w:cs="Arial"/>
          <w:color w:val="000000" w:themeColor="text1"/>
          <w:szCs w:val="22"/>
        </w:rPr>
      </w:pPr>
    </w:p>
    <w:p w14:paraId="19F1F52A" w14:textId="59A8024C" w:rsidR="00FB2778" w:rsidRPr="00663AA9" w:rsidRDefault="00A75E31" w:rsidP="00663AA9">
      <w:pPr>
        <w:spacing w:after="120" w:line="276" w:lineRule="auto"/>
        <w:rPr>
          <w:rFonts w:cs="Arial"/>
          <w:color w:val="000000" w:themeColor="text1"/>
          <w:szCs w:val="22"/>
        </w:rPr>
      </w:pPr>
      <w:r w:rsidRPr="00663AA9">
        <w:rPr>
          <w:rFonts w:cs="Arial"/>
          <w:color w:val="000000" w:themeColor="text1"/>
          <w:szCs w:val="22"/>
        </w:rPr>
        <w:t xml:space="preserve"> (AC 4.2</w:t>
      </w:r>
      <w:r w:rsidR="00FB2778" w:rsidRPr="00663AA9">
        <w:rPr>
          <w:rFonts w:cs="Arial"/>
          <w:color w:val="000000" w:themeColor="text1"/>
          <w:szCs w:val="22"/>
        </w:rPr>
        <w:t>)</w:t>
      </w:r>
    </w:p>
    <w:p w14:paraId="0E745DE8" w14:textId="02CCFD8D" w:rsidR="00CC6F62" w:rsidRPr="000C7420" w:rsidRDefault="002A4298" w:rsidP="00CC6F62">
      <w:pPr>
        <w:spacing w:after="120" w:line="276" w:lineRule="auto"/>
        <w:rPr>
          <w:rFonts w:cs="Arial"/>
          <w:color w:val="000000" w:themeColor="text1"/>
          <w:szCs w:val="22"/>
          <w:highlight w:val="yellow"/>
        </w:rPr>
      </w:pPr>
      <w:r w:rsidRPr="000C7420">
        <w:rPr>
          <w:rFonts w:cs="Arial"/>
          <w:color w:val="000000" w:themeColor="text1"/>
          <w:szCs w:val="22"/>
          <w:highlight w:val="yellow"/>
        </w:rPr>
        <w:t xml:space="preserve">Under the Working Time Regulations 1998, there are a minimum set of conditions which employers must follow. Working time can be defined as ‘…Any period which the individual is working, is at the employer’s disposal and is carrying out their activities or duties’ </w:t>
      </w:r>
      <w:sdt>
        <w:sdtPr>
          <w:rPr>
            <w:rFonts w:cs="Arial"/>
            <w:color w:val="000000" w:themeColor="text1"/>
            <w:szCs w:val="22"/>
            <w:highlight w:val="yellow"/>
          </w:rPr>
          <w:id w:val="1441950329"/>
          <w:citation/>
        </w:sdtPr>
        <w:sdtContent>
          <w:r w:rsidRPr="000C7420">
            <w:rPr>
              <w:rFonts w:cs="Arial"/>
              <w:color w:val="000000" w:themeColor="text1"/>
              <w:szCs w:val="22"/>
              <w:highlight w:val="yellow"/>
            </w:rPr>
            <w:fldChar w:fldCharType="begin"/>
          </w:r>
          <w:r w:rsidRPr="000C7420">
            <w:rPr>
              <w:rFonts w:cs="Arial"/>
              <w:color w:val="000000" w:themeColor="text1"/>
              <w:szCs w:val="22"/>
              <w:highlight w:val="yellow"/>
              <w:lang w:val="en-US"/>
            </w:rPr>
            <w:instrText xml:space="preserve"> CITATION CIP242 \l 1033 </w:instrText>
          </w:r>
          <w:r w:rsidRPr="000C7420">
            <w:rPr>
              <w:rFonts w:cs="Arial"/>
              <w:color w:val="000000" w:themeColor="text1"/>
              <w:szCs w:val="22"/>
              <w:highlight w:val="yellow"/>
            </w:rPr>
            <w:fldChar w:fldCharType="separate"/>
          </w:r>
          <w:r w:rsidR="0084748A" w:rsidRPr="0084748A">
            <w:rPr>
              <w:rFonts w:cs="Arial"/>
              <w:noProof/>
              <w:color w:val="000000" w:themeColor="text1"/>
              <w:szCs w:val="22"/>
              <w:highlight w:val="yellow"/>
              <w:lang w:val="en-US"/>
            </w:rPr>
            <w:t>(CIPD, 2024)</w:t>
          </w:r>
          <w:r w:rsidRPr="000C7420">
            <w:rPr>
              <w:rFonts w:cs="Arial"/>
              <w:color w:val="000000" w:themeColor="text1"/>
              <w:szCs w:val="22"/>
              <w:highlight w:val="yellow"/>
            </w:rPr>
            <w:fldChar w:fldCharType="end"/>
          </w:r>
        </w:sdtContent>
      </w:sdt>
      <w:r w:rsidR="008C02A7" w:rsidRPr="000C7420">
        <w:rPr>
          <w:rFonts w:cs="Arial"/>
          <w:color w:val="000000" w:themeColor="text1"/>
          <w:szCs w:val="22"/>
          <w:highlight w:val="yellow"/>
        </w:rPr>
        <w:t xml:space="preserve">. </w:t>
      </w:r>
      <w:r w:rsidR="00F1757F" w:rsidRPr="000C7420">
        <w:rPr>
          <w:rFonts w:cs="Arial"/>
          <w:color w:val="000000" w:themeColor="text1"/>
          <w:szCs w:val="22"/>
          <w:highlight w:val="yellow"/>
        </w:rPr>
        <w:t xml:space="preserve">Specifically, the </w:t>
      </w:r>
      <w:r w:rsidR="008C02A7" w:rsidRPr="000C7420">
        <w:rPr>
          <w:rFonts w:cs="Arial"/>
          <w:color w:val="000000" w:themeColor="text1"/>
          <w:szCs w:val="22"/>
          <w:highlight w:val="yellow"/>
        </w:rPr>
        <w:t xml:space="preserve">maximum </w:t>
      </w:r>
      <w:r w:rsidR="00F1757F" w:rsidRPr="000C7420">
        <w:rPr>
          <w:rFonts w:cs="Arial"/>
          <w:color w:val="000000" w:themeColor="text1"/>
          <w:szCs w:val="22"/>
          <w:highlight w:val="yellow"/>
        </w:rPr>
        <w:t>working hours are</w:t>
      </w:r>
      <w:r w:rsidR="008C02A7" w:rsidRPr="000C7420">
        <w:rPr>
          <w:rFonts w:cs="Arial"/>
          <w:color w:val="000000" w:themeColor="text1"/>
          <w:szCs w:val="22"/>
          <w:highlight w:val="yellow"/>
        </w:rPr>
        <w:t xml:space="preserve"> 48 hour per week (but can opt out if he is over 18), 5.6 weeks annual leave, 20 minutes rest in over 6 hour shifts, 11 hours’ rest in any 24 hour period, 24 hours’ rest in any 7 day period.</w:t>
      </w:r>
      <w:r w:rsidR="00CC6F62" w:rsidRPr="000C7420">
        <w:rPr>
          <w:rFonts w:cs="Arial"/>
          <w:color w:val="000000" w:themeColor="text1"/>
          <w:szCs w:val="22"/>
          <w:highlight w:val="yellow"/>
        </w:rPr>
        <w:t xml:space="preserve"> </w:t>
      </w:r>
    </w:p>
    <w:p w14:paraId="69ED43C2" w14:textId="2A08C366" w:rsidR="00CC6F62" w:rsidRPr="000C7420" w:rsidRDefault="00CC6F62" w:rsidP="00CC6F62">
      <w:pPr>
        <w:spacing w:after="120" w:line="276" w:lineRule="auto"/>
        <w:rPr>
          <w:rFonts w:cs="Arial"/>
          <w:color w:val="000000" w:themeColor="text1"/>
          <w:szCs w:val="22"/>
          <w:highlight w:val="yellow"/>
        </w:rPr>
      </w:pPr>
      <w:r w:rsidRPr="000C7420">
        <w:rPr>
          <w:rFonts w:cs="Arial"/>
          <w:color w:val="000000" w:themeColor="text1"/>
          <w:szCs w:val="22"/>
          <w:highlight w:val="yellow"/>
        </w:rPr>
        <w:t xml:space="preserve">As Kit would be classed as a worker, he will be entitled to </w:t>
      </w:r>
      <w:r w:rsidR="00633BF0" w:rsidRPr="000C7420">
        <w:rPr>
          <w:rFonts w:cs="Arial"/>
          <w:color w:val="000000" w:themeColor="text1"/>
          <w:szCs w:val="22"/>
          <w:highlight w:val="yellow"/>
        </w:rPr>
        <w:t>several</w:t>
      </w:r>
      <w:r w:rsidRPr="000C7420">
        <w:rPr>
          <w:rFonts w:cs="Arial"/>
          <w:color w:val="000000" w:themeColor="text1"/>
          <w:szCs w:val="22"/>
          <w:highlight w:val="yellow"/>
        </w:rPr>
        <w:t xml:space="preserve"> protections relating to working hours, time off and sickness</w:t>
      </w:r>
      <w:r w:rsidR="000C7420">
        <w:rPr>
          <w:rFonts w:cs="Arial"/>
          <w:color w:val="000000" w:themeColor="text1"/>
          <w:szCs w:val="22"/>
          <w:highlight w:val="yellow"/>
        </w:rPr>
        <w:t xml:space="preserve"> under the WTR</w:t>
      </w:r>
      <w:r w:rsidRPr="000C7420">
        <w:rPr>
          <w:rFonts w:cs="Arial"/>
          <w:color w:val="000000" w:themeColor="text1"/>
          <w:szCs w:val="22"/>
          <w:highlight w:val="yellow"/>
        </w:rPr>
        <w:t xml:space="preserve">. There are also enhanced rights for night and young workers, although these may not apply as he is likely to be over 18 and not in work at 11pm. Kit’s hours and shifts do not comply with the regulations, as he is working too many long hours without adequate breaks. As it appears Kit has raised a grievance, it is in Charlotte’s interest to address Kit’s concerns, and make reasonable changes to ensure they comply with the regulations and their contract. </w:t>
      </w:r>
      <w:r w:rsidR="00A44F0C">
        <w:rPr>
          <w:rFonts w:cs="Arial"/>
          <w:color w:val="000000" w:themeColor="text1"/>
          <w:szCs w:val="22"/>
          <w:highlight w:val="yellow"/>
        </w:rPr>
        <w:t>It is in charlottes interest to ensure a fair grievance process</w:t>
      </w:r>
      <w:r w:rsidR="00D85D30">
        <w:rPr>
          <w:rFonts w:cs="Arial"/>
          <w:color w:val="000000" w:themeColor="text1"/>
          <w:szCs w:val="22"/>
          <w:highlight w:val="yellow"/>
        </w:rPr>
        <w:t xml:space="preserve">, ideally following the Aces Code of Conduct on </w:t>
      </w:r>
      <w:r w:rsidR="009727D2">
        <w:rPr>
          <w:rFonts w:cs="Arial"/>
          <w:color w:val="000000" w:themeColor="text1"/>
          <w:szCs w:val="22"/>
          <w:highlight w:val="yellow"/>
        </w:rPr>
        <w:t>Disciplinary</w:t>
      </w:r>
      <w:r w:rsidR="00D85D30">
        <w:rPr>
          <w:rFonts w:cs="Arial"/>
          <w:color w:val="000000" w:themeColor="text1"/>
          <w:szCs w:val="22"/>
          <w:highlight w:val="yellow"/>
        </w:rPr>
        <w:t xml:space="preserve"> and Grievance procedures </w:t>
      </w:r>
      <w:sdt>
        <w:sdtPr>
          <w:rPr>
            <w:rFonts w:cs="Arial"/>
            <w:color w:val="000000" w:themeColor="text1"/>
            <w:szCs w:val="22"/>
            <w:highlight w:val="yellow"/>
          </w:rPr>
          <w:id w:val="-1187433381"/>
          <w:citation/>
        </w:sdtPr>
        <w:sdtContent>
          <w:r w:rsidR="00461E88">
            <w:rPr>
              <w:rFonts w:cs="Arial"/>
              <w:color w:val="000000" w:themeColor="text1"/>
              <w:szCs w:val="22"/>
              <w:highlight w:val="yellow"/>
            </w:rPr>
            <w:fldChar w:fldCharType="begin"/>
          </w:r>
          <w:r w:rsidR="00461E88">
            <w:rPr>
              <w:rFonts w:cs="Arial"/>
              <w:color w:val="000000" w:themeColor="text1"/>
              <w:szCs w:val="22"/>
              <w:highlight w:val="yellow"/>
              <w:lang w:val="en-US"/>
            </w:rPr>
            <w:instrText xml:space="preserve"> CITATION ACA151 \l 1033 </w:instrText>
          </w:r>
          <w:r w:rsidR="00461E88">
            <w:rPr>
              <w:rFonts w:cs="Arial"/>
              <w:color w:val="000000" w:themeColor="text1"/>
              <w:szCs w:val="22"/>
              <w:highlight w:val="yellow"/>
            </w:rPr>
            <w:fldChar w:fldCharType="separate"/>
          </w:r>
          <w:r w:rsidR="0084748A" w:rsidRPr="0084748A">
            <w:rPr>
              <w:rFonts w:cs="Arial"/>
              <w:noProof/>
              <w:color w:val="000000" w:themeColor="text1"/>
              <w:szCs w:val="22"/>
              <w:highlight w:val="yellow"/>
              <w:lang w:val="en-US"/>
            </w:rPr>
            <w:t>(ACAS, 2015)</w:t>
          </w:r>
          <w:r w:rsidR="00461E88">
            <w:rPr>
              <w:rFonts w:cs="Arial"/>
              <w:color w:val="000000" w:themeColor="text1"/>
              <w:szCs w:val="22"/>
              <w:highlight w:val="yellow"/>
            </w:rPr>
            <w:fldChar w:fldCharType="end"/>
          </w:r>
        </w:sdtContent>
      </w:sdt>
      <w:r w:rsidR="00461E88">
        <w:rPr>
          <w:rFonts w:cs="Arial"/>
          <w:color w:val="000000" w:themeColor="text1"/>
          <w:szCs w:val="22"/>
          <w:highlight w:val="yellow"/>
        </w:rPr>
        <w:t xml:space="preserve">. </w:t>
      </w:r>
      <w:r w:rsidR="00B07535" w:rsidRPr="000C7420">
        <w:rPr>
          <w:rFonts w:cs="Arial"/>
          <w:color w:val="000000" w:themeColor="text1"/>
          <w:szCs w:val="22"/>
          <w:highlight w:val="yellow"/>
        </w:rPr>
        <w:t xml:space="preserve">However, if Kit </w:t>
      </w:r>
      <w:r w:rsidR="00553A92" w:rsidRPr="000C7420">
        <w:rPr>
          <w:rFonts w:cs="Arial"/>
          <w:color w:val="000000" w:themeColor="text1"/>
          <w:szCs w:val="22"/>
          <w:highlight w:val="yellow"/>
        </w:rPr>
        <w:t>were to resign, a breach of Working Time regulations would fall under the category of automatic unfair dismissal</w:t>
      </w:r>
      <w:r w:rsidR="002841D3">
        <w:rPr>
          <w:rFonts w:cs="Arial"/>
          <w:color w:val="000000" w:themeColor="text1"/>
          <w:szCs w:val="22"/>
          <w:highlight w:val="yellow"/>
        </w:rPr>
        <w:t xml:space="preserve">, so </w:t>
      </w:r>
      <w:r w:rsidR="003419EC">
        <w:rPr>
          <w:rFonts w:cs="Arial"/>
          <w:color w:val="000000" w:themeColor="text1"/>
          <w:szCs w:val="22"/>
          <w:highlight w:val="yellow"/>
        </w:rPr>
        <w:t>the claim would be</w:t>
      </w:r>
      <w:r w:rsidR="002841D3">
        <w:rPr>
          <w:rFonts w:cs="Arial"/>
          <w:color w:val="000000" w:themeColor="text1"/>
          <w:szCs w:val="22"/>
          <w:highlight w:val="yellow"/>
        </w:rPr>
        <w:t xml:space="preserve"> valid immediately </w:t>
      </w:r>
      <w:sdt>
        <w:sdtPr>
          <w:rPr>
            <w:rFonts w:cs="Arial"/>
            <w:color w:val="000000" w:themeColor="text1"/>
            <w:szCs w:val="22"/>
            <w:highlight w:val="yellow"/>
          </w:rPr>
          <w:id w:val="972482930"/>
          <w:citation/>
        </w:sdtPr>
        <w:sdtContent>
          <w:r w:rsidR="00080C81">
            <w:rPr>
              <w:rFonts w:cs="Arial"/>
              <w:color w:val="000000" w:themeColor="text1"/>
              <w:szCs w:val="22"/>
              <w:highlight w:val="yellow"/>
            </w:rPr>
            <w:fldChar w:fldCharType="begin"/>
          </w:r>
          <w:r w:rsidR="00080C81">
            <w:rPr>
              <w:rFonts w:cs="Arial"/>
              <w:color w:val="000000" w:themeColor="text1"/>
              <w:szCs w:val="22"/>
              <w:highlight w:val="yellow"/>
              <w:lang w:val="en-US"/>
            </w:rPr>
            <w:instrText xml:space="preserve"> CITATION ACA222 \l 1033 </w:instrText>
          </w:r>
          <w:r w:rsidR="00080C81">
            <w:rPr>
              <w:rFonts w:cs="Arial"/>
              <w:color w:val="000000" w:themeColor="text1"/>
              <w:szCs w:val="22"/>
              <w:highlight w:val="yellow"/>
            </w:rPr>
            <w:fldChar w:fldCharType="separate"/>
          </w:r>
          <w:r w:rsidR="0084748A" w:rsidRPr="0084748A">
            <w:rPr>
              <w:rFonts w:cs="Arial"/>
              <w:noProof/>
              <w:color w:val="000000" w:themeColor="text1"/>
              <w:szCs w:val="22"/>
              <w:highlight w:val="yellow"/>
              <w:lang w:val="en-US"/>
            </w:rPr>
            <w:t>(ACAS, 2022)</w:t>
          </w:r>
          <w:r w:rsidR="00080C81">
            <w:rPr>
              <w:rFonts w:cs="Arial"/>
              <w:color w:val="000000" w:themeColor="text1"/>
              <w:szCs w:val="22"/>
              <w:highlight w:val="yellow"/>
            </w:rPr>
            <w:fldChar w:fldCharType="end"/>
          </w:r>
        </w:sdtContent>
      </w:sdt>
      <w:r w:rsidR="00553A92" w:rsidRPr="000C7420">
        <w:rPr>
          <w:rFonts w:cs="Arial"/>
          <w:color w:val="000000" w:themeColor="text1"/>
          <w:szCs w:val="22"/>
          <w:highlight w:val="yellow"/>
        </w:rPr>
        <w:t xml:space="preserve">. </w:t>
      </w:r>
    </w:p>
    <w:p w14:paraId="1D3EF82B" w14:textId="2F261C09" w:rsidR="00CB35DB" w:rsidRPr="00663AA9" w:rsidRDefault="00744E07" w:rsidP="00663AA9">
      <w:pPr>
        <w:spacing w:after="120" w:line="276" w:lineRule="auto"/>
        <w:rPr>
          <w:rFonts w:cs="Arial"/>
          <w:color w:val="000000" w:themeColor="text1"/>
          <w:szCs w:val="22"/>
        </w:rPr>
      </w:pPr>
      <w:r w:rsidRPr="000C7420">
        <w:rPr>
          <w:rFonts w:cs="Arial"/>
          <w:color w:val="000000" w:themeColor="text1"/>
          <w:szCs w:val="22"/>
          <w:highlight w:val="yellow"/>
        </w:rPr>
        <w:t xml:space="preserve">Employers must ensure they are maintaining care of employees. </w:t>
      </w:r>
      <w:r w:rsidR="00D51508" w:rsidRPr="000C7420">
        <w:rPr>
          <w:rFonts w:cs="Arial"/>
          <w:color w:val="000000" w:themeColor="text1"/>
          <w:szCs w:val="22"/>
          <w:highlight w:val="yellow"/>
        </w:rPr>
        <w:t>Employers also have a duty to ensure adequate policies on health and sa</w:t>
      </w:r>
      <w:r w:rsidR="00A01045" w:rsidRPr="000C7420">
        <w:rPr>
          <w:rFonts w:cs="Arial"/>
          <w:color w:val="000000" w:themeColor="text1"/>
          <w:szCs w:val="22"/>
          <w:highlight w:val="yellow"/>
        </w:rPr>
        <w:t>fety. Within this duty is the protection against employees becoming overworked</w:t>
      </w:r>
      <w:r w:rsidR="00F64EF5" w:rsidRPr="000C7420">
        <w:rPr>
          <w:rFonts w:cs="Arial"/>
          <w:color w:val="000000" w:themeColor="text1"/>
          <w:szCs w:val="22"/>
          <w:highlight w:val="yellow"/>
        </w:rPr>
        <w:t xml:space="preserve">. </w:t>
      </w:r>
      <w:r w:rsidR="000C7998" w:rsidRPr="000C7420">
        <w:rPr>
          <w:rFonts w:cs="Arial"/>
          <w:color w:val="000000" w:themeColor="text1"/>
          <w:szCs w:val="22"/>
          <w:highlight w:val="yellow"/>
        </w:rPr>
        <w:t xml:space="preserve">Providing a limit on working hours </w:t>
      </w:r>
      <w:r w:rsidR="00DD4D08" w:rsidRPr="000C7420">
        <w:rPr>
          <w:rFonts w:cs="Arial"/>
          <w:color w:val="000000" w:themeColor="text1"/>
          <w:szCs w:val="22"/>
          <w:highlight w:val="yellow"/>
        </w:rPr>
        <w:t>ensures that employees are not exploited, or experience any negative health, safety and wellbeing repercussions.</w:t>
      </w:r>
      <w:r w:rsidR="00B31C13" w:rsidRPr="000C7420">
        <w:rPr>
          <w:rFonts w:cs="Arial"/>
          <w:color w:val="000000" w:themeColor="text1"/>
          <w:szCs w:val="22"/>
          <w:highlight w:val="yellow"/>
        </w:rPr>
        <w:t xml:space="preserve"> For example, sleep deprivation </w:t>
      </w:r>
      <w:r w:rsidR="00876B36" w:rsidRPr="000C7420">
        <w:rPr>
          <w:rFonts w:cs="Arial"/>
          <w:color w:val="000000" w:themeColor="text1"/>
          <w:szCs w:val="22"/>
          <w:highlight w:val="yellow"/>
        </w:rPr>
        <w:t xml:space="preserve">can lead to </w:t>
      </w:r>
      <w:r w:rsidR="005C2051" w:rsidRPr="000C7420">
        <w:rPr>
          <w:rFonts w:cs="Arial"/>
          <w:color w:val="000000" w:themeColor="text1"/>
          <w:szCs w:val="22"/>
          <w:highlight w:val="yellow"/>
        </w:rPr>
        <w:t>several</w:t>
      </w:r>
      <w:r w:rsidR="00876B36" w:rsidRPr="000C7420">
        <w:rPr>
          <w:rFonts w:cs="Arial"/>
          <w:color w:val="000000" w:themeColor="text1"/>
          <w:szCs w:val="22"/>
          <w:highlight w:val="yellow"/>
        </w:rPr>
        <w:t xml:space="preserve"> health factors, such as </w:t>
      </w:r>
      <w:r w:rsidR="0027354E" w:rsidRPr="000C7420">
        <w:rPr>
          <w:rFonts w:cs="Arial"/>
          <w:color w:val="000000" w:themeColor="text1"/>
          <w:szCs w:val="22"/>
          <w:highlight w:val="yellow"/>
        </w:rPr>
        <w:t>lack of concentration</w:t>
      </w:r>
      <w:r w:rsidR="00F83B18" w:rsidRPr="000C7420">
        <w:rPr>
          <w:rFonts w:cs="Arial"/>
          <w:color w:val="000000" w:themeColor="text1"/>
          <w:szCs w:val="22"/>
          <w:highlight w:val="yellow"/>
        </w:rPr>
        <w:t xml:space="preserve">, injury and chronic </w:t>
      </w:r>
      <w:r w:rsidR="00156EEE" w:rsidRPr="000C7420">
        <w:rPr>
          <w:rFonts w:cs="Arial"/>
          <w:color w:val="000000" w:themeColor="text1"/>
          <w:szCs w:val="22"/>
          <w:highlight w:val="yellow"/>
        </w:rPr>
        <w:t xml:space="preserve">health </w:t>
      </w:r>
      <w:r w:rsidR="00F83B18" w:rsidRPr="000C7420">
        <w:rPr>
          <w:rFonts w:cs="Arial"/>
          <w:color w:val="000000" w:themeColor="text1"/>
          <w:szCs w:val="22"/>
          <w:highlight w:val="yellow"/>
        </w:rPr>
        <w:t>problems</w:t>
      </w:r>
      <w:r w:rsidR="00156EEE" w:rsidRPr="000C7420">
        <w:rPr>
          <w:rFonts w:cs="Arial"/>
          <w:color w:val="000000" w:themeColor="text1"/>
          <w:szCs w:val="22"/>
          <w:highlight w:val="yellow"/>
        </w:rPr>
        <w:t xml:space="preserve"> </w:t>
      </w:r>
      <w:sdt>
        <w:sdtPr>
          <w:rPr>
            <w:rFonts w:cs="Arial"/>
            <w:color w:val="000000" w:themeColor="text1"/>
            <w:szCs w:val="22"/>
            <w:highlight w:val="yellow"/>
          </w:rPr>
          <w:id w:val="1794164248"/>
          <w:citation/>
        </w:sdtPr>
        <w:sdtContent>
          <w:r w:rsidR="00156EEE" w:rsidRPr="000C7420">
            <w:rPr>
              <w:rFonts w:cs="Arial"/>
              <w:color w:val="000000" w:themeColor="text1"/>
              <w:szCs w:val="22"/>
              <w:highlight w:val="yellow"/>
            </w:rPr>
            <w:fldChar w:fldCharType="begin"/>
          </w:r>
          <w:r w:rsidR="00156EEE" w:rsidRPr="000C7420">
            <w:rPr>
              <w:rFonts w:cs="Arial"/>
              <w:color w:val="000000" w:themeColor="text1"/>
              <w:szCs w:val="22"/>
              <w:highlight w:val="yellow"/>
              <w:lang w:val="en-US"/>
            </w:rPr>
            <w:instrText xml:space="preserve"> CITATION Nat221 \l 1033 </w:instrText>
          </w:r>
          <w:r w:rsidR="00156EEE" w:rsidRPr="000C7420">
            <w:rPr>
              <w:rFonts w:cs="Arial"/>
              <w:color w:val="000000" w:themeColor="text1"/>
              <w:szCs w:val="22"/>
              <w:highlight w:val="yellow"/>
            </w:rPr>
            <w:fldChar w:fldCharType="separate"/>
          </w:r>
          <w:r w:rsidR="0084748A" w:rsidRPr="0084748A">
            <w:rPr>
              <w:rFonts w:cs="Arial"/>
              <w:noProof/>
              <w:color w:val="000000" w:themeColor="text1"/>
              <w:szCs w:val="22"/>
              <w:highlight w:val="yellow"/>
              <w:lang w:val="en-US"/>
            </w:rPr>
            <w:t>(National Heart, Lung and blood instiute, 2022)</w:t>
          </w:r>
          <w:r w:rsidR="00156EEE" w:rsidRPr="000C7420">
            <w:rPr>
              <w:rFonts w:cs="Arial"/>
              <w:color w:val="000000" w:themeColor="text1"/>
              <w:szCs w:val="22"/>
              <w:highlight w:val="yellow"/>
            </w:rPr>
            <w:fldChar w:fldCharType="end"/>
          </w:r>
        </w:sdtContent>
      </w:sdt>
      <w:r w:rsidR="00C74CD2" w:rsidRPr="000C7420">
        <w:rPr>
          <w:rFonts w:cs="Arial"/>
          <w:color w:val="000000" w:themeColor="text1"/>
          <w:szCs w:val="22"/>
          <w:highlight w:val="yellow"/>
        </w:rPr>
        <w:t>.</w:t>
      </w:r>
      <w:r w:rsidR="00DD4D08" w:rsidRPr="000C7420">
        <w:rPr>
          <w:rFonts w:cs="Arial"/>
          <w:color w:val="000000" w:themeColor="text1"/>
          <w:szCs w:val="22"/>
          <w:highlight w:val="yellow"/>
        </w:rPr>
        <w:t xml:space="preserve"> </w:t>
      </w:r>
      <w:r w:rsidR="008E7FE1" w:rsidRPr="000C7420">
        <w:rPr>
          <w:rFonts w:cs="Arial"/>
          <w:color w:val="000000" w:themeColor="text1"/>
          <w:szCs w:val="22"/>
          <w:highlight w:val="yellow"/>
        </w:rPr>
        <w:t>Therefore, it is beneficial for employers to monitor their workers hours</w:t>
      </w:r>
      <w:r w:rsidR="00A162F8" w:rsidRPr="000C7420">
        <w:rPr>
          <w:rFonts w:cs="Arial"/>
          <w:color w:val="000000" w:themeColor="text1"/>
          <w:szCs w:val="22"/>
          <w:highlight w:val="yellow"/>
        </w:rPr>
        <w:t xml:space="preserve"> and leave, in addition to the legal requirements</w:t>
      </w:r>
      <w:r w:rsidR="002A4298" w:rsidRPr="000C7420">
        <w:rPr>
          <w:rFonts w:cs="Arial"/>
          <w:color w:val="000000" w:themeColor="text1"/>
          <w:szCs w:val="22"/>
          <w:highlight w:val="yellow"/>
        </w:rPr>
        <w:t>.</w:t>
      </w:r>
      <w:r w:rsidR="002A4298">
        <w:rPr>
          <w:rFonts w:cs="Arial"/>
          <w:color w:val="000000" w:themeColor="text1"/>
          <w:szCs w:val="22"/>
        </w:rPr>
        <w:t xml:space="preserve"> </w:t>
      </w:r>
    </w:p>
    <w:p w14:paraId="44336EFB" w14:textId="454ACB66" w:rsidR="00A75E31" w:rsidRPr="00663AA9" w:rsidRDefault="00A75E31" w:rsidP="00663AA9">
      <w:pPr>
        <w:spacing w:after="120" w:line="276" w:lineRule="auto"/>
        <w:rPr>
          <w:rFonts w:cs="Arial"/>
          <w:color w:val="000000" w:themeColor="text1"/>
          <w:szCs w:val="22"/>
        </w:rPr>
      </w:pPr>
      <w:r w:rsidRPr="00663AA9">
        <w:rPr>
          <w:rFonts w:cs="Arial"/>
          <w:color w:val="000000" w:themeColor="text1"/>
          <w:szCs w:val="22"/>
        </w:rPr>
        <w:t>(AC 4.3)</w:t>
      </w:r>
    </w:p>
    <w:p w14:paraId="2095A9A9" w14:textId="6FFF18F7" w:rsidR="00EB52DF" w:rsidRPr="00663AA9" w:rsidRDefault="00302A2E" w:rsidP="00663AA9">
      <w:pPr>
        <w:pStyle w:val="Nornal"/>
        <w:spacing w:line="276" w:lineRule="auto"/>
        <w:rPr>
          <w:color w:val="000000" w:themeColor="text1"/>
        </w:rPr>
      </w:pPr>
      <w:r w:rsidRPr="00663AA9">
        <w:rPr>
          <w:color w:val="000000" w:themeColor="text1"/>
        </w:rPr>
        <w:t>Coco is entitled to statutory maternity</w:t>
      </w:r>
      <w:r w:rsidR="00A65B80" w:rsidRPr="00663AA9">
        <w:rPr>
          <w:color w:val="000000" w:themeColor="text1"/>
        </w:rPr>
        <w:t xml:space="preserve"> leave and pay</w:t>
      </w:r>
      <w:r w:rsidR="00DC48BB" w:rsidRPr="00663AA9">
        <w:rPr>
          <w:color w:val="000000" w:themeColor="text1"/>
        </w:rPr>
        <w:t xml:space="preserve"> due to her tenure within the business. </w:t>
      </w:r>
      <w:r w:rsidR="00560893" w:rsidRPr="00663AA9">
        <w:rPr>
          <w:color w:val="000000" w:themeColor="text1"/>
        </w:rPr>
        <w:t xml:space="preserve">Maternity leave is an entitlement given on the first day of employment, however, </w:t>
      </w:r>
      <w:r w:rsidR="0074485E" w:rsidRPr="00663AA9">
        <w:rPr>
          <w:color w:val="000000" w:themeColor="text1"/>
        </w:rPr>
        <w:t>maternity</w:t>
      </w:r>
      <w:r w:rsidR="00560893" w:rsidRPr="00663AA9">
        <w:rPr>
          <w:color w:val="000000" w:themeColor="text1"/>
        </w:rPr>
        <w:t xml:space="preserve"> pay is only entitled after certain tenure. </w:t>
      </w:r>
      <w:r w:rsidR="00DC48BB" w:rsidRPr="00663AA9">
        <w:rPr>
          <w:color w:val="000000" w:themeColor="text1"/>
        </w:rPr>
        <w:t xml:space="preserve">Coco is entitled to the following leave rights; up to 52 weeks’ leave. Ordinary maternity leave </w:t>
      </w:r>
      <w:r w:rsidR="001334F0" w:rsidRPr="00663AA9">
        <w:rPr>
          <w:color w:val="000000" w:themeColor="text1"/>
        </w:rPr>
        <w:t xml:space="preserve">consists of the first 26 weeks, whereas additional maternity leave </w:t>
      </w:r>
      <w:r w:rsidR="009368F7" w:rsidRPr="00663AA9">
        <w:rPr>
          <w:color w:val="000000" w:themeColor="text1"/>
        </w:rPr>
        <w:t>consists</w:t>
      </w:r>
      <w:r w:rsidR="001334F0" w:rsidRPr="00663AA9">
        <w:rPr>
          <w:color w:val="000000" w:themeColor="text1"/>
        </w:rPr>
        <w:t xml:space="preserve"> of the last 26 weeks.</w:t>
      </w:r>
      <w:r w:rsidR="00BC5336" w:rsidRPr="00663AA9">
        <w:rPr>
          <w:color w:val="000000" w:themeColor="text1"/>
        </w:rPr>
        <w:t xml:space="preserve"> An employee can return at any point during their maternity leave, once they have </w:t>
      </w:r>
      <w:r w:rsidR="00D60517" w:rsidRPr="00663AA9">
        <w:rPr>
          <w:color w:val="000000" w:themeColor="text1"/>
        </w:rPr>
        <w:t>taken at least 2 weeks following the birth. In terms of maternity pay</w:t>
      </w:r>
      <w:r w:rsidR="006274D9" w:rsidRPr="00663AA9">
        <w:rPr>
          <w:color w:val="000000" w:themeColor="text1"/>
        </w:rPr>
        <w:t xml:space="preserve">, Coco is entitled to 39 </w:t>
      </w:r>
      <w:r w:rsidR="00DE2B61" w:rsidRPr="00663AA9">
        <w:rPr>
          <w:color w:val="000000" w:themeColor="text1"/>
        </w:rPr>
        <w:t>weeks’</w:t>
      </w:r>
      <w:r w:rsidR="006274D9" w:rsidRPr="00663AA9">
        <w:rPr>
          <w:color w:val="000000" w:themeColor="text1"/>
        </w:rPr>
        <w:t xml:space="preserve"> pay, consisting of 90% of average weekly pay </w:t>
      </w:r>
      <w:r w:rsidR="006274D9" w:rsidRPr="00663AA9">
        <w:rPr>
          <w:color w:val="000000" w:themeColor="text1"/>
        </w:rPr>
        <w:lastRenderedPageBreak/>
        <w:t xml:space="preserve">for the first 6 weeks, then </w:t>
      </w:r>
      <w:r w:rsidR="00850617" w:rsidRPr="00663AA9">
        <w:rPr>
          <w:color w:val="000000" w:themeColor="text1"/>
        </w:rPr>
        <w:t>the lower of 184.03 or 90% of their average weekly earnings for the following 33 weeks</w:t>
      </w:r>
      <w:r w:rsidR="009734F8" w:rsidRPr="00663AA9">
        <w:rPr>
          <w:color w:val="000000" w:themeColor="text1"/>
        </w:rPr>
        <w:t xml:space="preserve"> </w:t>
      </w:r>
      <w:sdt>
        <w:sdtPr>
          <w:rPr>
            <w:color w:val="000000" w:themeColor="text1"/>
          </w:rPr>
          <w:id w:val="1337884008"/>
          <w:citation/>
        </w:sdtPr>
        <w:sdtContent>
          <w:r w:rsidR="009734F8" w:rsidRPr="00663AA9">
            <w:rPr>
              <w:color w:val="000000" w:themeColor="text1"/>
            </w:rPr>
            <w:fldChar w:fldCharType="begin"/>
          </w:r>
          <w:r w:rsidR="009734F8" w:rsidRPr="00663AA9">
            <w:rPr>
              <w:color w:val="000000" w:themeColor="text1"/>
              <w:lang w:val="en-US"/>
            </w:rPr>
            <w:instrText xml:space="preserve"> CITATION GOV24 \l 1033 </w:instrText>
          </w:r>
          <w:r w:rsidR="009734F8" w:rsidRPr="00663AA9">
            <w:rPr>
              <w:color w:val="000000" w:themeColor="text1"/>
            </w:rPr>
            <w:fldChar w:fldCharType="separate"/>
          </w:r>
          <w:r w:rsidR="0084748A" w:rsidRPr="0084748A">
            <w:rPr>
              <w:noProof/>
              <w:color w:val="000000" w:themeColor="text1"/>
              <w:lang w:val="en-US"/>
            </w:rPr>
            <w:t>(GOV.UK, 2024)</w:t>
          </w:r>
          <w:r w:rsidR="009734F8" w:rsidRPr="00663AA9">
            <w:rPr>
              <w:color w:val="000000" w:themeColor="text1"/>
            </w:rPr>
            <w:fldChar w:fldCharType="end"/>
          </w:r>
        </w:sdtContent>
      </w:sdt>
      <w:r w:rsidR="00850617" w:rsidRPr="00663AA9">
        <w:rPr>
          <w:color w:val="000000" w:themeColor="text1"/>
        </w:rPr>
        <w:t>.</w:t>
      </w:r>
      <w:r w:rsidR="003F4488" w:rsidRPr="00663AA9">
        <w:rPr>
          <w:color w:val="000000" w:themeColor="text1"/>
        </w:rPr>
        <w:t xml:space="preserve"> The length of time away from the business is the decision of Coco,</w:t>
      </w:r>
      <w:r w:rsidR="009067B1" w:rsidRPr="00663AA9">
        <w:rPr>
          <w:color w:val="000000" w:themeColor="text1"/>
        </w:rPr>
        <w:t xml:space="preserve"> rather than the owners.</w:t>
      </w:r>
      <w:r w:rsidR="00C544F2" w:rsidRPr="00663AA9">
        <w:rPr>
          <w:color w:val="000000" w:themeColor="text1"/>
        </w:rPr>
        <w:t xml:space="preserve"> When Coco decides to return then there must be accommodations for her return. Specifically, if it is within </w:t>
      </w:r>
      <w:r w:rsidR="00DD3732" w:rsidRPr="00663AA9">
        <w:rPr>
          <w:color w:val="000000" w:themeColor="text1"/>
        </w:rPr>
        <w:t xml:space="preserve">OML then Coco has the right to return to the same job, </w:t>
      </w:r>
      <w:r w:rsidR="00966EB0" w:rsidRPr="00663AA9">
        <w:rPr>
          <w:color w:val="000000" w:themeColor="text1"/>
        </w:rPr>
        <w:t>but if she takes AML, then the role can be similar but must be of equal pay, benefits, seniority and location</w:t>
      </w:r>
      <w:r w:rsidR="00F853A0" w:rsidRPr="00663AA9">
        <w:rPr>
          <w:color w:val="000000" w:themeColor="text1"/>
        </w:rPr>
        <w:t>, as protected under Section 18 of The Equality Act 2010</w:t>
      </w:r>
      <w:r w:rsidR="00E304B9" w:rsidRPr="00663AA9">
        <w:rPr>
          <w:color w:val="000000" w:themeColor="text1"/>
        </w:rPr>
        <w:t>.</w:t>
      </w:r>
    </w:p>
    <w:p w14:paraId="175DA08D" w14:textId="77777777" w:rsidR="000D0D39" w:rsidRPr="00663AA9" w:rsidRDefault="000D0D39" w:rsidP="00663AA9">
      <w:pPr>
        <w:pStyle w:val="Nornal"/>
        <w:spacing w:line="276" w:lineRule="auto"/>
        <w:rPr>
          <w:color w:val="000000" w:themeColor="text1"/>
        </w:rPr>
      </w:pPr>
    </w:p>
    <w:p w14:paraId="350D7AB5" w14:textId="205FD317" w:rsidR="005020E6" w:rsidRPr="00663AA9" w:rsidRDefault="00967611" w:rsidP="00663AA9">
      <w:pPr>
        <w:pStyle w:val="Nornal"/>
        <w:spacing w:line="276" w:lineRule="auto"/>
        <w:rPr>
          <w:color w:val="000000" w:themeColor="text1"/>
        </w:rPr>
      </w:pPr>
      <w:r w:rsidRPr="00663AA9">
        <w:rPr>
          <w:color w:val="000000" w:themeColor="text1"/>
        </w:rPr>
        <w:t>Paternity leave</w:t>
      </w:r>
    </w:p>
    <w:p w14:paraId="5466BEDF" w14:textId="3FE1C483" w:rsidR="000D0D39" w:rsidRPr="00663AA9" w:rsidRDefault="006D1B3B" w:rsidP="00663AA9">
      <w:pPr>
        <w:pStyle w:val="Nornal"/>
        <w:spacing w:line="276" w:lineRule="auto"/>
        <w:rPr>
          <w:color w:val="000000" w:themeColor="text1"/>
        </w:rPr>
      </w:pPr>
      <w:r w:rsidRPr="00663AA9">
        <w:rPr>
          <w:color w:val="000000" w:themeColor="text1"/>
        </w:rPr>
        <w:t xml:space="preserve">Certain rights </w:t>
      </w:r>
      <w:r w:rsidR="00DE2B61" w:rsidRPr="00663AA9">
        <w:rPr>
          <w:color w:val="000000" w:themeColor="text1"/>
        </w:rPr>
        <w:t>extend</w:t>
      </w:r>
      <w:r w:rsidRPr="00663AA9">
        <w:rPr>
          <w:color w:val="000000" w:themeColor="text1"/>
        </w:rPr>
        <w:t xml:space="preserve"> to those who are entitled to pat</w:t>
      </w:r>
      <w:r w:rsidR="00A65CD5" w:rsidRPr="00663AA9">
        <w:rPr>
          <w:color w:val="000000" w:themeColor="text1"/>
        </w:rPr>
        <w:t xml:space="preserve">ernity leave </w:t>
      </w:r>
      <w:r w:rsidR="00C10AF0" w:rsidRPr="00663AA9">
        <w:rPr>
          <w:color w:val="000000" w:themeColor="text1"/>
        </w:rPr>
        <w:t>and pay</w:t>
      </w:r>
      <w:r w:rsidR="00A65CD5" w:rsidRPr="00663AA9">
        <w:rPr>
          <w:color w:val="000000" w:themeColor="text1"/>
        </w:rPr>
        <w:t xml:space="preserve">. </w:t>
      </w:r>
      <w:r w:rsidR="007B0AA7" w:rsidRPr="00663AA9">
        <w:rPr>
          <w:color w:val="000000" w:themeColor="text1"/>
        </w:rPr>
        <w:t xml:space="preserve">The </w:t>
      </w:r>
      <w:r w:rsidR="001146F2" w:rsidRPr="00663AA9">
        <w:rPr>
          <w:color w:val="000000" w:themeColor="text1"/>
        </w:rPr>
        <w:t>statutory paternity leave</w:t>
      </w:r>
      <w:r w:rsidR="00C10AF0" w:rsidRPr="00663AA9">
        <w:rPr>
          <w:color w:val="000000" w:themeColor="text1"/>
        </w:rPr>
        <w:t>n and pay</w:t>
      </w:r>
      <w:r w:rsidR="001146F2" w:rsidRPr="00663AA9">
        <w:rPr>
          <w:color w:val="000000" w:themeColor="text1"/>
        </w:rPr>
        <w:t xml:space="preserve"> is up to </w:t>
      </w:r>
      <w:r w:rsidR="00C10AF0" w:rsidRPr="00663AA9">
        <w:rPr>
          <w:color w:val="000000" w:themeColor="text1"/>
        </w:rPr>
        <w:t>2</w:t>
      </w:r>
      <w:r w:rsidR="001146F2" w:rsidRPr="00663AA9">
        <w:rPr>
          <w:color w:val="000000" w:themeColor="text1"/>
        </w:rPr>
        <w:t xml:space="preserve"> weeks, which they can take in</w:t>
      </w:r>
      <w:r w:rsidR="00C10AF0" w:rsidRPr="00663AA9">
        <w:rPr>
          <w:color w:val="000000" w:themeColor="text1"/>
        </w:rPr>
        <w:t xml:space="preserve"> </w:t>
      </w:r>
      <w:r w:rsidR="00DE2B61" w:rsidRPr="00663AA9">
        <w:rPr>
          <w:color w:val="000000" w:themeColor="text1"/>
        </w:rPr>
        <w:t>1-week</w:t>
      </w:r>
      <w:r w:rsidR="001146F2" w:rsidRPr="00663AA9">
        <w:rPr>
          <w:color w:val="000000" w:themeColor="text1"/>
        </w:rPr>
        <w:t xml:space="preserve"> block</w:t>
      </w:r>
      <w:r w:rsidR="004C4639" w:rsidRPr="00663AA9">
        <w:rPr>
          <w:color w:val="000000" w:themeColor="text1"/>
        </w:rPr>
        <w:t>s</w:t>
      </w:r>
      <w:r w:rsidR="00380EBA" w:rsidRPr="00663AA9">
        <w:rPr>
          <w:color w:val="000000" w:themeColor="text1"/>
        </w:rPr>
        <w:t xml:space="preserve">, as seen in </w:t>
      </w:r>
      <w:r w:rsidR="00380EBA" w:rsidRPr="00663AA9">
        <w:rPr>
          <w:i/>
          <w:iCs/>
          <w:color w:val="000000" w:themeColor="text1"/>
        </w:rPr>
        <w:t>Atkins v Coyle Personnel</w:t>
      </w:r>
      <w:r w:rsidR="000456FD" w:rsidRPr="00663AA9">
        <w:rPr>
          <w:i/>
          <w:iCs/>
          <w:color w:val="000000" w:themeColor="text1"/>
        </w:rPr>
        <w:t xml:space="preserve"> (2008)</w:t>
      </w:r>
      <w:r w:rsidR="00380EBA" w:rsidRPr="00663AA9">
        <w:rPr>
          <w:i/>
          <w:iCs/>
          <w:color w:val="000000" w:themeColor="text1"/>
        </w:rPr>
        <w:t>.</w:t>
      </w:r>
      <w:r w:rsidR="00380EBA" w:rsidRPr="00663AA9">
        <w:rPr>
          <w:color w:val="000000" w:themeColor="text1"/>
        </w:rPr>
        <w:t xml:space="preserve"> </w:t>
      </w:r>
      <w:r w:rsidR="0060278A" w:rsidRPr="00663AA9">
        <w:rPr>
          <w:color w:val="000000" w:themeColor="text1"/>
        </w:rPr>
        <w:t>Th</w:t>
      </w:r>
      <w:r w:rsidR="003B3BCF" w:rsidRPr="00663AA9">
        <w:rPr>
          <w:color w:val="000000" w:themeColor="text1"/>
        </w:rPr>
        <w:t>e</w:t>
      </w:r>
      <w:r w:rsidR="0060278A" w:rsidRPr="00663AA9">
        <w:rPr>
          <w:color w:val="000000" w:themeColor="text1"/>
        </w:rPr>
        <w:t xml:space="preserve">se </w:t>
      </w:r>
      <w:r w:rsidR="00C1027D" w:rsidRPr="00663AA9">
        <w:rPr>
          <w:color w:val="000000" w:themeColor="text1"/>
        </w:rPr>
        <w:t xml:space="preserve">rights are provided to those who </w:t>
      </w:r>
      <w:r w:rsidR="0060278A" w:rsidRPr="00663AA9">
        <w:rPr>
          <w:color w:val="000000" w:themeColor="text1"/>
        </w:rPr>
        <w:t>are either the child’s father, or married to</w:t>
      </w:r>
      <w:r w:rsidR="00C1027D" w:rsidRPr="00663AA9">
        <w:rPr>
          <w:color w:val="000000" w:themeColor="text1"/>
        </w:rPr>
        <w:t>,</w:t>
      </w:r>
      <w:r w:rsidR="0060278A" w:rsidRPr="00663AA9">
        <w:rPr>
          <w:color w:val="000000" w:themeColor="text1"/>
        </w:rPr>
        <w:t xml:space="preserve"> or the birth parents, therefore this extends to same-sex partners. </w:t>
      </w:r>
      <w:r w:rsidR="007B61A0" w:rsidRPr="00663AA9">
        <w:rPr>
          <w:color w:val="000000" w:themeColor="text1"/>
        </w:rPr>
        <w:t xml:space="preserve">The tenure </w:t>
      </w:r>
      <w:r w:rsidR="00BF75C2" w:rsidRPr="00663AA9">
        <w:rPr>
          <w:color w:val="000000" w:themeColor="text1"/>
        </w:rPr>
        <w:t xml:space="preserve">of pay </w:t>
      </w:r>
      <w:r w:rsidR="00114888" w:rsidRPr="00663AA9">
        <w:rPr>
          <w:color w:val="000000" w:themeColor="text1"/>
        </w:rPr>
        <w:t>entitlement</w:t>
      </w:r>
      <w:r w:rsidR="007B61A0" w:rsidRPr="00663AA9">
        <w:rPr>
          <w:color w:val="000000" w:themeColor="text1"/>
        </w:rPr>
        <w:t xml:space="preserve"> is similar to maternity, in that, </w:t>
      </w:r>
      <w:r w:rsidR="00114888" w:rsidRPr="00663AA9">
        <w:rPr>
          <w:color w:val="000000" w:themeColor="text1"/>
        </w:rPr>
        <w:t>they must be employed for at leas</w:t>
      </w:r>
      <w:r w:rsidR="00C10AF0" w:rsidRPr="00663AA9">
        <w:rPr>
          <w:color w:val="000000" w:themeColor="text1"/>
        </w:rPr>
        <w:t>t</w:t>
      </w:r>
      <w:r w:rsidR="00114888" w:rsidRPr="00663AA9">
        <w:rPr>
          <w:color w:val="000000" w:themeColor="text1"/>
        </w:rPr>
        <w:t xml:space="preserve"> 26 weeks. Further, </w:t>
      </w:r>
      <w:r w:rsidR="00632E60" w:rsidRPr="00663AA9">
        <w:rPr>
          <w:color w:val="000000" w:themeColor="text1"/>
        </w:rPr>
        <w:t>the protections against discrimination and right to return to their role is similar to maternity rights.</w:t>
      </w:r>
    </w:p>
    <w:p w14:paraId="06BD631A" w14:textId="5833FBA3" w:rsidR="00967611" w:rsidRPr="00663AA9" w:rsidRDefault="00967611" w:rsidP="00663AA9">
      <w:pPr>
        <w:pStyle w:val="Nornal"/>
        <w:spacing w:line="276" w:lineRule="auto"/>
        <w:rPr>
          <w:color w:val="000000" w:themeColor="text1"/>
        </w:rPr>
      </w:pPr>
      <w:r w:rsidRPr="00663AA9">
        <w:rPr>
          <w:color w:val="000000" w:themeColor="text1"/>
        </w:rPr>
        <w:t xml:space="preserve">Adoption </w:t>
      </w:r>
      <w:r w:rsidR="00DE2B61" w:rsidRPr="00663AA9">
        <w:rPr>
          <w:color w:val="000000" w:themeColor="text1"/>
        </w:rPr>
        <w:t>leave.</w:t>
      </w:r>
    </w:p>
    <w:p w14:paraId="3BD3D3E8" w14:textId="59F31D0A" w:rsidR="00967611" w:rsidRPr="00663AA9" w:rsidRDefault="00967611" w:rsidP="00663AA9">
      <w:pPr>
        <w:pStyle w:val="Nornal"/>
        <w:spacing w:line="276" w:lineRule="auto"/>
        <w:rPr>
          <w:color w:val="000000" w:themeColor="text1"/>
        </w:rPr>
      </w:pPr>
      <w:r w:rsidRPr="00663AA9">
        <w:rPr>
          <w:color w:val="000000" w:themeColor="text1"/>
        </w:rPr>
        <w:t>Adoption leave</w:t>
      </w:r>
      <w:r w:rsidR="0074485E" w:rsidRPr="00663AA9">
        <w:rPr>
          <w:color w:val="000000" w:themeColor="text1"/>
        </w:rPr>
        <w:t>, pay</w:t>
      </w:r>
      <w:r w:rsidRPr="00663AA9">
        <w:rPr>
          <w:color w:val="000000" w:themeColor="text1"/>
        </w:rPr>
        <w:t>, prerequisites mirror that of maternity leave and paternity leave.</w:t>
      </w:r>
      <w:r w:rsidR="0069063E" w:rsidRPr="00663AA9">
        <w:rPr>
          <w:color w:val="000000" w:themeColor="text1"/>
        </w:rPr>
        <w:t xml:space="preserve"> Adoption leave applies when someone is adopting or permanently fostering </w:t>
      </w:r>
      <w:r w:rsidR="005A6D73" w:rsidRPr="00663AA9">
        <w:rPr>
          <w:color w:val="000000" w:themeColor="text1"/>
        </w:rPr>
        <w:t>a child.</w:t>
      </w:r>
      <w:r w:rsidR="000B6852" w:rsidRPr="00663AA9">
        <w:rPr>
          <w:color w:val="000000" w:themeColor="text1"/>
        </w:rPr>
        <w:t xml:space="preserve"> In order for someone to qualify for adoption rights, they must apply for</w:t>
      </w:r>
      <w:r w:rsidR="002C1946" w:rsidRPr="00663AA9">
        <w:rPr>
          <w:color w:val="000000" w:themeColor="text1"/>
        </w:rPr>
        <w:t>; a parental order if the parent is genetically related, or an adoption order if the parent is not genetically related</w:t>
      </w:r>
      <w:r w:rsidR="00B8336A" w:rsidRPr="00663AA9">
        <w:rPr>
          <w:color w:val="000000" w:themeColor="text1"/>
        </w:rPr>
        <w:t xml:space="preserve"> </w:t>
      </w:r>
      <w:sdt>
        <w:sdtPr>
          <w:rPr>
            <w:color w:val="000000" w:themeColor="text1"/>
          </w:rPr>
          <w:id w:val="-335146698"/>
          <w:citation/>
        </w:sdtPr>
        <w:sdtContent>
          <w:r w:rsidR="00B8336A" w:rsidRPr="00663AA9">
            <w:rPr>
              <w:color w:val="000000" w:themeColor="text1"/>
            </w:rPr>
            <w:fldChar w:fldCharType="begin"/>
          </w:r>
          <w:r w:rsidR="00B8336A" w:rsidRPr="00663AA9">
            <w:rPr>
              <w:color w:val="000000" w:themeColor="text1"/>
              <w:lang w:val="en-US"/>
            </w:rPr>
            <w:instrText xml:space="preserve"> CITATION GOV241 \l 1033 </w:instrText>
          </w:r>
          <w:r w:rsidR="00B8336A" w:rsidRPr="00663AA9">
            <w:rPr>
              <w:color w:val="000000" w:themeColor="text1"/>
            </w:rPr>
            <w:fldChar w:fldCharType="separate"/>
          </w:r>
          <w:r w:rsidR="0084748A" w:rsidRPr="0084748A">
            <w:rPr>
              <w:noProof/>
              <w:color w:val="000000" w:themeColor="text1"/>
              <w:lang w:val="en-US"/>
            </w:rPr>
            <w:t>(GOV.UK, 2024)</w:t>
          </w:r>
          <w:r w:rsidR="00B8336A" w:rsidRPr="00663AA9">
            <w:rPr>
              <w:color w:val="000000" w:themeColor="text1"/>
            </w:rPr>
            <w:fldChar w:fldCharType="end"/>
          </w:r>
        </w:sdtContent>
      </w:sdt>
      <w:r w:rsidR="002C1946" w:rsidRPr="00663AA9">
        <w:rPr>
          <w:color w:val="000000" w:themeColor="text1"/>
        </w:rPr>
        <w:t>.</w:t>
      </w:r>
    </w:p>
    <w:p w14:paraId="65E8464F" w14:textId="6352E269" w:rsidR="00A56B88" w:rsidRPr="00663AA9" w:rsidRDefault="00A56B88" w:rsidP="00663AA9">
      <w:pPr>
        <w:pStyle w:val="Nornal"/>
        <w:spacing w:line="276" w:lineRule="auto"/>
        <w:rPr>
          <w:color w:val="000000" w:themeColor="text1"/>
        </w:rPr>
      </w:pPr>
      <w:r w:rsidRPr="00663AA9">
        <w:rPr>
          <w:color w:val="000000" w:themeColor="text1"/>
        </w:rPr>
        <w:t>Employers can apply for financial aid from the government to help pay for maternity, paternity and adoption leave</w:t>
      </w:r>
      <w:r w:rsidR="0065652F" w:rsidRPr="00663AA9">
        <w:rPr>
          <w:color w:val="000000" w:themeColor="text1"/>
        </w:rPr>
        <w:t>, sometimes up to 103%, depending on the salary bill of the business</w:t>
      </w:r>
      <w:r w:rsidR="00595D29" w:rsidRPr="00663AA9">
        <w:rPr>
          <w:color w:val="000000" w:themeColor="text1"/>
        </w:rPr>
        <w:t xml:space="preserve"> </w:t>
      </w:r>
      <w:sdt>
        <w:sdtPr>
          <w:rPr>
            <w:color w:val="000000" w:themeColor="text1"/>
          </w:rPr>
          <w:id w:val="-1817725"/>
          <w:citation/>
        </w:sdtPr>
        <w:sdtContent>
          <w:r w:rsidR="00595D29" w:rsidRPr="00663AA9">
            <w:rPr>
              <w:color w:val="000000" w:themeColor="text1"/>
            </w:rPr>
            <w:fldChar w:fldCharType="begin"/>
          </w:r>
          <w:r w:rsidR="00595D29" w:rsidRPr="00663AA9">
            <w:rPr>
              <w:color w:val="000000" w:themeColor="text1"/>
              <w:lang w:val="en-US"/>
            </w:rPr>
            <w:instrText xml:space="preserve"> CITATION Gov24 \l 1033 </w:instrText>
          </w:r>
          <w:r w:rsidR="00595D29" w:rsidRPr="00663AA9">
            <w:rPr>
              <w:color w:val="000000" w:themeColor="text1"/>
            </w:rPr>
            <w:fldChar w:fldCharType="separate"/>
          </w:r>
          <w:r w:rsidR="0084748A" w:rsidRPr="0084748A">
            <w:rPr>
              <w:noProof/>
              <w:color w:val="000000" w:themeColor="text1"/>
              <w:lang w:val="en-US"/>
            </w:rPr>
            <w:t>(Gov.uk, 2024)</w:t>
          </w:r>
          <w:r w:rsidR="00595D29" w:rsidRPr="00663AA9">
            <w:rPr>
              <w:color w:val="000000" w:themeColor="text1"/>
            </w:rPr>
            <w:fldChar w:fldCharType="end"/>
          </w:r>
        </w:sdtContent>
      </w:sdt>
    </w:p>
    <w:p w14:paraId="4BA9C7D3" w14:textId="77777777" w:rsidR="00EB52DF" w:rsidRPr="00663AA9" w:rsidRDefault="00EB52DF" w:rsidP="00663AA9">
      <w:pPr>
        <w:pStyle w:val="Nornal"/>
        <w:spacing w:line="276" w:lineRule="auto"/>
        <w:rPr>
          <w:color w:val="000000" w:themeColor="text1"/>
        </w:rPr>
      </w:pPr>
    </w:p>
    <w:p w14:paraId="04356383" w14:textId="37ABA111" w:rsidR="00A75E31" w:rsidRPr="00663AA9" w:rsidRDefault="00A75E31" w:rsidP="00663AA9">
      <w:pPr>
        <w:pStyle w:val="Nornal"/>
        <w:spacing w:line="276" w:lineRule="auto"/>
        <w:rPr>
          <w:color w:val="000000" w:themeColor="text1"/>
        </w:rPr>
      </w:pPr>
      <w:r w:rsidRPr="00663AA9">
        <w:rPr>
          <w:color w:val="000000" w:themeColor="text1"/>
        </w:rPr>
        <w:t>(AC 4.4)</w:t>
      </w:r>
    </w:p>
    <w:p w14:paraId="0770F948" w14:textId="627D4092" w:rsidR="000F08AD" w:rsidRPr="00663AA9" w:rsidRDefault="0083370F" w:rsidP="00663AA9">
      <w:pPr>
        <w:pStyle w:val="Nornal"/>
        <w:spacing w:line="276" w:lineRule="auto"/>
        <w:rPr>
          <w:color w:val="000000" w:themeColor="text1"/>
        </w:rPr>
      </w:pPr>
      <w:r w:rsidRPr="00663AA9">
        <w:rPr>
          <w:color w:val="000000" w:themeColor="text1"/>
        </w:rPr>
        <w:t>Flexible working requests have had some major changes since April 1</w:t>
      </w:r>
      <w:r w:rsidRPr="00663AA9">
        <w:rPr>
          <w:color w:val="000000" w:themeColor="text1"/>
          <w:vertAlign w:val="superscript"/>
        </w:rPr>
        <w:t>st</w:t>
      </w:r>
      <w:r w:rsidR="00CA0CB8" w:rsidRPr="00663AA9">
        <w:rPr>
          <w:color w:val="000000" w:themeColor="text1"/>
        </w:rPr>
        <w:t>, 2024</w:t>
      </w:r>
      <w:r w:rsidRPr="00663AA9">
        <w:rPr>
          <w:color w:val="000000" w:themeColor="text1"/>
        </w:rPr>
        <w:t xml:space="preserve">. </w:t>
      </w:r>
      <w:r w:rsidR="00EA74C9" w:rsidRPr="00663AA9">
        <w:rPr>
          <w:color w:val="000000" w:themeColor="text1"/>
        </w:rPr>
        <w:t xml:space="preserve">A flexible working request can fall into 3 </w:t>
      </w:r>
      <w:r w:rsidR="00CA0CB8" w:rsidRPr="00663AA9">
        <w:rPr>
          <w:color w:val="000000" w:themeColor="text1"/>
        </w:rPr>
        <w:t>categories:</w:t>
      </w:r>
      <w:r w:rsidR="00EA74C9" w:rsidRPr="00663AA9">
        <w:rPr>
          <w:color w:val="000000" w:themeColor="text1"/>
        </w:rPr>
        <w:t xml:space="preserve"> reduction or variation in working hours, reduction or variation in the days working, and </w:t>
      </w:r>
      <w:r w:rsidR="00372298" w:rsidRPr="00663AA9">
        <w:rPr>
          <w:color w:val="000000" w:themeColor="text1"/>
        </w:rPr>
        <w:t>variation in the location of work</w:t>
      </w:r>
      <w:r w:rsidR="00710585" w:rsidRPr="00663AA9">
        <w:rPr>
          <w:color w:val="000000" w:themeColor="text1"/>
        </w:rPr>
        <w:t xml:space="preserve"> </w:t>
      </w:r>
      <w:sdt>
        <w:sdtPr>
          <w:rPr>
            <w:color w:val="000000" w:themeColor="text1"/>
          </w:rPr>
          <w:id w:val="460470208"/>
          <w:citation/>
        </w:sdtPr>
        <w:sdtContent>
          <w:r w:rsidR="00710585" w:rsidRPr="00663AA9">
            <w:rPr>
              <w:color w:val="000000" w:themeColor="text1"/>
            </w:rPr>
            <w:fldChar w:fldCharType="begin"/>
          </w:r>
          <w:r w:rsidR="00710585" w:rsidRPr="00663AA9">
            <w:rPr>
              <w:color w:val="000000" w:themeColor="text1"/>
              <w:lang w:val="en-US"/>
            </w:rPr>
            <w:instrText xml:space="preserve"> CITATION CIP244 \l 1033 </w:instrText>
          </w:r>
          <w:r w:rsidR="00710585" w:rsidRPr="00663AA9">
            <w:rPr>
              <w:color w:val="000000" w:themeColor="text1"/>
            </w:rPr>
            <w:fldChar w:fldCharType="separate"/>
          </w:r>
          <w:r w:rsidR="0084748A" w:rsidRPr="0084748A">
            <w:rPr>
              <w:noProof/>
              <w:color w:val="000000" w:themeColor="text1"/>
              <w:lang w:val="en-US"/>
            </w:rPr>
            <w:t>(CIPD, 2024)</w:t>
          </w:r>
          <w:r w:rsidR="00710585" w:rsidRPr="00663AA9">
            <w:rPr>
              <w:color w:val="000000" w:themeColor="text1"/>
            </w:rPr>
            <w:fldChar w:fldCharType="end"/>
          </w:r>
        </w:sdtContent>
      </w:sdt>
      <w:r w:rsidR="00372298" w:rsidRPr="00663AA9">
        <w:rPr>
          <w:color w:val="000000" w:themeColor="text1"/>
        </w:rPr>
        <w:t xml:space="preserve">. </w:t>
      </w:r>
      <w:r w:rsidR="00AF0ACC" w:rsidRPr="00663AA9">
        <w:rPr>
          <w:color w:val="000000" w:themeColor="text1"/>
        </w:rPr>
        <w:t xml:space="preserve">There are some </w:t>
      </w:r>
      <w:r w:rsidR="00B959BC" w:rsidRPr="00663AA9">
        <w:rPr>
          <w:color w:val="000000" w:themeColor="text1"/>
        </w:rPr>
        <w:t>eligibility</w:t>
      </w:r>
      <w:r w:rsidR="00AF0ACC" w:rsidRPr="00663AA9">
        <w:rPr>
          <w:color w:val="000000" w:themeColor="text1"/>
        </w:rPr>
        <w:t xml:space="preserve"> criteria for those workings looking to make a request. Primarily</w:t>
      </w:r>
      <w:r w:rsidR="00B959BC" w:rsidRPr="00663AA9">
        <w:rPr>
          <w:color w:val="000000" w:themeColor="text1"/>
        </w:rPr>
        <w:t xml:space="preserve"> the must be an employee and not had 2 previous flexible working </w:t>
      </w:r>
      <w:r w:rsidR="00FC4CB1" w:rsidRPr="00663AA9">
        <w:rPr>
          <w:color w:val="000000" w:themeColor="text1"/>
        </w:rPr>
        <w:t>requests</w:t>
      </w:r>
      <w:r w:rsidR="00B959BC" w:rsidRPr="00663AA9">
        <w:rPr>
          <w:color w:val="000000" w:themeColor="text1"/>
        </w:rPr>
        <w:t xml:space="preserve"> within the last 12 months</w:t>
      </w:r>
      <w:r w:rsidR="00DF3444" w:rsidRPr="00663AA9">
        <w:rPr>
          <w:color w:val="000000" w:themeColor="text1"/>
        </w:rPr>
        <w:t xml:space="preserve"> </w:t>
      </w:r>
      <w:sdt>
        <w:sdtPr>
          <w:rPr>
            <w:color w:val="000000" w:themeColor="text1"/>
          </w:rPr>
          <w:id w:val="-1267544692"/>
          <w:citation/>
        </w:sdtPr>
        <w:sdtContent>
          <w:r w:rsidR="00DF3444" w:rsidRPr="00663AA9">
            <w:rPr>
              <w:color w:val="000000" w:themeColor="text1"/>
            </w:rPr>
            <w:fldChar w:fldCharType="begin"/>
          </w:r>
          <w:r w:rsidR="00DF3444" w:rsidRPr="00663AA9">
            <w:rPr>
              <w:color w:val="000000" w:themeColor="text1"/>
              <w:lang w:val="en-US"/>
            </w:rPr>
            <w:instrText xml:space="preserve"> CITATION CIP245 \l 1033 </w:instrText>
          </w:r>
          <w:r w:rsidR="00DF3444" w:rsidRPr="00663AA9">
            <w:rPr>
              <w:color w:val="000000" w:themeColor="text1"/>
            </w:rPr>
            <w:fldChar w:fldCharType="separate"/>
          </w:r>
          <w:r w:rsidR="0084748A" w:rsidRPr="0084748A">
            <w:rPr>
              <w:noProof/>
              <w:color w:val="000000" w:themeColor="text1"/>
              <w:lang w:val="en-US"/>
            </w:rPr>
            <w:t>(CIPD, 2024)</w:t>
          </w:r>
          <w:r w:rsidR="00DF3444" w:rsidRPr="00663AA9">
            <w:rPr>
              <w:color w:val="000000" w:themeColor="text1"/>
            </w:rPr>
            <w:fldChar w:fldCharType="end"/>
          </w:r>
        </w:sdtContent>
      </w:sdt>
      <w:r w:rsidR="00B959BC" w:rsidRPr="00663AA9">
        <w:rPr>
          <w:color w:val="000000" w:themeColor="text1"/>
        </w:rPr>
        <w:t xml:space="preserve">. </w:t>
      </w:r>
      <w:r w:rsidR="00943E0F" w:rsidRPr="00663AA9">
        <w:rPr>
          <w:color w:val="000000" w:themeColor="text1"/>
        </w:rPr>
        <w:t xml:space="preserve">Further, </w:t>
      </w:r>
      <w:r w:rsidR="00CC2697" w:rsidRPr="00663AA9">
        <w:rPr>
          <w:color w:val="000000" w:themeColor="text1"/>
        </w:rPr>
        <w:t>the way in which requests are received and dealt with must follow procedure</w:t>
      </w:r>
      <w:r w:rsidR="00337E47" w:rsidRPr="00663AA9">
        <w:rPr>
          <w:color w:val="000000" w:themeColor="text1"/>
        </w:rPr>
        <w:t xml:space="preserve">, so that the </w:t>
      </w:r>
      <w:r w:rsidR="00306068" w:rsidRPr="00663AA9">
        <w:rPr>
          <w:color w:val="000000" w:themeColor="text1"/>
        </w:rPr>
        <w:t xml:space="preserve">policies are not intentionally difficult to overcome, as seen in </w:t>
      </w:r>
      <w:r w:rsidR="00306068" w:rsidRPr="00663AA9">
        <w:rPr>
          <w:rStyle w:val="Emphasis"/>
          <w:color w:val="000000" w:themeColor="text1"/>
          <w:shd w:val="clear" w:color="auto" w:fill="FFFFFF"/>
        </w:rPr>
        <w:t>Dobson v North Cumbria Integrated Care NHS Foundation Trust (2021).</w:t>
      </w:r>
      <w:r w:rsidR="00306068" w:rsidRPr="00663AA9">
        <w:rPr>
          <w:rStyle w:val="Emphasis"/>
          <w:b/>
          <w:bCs/>
          <w:color w:val="000000" w:themeColor="text1"/>
          <w:shd w:val="clear" w:color="auto" w:fill="FFFFFF"/>
        </w:rPr>
        <w:t xml:space="preserve"> </w:t>
      </w:r>
      <w:r w:rsidR="004B0748" w:rsidRPr="00663AA9">
        <w:rPr>
          <w:color w:val="000000" w:themeColor="text1"/>
        </w:rPr>
        <w:t>Rules are</w:t>
      </w:r>
      <w:r w:rsidR="00E41039" w:rsidRPr="00663AA9">
        <w:rPr>
          <w:color w:val="000000" w:themeColor="text1"/>
        </w:rPr>
        <w:t xml:space="preserve"> </w:t>
      </w:r>
      <w:r w:rsidR="004B0748" w:rsidRPr="00663AA9">
        <w:rPr>
          <w:color w:val="000000" w:themeColor="text1"/>
        </w:rPr>
        <w:t xml:space="preserve">implemented through the </w:t>
      </w:r>
      <w:r w:rsidR="004B0748" w:rsidRPr="00663AA9">
        <w:rPr>
          <w:color w:val="000000" w:themeColor="text1"/>
          <w:shd w:val="clear" w:color="auto" w:fill="FFFFFF"/>
        </w:rPr>
        <w:t>Employment Relations (Flexible Working) Act 2023 and Flexible Working (Amendment) Regulations 2023).</w:t>
      </w:r>
      <w:r w:rsidR="007A4F37" w:rsidRPr="00663AA9">
        <w:rPr>
          <w:color w:val="000000" w:themeColor="text1"/>
          <w:shd w:val="clear" w:color="auto" w:fill="FFFFFF"/>
        </w:rPr>
        <w:t xml:space="preserve"> Nonethe</w:t>
      </w:r>
      <w:r w:rsidR="00E41039" w:rsidRPr="00663AA9">
        <w:rPr>
          <w:color w:val="000000" w:themeColor="text1"/>
          <w:shd w:val="clear" w:color="auto" w:fill="FFFFFF"/>
        </w:rPr>
        <w:t>le</w:t>
      </w:r>
      <w:r w:rsidR="007A4F37" w:rsidRPr="00663AA9">
        <w:rPr>
          <w:color w:val="000000" w:themeColor="text1"/>
          <w:shd w:val="clear" w:color="auto" w:fill="FFFFFF"/>
        </w:rPr>
        <w:t xml:space="preserve">ss it </w:t>
      </w:r>
      <w:r w:rsidR="007E2FDA" w:rsidRPr="00663AA9">
        <w:rPr>
          <w:color w:val="000000" w:themeColor="text1"/>
        </w:rPr>
        <w:t xml:space="preserve">is advisable to follow ACAS’ code of practice </w:t>
      </w:r>
      <w:r w:rsidR="008938D1" w:rsidRPr="00663AA9">
        <w:rPr>
          <w:color w:val="000000" w:themeColor="text1"/>
        </w:rPr>
        <w:t>to ensure that the company is remaining fair</w:t>
      </w:r>
      <w:r w:rsidR="006F26AC" w:rsidRPr="00663AA9">
        <w:rPr>
          <w:color w:val="000000" w:themeColor="text1"/>
        </w:rPr>
        <w:t>, such as responding within 2 months</w:t>
      </w:r>
      <w:r w:rsidR="000C5231" w:rsidRPr="00663AA9">
        <w:rPr>
          <w:color w:val="000000" w:themeColor="text1"/>
        </w:rPr>
        <w:t xml:space="preserve"> </w:t>
      </w:r>
      <w:sdt>
        <w:sdtPr>
          <w:rPr>
            <w:color w:val="000000" w:themeColor="text1"/>
          </w:rPr>
          <w:id w:val="322479540"/>
          <w:citation/>
        </w:sdtPr>
        <w:sdtContent>
          <w:r w:rsidR="000C5231" w:rsidRPr="00663AA9">
            <w:rPr>
              <w:color w:val="000000" w:themeColor="text1"/>
            </w:rPr>
            <w:fldChar w:fldCharType="begin"/>
          </w:r>
          <w:r w:rsidR="000C5231" w:rsidRPr="00663AA9">
            <w:rPr>
              <w:color w:val="000000" w:themeColor="text1"/>
              <w:lang w:val="en-US"/>
            </w:rPr>
            <w:instrText xml:space="preserve"> CITATION ACA246 \l 1033 </w:instrText>
          </w:r>
          <w:r w:rsidR="000C5231" w:rsidRPr="00663AA9">
            <w:rPr>
              <w:color w:val="000000" w:themeColor="text1"/>
            </w:rPr>
            <w:fldChar w:fldCharType="separate"/>
          </w:r>
          <w:r w:rsidR="0084748A" w:rsidRPr="0084748A">
            <w:rPr>
              <w:noProof/>
              <w:color w:val="000000" w:themeColor="text1"/>
              <w:lang w:val="en-US"/>
            </w:rPr>
            <w:t>(ACAS, 2024)</w:t>
          </w:r>
          <w:r w:rsidR="000C5231" w:rsidRPr="00663AA9">
            <w:rPr>
              <w:color w:val="000000" w:themeColor="text1"/>
            </w:rPr>
            <w:fldChar w:fldCharType="end"/>
          </w:r>
        </w:sdtContent>
      </w:sdt>
      <w:r w:rsidR="006F26AC" w:rsidRPr="00663AA9">
        <w:rPr>
          <w:color w:val="000000" w:themeColor="text1"/>
        </w:rPr>
        <w:t>.</w:t>
      </w:r>
      <w:r w:rsidR="00E45676" w:rsidRPr="00663AA9">
        <w:rPr>
          <w:color w:val="000000" w:themeColor="text1"/>
        </w:rPr>
        <w:t xml:space="preserve"> When deciding on whether to approve a request or not, there are 3 options; accept, trial period, or decline. However, if </w:t>
      </w:r>
      <w:r w:rsidR="007C048C" w:rsidRPr="00663AA9">
        <w:rPr>
          <w:color w:val="000000" w:themeColor="text1"/>
        </w:rPr>
        <w:t xml:space="preserve">a request is declined there must be a business reason, such as </w:t>
      </w:r>
      <w:r w:rsidR="007668F2" w:rsidRPr="00663AA9">
        <w:rPr>
          <w:color w:val="000000" w:themeColor="text1"/>
        </w:rPr>
        <w:t>it would cause a detrimental affect on business performance.</w:t>
      </w:r>
      <w:r w:rsidR="00FD708C" w:rsidRPr="00663AA9">
        <w:rPr>
          <w:color w:val="000000" w:themeColor="text1"/>
        </w:rPr>
        <w:t xml:space="preserve"> </w:t>
      </w:r>
      <w:r w:rsidR="000337C4" w:rsidRPr="00663AA9">
        <w:rPr>
          <w:color w:val="000000" w:themeColor="text1"/>
        </w:rPr>
        <w:t>N</w:t>
      </w:r>
      <w:r w:rsidR="00FD708C" w:rsidRPr="00663AA9">
        <w:rPr>
          <w:color w:val="000000" w:themeColor="text1"/>
        </w:rPr>
        <w:t xml:space="preserve">ot following a fair process, can lead to a number of potential tribunal claims. Specifically, </w:t>
      </w:r>
      <w:r w:rsidR="006D29F6" w:rsidRPr="00663AA9">
        <w:rPr>
          <w:color w:val="000000" w:themeColor="text1"/>
        </w:rPr>
        <w:t xml:space="preserve">Chelsea’s request may be the result of childcare issues, </w:t>
      </w:r>
      <w:r w:rsidR="004256AA" w:rsidRPr="00663AA9">
        <w:rPr>
          <w:color w:val="000000" w:themeColor="text1"/>
        </w:rPr>
        <w:t xml:space="preserve">a disability, </w:t>
      </w:r>
      <w:r w:rsidR="006D29F6" w:rsidRPr="00663AA9">
        <w:rPr>
          <w:color w:val="000000" w:themeColor="text1"/>
        </w:rPr>
        <w:t xml:space="preserve">or </w:t>
      </w:r>
      <w:r w:rsidR="007D413C" w:rsidRPr="00663AA9">
        <w:rPr>
          <w:color w:val="000000" w:themeColor="text1"/>
        </w:rPr>
        <w:t xml:space="preserve">helping a close family member </w:t>
      </w:r>
      <w:r w:rsidR="007D413C" w:rsidRPr="00663AA9">
        <w:rPr>
          <w:color w:val="000000" w:themeColor="text1"/>
        </w:rPr>
        <w:lastRenderedPageBreak/>
        <w:t xml:space="preserve">who’s disabled. Failing to understand the requests would lead to </w:t>
      </w:r>
      <w:r w:rsidR="00D84E17" w:rsidRPr="00663AA9">
        <w:rPr>
          <w:color w:val="000000" w:themeColor="text1"/>
        </w:rPr>
        <w:t>claims of discrimination, both direct or through association</w:t>
      </w:r>
      <w:r w:rsidR="003D5B71" w:rsidRPr="00663AA9">
        <w:rPr>
          <w:color w:val="000000" w:themeColor="text1"/>
        </w:rPr>
        <w:t xml:space="preserve">, as seen in </w:t>
      </w:r>
      <w:r w:rsidR="003D5B71" w:rsidRPr="00663AA9">
        <w:rPr>
          <w:rStyle w:val="Emphasis"/>
          <w:i w:val="0"/>
          <w:iCs w:val="0"/>
          <w:color w:val="000000" w:themeColor="text1"/>
          <w:shd w:val="clear" w:color="auto" w:fill="FFFFFF"/>
        </w:rPr>
        <w:t>Hodgson v MDA Ltd</w:t>
      </w:r>
      <w:r w:rsidR="003D5B71" w:rsidRPr="00663AA9">
        <w:rPr>
          <w:i/>
          <w:iCs/>
          <w:color w:val="000000" w:themeColor="text1"/>
          <w:shd w:val="clear" w:color="auto" w:fill="FFFFFF"/>
        </w:rPr>
        <w:t xml:space="preserve"> (2020</w:t>
      </w:r>
      <w:r w:rsidR="003D5B71" w:rsidRPr="00663AA9">
        <w:rPr>
          <w:color w:val="000000" w:themeColor="text1"/>
          <w:shd w:val="clear" w:color="auto" w:fill="FFFFFF"/>
        </w:rPr>
        <w:t xml:space="preserve">) With a lack of true </w:t>
      </w:r>
      <w:r w:rsidR="00CA0CB8" w:rsidRPr="00663AA9">
        <w:rPr>
          <w:color w:val="000000" w:themeColor="text1"/>
          <w:shd w:val="clear" w:color="auto" w:fill="FFFFFF"/>
        </w:rPr>
        <w:t>consultation.</w:t>
      </w:r>
      <w:r w:rsidR="00D84E17" w:rsidRPr="00663AA9">
        <w:rPr>
          <w:color w:val="000000" w:themeColor="text1"/>
        </w:rPr>
        <w:t xml:space="preserve"> </w:t>
      </w:r>
      <w:r w:rsidR="00170893" w:rsidRPr="00663AA9">
        <w:rPr>
          <w:color w:val="000000" w:themeColor="text1"/>
        </w:rPr>
        <w:t xml:space="preserve">It is important to fully consider the request and whether </w:t>
      </w:r>
      <w:r w:rsidR="00EC00BE" w:rsidRPr="00663AA9">
        <w:rPr>
          <w:color w:val="000000" w:themeColor="text1"/>
        </w:rPr>
        <w:t>the change is manageable</w:t>
      </w:r>
      <w:r w:rsidR="00515860" w:rsidRPr="00663AA9">
        <w:rPr>
          <w:color w:val="000000" w:themeColor="text1"/>
        </w:rPr>
        <w:t xml:space="preserve">. Approving a flexible working request can have a number of positive impacts on the employee. Specifically, it can help to provide </w:t>
      </w:r>
      <w:r w:rsidR="00BE021E" w:rsidRPr="00663AA9">
        <w:rPr>
          <w:color w:val="000000" w:themeColor="text1"/>
        </w:rPr>
        <w:t>work life balance</w:t>
      </w:r>
      <w:r w:rsidR="00821D4C" w:rsidRPr="00663AA9">
        <w:rPr>
          <w:color w:val="000000" w:themeColor="text1"/>
        </w:rPr>
        <w:t xml:space="preserve"> and </w:t>
      </w:r>
      <w:r w:rsidR="00BE021E" w:rsidRPr="00663AA9">
        <w:rPr>
          <w:color w:val="000000" w:themeColor="text1"/>
        </w:rPr>
        <w:t xml:space="preserve">improve </w:t>
      </w:r>
      <w:r w:rsidR="00493C34" w:rsidRPr="00663AA9">
        <w:rPr>
          <w:color w:val="000000" w:themeColor="text1"/>
        </w:rPr>
        <w:t>well-being</w:t>
      </w:r>
      <w:r w:rsidR="00821D4C" w:rsidRPr="00663AA9">
        <w:rPr>
          <w:color w:val="000000" w:themeColor="text1"/>
        </w:rPr>
        <w:t xml:space="preserve">. Further, </w:t>
      </w:r>
      <w:r w:rsidR="00A7601D" w:rsidRPr="00663AA9">
        <w:rPr>
          <w:color w:val="000000" w:themeColor="text1"/>
        </w:rPr>
        <w:t>providing flexible working help the business with recruitment, retention and could drive improved performance.</w:t>
      </w:r>
      <w:r w:rsidR="007C0636" w:rsidRPr="00663AA9">
        <w:rPr>
          <w:color w:val="000000" w:themeColor="text1"/>
        </w:rPr>
        <w:t xml:space="preserve"> </w:t>
      </w:r>
      <w:r w:rsidR="00D95DE5" w:rsidRPr="00663AA9">
        <w:rPr>
          <w:color w:val="000000" w:themeColor="text1"/>
        </w:rPr>
        <w:t>Understanding the advantages and potential risks of declining a request without full appreciation</w:t>
      </w:r>
      <w:r w:rsidR="00B36300" w:rsidRPr="00663AA9">
        <w:rPr>
          <w:color w:val="000000" w:themeColor="text1"/>
        </w:rPr>
        <w:t xml:space="preserve">, it would seem </w:t>
      </w:r>
      <w:r w:rsidR="00D33C39" w:rsidRPr="00663AA9">
        <w:rPr>
          <w:color w:val="000000" w:themeColor="text1"/>
        </w:rPr>
        <w:t>reasonable</w:t>
      </w:r>
      <w:r w:rsidR="00B36300" w:rsidRPr="00663AA9">
        <w:rPr>
          <w:color w:val="000000" w:themeColor="text1"/>
        </w:rPr>
        <w:t xml:space="preserve"> to consider Chelsea’s request. </w:t>
      </w:r>
      <w:r w:rsidR="00405FBB" w:rsidRPr="00663AA9">
        <w:rPr>
          <w:color w:val="000000" w:themeColor="text1"/>
        </w:rPr>
        <w:t xml:space="preserve">Depending on material reasons, such as business needs, recruitment </w:t>
      </w:r>
      <w:r w:rsidR="00493C34" w:rsidRPr="00663AA9">
        <w:rPr>
          <w:color w:val="000000" w:themeColor="text1"/>
        </w:rPr>
        <w:t>issues or business structure; w</w:t>
      </w:r>
      <w:r w:rsidR="00B36300" w:rsidRPr="00663AA9">
        <w:rPr>
          <w:color w:val="000000" w:themeColor="text1"/>
        </w:rPr>
        <w:t xml:space="preserve">ith the pro-rata salary </w:t>
      </w:r>
      <w:r w:rsidR="008819C9" w:rsidRPr="00663AA9">
        <w:rPr>
          <w:color w:val="000000" w:themeColor="text1"/>
        </w:rPr>
        <w:t xml:space="preserve">Charlotte could consider a second manager to fulfil the lost hours. </w:t>
      </w:r>
    </w:p>
    <w:sdt>
      <w:sdtPr>
        <w:rPr>
          <w:rFonts w:ascii="Arial" w:hAnsi="Arial" w:cstheme="minorBidi"/>
          <w:i w:val="0"/>
          <w:iCs w:val="0"/>
          <w:color w:val="auto"/>
          <w:sz w:val="22"/>
          <w:szCs w:val="24"/>
        </w:rPr>
        <w:id w:val="-1277089385"/>
        <w:docPartObj>
          <w:docPartGallery w:val="Bibliographies"/>
          <w:docPartUnique/>
        </w:docPartObj>
      </w:sdtPr>
      <w:sdtContent>
        <w:p w14:paraId="3A2CB8B2" w14:textId="75019D01" w:rsidR="004972E0" w:rsidRDefault="004972E0">
          <w:pPr>
            <w:pStyle w:val="Heading1"/>
          </w:pPr>
          <w:r>
            <w:t>Bibliography</w:t>
          </w:r>
        </w:p>
        <w:sdt>
          <w:sdtPr>
            <w:id w:val="111145805"/>
            <w:bibliography/>
          </w:sdtPr>
          <w:sdtContent>
            <w:p w14:paraId="5E650C2E" w14:textId="77777777" w:rsidR="0084748A" w:rsidRDefault="004972E0" w:rsidP="0084748A">
              <w:pPr>
                <w:pStyle w:val="Bibliography"/>
                <w:rPr>
                  <w:noProof/>
                  <w:sz w:val="24"/>
                </w:rPr>
              </w:pPr>
              <w:r>
                <w:fldChar w:fldCharType="begin"/>
              </w:r>
              <w:r>
                <w:instrText xml:space="preserve"> BIBLIOGRAPHY </w:instrText>
              </w:r>
              <w:r>
                <w:fldChar w:fldCharType="separate"/>
              </w:r>
              <w:r w:rsidR="0084748A">
                <w:rPr>
                  <w:noProof/>
                </w:rPr>
                <w:t xml:space="preserve">ACAS, 2015. </w:t>
              </w:r>
              <w:r w:rsidR="0084748A">
                <w:rPr>
                  <w:i/>
                  <w:iCs/>
                  <w:noProof/>
                </w:rPr>
                <w:t xml:space="preserve">Acas Code of Practice on disciplinary and grievance procedures. </w:t>
              </w:r>
              <w:r w:rsidR="0084748A">
                <w:rPr>
                  <w:noProof/>
                </w:rPr>
                <w:t xml:space="preserve">[Online] </w:t>
              </w:r>
              <w:r w:rsidR="0084748A">
                <w:rPr>
                  <w:noProof/>
                </w:rPr>
                <w:br/>
                <w:t xml:space="preserve">Available at: </w:t>
              </w:r>
              <w:r w:rsidR="0084748A">
                <w:rPr>
                  <w:noProof/>
                  <w:u w:val="single"/>
                </w:rPr>
                <w:t>https://www.acas.org.uk/acas-code-of-practice-on-disciplinary-and-grievance-procedures</w:t>
              </w:r>
              <w:r w:rsidR="0084748A">
                <w:rPr>
                  <w:noProof/>
                </w:rPr>
                <w:br/>
                <w:t>[Accessed 7 6 2024].</w:t>
              </w:r>
            </w:p>
            <w:p w14:paraId="65912E08" w14:textId="77777777" w:rsidR="0084748A" w:rsidRDefault="0084748A" w:rsidP="0084748A">
              <w:pPr>
                <w:pStyle w:val="Bibliography"/>
                <w:rPr>
                  <w:noProof/>
                </w:rPr>
              </w:pPr>
              <w:r>
                <w:rPr>
                  <w:noProof/>
                </w:rPr>
                <w:t xml:space="preserve">ACAS, 2018. </w:t>
              </w:r>
              <w:r>
                <w:rPr>
                  <w:i/>
                  <w:iCs/>
                  <w:noProof/>
                </w:rPr>
                <w:t xml:space="preserve">Settlemetn Agreements, </w:t>
              </w:r>
              <w:r>
                <w:rPr>
                  <w:noProof/>
                </w:rPr>
                <w:t>London: ACAS .</w:t>
              </w:r>
            </w:p>
            <w:p w14:paraId="0D9FC346" w14:textId="77777777" w:rsidR="0084748A" w:rsidRDefault="0084748A" w:rsidP="0084748A">
              <w:pPr>
                <w:pStyle w:val="Bibliography"/>
                <w:rPr>
                  <w:noProof/>
                </w:rPr>
              </w:pPr>
              <w:r>
                <w:rPr>
                  <w:noProof/>
                </w:rPr>
                <w:t xml:space="preserve">ACAS, 2022. </w:t>
              </w:r>
              <w:r>
                <w:rPr>
                  <w:i/>
                  <w:iCs/>
                  <w:noProof/>
                </w:rPr>
                <w:t xml:space="preserve">Acas annual report shows year of high impact and support for businesses and workers. </w:t>
              </w:r>
              <w:r>
                <w:rPr>
                  <w:noProof/>
                </w:rPr>
                <w:t xml:space="preserve">[Online] </w:t>
              </w:r>
              <w:r>
                <w:rPr>
                  <w:noProof/>
                </w:rPr>
                <w:br/>
                <w:t xml:space="preserve">Available at: </w:t>
              </w:r>
              <w:r>
                <w:rPr>
                  <w:noProof/>
                  <w:u w:val="single"/>
                </w:rPr>
                <w:t>https://www.acas.org.uk/acas-annual-report-shows-year-of-high-impact-and-support-for-businesses-and-workers#:~:text=36%25%20of%20early%20conciliation%20cases,31%25%20in%202020%20to%202021</w:t>
              </w:r>
              <w:r>
                <w:rPr>
                  <w:noProof/>
                </w:rPr>
                <w:br/>
                <w:t>[Accessed 24 April 2024].</w:t>
              </w:r>
            </w:p>
            <w:p w14:paraId="45130A27" w14:textId="77777777" w:rsidR="0084748A" w:rsidRDefault="0084748A" w:rsidP="0084748A">
              <w:pPr>
                <w:pStyle w:val="Bibliography"/>
                <w:rPr>
                  <w:noProof/>
                </w:rPr>
              </w:pPr>
              <w:r>
                <w:rPr>
                  <w:noProof/>
                </w:rPr>
                <w:t xml:space="preserve">ACAS, 2022. </w:t>
              </w:r>
              <w:r>
                <w:rPr>
                  <w:i/>
                  <w:iCs/>
                  <w:noProof/>
                </w:rPr>
                <w:t xml:space="preserve">Dismissals. </w:t>
              </w:r>
              <w:r>
                <w:rPr>
                  <w:noProof/>
                </w:rPr>
                <w:t xml:space="preserve">[Online] </w:t>
              </w:r>
              <w:r>
                <w:rPr>
                  <w:noProof/>
                </w:rPr>
                <w:br/>
                <w:t xml:space="preserve">Available at: </w:t>
              </w:r>
              <w:r>
                <w:rPr>
                  <w:noProof/>
                  <w:u w:val="single"/>
                </w:rPr>
                <w:t>https://www.acas.org.uk/dismissals/unfair-dismissal</w:t>
              </w:r>
              <w:r>
                <w:rPr>
                  <w:noProof/>
                </w:rPr>
                <w:br/>
                <w:t>[Accessed 7 6 2024].</w:t>
              </w:r>
            </w:p>
            <w:p w14:paraId="06795D14" w14:textId="77777777" w:rsidR="0084748A" w:rsidRDefault="0084748A" w:rsidP="0084748A">
              <w:pPr>
                <w:pStyle w:val="Bibliography"/>
                <w:rPr>
                  <w:noProof/>
                </w:rPr>
              </w:pPr>
              <w:r>
                <w:rPr>
                  <w:noProof/>
                </w:rPr>
                <w:t xml:space="preserve">ACAS, 2023. </w:t>
              </w:r>
              <w:r>
                <w:rPr>
                  <w:i/>
                  <w:iCs/>
                  <w:noProof/>
                </w:rPr>
                <w:t xml:space="preserve">Collectice consultation for redundancy. </w:t>
              </w:r>
              <w:r>
                <w:rPr>
                  <w:noProof/>
                </w:rPr>
                <w:t xml:space="preserve">[Online] </w:t>
              </w:r>
              <w:r>
                <w:rPr>
                  <w:noProof/>
                </w:rPr>
                <w:br/>
                <w:t xml:space="preserve">Available at: </w:t>
              </w:r>
              <w:r>
                <w:rPr>
                  <w:noProof/>
                  <w:u w:val="single"/>
                </w:rPr>
                <w:t>https://www.acas.org.uk/collective-consultation-redundancy/if-an-employer-does-not-collectively-consult</w:t>
              </w:r>
              <w:r>
                <w:rPr>
                  <w:noProof/>
                </w:rPr>
                <w:br/>
                <w:t>[Accessed 7 6 2024].</w:t>
              </w:r>
            </w:p>
            <w:p w14:paraId="78F472BF" w14:textId="77777777" w:rsidR="0084748A" w:rsidRDefault="0084748A" w:rsidP="0084748A">
              <w:pPr>
                <w:pStyle w:val="Bibliography"/>
                <w:rPr>
                  <w:noProof/>
                </w:rPr>
              </w:pPr>
              <w:r>
                <w:rPr>
                  <w:noProof/>
                </w:rPr>
                <w:t xml:space="preserve">ACAS, 2023. </w:t>
              </w:r>
              <w:r>
                <w:rPr>
                  <w:i/>
                  <w:iCs/>
                  <w:noProof/>
                </w:rPr>
                <w:t xml:space="preserve">If your wages are not paid. </w:t>
              </w:r>
              <w:r>
                <w:rPr>
                  <w:noProof/>
                </w:rPr>
                <w:t xml:space="preserve">[Online] </w:t>
              </w:r>
              <w:r>
                <w:rPr>
                  <w:noProof/>
                </w:rPr>
                <w:br/>
                <w:t xml:space="preserve">Available at: </w:t>
              </w:r>
              <w:r>
                <w:rPr>
                  <w:noProof/>
                  <w:u w:val="single"/>
                </w:rPr>
                <w:t>https://www.acas.org.uk/if-your-wages-are-not-paid#:~:text=There%20are%20strict%20time%20limits,the%20last%20time%20it%20happened.</w:t>
              </w:r>
              <w:r>
                <w:rPr>
                  <w:noProof/>
                </w:rPr>
                <w:br/>
                <w:t>[Accessed 7 6 2024].</w:t>
              </w:r>
            </w:p>
            <w:p w14:paraId="54E30937" w14:textId="77777777" w:rsidR="0084748A" w:rsidRDefault="0084748A" w:rsidP="0084748A">
              <w:pPr>
                <w:pStyle w:val="Bibliography"/>
                <w:rPr>
                  <w:noProof/>
                </w:rPr>
              </w:pPr>
              <w:r>
                <w:rPr>
                  <w:noProof/>
                </w:rPr>
                <w:t xml:space="preserve">ACAS, 2024. </w:t>
              </w:r>
              <w:r>
                <w:rPr>
                  <w:i/>
                  <w:iCs/>
                  <w:noProof/>
                </w:rPr>
                <w:t xml:space="preserve">Advertising a job. </w:t>
              </w:r>
              <w:r>
                <w:rPr>
                  <w:noProof/>
                </w:rPr>
                <w:t xml:space="preserve">[Online] </w:t>
              </w:r>
              <w:r>
                <w:rPr>
                  <w:noProof/>
                </w:rPr>
                <w:br/>
                <w:t xml:space="preserve">Available at: </w:t>
              </w:r>
              <w:r>
                <w:rPr>
                  <w:noProof/>
                  <w:u w:val="single"/>
                </w:rPr>
                <w:t>https://www.acas.org.uk/hiring-someone/how-to-advertise-a-job#:~:text=Avoid%20discriminatory%20language&amp;text=Examples%20of%20words%20and%20phrases,job%20requirement%20in%20your%20advert</w:t>
              </w:r>
              <w:r>
                <w:rPr>
                  <w:noProof/>
                </w:rPr>
                <w:br/>
                <w:t>[Accessed 15 April 2024].</w:t>
              </w:r>
            </w:p>
            <w:p w14:paraId="24E55853" w14:textId="77777777" w:rsidR="0084748A" w:rsidRDefault="0084748A" w:rsidP="0084748A">
              <w:pPr>
                <w:pStyle w:val="Bibliography"/>
                <w:rPr>
                  <w:noProof/>
                </w:rPr>
              </w:pPr>
              <w:r>
                <w:rPr>
                  <w:noProof/>
                </w:rPr>
                <w:t xml:space="preserve">ACAS, 2024. </w:t>
              </w:r>
              <w:r>
                <w:rPr>
                  <w:i/>
                  <w:iCs/>
                  <w:noProof/>
                </w:rPr>
                <w:t xml:space="preserve">Code of Practice on requests for flexible working. </w:t>
              </w:r>
              <w:r>
                <w:rPr>
                  <w:noProof/>
                </w:rPr>
                <w:t xml:space="preserve">[Online] </w:t>
              </w:r>
              <w:r>
                <w:rPr>
                  <w:noProof/>
                </w:rPr>
                <w:br/>
                <w:t xml:space="preserve">Available at: </w:t>
              </w:r>
              <w:r>
                <w:rPr>
                  <w:noProof/>
                  <w:u w:val="single"/>
                </w:rPr>
                <w:t>https://www.acas.org.uk/acas-code-of-practice-on-flexible-working-requests/html</w:t>
              </w:r>
              <w:r>
                <w:rPr>
                  <w:noProof/>
                </w:rPr>
                <w:br/>
                <w:t>[Accessed 25 April 2024].</w:t>
              </w:r>
            </w:p>
            <w:p w14:paraId="0D7A3DB9" w14:textId="77777777" w:rsidR="0084748A" w:rsidRDefault="0084748A" w:rsidP="0084748A">
              <w:pPr>
                <w:pStyle w:val="Bibliography"/>
                <w:rPr>
                  <w:noProof/>
                </w:rPr>
              </w:pPr>
              <w:r>
                <w:rPr>
                  <w:noProof/>
                </w:rPr>
                <w:t xml:space="preserve">ACAS, 2024. </w:t>
              </w:r>
              <w:r>
                <w:rPr>
                  <w:i/>
                  <w:iCs/>
                  <w:noProof/>
                </w:rPr>
                <w:t xml:space="preserve">Collective consultation for redundancy. </w:t>
              </w:r>
              <w:r>
                <w:rPr>
                  <w:noProof/>
                </w:rPr>
                <w:t xml:space="preserve">[Online] </w:t>
              </w:r>
              <w:r>
                <w:rPr>
                  <w:noProof/>
                </w:rPr>
                <w:br/>
                <w:t xml:space="preserve">Available at: </w:t>
              </w:r>
              <w:r>
                <w:rPr>
                  <w:noProof/>
                  <w:u w:val="single"/>
                </w:rPr>
                <w:t>https://www.acas.org.uk/collective-consultation-redundancy/if-an-employer-</w:t>
              </w:r>
              <w:r>
                <w:rPr>
                  <w:noProof/>
                  <w:u w:val="single"/>
                </w:rPr>
                <w:lastRenderedPageBreak/>
                <w:t>does-not-collectively-consult#:~:text=If%20an%20employer%20does%20not,pay%20for%20each%20affected%20employee.</w:t>
              </w:r>
              <w:r>
                <w:rPr>
                  <w:noProof/>
                </w:rPr>
                <w:br/>
                <w:t>[Accessed 20 April 2024].</w:t>
              </w:r>
            </w:p>
            <w:p w14:paraId="259EA652" w14:textId="77777777" w:rsidR="0084748A" w:rsidRDefault="0084748A" w:rsidP="0084748A">
              <w:pPr>
                <w:pStyle w:val="Bibliography"/>
                <w:rPr>
                  <w:noProof/>
                </w:rPr>
              </w:pPr>
              <w:r>
                <w:rPr>
                  <w:noProof/>
                </w:rPr>
                <w:t xml:space="preserve">ACAS, 2024. </w:t>
              </w:r>
              <w:r>
                <w:rPr>
                  <w:i/>
                  <w:iCs/>
                  <w:noProof/>
                </w:rPr>
                <w:t xml:space="preserve">If you've been discriminated against at work. </w:t>
              </w:r>
              <w:r>
                <w:rPr>
                  <w:noProof/>
                </w:rPr>
                <w:t xml:space="preserve">[Online] </w:t>
              </w:r>
              <w:r>
                <w:rPr>
                  <w:noProof/>
                </w:rPr>
                <w:br/>
                <w:t xml:space="preserve">Available at: </w:t>
              </w:r>
              <w:r>
                <w:rPr>
                  <w:noProof/>
                  <w:u w:val="single"/>
                </w:rPr>
                <w:t>https://www.acas.org.uk/if-youve-been-discriminated-against-at-work</w:t>
              </w:r>
              <w:r>
                <w:rPr>
                  <w:noProof/>
                </w:rPr>
                <w:br/>
                <w:t>[Accessed 20 April 2024].</w:t>
              </w:r>
            </w:p>
            <w:p w14:paraId="525F4F89" w14:textId="77777777" w:rsidR="0084748A" w:rsidRDefault="0084748A" w:rsidP="0084748A">
              <w:pPr>
                <w:pStyle w:val="Bibliography"/>
                <w:rPr>
                  <w:noProof/>
                </w:rPr>
              </w:pPr>
              <w:r>
                <w:rPr>
                  <w:noProof/>
                </w:rPr>
                <w:t xml:space="preserve">ACAS, 2024. </w:t>
              </w:r>
              <w:r>
                <w:rPr>
                  <w:i/>
                  <w:iCs/>
                  <w:noProof/>
                </w:rPr>
                <w:t xml:space="preserve">Making a claim to an employment tribunal. </w:t>
              </w:r>
              <w:r>
                <w:rPr>
                  <w:noProof/>
                </w:rPr>
                <w:t xml:space="preserve">[Online] </w:t>
              </w:r>
              <w:r>
                <w:rPr>
                  <w:noProof/>
                </w:rPr>
                <w:br/>
                <w:t xml:space="preserve">Available at: </w:t>
              </w:r>
              <w:r>
                <w:rPr>
                  <w:noProof/>
                  <w:u w:val="single"/>
                </w:rPr>
                <w:t>https://www.acas.org.uk/making-a-claim-to-an-employment-tribunal#:~:text=There%20are%20strict%20time%20limits,the%20problem%20at%20work%20happened.</w:t>
              </w:r>
              <w:r>
                <w:rPr>
                  <w:noProof/>
                </w:rPr>
                <w:br/>
                <w:t>[Accessed 20 April 2024].</w:t>
              </w:r>
            </w:p>
            <w:p w14:paraId="2D7B1A01" w14:textId="77777777" w:rsidR="0084748A" w:rsidRDefault="0084748A" w:rsidP="0084748A">
              <w:pPr>
                <w:pStyle w:val="Bibliography"/>
                <w:rPr>
                  <w:noProof/>
                </w:rPr>
              </w:pPr>
              <w:r>
                <w:rPr>
                  <w:noProof/>
                </w:rPr>
                <w:t xml:space="preserve">ACAS, 2024. </w:t>
              </w:r>
              <w:r>
                <w:rPr>
                  <w:i/>
                  <w:iCs/>
                  <w:noProof/>
                </w:rPr>
                <w:t xml:space="preserve">National Minimum Wage. </w:t>
              </w:r>
              <w:r>
                <w:rPr>
                  <w:noProof/>
                </w:rPr>
                <w:t xml:space="preserve">[Online] </w:t>
              </w:r>
              <w:r>
                <w:rPr>
                  <w:noProof/>
                </w:rPr>
                <w:br/>
                <w:t xml:space="preserve">Available at: </w:t>
              </w:r>
              <w:r>
                <w:rPr>
                  <w:noProof/>
                  <w:u w:val="single"/>
                </w:rPr>
                <w:t>https://www.acas.org.uk/national-minimum-wage-entitlement</w:t>
              </w:r>
              <w:r>
                <w:rPr>
                  <w:noProof/>
                </w:rPr>
                <w:br/>
                <w:t>[Accessed 1 May 2024].</w:t>
              </w:r>
            </w:p>
            <w:p w14:paraId="66A16D08" w14:textId="77777777" w:rsidR="0084748A" w:rsidRDefault="0084748A" w:rsidP="0084748A">
              <w:pPr>
                <w:pStyle w:val="Bibliography"/>
                <w:rPr>
                  <w:noProof/>
                </w:rPr>
              </w:pPr>
              <w:r>
                <w:rPr>
                  <w:noProof/>
                </w:rPr>
                <w:t xml:space="preserve">ACAS, 2024. </w:t>
              </w:r>
              <w:r>
                <w:rPr>
                  <w:i/>
                  <w:iCs/>
                  <w:noProof/>
                </w:rPr>
                <w:t xml:space="preserve">Pay and hours for young workers and apprentices. </w:t>
              </w:r>
              <w:r>
                <w:rPr>
                  <w:noProof/>
                </w:rPr>
                <w:t xml:space="preserve">[Online] </w:t>
              </w:r>
              <w:r>
                <w:rPr>
                  <w:noProof/>
                </w:rPr>
                <w:br/>
                <w:t xml:space="preserve">Available at: </w:t>
              </w:r>
              <w:r>
                <w:rPr>
                  <w:noProof/>
                  <w:u w:val="single"/>
                </w:rPr>
                <w:t>https://www.acas.org.uk/young-workers-apprentices-and-work-experience</w:t>
              </w:r>
              <w:r>
                <w:rPr>
                  <w:noProof/>
                </w:rPr>
                <w:br/>
                <w:t>[Accessed 15 April 2024].</w:t>
              </w:r>
            </w:p>
            <w:p w14:paraId="59E0AF7C" w14:textId="77777777" w:rsidR="0084748A" w:rsidRDefault="0084748A" w:rsidP="0084748A">
              <w:pPr>
                <w:pStyle w:val="Bibliography"/>
                <w:rPr>
                  <w:noProof/>
                </w:rPr>
              </w:pPr>
              <w:r>
                <w:rPr>
                  <w:noProof/>
                </w:rPr>
                <w:t xml:space="preserve">ACAS, 2024. </w:t>
              </w:r>
              <w:r>
                <w:rPr>
                  <w:i/>
                  <w:iCs/>
                  <w:noProof/>
                </w:rPr>
                <w:t xml:space="preserve">UPE: informing and consulting. </w:t>
              </w:r>
              <w:r>
                <w:rPr>
                  <w:noProof/>
                </w:rPr>
                <w:t xml:space="preserve">[Online] </w:t>
              </w:r>
              <w:r>
                <w:rPr>
                  <w:noProof/>
                </w:rPr>
                <w:br/>
                <w:t xml:space="preserve">Available at: </w:t>
              </w:r>
              <w:r>
                <w:rPr>
                  <w:noProof/>
                  <w:u w:val="single"/>
                </w:rPr>
                <w:t>https://www.acas.org.uk/inform-and-consult-staff-in-a-tupe-transfer</w:t>
              </w:r>
              <w:r>
                <w:rPr>
                  <w:noProof/>
                </w:rPr>
                <w:br/>
                <w:t>[Accessed 25 April 2024].</w:t>
              </w:r>
            </w:p>
            <w:p w14:paraId="1BB91140" w14:textId="77777777" w:rsidR="0084748A" w:rsidRDefault="0084748A" w:rsidP="0084748A">
              <w:pPr>
                <w:pStyle w:val="Bibliography"/>
                <w:rPr>
                  <w:noProof/>
                </w:rPr>
              </w:pPr>
              <w:r>
                <w:rPr>
                  <w:noProof/>
                </w:rPr>
                <w:t xml:space="preserve">ACAS, 2024. </w:t>
              </w:r>
              <w:r>
                <w:rPr>
                  <w:i/>
                  <w:iCs/>
                  <w:noProof/>
                </w:rPr>
                <w:t xml:space="preserve">Your rights during redundancy. </w:t>
              </w:r>
              <w:r>
                <w:rPr>
                  <w:noProof/>
                </w:rPr>
                <w:t xml:space="preserve">[Online] </w:t>
              </w:r>
              <w:r>
                <w:rPr>
                  <w:noProof/>
                </w:rPr>
                <w:br/>
                <w:t xml:space="preserve">Available at: </w:t>
              </w:r>
              <w:r>
                <w:rPr>
                  <w:noProof/>
                  <w:u w:val="single"/>
                </w:rPr>
                <w:t>https://www.acas.org.uk/your-rights-during-redundancy/taking-another-job-with-your-employer#:~:text=This%20is%20called%20'suitable%20alternative,to%20apply%20for%20the%20role.</w:t>
              </w:r>
              <w:r>
                <w:rPr>
                  <w:noProof/>
                </w:rPr>
                <w:br/>
                <w:t>[Accessed 7 6 2024].</w:t>
              </w:r>
            </w:p>
            <w:p w14:paraId="25D778A0" w14:textId="77777777" w:rsidR="0084748A" w:rsidRDefault="0084748A" w:rsidP="0084748A">
              <w:pPr>
                <w:pStyle w:val="Bibliography"/>
                <w:rPr>
                  <w:noProof/>
                </w:rPr>
              </w:pPr>
              <w:r>
                <w:rPr>
                  <w:i/>
                  <w:iCs/>
                  <w:noProof/>
                </w:rPr>
                <w:t xml:space="preserve">Atkins v Coyle Personnel (2008) </w:t>
              </w:r>
              <w:r>
                <w:rPr>
                  <w:noProof/>
                </w:rPr>
                <w:t xml:space="preserve">(n.d.). </w:t>
              </w:r>
            </w:p>
            <w:p w14:paraId="563B6AB0" w14:textId="77777777" w:rsidR="0084748A" w:rsidRDefault="0084748A" w:rsidP="0084748A">
              <w:pPr>
                <w:pStyle w:val="Bibliography"/>
                <w:rPr>
                  <w:noProof/>
                </w:rPr>
              </w:pPr>
              <w:r>
                <w:rPr>
                  <w:i/>
                  <w:iCs/>
                  <w:noProof/>
                </w:rPr>
                <w:t xml:space="preserve">Avon County Council v Haywood-Hicks </w:t>
              </w:r>
              <w:r>
                <w:rPr>
                  <w:noProof/>
                </w:rPr>
                <w:t xml:space="preserve">(1978) ICR 646. </w:t>
              </w:r>
            </w:p>
            <w:p w14:paraId="4078D69A" w14:textId="77777777" w:rsidR="0084748A" w:rsidRDefault="0084748A" w:rsidP="0084748A">
              <w:pPr>
                <w:pStyle w:val="Bibliography"/>
                <w:rPr>
                  <w:noProof/>
                </w:rPr>
              </w:pPr>
              <w:r>
                <w:rPr>
                  <w:i/>
                  <w:iCs/>
                  <w:noProof/>
                </w:rPr>
                <w:t xml:space="preserve">Birmingham City Council V Adbulla and others (2012) </w:t>
              </w:r>
              <w:r>
                <w:rPr>
                  <w:noProof/>
                </w:rPr>
                <w:t xml:space="preserve">(n.d.). </w:t>
              </w:r>
            </w:p>
            <w:p w14:paraId="76CDA4AA" w14:textId="77777777" w:rsidR="0084748A" w:rsidRDefault="0084748A" w:rsidP="0084748A">
              <w:pPr>
                <w:pStyle w:val="Bibliography"/>
                <w:rPr>
                  <w:noProof/>
                </w:rPr>
              </w:pPr>
              <w:r>
                <w:rPr>
                  <w:noProof/>
                </w:rPr>
                <w:t xml:space="preserve">Calnan, M., 2017. </w:t>
              </w:r>
              <w:r>
                <w:rPr>
                  <w:i/>
                  <w:iCs/>
                  <w:noProof/>
                </w:rPr>
                <w:t xml:space="preserve">Ageism the most common form of discrimination, say employees. </w:t>
              </w:r>
              <w:r>
                <w:rPr>
                  <w:noProof/>
                </w:rPr>
                <w:t xml:space="preserve">[Online] </w:t>
              </w:r>
              <w:r>
                <w:rPr>
                  <w:noProof/>
                </w:rPr>
                <w:br/>
                <w:t xml:space="preserve">Available at: </w:t>
              </w:r>
              <w:r>
                <w:rPr>
                  <w:noProof/>
                  <w:u w:val="single"/>
                </w:rPr>
                <w:t>https://www.peoplemanagement.co.uk/article/1744888/ageism-the-most-common-form-of-discrimination-say-employees</w:t>
              </w:r>
              <w:r>
                <w:rPr>
                  <w:noProof/>
                </w:rPr>
                <w:br/>
                <w:t>[Accessed 14 April 2024].</w:t>
              </w:r>
            </w:p>
            <w:p w14:paraId="4A32FBFA" w14:textId="77777777" w:rsidR="0084748A" w:rsidRDefault="0084748A" w:rsidP="0084748A">
              <w:pPr>
                <w:pStyle w:val="Bibliography"/>
                <w:rPr>
                  <w:noProof/>
                </w:rPr>
              </w:pPr>
              <w:r>
                <w:rPr>
                  <w:noProof/>
                </w:rPr>
                <w:t xml:space="preserve">CIPD, 2017. </w:t>
              </w:r>
              <w:r>
                <w:rPr>
                  <w:i/>
                  <w:iCs/>
                  <w:noProof/>
                </w:rPr>
                <w:t xml:space="preserve">Employment Regulation in the UK: burden or benefit?, </w:t>
              </w:r>
              <w:r>
                <w:rPr>
                  <w:noProof/>
                </w:rPr>
                <w:t>London: CIPD.</w:t>
              </w:r>
            </w:p>
            <w:p w14:paraId="20F98728" w14:textId="77777777" w:rsidR="0084748A" w:rsidRDefault="0084748A" w:rsidP="0084748A">
              <w:pPr>
                <w:pStyle w:val="Bibliography"/>
                <w:rPr>
                  <w:noProof/>
                </w:rPr>
              </w:pPr>
              <w:r>
                <w:rPr>
                  <w:noProof/>
                </w:rPr>
                <w:t xml:space="preserve">CIPD, 2023. </w:t>
              </w:r>
              <w:r>
                <w:rPr>
                  <w:i/>
                  <w:iCs/>
                  <w:noProof/>
                </w:rPr>
                <w:t xml:space="preserve">The role of employment tribunals. </w:t>
              </w:r>
              <w:r>
                <w:rPr>
                  <w:noProof/>
                </w:rPr>
                <w:t xml:space="preserve">[Online] </w:t>
              </w:r>
              <w:r>
                <w:rPr>
                  <w:noProof/>
                </w:rPr>
                <w:br/>
                <w:t xml:space="preserve">Available at: </w:t>
              </w:r>
              <w:r>
                <w:rPr>
                  <w:noProof/>
                  <w:u w:val="single"/>
                </w:rPr>
                <w:t>https://www.cipd.org/uk/knowledge/factsheets/tribunals-factsheet/</w:t>
              </w:r>
              <w:r>
                <w:rPr>
                  <w:noProof/>
                </w:rPr>
                <w:br/>
                <w:t>[Accessed 10 April 2024].</w:t>
              </w:r>
            </w:p>
            <w:p w14:paraId="1FC2BB23" w14:textId="77777777" w:rsidR="0084748A" w:rsidRDefault="0084748A" w:rsidP="0084748A">
              <w:pPr>
                <w:pStyle w:val="Bibliography"/>
                <w:rPr>
                  <w:noProof/>
                </w:rPr>
              </w:pPr>
              <w:r>
                <w:rPr>
                  <w:noProof/>
                </w:rPr>
                <w:t xml:space="preserve">CIPD, 2024. </w:t>
              </w:r>
              <w:r>
                <w:rPr>
                  <w:i/>
                  <w:iCs/>
                  <w:noProof/>
                </w:rPr>
                <w:t xml:space="preserve">Equal pay: UK employment law. </w:t>
              </w:r>
              <w:r>
                <w:rPr>
                  <w:noProof/>
                </w:rPr>
                <w:t xml:space="preserve">[Online] </w:t>
              </w:r>
              <w:r>
                <w:rPr>
                  <w:noProof/>
                </w:rPr>
                <w:br/>
                <w:t xml:space="preserve">Available at: </w:t>
              </w:r>
              <w:r>
                <w:rPr>
                  <w:noProof/>
                  <w:u w:val="single"/>
                </w:rPr>
                <w:t>https://www.cipd.org/uk/knowledge/employment-law/equal-pay/</w:t>
              </w:r>
              <w:r>
                <w:rPr>
                  <w:noProof/>
                </w:rPr>
                <w:br/>
                <w:t>[Accessed 24 Apri 2024].</w:t>
              </w:r>
            </w:p>
            <w:p w14:paraId="0C91EAA3" w14:textId="77777777" w:rsidR="0084748A" w:rsidRDefault="0084748A" w:rsidP="0084748A">
              <w:pPr>
                <w:pStyle w:val="Bibliography"/>
                <w:rPr>
                  <w:noProof/>
                </w:rPr>
              </w:pPr>
              <w:r>
                <w:rPr>
                  <w:noProof/>
                </w:rPr>
                <w:t xml:space="preserve">CIPD, 2024. </w:t>
              </w:r>
              <w:r>
                <w:rPr>
                  <w:i/>
                  <w:iCs/>
                  <w:noProof/>
                </w:rPr>
                <w:t xml:space="preserve">Flexible working practices. </w:t>
              </w:r>
              <w:r>
                <w:rPr>
                  <w:noProof/>
                </w:rPr>
                <w:t xml:space="preserve">[Online] </w:t>
              </w:r>
              <w:r>
                <w:rPr>
                  <w:noProof/>
                </w:rPr>
                <w:br/>
                <w:t xml:space="preserve">Available at: </w:t>
              </w:r>
              <w:r>
                <w:rPr>
                  <w:noProof/>
                  <w:u w:val="single"/>
                </w:rPr>
                <w:t>https://www.cipd.org/uk/knowledge/factsheets/flexible-working-factsheet/#title6</w:t>
              </w:r>
              <w:r>
                <w:rPr>
                  <w:noProof/>
                </w:rPr>
                <w:br/>
                <w:t>[Accessed 20 April 2024].</w:t>
              </w:r>
            </w:p>
            <w:p w14:paraId="54E3162D" w14:textId="77777777" w:rsidR="0084748A" w:rsidRDefault="0084748A" w:rsidP="0084748A">
              <w:pPr>
                <w:pStyle w:val="Bibliography"/>
                <w:rPr>
                  <w:noProof/>
                </w:rPr>
              </w:pPr>
              <w:r>
                <w:rPr>
                  <w:noProof/>
                </w:rPr>
                <w:t xml:space="preserve">CIPD, 2024. </w:t>
              </w:r>
              <w:r>
                <w:rPr>
                  <w:i/>
                  <w:iCs/>
                  <w:noProof/>
                </w:rPr>
                <w:t xml:space="preserve">New employment legislation to come into effect on 6 April 2024. </w:t>
              </w:r>
              <w:r>
                <w:rPr>
                  <w:noProof/>
                </w:rPr>
                <w:t xml:space="preserve">[Online] </w:t>
              </w:r>
              <w:r>
                <w:rPr>
                  <w:noProof/>
                </w:rPr>
                <w:br/>
                <w:t xml:space="preserve">Available at: </w:t>
              </w:r>
              <w:r>
                <w:rPr>
                  <w:noProof/>
                  <w:u w:val="single"/>
                </w:rPr>
                <w:t>https://www.cipd.org/uk/views-and-insights/thought-leadership/cipd-voice/new-employment-legislation/#:~:text=Under%20the%20new%20regulations%2C%20employees,hours%2C%20and%20varied%20working%20locations.</w:t>
              </w:r>
              <w:r>
                <w:rPr>
                  <w:noProof/>
                </w:rPr>
                <w:br/>
                <w:t>[Accessed 3 April 2024].</w:t>
              </w:r>
            </w:p>
            <w:p w14:paraId="26D6A792" w14:textId="77777777" w:rsidR="0084748A" w:rsidRDefault="0084748A" w:rsidP="0084748A">
              <w:pPr>
                <w:pStyle w:val="Bibliography"/>
                <w:rPr>
                  <w:noProof/>
                </w:rPr>
              </w:pPr>
              <w:r>
                <w:rPr>
                  <w:noProof/>
                </w:rPr>
                <w:lastRenderedPageBreak/>
                <w:t xml:space="preserve">CIPD, 2024. </w:t>
              </w:r>
              <w:r>
                <w:rPr>
                  <w:i/>
                  <w:iCs/>
                  <w:noProof/>
                </w:rPr>
                <w:t xml:space="preserve">Working hours and time off work. </w:t>
              </w:r>
              <w:r>
                <w:rPr>
                  <w:noProof/>
                </w:rPr>
                <w:t xml:space="preserve">[Online] </w:t>
              </w:r>
              <w:r>
                <w:rPr>
                  <w:noProof/>
                </w:rPr>
                <w:br/>
                <w:t xml:space="preserve">Available at: </w:t>
              </w:r>
              <w:r>
                <w:rPr>
                  <w:noProof/>
                  <w:u w:val="single"/>
                </w:rPr>
                <w:t>https://www.cipd.org/uk/knowledge/factsheets/working-time-factsheet/</w:t>
              </w:r>
              <w:r>
                <w:rPr>
                  <w:noProof/>
                </w:rPr>
                <w:br/>
                <w:t>[Accessed 30 April 2024].</w:t>
              </w:r>
            </w:p>
            <w:p w14:paraId="13E7631C" w14:textId="77777777" w:rsidR="0084748A" w:rsidRDefault="0084748A" w:rsidP="0084748A">
              <w:pPr>
                <w:pStyle w:val="Bibliography"/>
                <w:rPr>
                  <w:noProof/>
                </w:rPr>
              </w:pPr>
              <w:r>
                <w:rPr>
                  <w:noProof/>
                </w:rPr>
                <w:t xml:space="preserve">Citizens Advice, 2023. </w:t>
              </w:r>
              <w:r>
                <w:rPr>
                  <w:i/>
                  <w:iCs/>
                  <w:noProof/>
                </w:rPr>
                <w:t xml:space="preserve">Making a settlement agreement with your employer. </w:t>
              </w:r>
              <w:r>
                <w:rPr>
                  <w:noProof/>
                </w:rPr>
                <w:t xml:space="preserve">[Online] </w:t>
              </w:r>
              <w:r>
                <w:rPr>
                  <w:noProof/>
                </w:rPr>
                <w:br/>
                <w:t xml:space="preserve">Available at: </w:t>
              </w:r>
              <w:r>
                <w:rPr>
                  <w:noProof/>
                  <w:u w:val="single"/>
                </w:rPr>
                <w:t>https://www.citizensadvice.org.uk/work/employment-tribunals/employment-tribunals/before-you-go-to-the-tribunal/making-a-settlement-agreement-with-your-employer/</w:t>
              </w:r>
              <w:r>
                <w:rPr>
                  <w:noProof/>
                </w:rPr>
                <w:br/>
                <w:t>[Accessed 15 April 2024].</w:t>
              </w:r>
            </w:p>
            <w:p w14:paraId="2ED1DF32" w14:textId="77777777" w:rsidR="0084748A" w:rsidRDefault="0084748A" w:rsidP="0084748A">
              <w:pPr>
                <w:pStyle w:val="Bibliography"/>
                <w:rPr>
                  <w:noProof/>
                </w:rPr>
              </w:pPr>
              <w:r>
                <w:rPr>
                  <w:noProof/>
                </w:rPr>
                <w:t xml:space="preserve">Citizens Advice, 2024. </w:t>
              </w:r>
              <w:r>
                <w:rPr>
                  <w:i/>
                  <w:iCs/>
                  <w:noProof/>
                </w:rPr>
                <w:t xml:space="preserve">If you're being harassed or bullied at work. </w:t>
              </w:r>
              <w:r>
                <w:rPr>
                  <w:noProof/>
                </w:rPr>
                <w:t xml:space="preserve">[Online] </w:t>
              </w:r>
              <w:r>
                <w:rPr>
                  <w:noProof/>
                </w:rPr>
                <w:br/>
                <w:t xml:space="preserve">Available at: </w:t>
              </w:r>
              <w:r>
                <w:rPr>
                  <w:noProof/>
                  <w:u w:val="single"/>
                </w:rPr>
                <w:t>https://www.citizensadvice.org.uk/work/discrimination-at-work/discrimination-at-work/checking-if-its-discrimination/if-youre-being-harassed-or-bullied-at-work/#:~:text=Check%20what's%20harassment%20under%20discrimination%20law&amp;text=You%20also%20always%20n</w:t>
              </w:r>
              <w:r>
                <w:rPr>
                  <w:noProof/>
                </w:rPr>
                <w:br/>
                <w:t>[Accessed 15 April 2024].</w:t>
              </w:r>
            </w:p>
            <w:p w14:paraId="446C5994" w14:textId="77777777" w:rsidR="0084748A" w:rsidRDefault="0084748A" w:rsidP="0084748A">
              <w:pPr>
                <w:pStyle w:val="Bibliography"/>
                <w:rPr>
                  <w:noProof/>
                </w:rPr>
              </w:pPr>
              <w:r>
                <w:rPr>
                  <w:noProof/>
                </w:rPr>
                <w:t xml:space="preserve">Daniels, K., 2022. </w:t>
              </w:r>
              <w:r>
                <w:rPr>
                  <w:i/>
                  <w:iCs/>
                  <w:noProof/>
                </w:rPr>
                <w:t xml:space="preserve">Introduction to employment law: Fundamentals for HR and business students. </w:t>
              </w:r>
              <w:r>
                <w:rPr>
                  <w:noProof/>
                </w:rPr>
                <w:t>London: Kogan Page.</w:t>
              </w:r>
            </w:p>
            <w:p w14:paraId="0BB5697F" w14:textId="77777777" w:rsidR="0084748A" w:rsidRDefault="0084748A" w:rsidP="0084748A">
              <w:pPr>
                <w:pStyle w:val="Bibliography"/>
                <w:rPr>
                  <w:noProof/>
                </w:rPr>
              </w:pPr>
              <w:r>
                <w:rPr>
                  <w:noProof/>
                </w:rPr>
                <w:t xml:space="preserve">Daniels, K., 2022. The Employment Tribunals and the Employment Appeal Tribunal. In: </w:t>
              </w:r>
              <w:r>
                <w:rPr>
                  <w:i/>
                  <w:iCs/>
                  <w:noProof/>
                </w:rPr>
                <w:t xml:space="preserve">Introduction to employment law. </w:t>
              </w:r>
              <w:r>
                <w:rPr>
                  <w:noProof/>
                </w:rPr>
                <w:t>London: Kogan Page, p. 25.</w:t>
              </w:r>
            </w:p>
            <w:p w14:paraId="499CE1BC" w14:textId="77777777" w:rsidR="0084748A" w:rsidRDefault="0084748A" w:rsidP="0084748A">
              <w:pPr>
                <w:pStyle w:val="Bibliography"/>
                <w:rPr>
                  <w:noProof/>
                </w:rPr>
              </w:pPr>
              <w:r>
                <w:rPr>
                  <w:i/>
                  <w:iCs/>
                  <w:noProof/>
                </w:rPr>
                <w:t xml:space="preserve">Dobson v North Cumbria Integrated Care NHS Foundation Trust 2021 </w:t>
              </w:r>
              <w:r>
                <w:rPr>
                  <w:noProof/>
                </w:rPr>
                <w:t xml:space="preserve">(n.d.). </w:t>
              </w:r>
            </w:p>
            <w:p w14:paraId="228CD6C5" w14:textId="77777777" w:rsidR="0084748A" w:rsidRDefault="0084748A" w:rsidP="0084748A">
              <w:pPr>
                <w:pStyle w:val="Bibliography"/>
                <w:rPr>
                  <w:noProof/>
                </w:rPr>
              </w:pPr>
              <w:r>
                <w:rPr>
                  <w:noProof/>
                </w:rPr>
                <w:t xml:space="preserve">Dube, A., 2019. </w:t>
              </w:r>
              <w:r>
                <w:rPr>
                  <w:i/>
                  <w:iCs/>
                  <w:noProof/>
                </w:rPr>
                <w:t xml:space="preserve">Impacts of minimum wages: review of the international evidence, </w:t>
              </w:r>
              <w:r>
                <w:rPr>
                  <w:noProof/>
                </w:rPr>
                <w:t>s.l.: National Bureau of Economic Research and IZA institude of law economic.</w:t>
              </w:r>
            </w:p>
            <w:p w14:paraId="10180582" w14:textId="77777777" w:rsidR="0084748A" w:rsidRDefault="0084748A" w:rsidP="0084748A">
              <w:pPr>
                <w:pStyle w:val="Bibliography"/>
                <w:rPr>
                  <w:noProof/>
                </w:rPr>
              </w:pPr>
              <w:r>
                <w:rPr>
                  <w:noProof/>
                </w:rPr>
                <w:t xml:space="preserve">GOV.UK, 2012. </w:t>
              </w:r>
              <w:r>
                <w:rPr>
                  <w:i/>
                  <w:iCs/>
                  <w:noProof/>
                </w:rPr>
                <w:t xml:space="preserve">Ageism no longer acceptable under new legislation. </w:t>
              </w:r>
              <w:r>
                <w:rPr>
                  <w:noProof/>
                </w:rPr>
                <w:t xml:space="preserve">[Online] </w:t>
              </w:r>
              <w:r>
                <w:rPr>
                  <w:noProof/>
                </w:rPr>
                <w:br/>
                <w:t xml:space="preserve">Available at: </w:t>
              </w:r>
              <w:r>
                <w:rPr>
                  <w:noProof/>
                  <w:u w:val="single"/>
                </w:rPr>
                <w:t>https://www.gov.uk/government/news/ageism-no-longer-acceptable-under-new-legislation</w:t>
              </w:r>
              <w:r>
                <w:rPr>
                  <w:noProof/>
                </w:rPr>
                <w:br/>
                <w:t>[Accessed 2 April 2024].</w:t>
              </w:r>
            </w:p>
            <w:p w14:paraId="0497F9B6" w14:textId="77777777" w:rsidR="0084748A" w:rsidRDefault="0084748A" w:rsidP="0084748A">
              <w:pPr>
                <w:pStyle w:val="Bibliography"/>
                <w:rPr>
                  <w:noProof/>
                </w:rPr>
              </w:pPr>
              <w:r>
                <w:rPr>
                  <w:noProof/>
                </w:rPr>
                <w:t xml:space="preserve">GOV.UK, 2021. </w:t>
              </w:r>
              <w:r>
                <w:rPr>
                  <w:i/>
                  <w:iCs/>
                  <w:noProof/>
                </w:rPr>
                <w:t xml:space="preserve">Employers ‘named and shamed’ for paying less than minimum wage. </w:t>
              </w:r>
              <w:r>
                <w:rPr>
                  <w:noProof/>
                </w:rPr>
                <w:t xml:space="preserve">[Online] </w:t>
              </w:r>
              <w:r>
                <w:rPr>
                  <w:noProof/>
                </w:rPr>
                <w:br/>
                <w:t xml:space="preserve">Available at: </w:t>
              </w:r>
              <w:r>
                <w:rPr>
                  <w:noProof/>
                  <w:u w:val="single"/>
                </w:rPr>
                <w:t>https://www.gov.uk/government/news/employers-named-and-shamed-for-paying-less-than-minimum-wage</w:t>
              </w:r>
              <w:r>
                <w:rPr>
                  <w:noProof/>
                </w:rPr>
                <w:br/>
                <w:t>[Accessed 4 April 2024].</w:t>
              </w:r>
            </w:p>
            <w:p w14:paraId="55537868" w14:textId="77777777" w:rsidR="0084748A" w:rsidRDefault="0084748A" w:rsidP="0084748A">
              <w:pPr>
                <w:pStyle w:val="Bibliography"/>
                <w:rPr>
                  <w:noProof/>
                </w:rPr>
              </w:pPr>
              <w:r>
                <w:rPr>
                  <w:noProof/>
                </w:rPr>
                <w:t xml:space="preserve">Gov.uk, 2024. </w:t>
              </w:r>
              <w:r>
                <w:rPr>
                  <w:i/>
                  <w:iCs/>
                  <w:noProof/>
                </w:rPr>
                <w:t xml:space="preserve">Get financial help with statutory pay. </w:t>
              </w:r>
              <w:r>
                <w:rPr>
                  <w:noProof/>
                </w:rPr>
                <w:t xml:space="preserve">[Online] </w:t>
              </w:r>
              <w:r>
                <w:rPr>
                  <w:noProof/>
                </w:rPr>
                <w:br/>
                <w:t xml:space="preserve">Available at: </w:t>
              </w:r>
              <w:r>
                <w:rPr>
                  <w:noProof/>
                  <w:u w:val="single"/>
                </w:rPr>
                <w:t>https://www.gov.uk/recover-statutory-payments</w:t>
              </w:r>
              <w:r>
                <w:rPr>
                  <w:noProof/>
                </w:rPr>
                <w:br/>
                <w:t>[Accessed 15 4 2023].</w:t>
              </w:r>
            </w:p>
            <w:p w14:paraId="7E3F1DF2" w14:textId="77777777" w:rsidR="0084748A" w:rsidRDefault="0084748A" w:rsidP="0084748A">
              <w:pPr>
                <w:pStyle w:val="Bibliography"/>
                <w:rPr>
                  <w:noProof/>
                </w:rPr>
              </w:pPr>
              <w:r>
                <w:rPr>
                  <w:noProof/>
                </w:rPr>
                <w:t xml:space="preserve">GOV.UK, 2024. </w:t>
              </w:r>
              <w:r>
                <w:rPr>
                  <w:i/>
                  <w:iCs/>
                  <w:noProof/>
                </w:rPr>
                <w:t xml:space="preserve">Maternity pay and leave. </w:t>
              </w:r>
              <w:r>
                <w:rPr>
                  <w:noProof/>
                </w:rPr>
                <w:t xml:space="preserve">[Online] </w:t>
              </w:r>
              <w:r>
                <w:rPr>
                  <w:noProof/>
                </w:rPr>
                <w:br/>
                <w:t xml:space="preserve">Available at: </w:t>
              </w:r>
              <w:r>
                <w:rPr>
                  <w:noProof/>
                  <w:u w:val="single"/>
                </w:rPr>
                <w:t>https://www.gov.uk/maternity-pay-leave</w:t>
              </w:r>
              <w:r>
                <w:rPr>
                  <w:noProof/>
                </w:rPr>
                <w:br/>
                <w:t>[Accessed 17 April 2024].</w:t>
              </w:r>
            </w:p>
            <w:p w14:paraId="566CC9E5" w14:textId="77777777" w:rsidR="0084748A" w:rsidRDefault="0084748A" w:rsidP="0084748A">
              <w:pPr>
                <w:pStyle w:val="Bibliography"/>
                <w:rPr>
                  <w:noProof/>
                </w:rPr>
              </w:pPr>
              <w:r>
                <w:rPr>
                  <w:noProof/>
                </w:rPr>
                <w:t xml:space="preserve">GOV.UK, 2024. </w:t>
              </w:r>
              <w:r>
                <w:rPr>
                  <w:i/>
                  <w:iCs/>
                  <w:noProof/>
                </w:rPr>
                <w:t xml:space="preserve">Paternity pay and leave. </w:t>
              </w:r>
              <w:r>
                <w:rPr>
                  <w:noProof/>
                </w:rPr>
                <w:t xml:space="preserve">[Online] </w:t>
              </w:r>
              <w:r>
                <w:rPr>
                  <w:noProof/>
                </w:rPr>
                <w:br/>
                <w:t xml:space="preserve">Available at: </w:t>
              </w:r>
              <w:r>
                <w:rPr>
                  <w:noProof/>
                  <w:u w:val="single"/>
                </w:rPr>
                <w:t>https://www.gov.uk/paternity-pay-leave</w:t>
              </w:r>
              <w:r>
                <w:rPr>
                  <w:noProof/>
                </w:rPr>
                <w:br/>
                <w:t>[Accessed 14 April 2024].</w:t>
              </w:r>
            </w:p>
            <w:p w14:paraId="268A2F22" w14:textId="77777777" w:rsidR="0084748A" w:rsidRDefault="0084748A" w:rsidP="0084748A">
              <w:pPr>
                <w:pStyle w:val="Bibliography"/>
                <w:rPr>
                  <w:noProof/>
                </w:rPr>
              </w:pPr>
              <w:r>
                <w:rPr>
                  <w:noProof/>
                </w:rPr>
                <w:t xml:space="preserve">Guyan, K. &amp; Oloyede, F., 2019. </w:t>
              </w:r>
              <w:r>
                <w:rPr>
                  <w:i/>
                  <w:iCs/>
                  <w:noProof/>
                </w:rPr>
                <w:t xml:space="preserve">Equality, diversity and inclusion in research and innovation: UK Review, </w:t>
              </w:r>
              <w:r>
                <w:rPr>
                  <w:noProof/>
                </w:rPr>
                <w:t>London: UK Research and Innovation.</w:t>
              </w:r>
            </w:p>
            <w:p w14:paraId="1E3EF622" w14:textId="77777777" w:rsidR="0084748A" w:rsidRDefault="0084748A" w:rsidP="0084748A">
              <w:pPr>
                <w:pStyle w:val="Bibliography"/>
                <w:rPr>
                  <w:noProof/>
                </w:rPr>
              </w:pPr>
              <w:r>
                <w:rPr>
                  <w:i/>
                  <w:iCs/>
                  <w:noProof/>
                </w:rPr>
                <w:t xml:space="preserve">Hatch v Wadham Stringer Commercials (Ashford) Ltd (1977) </w:t>
              </w:r>
              <w:r>
                <w:rPr>
                  <w:noProof/>
                </w:rPr>
                <w:t xml:space="preserve">(n.d.). </w:t>
              </w:r>
            </w:p>
            <w:p w14:paraId="70753477" w14:textId="77777777" w:rsidR="0084748A" w:rsidRDefault="0084748A" w:rsidP="0084748A">
              <w:pPr>
                <w:pStyle w:val="Bibliography"/>
                <w:rPr>
                  <w:noProof/>
                </w:rPr>
              </w:pPr>
              <w:r>
                <w:rPr>
                  <w:i/>
                  <w:iCs/>
                  <w:noProof/>
                </w:rPr>
                <w:t xml:space="preserve">Hodgson v MDA Ltd (2020) </w:t>
              </w:r>
              <w:r>
                <w:rPr>
                  <w:noProof/>
                </w:rPr>
                <w:t xml:space="preserve">(n.d.). </w:t>
              </w:r>
            </w:p>
            <w:p w14:paraId="5B6AA952" w14:textId="77777777" w:rsidR="0084748A" w:rsidRDefault="0084748A" w:rsidP="0084748A">
              <w:pPr>
                <w:pStyle w:val="Bibliography"/>
                <w:rPr>
                  <w:noProof/>
                </w:rPr>
              </w:pPr>
              <w:r>
                <w:rPr>
                  <w:i/>
                  <w:iCs/>
                  <w:noProof/>
                </w:rPr>
                <w:t xml:space="preserve">I Lab Facilities v Metcalfe (2012) </w:t>
              </w:r>
              <w:r>
                <w:rPr>
                  <w:noProof/>
                </w:rPr>
                <w:t xml:space="preserve">(n.d.). </w:t>
              </w:r>
            </w:p>
            <w:p w14:paraId="25EEA4CE" w14:textId="77777777" w:rsidR="0084748A" w:rsidRDefault="0084748A" w:rsidP="0084748A">
              <w:pPr>
                <w:pStyle w:val="Bibliography"/>
                <w:rPr>
                  <w:noProof/>
                </w:rPr>
              </w:pPr>
              <w:r>
                <w:rPr>
                  <w:noProof/>
                </w:rPr>
                <w:t xml:space="preserve">Jackson, I., 2024. </w:t>
              </w:r>
              <w:r>
                <w:rPr>
                  <w:i/>
                  <w:iCs/>
                  <w:noProof/>
                </w:rPr>
                <w:t xml:space="preserve">‘Chronic’ civil service pay issues hindering recruitment and morale, report finds – what can HR learn?. </w:t>
              </w:r>
              <w:r>
                <w:rPr>
                  <w:noProof/>
                </w:rPr>
                <w:t xml:space="preserve">[Online] </w:t>
              </w:r>
              <w:r>
                <w:rPr>
                  <w:noProof/>
                </w:rPr>
                <w:br/>
                <w:t xml:space="preserve">Available at: </w:t>
              </w:r>
              <w:r>
                <w:rPr>
                  <w:noProof/>
                  <w:u w:val="single"/>
                </w:rPr>
                <w:t>https://www.peoplemanagement.co.uk/article/1866429/chronic-civil-service-pay-issues-hindering-recruitment-morale-report-finds-%E2%80%93-hr-learn</w:t>
              </w:r>
              <w:r>
                <w:rPr>
                  <w:noProof/>
                </w:rPr>
                <w:br/>
                <w:t>[Accessed 7 April 2024].</w:t>
              </w:r>
            </w:p>
            <w:p w14:paraId="4F352988" w14:textId="77777777" w:rsidR="0084748A" w:rsidRDefault="0084748A" w:rsidP="0084748A">
              <w:pPr>
                <w:pStyle w:val="Bibliography"/>
                <w:rPr>
                  <w:noProof/>
                </w:rPr>
              </w:pPr>
              <w:r>
                <w:rPr>
                  <w:noProof/>
                </w:rPr>
                <w:t xml:space="preserve">Judiciary, 2024. </w:t>
              </w:r>
              <w:r>
                <w:rPr>
                  <w:i/>
                  <w:iCs/>
                  <w:noProof/>
                </w:rPr>
                <w:t xml:space="preserve">Structure of Courts and Tribunals System. </w:t>
              </w:r>
              <w:r>
                <w:rPr>
                  <w:noProof/>
                </w:rPr>
                <w:t xml:space="preserve">[Online] </w:t>
              </w:r>
              <w:r>
                <w:rPr>
                  <w:noProof/>
                </w:rPr>
                <w:br/>
                <w:t xml:space="preserve">Available at: </w:t>
              </w:r>
              <w:r>
                <w:rPr>
                  <w:noProof/>
                  <w:u w:val="single"/>
                </w:rPr>
                <w:t>https://www.judiciary.uk/structure-of-courts-and-tribunals-system/</w:t>
              </w:r>
              <w:r>
                <w:rPr>
                  <w:noProof/>
                </w:rPr>
                <w:br/>
                <w:t>[Accessed 14 4 2024].</w:t>
              </w:r>
            </w:p>
            <w:p w14:paraId="4587372C" w14:textId="77777777" w:rsidR="0084748A" w:rsidRDefault="0084748A" w:rsidP="0084748A">
              <w:pPr>
                <w:pStyle w:val="Bibliography"/>
                <w:rPr>
                  <w:noProof/>
                </w:rPr>
              </w:pPr>
              <w:r>
                <w:rPr>
                  <w:noProof/>
                </w:rPr>
                <w:t xml:space="preserve">Judiciary, 2024. </w:t>
              </w:r>
              <w:r>
                <w:rPr>
                  <w:i/>
                  <w:iCs/>
                  <w:noProof/>
                </w:rPr>
                <w:t xml:space="preserve">Structure of the Courts &amp; Tribunals system. </w:t>
              </w:r>
              <w:r>
                <w:rPr>
                  <w:noProof/>
                </w:rPr>
                <w:t xml:space="preserve">[Online] </w:t>
              </w:r>
              <w:r>
                <w:rPr>
                  <w:noProof/>
                </w:rPr>
                <w:br/>
                <w:t xml:space="preserve">Available at: </w:t>
              </w:r>
              <w:r>
                <w:rPr>
                  <w:noProof/>
                  <w:u w:val="single"/>
                </w:rPr>
                <w:t>https://www.judiciary.uk/about-the-judiciary/our-justice-system/court-structure/</w:t>
              </w:r>
              <w:r>
                <w:rPr>
                  <w:noProof/>
                </w:rPr>
                <w:br/>
                <w:t>[Accessed 15 April 2024].</w:t>
              </w:r>
            </w:p>
            <w:p w14:paraId="6F5C7AFB" w14:textId="77777777" w:rsidR="0084748A" w:rsidRDefault="0084748A" w:rsidP="0084748A">
              <w:pPr>
                <w:pStyle w:val="Bibliography"/>
                <w:rPr>
                  <w:noProof/>
                </w:rPr>
              </w:pPr>
              <w:r>
                <w:rPr>
                  <w:noProof/>
                </w:rPr>
                <w:t xml:space="preserve">Judiciary, 2024. </w:t>
              </w:r>
              <w:r>
                <w:rPr>
                  <w:i/>
                  <w:iCs/>
                  <w:noProof/>
                </w:rPr>
                <w:t xml:space="preserve">What are employment tribunals. </w:t>
              </w:r>
              <w:r>
                <w:rPr>
                  <w:noProof/>
                </w:rPr>
                <w:t xml:space="preserve">[Online] </w:t>
              </w:r>
              <w:r>
                <w:rPr>
                  <w:noProof/>
                </w:rPr>
                <w:br/>
                <w:t xml:space="preserve">Available at: </w:t>
              </w:r>
              <w:r>
                <w:rPr>
                  <w:noProof/>
                  <w:u w:val="single"/>
                </w:rPr>
                <w:t>https://www.judiciary.uk/courts-and-tribunals/tribunals/employment-tribunal/employment-tribunal-england-wales/work-of-the-employment-tribunal/what-is-the-employment-tribunal/#:~:text=Previously%20called%20the%20Industrial%20Tribunals,employers%20by%20Indu</w:t>
              </w:r>
            </w:p>
            <w:p w14:paraId="49E6F3E2" w14:textId="77777777" w:rsidR="0084748A" w:rsidRDefault="0084748A" w:rsidP="0084748A">
              <w:pPr>
                <w:pStyle w:val="Bibliography"/>
                <w:rPr>
                  <w:noProof/>
                </w:rPr>
              </w:pPr>
              <w:r>
                <w:rPr>
                  <w:i/>
                  <w:iCs/>
                  <w:noProof/>
                </w:rPr>
                <w:t xml:space="preserve">Leisure Employment Services v HMRC (2007) </w:t>
              </w:r>
              <w:r>
                <w:rPr>
                  <w:noProof/>
                </w:rPr>
                <w:t xml:space="preserve">(n.d.). </w:t>
              </w:r>
            </w:p>
            <w:p w14:paraId="3C26F2F4" w14:textId="77777777" w:rsidR="0084748A" w:rsidRDefault="0084748A" w:rsidP="0084748A">
              <w:pPr>
                <w:pStyle w:val="Bibliography"/>
                <w:rPr>
                  <w:noProof/>
                </w:rPr>
              </w:pPr>
              <w:r>
                <w:rPr>
                  <w:i/>
                  <w:iCs/>
                  <w:noProof/>
                </w:rPr>
                <w:t xml:space="preserve">Mr M Furlong v The Chief Constable of Cheshire Police (2018) </w:t>
              </w:r>
              <w:r>
                <w:rPr>
                  <w:noProof/>
                </w:rPr>
                <w:t xml:space="preserve">(n.d.). </w:t>
              </w:r>
            </w:p>
            <w:p w14:paraId="3D4349EA" w14:textId="77777777" w:rsidR="0084748A" w:rsidRDefault="0084748A" w:rsidP="0084748A">
              <w:pPr>
                <w:pStyle w:val="Bibliography"/>
                <w:rPr>
                  <w:noProof/>
                </w:rPr>
              </w:pPr>
              <w:r>
                <w:rPr>
                  <w:noProof/>
                </w:rPr>
                <w:t>National Heart, Lung and blood instiute, 2022</w:t>
              </w:r>
              <w:r>
                <w:rPr>
                  <w:noProof/>
                </w:rPr>
                <w:lastRenderedPageBreak/>
                <w:t xml:space="preserve">. </w:t>
              </w:r>
              <w:r>
                <w:rPr>
                  <w:i/>
                  <w:iCs/>
                  <w:noProof/>
                </w:rPr>
                <w:t xml:space="preserve">What Are Sleep Deprivation and Deficiency?. </w:t>
              </w:r>
              <w:r>
                <w:rPr>
                  <w:noProof/>
                </w:rPr>
                <w:t xml:space="preserve">[Online] </w:t>
              </w:r>
              <w:r>
                <w:rPr>
                  <w:noProof/>
                </w:rPr>
                <w:br/>
                <w:t xml:space="preserve">Available at: </w:t>
              </w:r>
              <w:r>
                <w:rPr>
                  <w:noProof/>
                  <w:u w:val="single"/>
                </w:rPr>
                <w:t>https://www.nhlbi.nih.gov/health/sleep-deprivation#:~:text=Sleep%20deficiency%20can%20interfere%20with,or%20worried%20in%20social%20situations.</w:t>
              </w:r>
              <w:r>
                <w:rPr>
                  <w:noProof/>
                </w:rPr>
                <w:br/>
                <w:t>[Accessed 13 4 2024].</w:t>
              </w:r>
            </w:p>
            <w:p w14:paraId="59777697" w14:textId="77777777" w:rsidR="0084748A" w:rsidRDefault="0084748A" w:rsidP="0084748A">
              <w:pPr>
                <w:pStyle w:val="Bibliography"/>
                <w:rPr>
                  <w:noProof/>
                </w:rPr>
              </w:pPr>
              <w:r>
                <w:rPr>
                  <w:noProof/>
                </w:rPr>
                <w:t xml:space="preserve">Recruitment &amp; Employment Federation, 2024. </w:t>
              </w:r>
              <w:r>
                <w:rPr>
                  <w:i/>
                  <w:iCs/>
                  <w:noProof/>
                </w:rPr>
                <w:t xml:space="preserve">Spring Budget 2025 - A Submission from the Recruitment and employment confederation, </w:t>
              </w:r>
              <w:r>
                <w:rPr>
                  <w:noProof/>
                </w:rPr>
                <w:t>London: Recruitment &amp; Employment Federation.</w:t>
              </w:r>
            </w:p>
            <w:p w14:paraId="570D5DDD" w14:textId="77777777" w:rsidR="0084748A" w:rsidRDefault="0084748A" w:rsidP="0084748A">
              <w:pPr>
                <w:pStyle w:val="Bibliography"/>
                <w:rPr>
                  <w:noProof/>
                </w:rPr>
              </w:pPr>
              <w:r>
                <w:rPr>
                  <w:noProof/>
                </w:rPr>
                <w:t xml:space="preserve">Rincon-Roldan, F. &amp; Lopez-Cabrales, A., 2021. The impact of employment relationships on firm sustainability. </w:t>
              </w:r>
              <w:r>
                <w:rPr>
                  <w:i/>
                  <w:iCs/>
                  <w:noProof/>
                </w:rPr>
                <w:t xml:space="preserve">Empoyee Relations, </w:t>
              </w:r>
              <w:r>
                <w:rPr>
                  <w:noProof/>
                </w:rPr>
                <w:t>44(2), pp. 386-402.</w:t>
              </w:r>
            </w:p>
            <w:p w14:paraId="36D6CD6A" w14:textId="77777777" w:rsidR="0084748A" w:rsidRDefault="0084748A" w:rsidP="0084748A">
              <w:pPr>
                <w:pStyle w:val="Bibliography"/>
                <w:rPr>
                  <w:noProof/>
                </w:rPr>
              </w:pPr>
              <w:r>
                <w:rPr>
                  <w:noProof/>
                </w:rPr>
                <w:t xml:space="preserve">Strachan, R., 2022. </w:t>
              </w:r>
              <w:r>
                <w:rPr>
                  <w:i/>
                  <w:iCs/>
                  <w:noProof/>
                </w:rPr>
                <w:t xml:space="preserve">Who killed british Manufacturing. </w:t>
              </w:r>
              <w:r>
                <w:rPr>
                  <w:noProof/>
                </w:rPr>
                <w:t xml:space="preserve">[Online] </w:t>
              </w:r>
              <w:r>
                <w:rPr>
                  <w:noProof/>
                </w:rPr>
                <w:br/>
                <w:t xml:space="preserve">Available at: </w:t>
              </w:r>
              <w:r>
                <w:rPr>
                  <w:noProof/>
                  <w:u w:val="single"/>
                </w:rPr>
                <w:t>https://www.investmentmonitor.ai/manufacturing/who-killed-british-manufacturing/</w:t>
              </w:r>
            </w:p>
            <w:p w14:paraId="69932516" w14:textId="77777777" w:rsidR="0084748A" w:rsidRDefault="0084748A" w:rsidP="0084748A">
              <w:pPr>
                <w:pStyle w:val="Bibliography"/>
                <w:rPr>
                  <w:noProof/>
                </w:rPr>
              </w:pPr>
              <w:r>
                <w:rPr>
                  <w:noProof/>
                </w:rPr>
                <w:t xml:space="preserve">Taylor, M., 2017. </w:t>
              </w:r>
              <w:r>
                <w:rPr>
                  <w:i/>
                  <w:iCs/>
                  <w:noProof/>
                </w:rPr>
                <w:t xml:space="preserve">Good work: the Taylor review of modern working practices, </w:t>
              </w:r>
              <w:r>
                <w:rPr>
                  <w:noProof/>
                </w:rPr>
                <w:t>London: Department for business.</w:t>
              </w:r>
            </w:p>
            <w:p w14:paraId="4D02A511" w14:textId="77777777" w:rsidR="0084748A" w:rsidRDefault="0084748A" w:rsidP="0084748A">
              <w:pPr>
                <w:pStyle w:val="Bibliography"/>
                <w:rPr>
                  <w:noProof/>
                </w:rPr>
              </w:pPr>
              <w:r>
                <w:rPr>
                  <w:noProof/>
                </w:rPr>
                <w:t xml:space="preserve">Taylor, S. &amp; Emir, A., 2015. </w:t>
              </w:r>
              <w:r>
                <w:rPr>
                  <w:i/>
                  <w:iCs/>
                  <w:noProof/>
                </w:rPr>
                <w:t xml:space="preserve">Employment Law: An Introduction. </w:t>
              </w:r>
              <w:r>
                <w:rPr>
                  <w:noProof/>
                </w:rPr>
                <w:t>Oxford: Oxford University Press.</w:t>
              </w:r>
            </w:p>
            <w:p w14:paraId="7983627A" w14:textId="77777777" w:rsidR="0084748A" w:rsidRDefault="0084748A" w:rsidP="0084748A">
              <w:pPr>
                <w:pStyle w:val="Bibliography"/>
                <w:rPr>
                  <w:noProof/>
                </w:rPr>
              </w:pPr>
              <w:r>
                <w:rPr>
                  <w:i/>
                  <w:iCs/>
                  <w:noProof/>
                </w:rPr>
                <w:t xml:space="preserve">The Government Legal Service v Ms T Brookes (2017) UKEAT/0302/16/RN. </w:t>
              </w:r>
              <w:r>
                <w:rPr>
                  <w:noProof/>
                </w:rPr>
                <w:t xml:space="preserve">(n.d.). </w:t>
              </w:r>
            </w:p>
            <w:p w14:paraId="4065D257" w14:textId="77777777" w:rsidR="0084748A" w:rsidRDefault="0084748A" w:rsidP="0084748A">
              <w:pPr>
                <w:pStyle w:val="Bibliography"/>
                <w:rPr>
                  <w:noProof/>
                </w:rPr>
              </w:pPr>
              <w:r>
                <w:rPr>
                  <w:noProof/>
                </w:rPr>
                <w:t xml:space="preserve">Waddington, J., 2020. Employment Relations in the United Kingdowm. In: </w:t>
              </w:r>
              <w:r>
                <w:rPr>
                  <w:i/>
                  <w:iCs/>
                  <w:noProof/>
                </w:rPr>
                <w:t xml:space="preserve">International &amp; Comparative employment relations. </w:t>
              </w:r>
              <w:r>
                <w:rPr>
                  <w:noProof/>
                </w:rPr>
                <w:t>London: Routledge.</w:t>
              </w:r>
            </w:p>
            <w:p w14:paraId="60B648EC" w14:textId="295D2282" w:rsidR="004972E0" w:rsidRDefault="004972E0" w:rsidP="0084748A">
              <w:r>
                <w:rPr>
                  <w:b/>
                  <w:bCs/>
                  <w:noProof/>
                </w:rPr>
                <w:fldChar w:fldCharType="end"/>
              </w:r>
            </w:p>
          </w:sdtContent>
        </w:sdt>
      </w:sdtContent>
    </w:sdt>
    <w:p w14:paraId="78C4E2BB" w14:textId="02344F66" w:rsidR="009F60D7" w:rsidRPr="00663AA9" w:rsidRDefault="009F60D7" w:rsidP="00663AA9">
      <w:pPr>
        <w:spacing w:line="276" w:lineRule="auto"/>
        <w:rPr>
          <w:rFonts w:cs="Arial"/>
          <w:color w:val="000000" w:themeColor="text1"/>
          <w:szCs w:val="22"/>
        </w:rPr>
      </w:pPr>
    </w:p>
    <w:sectPr w:rsidR="009F60D7" w:rsidRPr="00663A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532E1E"/>
    <w:multiLevelType w:val="hybridMultilevel"/>
    <w:tmpl w:val="E0BAFFA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4B039E"/>
    <w:multiLevelType w:val="hybridMultilevel"/>
    <w:tmpl w:val="DC1E13B2"/>
    <w:lvl w:ilvl="0" w:tplc="1B26DF0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9899318">
    <w:abstractNumId w:val="0"/>
  </w:num>
  <w:num w:numId="2" w16cid:durableId="1400789498">
    <w:abstractNumId w:val="2"/>
  </w:num>
  <w:num w:numId="3" w16cid:durableId="38363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E31"/>
    <w:rsid w:val="00000F07"/>
    <w:rsid w:val="000118BD"/>
    <w:rsid w:val="00011B32"/>
    <w:rsid w:val="00017FD6"/>
    <w:rsid w:val="00031C4B"/>
    <w:rsid w:val="000335E0"/>
    <w:rsid w:val="000337C4"/>
    <w:rsid w:val="00034BAC"/>
    <w:rsid w:val="000409B1"/>
    <w:rsid w:val="00043B75"/>
    <w:rsid w:val="00043FCD"/>
    <w:rsid w:val="0004545F"/>
    <w:rsid w:val="0004553A"/>
    <w:rsid w:val="000456FD"/>
    <w:rsid w:val="00045782"/>
    <w:rsid w:val="000524A4"/>
    <w:rsid w:val="00055F75"/>
    <w:rsid w:val="00056338"/>
    <w:rsid w:val="000641E3"/>
    <w:rsid w:val="0006597D"/>
    <w:rsid w:val="00065C53"/>
    <w:rsid w:val="00070EBA"/>
    <w:rsid w:val="0007778B"/>
    <w:rsid w:val="0008061B"/>
    <w:rsid w:val="00080ABD"/>
    <w:rsid w:val="00080C81"/>
    <w:rsid w:val="00083D36"/>
    <w:rsid w:val="00084351"/>
    <w:rsid w:val="0008759F"/>
    <w:rsid w:val="00087A91"/>
    <w:rsid w:val="00093C4F"/>
    <w:rsid w:val="000A12D7"/>
    <w:rsid w:val="000A4F03"/>
    <w:rsid w:val="000B3C16"/>
    <w:rsid w:val="000B677C"/>
    <w:rsid w:val="000B6852"/>
    <w:rsid w:val="000C3879"/>
    <w:rsid w:val="000C5231"/>
    <w:rsid w:val="000C56CE"/>
    <w:rsid w:val="000C6276"/>
    <w:rsid w:val="000C67BA"/>
    <w:rsid w:val="000C7420"/>
    <w:rsid w:val="000C7998"/>
    <w:rsid w:val="000D0D39"/>
    <w:rsid w:val="000D12FE"/>
    <w:rsid w:val="000F08AD"/>
    <w:rsid w:val="000F6C78"/>
    <w:rsid w:val="00101E69"/>
    <w:rsid w:val="00110B1D"/>
    <w:rsid w:val="00113E17"/>
    <w:rsid w:val="001146F2"/>
    <w:rsid w:val="00114888"/>
    <w:rsid w:val="00125B06"/>
    <w:rsid w:val="00132A0A"/>
    <w:rsid w:val="001334F0"/>
    <w:rsid w:val="001371AE"/>
    <w:rsid w:val="00142A86"/>
    <w:rsid w:val="00154975"/>
    <w:rsid w:val="00156EEE"/>
    <w:rsid w:val="001648ED"/>
    <w:rsid w:val="00166237"/>
    <w:rsid w:val="00170893"/>
    <w:rsid w:val="001709E6"/>
    <w:rsid w:val="00170B55"/>
    <w:rsid w:val="00172CED"/>
    <w:rsid w:val="00172F31"/>
    <w:rsid w:val="001923AB"/>
    <w:rsid w:val="001A3BBB"/>
    <w:rsid w:val="001B36AB"/>
    <w:rsid w:val="001B799E"/>
    <w:rsid w:val="001C0E39"/>
    <w:rsid w:val="001C0FCF"/>
    <w:rsid w:val="001C48AC"/>
    <w:rsid w:val="001E1DED"/>
    <w:rsid w:val="001E51AE"/>
    <w:rsid w:val="001E5774"/>
    <w:rsid w:val="001F0ECC"/>
    <w:rsid w:val="001F422D"/>
    <w:rsid w:val="001F52BA"/>
    <w:rsid w:val="001F75DF"/>
    <w:rsid w:val="0020377F"/>
    <w:rsid w:val="00227D10"/>
    <w:rsid w:val="002302F3"/>
    <w:rsid w:val="00236EBF"/>
    <w:rsid w:val="00242A5F"/>
    <w:rsid w:val="0027354E"/>
    <w:rsid w:val="00277E02"/>
    <w:rsid w:val="002841D3"/>
    <w:rsid w:val="002929D4"/>
    <w:rsid w:val="00293006"/>
    <w:rsid w:val="002936BF"/>
    <w:rsid w:val="00294A85"/>
    <w:rsid w:val="00294EB3"/>
    <w:rsid w:val="002A297B"/>
    <w:rsid w:val="002A4298"/>
    <w:rsid w:val="002B6CD0"/>
    <w:rsid w:val="002C012D"/>
    <w:rsid w:val="002C1946"/>
    <w:rsid w:val="002C605A"/>
    <w:rsid w:val="002D4F79"/>
    <w:rsid w:val="002D50C1"/>
    <w:rsid w:val="002D761B"/>
    <w:rsid w:val="002D7E59"/>
    <w:rsid w:val="002E36F1"/>
    <w:rsid w:val="002E5433"/>
    <w:rsid w:val="002F5F65"/>
    <w:rsid w:val="002F6E62"/>
    <w:rsid w:val="00302A2E"/>
    <w:rsid w:val="00306068"/>
    <w:rsid w:val="00315FF9"/>
    <w:rsid w:val="0031685E"/>
    <w:rsid w:val="00320418"/>
    <w:rsid w:val="00321C39"/>
    <w:rsid w:val="0032422E"/>
    <w:rsid w:val="00325EE7"/>
    <w:rsid w:val="00326C1D"/>
    <w:rsid w:val="00332157"/>
    <w:rsid w:val="00333CDA"/>
    <w:rsid w:val="003353EB"/>
    <w:rsid w:val="00337E47"/>
    <w:rsid w:val="003406BB"/>
    <w:rsid w:val="003419EC"/>
    <w:rsid w:val="003521A6"/>
    <w:rsid w:val="00357FFE"/>
    <w:rsid w:val="00361EC2"/>
    <w:rsid w:val="003633CF"/>
    <w:rsid w:val="00365D4B"/>
    <w:rsid w:val="00371DCA"/>
    <w:rsid w:val="00372298"/>
    <w:rsid w:val="003740BE"/>
    <w:rsid w:val="00374603"/>
    <w:rsid w:val="00377BCF"/>
    <w:rsid w:val="00377F46"/>
    <w:rsid w:val="00380EBA"/>
    <w:rsid w:val="00385841"/>
    <w:rsid w:val="00391D4B"/>
    <w:rsid w:val="003925CE"/>
    <w:rsid w:val="00397D37"/>
    <w:rsid w:val="003A16CA"/>
    <w:rsid w:val="003A28BF"/>
    <w:rsid w:val="003B3BCF"/>
    <w:rsid w:val="003B50A9"/>
    <w:rsid w:val="003C016D"/>
    <w:rsid w:val="003C579E"/>
    <w:rsid w:val="003D5317"/>
    <w:rsid w:val="003D5B71"/>
    <w:rsid w:val="003D792B"/>
    <w:rsid w:val="003D7959"/>
    <w:rsid w:val="003F0E01"/>
    <w:rsid w:val="003F1316"/>
    <w:rsid w:val="003F4488"/>
    <w:rsid w:val="004047D3"/>
    <w:rsid w:val="00405FBB"/>
    <w:rsid w:val="00410F91"/>
    <w:rsid w:val="00413666"/>
    <w:rsid w:val="004256AA"/>
    <w:rsid w:val="00433368"/>
    <w:rsid w:val="00437E70"/>
    <w:rsid w:val="004403E4"/>
    <w:rsid w:val="00440465"/>
    <w:rsid w:val="00444310"/>
    <w:rsid w:val="00454F0B"/>
    <w:rsid w:val="004550CE"/>
    <w:rsid w:val="00455967"/>
    <w:rsid w:val="004576DC"/>
    <w:rsid w:val="00461E88"/>
    <w:rsid w:val="00462E90"/>
    <w:rsid w:val="00477599"/>
    <w:rsid w:val="00486300"/>
    <w:rsid w:val="00491644"/>
    <w:rsid w:val="00493275"/>
    <w:rsid w:val="00493C34"/>
    <w:rsid w:val="004956A2"/>
    <w:rsid w:val="004972E0"/>
    <w:rsid w:val="004A4F67"/>
    <w:rsid w:val="004A6B91"/>
    <w:rsid w:val="004B0748"/>
    <w:rsid w:val="004B2D88"/>
    <w:rsid w:val="004B5D76"/>
    <w:rsid w:val="004C06F7"/>
    <w:rsid w:val="004C4639"/>
    <w:rsid w:val="004D3E24"/>
    <w:rsid w:val="004D6CCC"/>
    <w:rsid w:val="004E6B7D"/>
    <w:rsid w:val="00501974"/>
    <w:rsid w:val="005020E6"/>
    <w:rsid w:val="005035C4"/>
    <w:rsid w:val="00507320"/>
    <w:rsid w:val="0050785F"/>
    <w:rsid w:val="005156B9"/>
    <w:rsid w:val="00515860"/>
    <w:rsid w:val="005352CF"/>
    <w:rsid w:val="00543DC9"/>
    <w:rsid w:val="00545210"/>
    <w:rsid w:val="005475A6"/>
    <w:rsid w:val="00553A92"/>
    <w:rsid w:val="00555906"/>
    <w:rsid w:val="00556368"/>
    <w:rsid w:val="00560893"/>
    <w:rsid w:val="005615E3"/>
    <w:rsid w:val="0056271F"/>
    <w:rsid w:val="00564766"/>
    <w:rsid w:val="0056680C"/>
    <w:rsid w:val="00575047"/>
    <w:rsid w:val="00576573"/>
    <w:rsid w:val="0058284C"/>
    <w:rsid w:val="005852EF"/>
    <w:rsid w:val="005867A0"/>
    <w:rsid w:val="00587DC6"/>
    <w:rsid w:val="00592EDA"/>
    <w:rsid w:val="00593352"/>
    <w:rsid w:val="005940C1"/>
    <w:rsid w:val="00595CFE"/>
    <w:rsid w:val="00595D29"/>
    <w:rsid w:val="005A5B3F"/>
    <w:rsid w:val="005A6D73"/>
    <w:rsid w:val="005B01DF"/>
    <w:rsid w:val="005B179C"/>
    <w:rsid w:val="005C2051"/>
    <w:rsid w:val="005C400E"/>
    <w:rsid w:val="005C71F5"/>
    <w:rsid w:val="005D7599"/>
    <w:rsid w:val="005D764A"/>
    <w:rsid w:val="005E3458"/>
    <w:rsid w:val="005E69A0"/>
    <w:rsid w:val="005F12CF"/>
    <w:rsid w:val="005F257B"/>
    <w:rsid w:val="00600EC7"/>
    <w:rsid w:val="00601037"/>
    <w:rsid w:val="00601649"/>
    <w:rsid w:val="006016DF"/>
    <w:rsid w:val="0060278A"/>
    <w:rsid w:val="00604A41"/>
    <w:rsid w:val="00611D94"/>
    <w:rsid w:val="006274D9"/>
    <w:rsid w:val="0063134D"/>
    <w:rsid w:val="00632E60"/>
    <w:rsid w:val="00633AFC"/>
    <w:rsid w:val="00633BF0"/>
    <w:rsid w:val="0064434D"/>
    <w:rsid w:val="00644FA0"/>
    <w:rsid w:val="006455F5"/>
    <w:rsid w:val="00647C96"/>
    <w:rsid w:val="00650311"/>
    <w:rsid w:val="00650FB5"/>
    <w:rsid w:val="0065652F"/>
    <w:rsid w:val="00656CFF"/>
    <w:rsid w:val="00663AA9"/>
    <w:rsid w:val="0067168A"/>
    <w:rsid w:val="006722AC"/>
    <w:rsid w:val="006812BF"/>
    <w:rsid w:val="006825A1"/>
    <w:rsid w:val="00684E05"/>
    <w:rsid w:val="0069063E"/>
    <w:rsid w:val="0069444B"/>
    <w:rsid w:val="006A724F"/>
    <w:rsid w:val="006B0B4D"/>
    <w:rsid w:val="006B401A"/>
    <w:rsid w:val="006C1D38"/>
    <w:rsid w:val="006C1F9D"/>
    <w:rsid w:val="006C2CD3"/>
    <w:rsid w:val="006D1B3B"/>
    <w:rsid w:val="006D1D69"/>
    <w:rsid w:val="006D2265"/>
    <w:rsid w:val="006D29F6"/>
    <w:rsid w:val="006D3C78"/>
    <w:rsid w:val="006E0F5B"/>
    <w:rsid w:val="006F245A"/>
    <w:rsid w:val="006F26AC"/>
    <w:rsid w:val="00710585"/>
    <w:rsid w:val="007133F5"/>
    <w:rsid w:val="00726FE6"/>
    <w:rsid w:val="0073092C"/>
    <w:rsid w:val="007435D0"/>
    <w:rsid w:val="0074485E"/>
    <w:rsid w:val="00744E07"/>
    <w:rsid w:val="00750A07"/>
    <w:rsid w:val="00755F56"/>
    <w:rsid w:val="00757829"/>
    <w:rsid w:val="007607B5"/>
    <w:rsid w:val="007668F2"/>
    <w:rsid w:val="00772E31"/>
    <w:rsid w:val="007807E8"/>
    <w:rsid w:val="00787263"/>
    <w:rsid w:val="007908F9"/>
    <w:rsid w:val="00790C2D"/>
    <w:rsid w:val="00793B68"/>
    <w:rsid w:val="007A4356"/>
    <w:rsid w:val="007A4F37"/>
    <w:rsid w:val="007A5871"/>
    <w:rsid w:val="007B0AA7"/>
    <w:rsid w:val="007B21A2"/>
    <w:rsid w:val="007B61A0"/>
    <w:rsid w:val="007C048C"/>
    <w:rsid w:val="007C0636"/>
    <w:rsid w:val="007C0759"/>
    <w:rsid w:val="007C1433"/>
    <w:rsid w:val="007C4E9C"/>
    <w:rsid w:val="007D0E61"/>
    <w:rsid w:val="007D413C"/>
    <w:rsid w:val="007E2E10"/>
    <w:rsid w:val="007E2FDA"/>
    <w:rsid w:val="007F035A"/>
    <w:rsid w:val="007F094D"/>
    <w:rsid w:val="0080032F"/>
    <w:rsid w:val="00813459"/>
    <w:rsid w:val="00817963"/>
    <w:rsid w:val="00821D4C"/>
    <w:rsid w:val="0083370F"/>
    <w:rsid w:val="0083532D"/>
    <w:rsid w:val="008407A0"/>
    <w:rsid w:val="00846A9C"/>
    <w:rsid w:val="0084748A"/>
    <w:rsid w:val="00850617"/>
    <w:rsid w:val="00850C2C"/>
    <w:rsid w:val="00850EC7"/>
    <w:rsid w:val="0085458C"/>
    <w:rsid w:val="008601E2"/>
    <w:rsid w:val="008641F3"/>
    <w:rsid w:val="00872C4A"/>
    <w:rsid w:val="008750C5"/>
    <w:rsid w:val="00876B36"/>
    <w:rsid w:val="008819C9"/>
    <w:rsid w:val="00885838"/>
    <w:rsid w:val="008921F7"/>
    <w:rsid w:val="008938D1"/>
    <w:rsid w:val="00894A6D"/>
    <w:rsid w:val="0089550C"/>
    <w:rsid w:val="00895AD8"/>
    <w:rsid w:val="00897992"/>
    <w:rsid w:val="00897E7E"/>
    <w:rsid w:val="008B1DDA"/>
    <w:rsid w:val="008B1F9A"/>
    <w:rsid w:val="008C02A7"/>
    <w:rsid w:val="008C7853"/>
    <w:rsid w:val="008D26BD"/>
    <w:rsid w:val="008D3193"/>
    <w:rsid w:val="008D3567"/>
    <w:rsid w:val="008E1962"/>
    <w:rsid w:val="008E7FE1"/>
    <w:rsid w:val="008F0947"/>
    <w:rsid w:val="008F36BF"/>
    <w:rsid w:val="00900729"/>
    <w:rsid w:val="00900E00"/>
    <w:rsid w:val="0090367F"/>
    <w:rsid w:val="009067B1"/>
    <w:rsid w:val="009103E7"/>
    <w:rsid w:val="00912FE8"/>
    <w:rsid w:val="00913236"/>
    <w:rsid w:val="00914C37"/>
    <w:rsid w:val="009206EF"/>
    <w:rsid w:val="00921A8E"/>
    <w:rsid w:val="00924B01"/>
    <w:rsid w:val="009368F7"/>
    <w:rsid w:val="00943E0F"/>
    <w:rsid w:val="00955DA7"/>
    <w:rsid w:val="00966EB0"/>
    <w:rsid w:val="00967611"/>
    <w:rsid w:val="009727D2"/>
    <w:rsid w:val="00972DD0"/>
    <w:rsid w:val="009734F8"/>
    <w:rsid w:val="00976637"/>
    <w:rsid w:val="00981508"/>
    <w:rsid w:val="0098154C"/>
    <w:rsid w:val="00981A4D"/>
    <w:rsid w:val="00982AC8"/>
    <w:rsid w:val="009857E0"/>
    <w:rsid w:val="00986936"/>
    <w:rsid w:val="009967EF"/>
    <w:rsid w:val="009A3C72"/>
    <w:rsid w:val="009B0E27"/>
    <w:rsid w:val="009B2C4E"/>
    <w:rsid w:val="009B3B45"/>
    <w:rsid w:val="009B3C59"/>
    <w:rsid w:val="009C4630"/>
    <w:rsid w:val="009C7C20"/>
    <w:rsid w:val="009D1ED9"/>
    <w:rsid w:val="009D6DD3"/>
    <w:rsid w:val="009E29FA"/>
    <w:rsid w:val="009F3B75"/>
    <w:rsid w:val="009F4629"/>
    <w:rsid w:val="009F60D7"/>
    <w:rsid w:val="009F7FEF"/>
    <w:rsid w:val="00A01045"/>
    <w:rsid w:val="00A04574"/>
    <w:rsid w:val="00A162F8"/>
    <w:rsid w:val="00A171FF"/>
    <w:rsid w:val="00A21079"/>
    <w:rsid w:val="00A22716"/>
    <w:rsid w:val="00A23754"/>
    <w:rsid w:val="00A24713"/>
    <w:rsid w:val="00A263CA"/>
    <w:rsid w:val="00A30276"/>
    <w:rsid w:val="00A339E6"/>
    <w:rsid w:val="00A44127"/>
    <w:rsid w:val="00A44F0C"/>
    <w:rsid w:val="00A52320"/>
    <w:rsid w:val="00A52A06"/>
    <w:rsid w:val="00A557D5"/>
    <w:rsid w:val="00A56B88"/>
    <w:rsid w:val="00A60EC8"/>
    <w:rsid w:val="00A65B80"/>
    <w:rsid w:val="00A65CD5"/>
    <w:rsid w:val="00A72AEE"/>
    <w:rsid w:val="00A75E31"/>
    <w:rsid w:val="00A7601D"/>
    <w:rsid w:val="00A87829"/>
    <w:rsid w:val="00A92692"/>
    <w:rsid w:val="00A9673A"/>
    <w:rsid w:val="00AA123B"/>
    <w:rsid w:val="00AA475F"/>
    <w:rsid w:val="00AA7F1F"/>
    <w:rsid w:val="00AB49A5"/>
    <w:rsid w:val="00AB71B6"/>
    <w:rsid w:val="00AC2854"/>
    <w:rsid w:val="00AC3454"/>
    <w:rsid w:val="00AD2A08"/>
    <w:rsid w:val="00AD78CE"/>
    <w:rsid w:val="00AE00FE"/>
    <w:rsid w:val="00AE761F"/>
    <w:rsid w:val="00AE7916"/>
    <w:rsid w:val="00AF0ACC"/>
    <w:rsid w:val="00AF59F3"/>
    <w:rsid w:val="00B01750"/>
    <w:rsid w:val="00B07535"/>
    <w:rsid w:val="00B152C9"/>
    <w:rsid w:val="00B20D7D"/>
    <w:rsid w:val="00B219A6"/>
    <w:rsid w:val="00B31C13"/>
    <w:rsid w:val="00B31F36"/>
    <w:rsid w:val="00B326B1"/>
    <w:rsid w:val="00B33895"/>
    <w:rsid w:val="00B36300"/>
    <w:rsid w:val="00B41C48"/>
    <w:rsid w:val="00B537F1"/>
    <w:rsid w:val="00B5405E"/>
    <w:rsid w:val="00B57D07"/>
    <w:rsid w:val="00B7102D"/>
    <w:rsid w:val="00B72FF0"/>
    <w:rsid w:val="00B74BE0"/>
    <w:rsid w:val="00B7550C"/>
    <w:rsid w:val="00B75CD4"/>
    <w:rsid w:val="00B7737C"/>
    <w:rsid w:val="00B81584"/>
    <w:rsid w:val="00B81840"/>
    <w:rsid w:val="00B8336A"/>
    <w:rsid w:val="00B84412"/>
    <w:rsid w:val="00B851BE"/>
    <w:rsid w:val="00B86B8C"/>
    <w:rsid w:val="00B928AE"/>
    <w:rsid w:val="00B959BC"/>
    <w:rsid w:val="00BA1EAC"/>
    <w:rsid w:val="00BA4DEA"/>
    <w:rsid w:val="00BB31A8"/>
    <w:rsid w:val="00BB506B"/>
    <w:rsid w:val="00BB7E46"/>
    <w:rsid w:val="00BC1C4E"/>
    <w:rsid w:val="00BC5336"/>
    <w:rsid w:val="00BC7BB9"/>
    <w:rsid w:val="00BD1CBF"/>
    <w:rsid w:val="00BD490C"/>
    <w:rsid w:val="00BE021E"/>
    <w:rsid w:val="00BE0EB0"/>
    <w:rsid w:val="00BE0EB6"/>
    <w:rsid w:val="00BF4E3C"/>
    <w:rsid w:val="00BF75C2"/>
    <w:rsid w:val="00C02215"/>
    <w:rsid w:val="00C03F78"/>
    <w:rsid w:val="00C0499F"/>
    <w:rsid w:val="00C1027D"/>
    <w:rsid w:val="00C10824"/>
    <w:rsid w:val="00C10AF0"/>
    <w:rsid w:val="00C10CA3"/>
    <w:rsid w:val="00C15C98"/>
    <w:rsid w:val="00C22CEF"/>
    <w:rsid w:val="00C242D7"/>
    <w:rsid w:val="00C25D0D"/>
    <w:rsid w:val="00C32949"/>
    <w:rsid w:val="00C37228"/>
    <w:rsid w:val="00C432C4"/>
    <w:rsid w:val="00C44943"/>
    <w:rsid w:val="00C474DA"/>
    <w:rsid w:val="00C544F2"/>
    <w:rsid w:val="00C61F7D"/>
    <w:rsid w:val="00C74CD2"/>
    <w:rsid w:val="00C775C0"/>
    <w:rsid w:val="00C84E18"/>
    <w:rsid w:val="00C84E1D"/>
    <w:rsid w:val="00C84EFA"/>
    <w:rsid w:val="00C91330"/>
    <w:rsid w:val="00C93BD7"/>
    <w:rsid w:val="00CA0CB8"/>
    <w:rsid w:val="00CA71C4"/>
    <w:rsid w:val="00CB09E1"/>
    <w:rsid w:val="00CB35DB"/>
    <w:rsid w:val="00CB44D6"/>
    <w:rsid w:val="00CC0A16"/>
    <w:rsid w:val="00CC2697"/>
    <w:rsid w:val="00CC42FC"/>
    <w:rsid w:val="00CC6F62"/>
    <w:rsid w:val="00CD40ED"/>
    <w:rsid w:val="00CD5AD2"/>
    <w:rsid w:val="00CE1146"/>
    <w:rsid w:val="00CE3D1D"/>
    <w:rsid w:val="00CE4CE8"/>
    <w:rsid w:val="00CF72EE"/>
    <w:rsid w:val="00D00EBE"/>
    <w:rsid w:val="00D021EE"/>
    <w:rsid w:val="00D05342"/>
    <w:rsid w:val="00D05535"/>
    <w:rsid w:val="00D13CD4"/>
    <w:rsid w:val="00D14C7C"/>
    <w:rsid w:val="00D15CB1"/>
    <w:rsid w:val="00D236CA"/>
    <w:rsid w:val="00D25A5E"/>
    <w:rsid w:val="00D33C39"/>
    <w:rsid w:val="00D34781"/>
    <w:rsid w:val="00D51508"/>
    <w:rsid w:val="00D52CDA"/>
    <w:rsid w:val="00D5317B"/>
    <w:rsid w:val="00D54674"/>
    <w:rsid w:val="00D60517"/>
    <w:rsid w:val="00D61C36"/>
    <w:rsid w:val="00D64F55"/>
    <w:rsid w:val="00D70243"/>
    <w:rsid w:val="00D74866"/>
    <w:rsid w:val="00D82946"/>
    <w:rsid w:val="00D84E17"/>
    <w:rsid w:val="00D85D30"/>
    <w:rsid w:val="00D86F5B"/>
    <w:rsid w:val="00D95DE5"/>
    <w:rsid w:val="00D97807"/>
    <w:rsid w:val="00DA00A1"/>
    <w:rsid w:val="00DA2E46"/>
    <w:rsid w:val="00DA3CB3"/>
    <w:rsid w:val="00DA3F26"/>
    <w:rsid w:val="00DB1C70"/>
    <w:rsid w:val="00DB6618"/>
    <w:rsid w:val="00DC48BB"/>
    <w:rsid w:val="00DC6AF9"/>
    <w:rsid w:val="00DC6C12"/>
    <w:rsid w:val="00DC7011"/>
    <w:rsid w:val="00DD3732"/>
    <w:rsid w:val="00DD4D08"/>
    <w:rsid w:val="00DD7FC3"/>
    <w:rsid w:val="00DE0ACC"/>
    <w:rsid w:val="00DE2B61"/>
    <w:rsid w:val="00DF3444"/>
    <w:rsid w:val="00DF36D8"/>
    <w:rsid w:val="00DF63D5"/>
    <w:rsid w:val="00E03AE3"/>
    <w:rsid w:val="00E2049C"/>
    <w:rsid w:val="00E2206F"/>
    <w:rsid w:val="00E25A6A"/>
    <w:rsid w:val="00E2786F"/>
    <w:rsid w:val="00E304B9"/>
    <w:rsid w:val="00E337D8"/>
    <w:rsid w:val="00E34C2A"/>
    <w:rsid w:val="00E41039"/>
    <w:rsid w:val="00E45676"/>
    <w:rsid w:val="00E46D0F"/>
    <w:rsid w:val="00E51D58"/>
    <w:rsid w:val="00E6284D"/>
    <w:rsid w:val="00E648D8"/>
    <w:rsid w:val="00E86712"/>
    <w:rsid w:val="00E95EF4"/>
    <w:rsid w:val="00EA1D17"/>
    <w:rsid w:val="00EA354B"/>
    <w:rsid w:val="00EA463E"/>
    <w:rsid w:val="00EA74C9"/>
    <w:rsid w:val="00EB32EC"/>
    <w:rsid w:val="00EB52DF"/>
    <w:rsid w:val="00EC00BE"/>
    <w:rsid w:val="00EC0A10"/>
    <w:rsid w:val="00EC5B58"/>
    <w:rsid w:val="00ED6878"/>
    <w:rsid w:val="00ED748F"/>
    <w:rsid w:val="00EE0498"/>
    <w:rsid w:val="00EE3A2C"/>
    <w:rsid w:val="00EE486D"/>
    <w:rsid w:val="00EE716B"/>
    <w:rsid w:val="00F00D68"/>
    <w:rsid w:val="00F0554B"/>
    <w:rsid w:val="00F12C1A"/>
    <w:rsid w:val="00F13011"/>
    <w:rsid w:val="00F14891"/>
    <w:rsid w:val="00F1757F"/>
    <w:rsid w:val="00F25A90"/>
    <w:rsid w:val="00F32275"/>
    <w:rsid w:val="00F33293"/>
    <w:rsid w:val="00F33BD5"/>
    <w:rsid w:val="00F4224C"/>
    <w:rsid w:val="00F536DE"/>
    <w:rsid w:val="00F53E82"/>
    <w:rsid w:val="00F546BE"/>
    <w:rsid w:val="00F578E1"/>
    <w:rsid w:val="00F61840"/>
    <w:rsid w:val="00F62F25"/>
    <w:rsid w:val="00F64670"/>
    <w:rsid w:val="00F64EF5"/>
    <w:rsid w:val="00F721D4"/>
    <w:rsid w:val="00F72932"/>
    <w:rsid w:val="00F753B5"/>
    <w:rsid w:val="00F81D83"/>
    <w:rsid w:val="00F82806"/>
    <w:rsid w:val="00F83B18"/>
    <w:rsid w:val="00F853A0"/>
    <w:rsid w:val="00F91049"/>
    <w:rsid w:val="00FA0A12"/>
    <w:rsid w:val="00FA6CA3"/>
    <w:rsid w:val="00FB1D41"/>
    <w:rsid w:val="00FB2778"/>
    <w:rsid w:val="00FB4F95"/>
    <w:rsid w:val="00FC0571"/>
    <w:rsid w:val="00FC067D"/>
    <w:rsid w:val="00FC0753"/>
    <w:rsid w:val="00FC386E"/>
    <w:rsid w:val="00FC444D"/>
    <w:rsid w:val="00FC4CB1"/>
    <w:rsid w:val="00FD28F9"/>
    <w:rsid w:val="00FD2920"/>
    <w:rsid w:val="00FD4B6D"/>
    <w:rsid w:val="00FD708C"/>
    <w:rsid w:val="00FE183A"/>
    <w:rsid w:val="00FE5668"/>
    <w:rsid w:val="00FF0B43"/>
    <w:rsid w:val="00FF6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FC966"/>
  <w15:chartTrackingRefBased/>
  <w15:docId w15:val="{48DA4779-4B31-4D93-BF8F-38970AC61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75E31"/>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A75E31"/>
    <w:pPr>
      <w:spacing w:before="120" w:after="360" w:line="264" w:lineRule="auto"/>
      <w:outlineLvl w:val="0"/>
    </w:pPr>
    <w:rPr>
      <w:rFonts w:ascii="Georgia" w:hAnsi="Georgia" w:cstheme="minorHAnsi"/>
      <w:i/>
      <w:iCs/>
      <w:color w:val="833C0B" w:themeColor="accent2" w:themeShade="80"/>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E31"/>
    <w:rPr>
      <w:rFonts w:ascii="Georgia" w:hAnsi="Georgia" w:cstheme="minorHAnsi"/>
      <w:i/>
      <w:iCs/>
      <w:color w:val="833C0B" w:themeColor="accent2" w:themeShade="80"/>
      <w:kern w:val="0"/>
      <w:sz w:val="48"/>
      <w:szCs w:val="48"/>
      <w14:ligatures w14:val="none"/>
    </w:rPr>
  </w:style>
  <w:style w:type="paragraph" w:styleId="ListParagraph">
    <w:name w:val="List Paragraph"/>
    <w:basedOn w:val="Normal"/>
    <w:link w:val="ListParagraphChar"/>
    <w:uiPriority w:val="1"/>
    <w:qFormat/>
    <w:rsid w:val="00A75E31"/>
    <w:pPr>
      <w:ind w:left="720"/>
      <w:contextualSpacing/>
    </w:pPr>
  </w:style>
  <w:style w:type="paragraph" w:customStyle="1" w:styleId="Nornal">
    <w:name w:val="Nornal"/>
    <w:basedOn w:val="Normal"/>
    <w:link w:val="NornalChar"/>
    <w:qFormat/>
    <w:rsid w:val="00A75E31"/>
    <w:pPr>
      <w:spacing w:after="160" w:line="264" w:lineRule="auto"/>
    </w:pPr>
    <w:rPr>
      <w:rFonts w:cs="Arial"/>
      <w:szCs w:val="22"/>
    </w:rPr>
  </w:style>
  <w:style w:type="character" w:customStyle="1" w:styleId="NornalChar">
    <w:name w:val="Nornal Char"/>
    <w:basedOn w:val="DefaultParagraphFont"/>
    <w:link w:val="Nornal"/>
    <w:rsid w:val="00A75E31"/>
    <w:rPr>
      <w:rFonts w:ascii="Arial" w:hAnsi="Arial" w:cs="Arial"/>
      <w:kern w:val="0"/>
      <w14:ligatures w14:val="none"/>
    </w:rPr>
  </w:style>
  <w:style w:type="character" w:customStyle="1" w:styleId="ListParagraphChar">
    <w:name w:val="List Paragraph Char"/>
    <w:basedOn w:val="DefaultParagraphFont"/>
    <w:link w:val="ListParagraph"/>
    <w:uiPriority w:val="1"/>
    <w:rsid w:val="00A75E31"/>
    <w:rPr>
      <w:rFonts w:ascii="Arial" w:hAnsi="Arial"/>
      <w:kern w:val="0"/>
      <w:szCs w:val="24"/>
      <w14:ligatures w14:val="none"/>
    </w:rPr>
  </w:style>
  <w:style w:type="character" w:styleId="Hyperlink">
    <w:name w:val="Hyperlink"/>
    <w:basedOn w:val="DefaultParagraphFont"/>
    <w:uiPriority w:val="99"/>
    <w:unhideWhenUsed/>
    <w:rsid w:val="00C91330"/>
    <w:rPr>
      <w:color w:val="0563C1" w:themeColor="hyperlink"/>
      <w:u w:val="single"/>
    </w:rPr>
  </w:style>
  <w:style w:type="character" w:styleId="UnresolvedMention">
    <w:name w:val="Unresolved Mention"/>
    <w:basedOn w:val="DefaultParagraphFont"/>
    <w:uiPriority w:val="99"/>
    <w:semiHidden/>
    <w:unhideWhenUsed/>
    <w:rsid w:val="00C91330"/>
    <w:rPr>
      <w:color w:val="605E5C"/>
      <w:shd w:val="clear" w:color="auto" w:fill="E1DFDD"/>
    </w:rPr>
  </w:style>
  <w:style w:type="character" w:styleId="FollowedHyperlink">
    <w:name w:val="FollowedHyperlink"/>
    <w:basedOn w:val="DefaultParagraphFont"/>
    <w:uiPriority w:val="99"/>
    <w:semiHidden/>
    <w:unhideWhenUsed/>
    <w:rsid w:val="00FD2920"/>
    <w:rPr>
      <w:color w:val="954F72" w:themeColor="followedHyperlink"/>
      <w:u w:val="single"/>
    </w:rPr>
  </w:style>
  <w:style w:type="character" w:styleId="Emphasis">
    <w:name w:val="Emphasis"/>
    <w:basedOn w:val="DefaultParagraphFont"/>
    <w:uiPriority w:val="20"/>
    <w:qFormat/>
    <w:rsid w:val="003D5B71"/>
    <w:rPr>
      <w:i/>
      <w:iCs/>
    </w:rPr>
  </w:style>
  <w:style w:type="paragraph" w:styleId="Bibliography">
    <w:name w:val="Bibliography"/>
    <w:basedOn w:val="Normal"/>
    <w:next w:val="Normal"/>
    <w:uiPriority w:val="37"/>
    <w:unhideWhenUsed/>
    <w:rsid w:val="004972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07773">
      <w:bodyDiv w:val="1"/>
      <w:marLeft w:val="0"/>
      <w:marRight w:val="0"/>
      <w:marTop w:val="0"/>
      <w:marBottom w:val="0"/>
      <w:divBdr>
        <w:top w:val="none" w:sz="0" w:space="0" w:color="auto"/>
        <w:left w:val="none" w:sz="0" w:space="0" w:color="auto"/>
        <w:bottom w:val="none" w:sz="0" w:space="0" w:color="auto"/>
        <w:right w:val="none" w:sz="0" w:space="0" w:color="auto"/>
      </w:divBdr>
    </w:div>
    <w:div w:id="42019859">
      <w:bodyDiv w:val="1"/>
      <w:marLeft w:val="0"/>
      <w:marRight w:val="0"/>
      <w:marTop w:val="0"/>
      <w:marBottom w:val="0"/>
      <w:divBdr>
        <w:top w:val="none" w:sz="0" w:space="0" w:color="auto"/>
        <w:left w:val="none" w:sz="0" w:space="0" w:color="auto"/>
        <w:bottom w:val="none" w:sz="0" w:space="0" w:color="auto"/>
        <w:right w:val="none" w:sz="0" w:space="0" w:color="auto"/>
      </w:divBdr>
    </w:div>
    <w:div w:id="105732541">
      <w:bodyDiv w:val="1"/>
      <w:marLeft w:val="0"/>
      <w:marRight w:val="0"/>
      <w:marTop w:val="0"/>
      <w:marBottom w:val="0"/>
      <w:divBdr>
        <w:top w:val="none" w:sz="0" w:space="0" w:color="auto"/>
        <w:left w:val="none" w:sz="0" w:space="0" w:color="auto"/>
        <w:bottom w:val="none" w:sz="0" w:space="0" w:color="auto"/>
        <w:right w:val="none" w:sz="0" w:space="0" w:color="auto"/>
      </w:divBdr>
    </w:div>
    <w:div w:id="117140661">
      <w:bodyDiv w:val="1"/>
      <w:marLeft w:val="0"/>
      <w:marRight w:val="0"/>
      <w:marTop w:val="0"/>
      <w:marBottom w:val="0"/>
      <w:divBdr>
        <w:top w:val="none" w:sz="0" w:space="0" w:color="auto"/>
        <w:left w:val="none" w:sz="0" w:space="0" w:color="auto"/>
        <w:bottom w:val="none" w:sz="0" w:space="0" w:color="auto"/>
        <w:right w:val="none" w:sz="0" w:space="0" w:color="auto"/>
      </w:divBdr>
    </w:div>
    <w:div w:id="159396722">
      <w:bodyDiv w:val="1"/>
      <w:marLeft w:val="0"/>
      <w:marRight w:val="0"/>
      <w:marTop w:val="0"/>
      <w:marBottom w:val="0"/>
      <w:divBdr>
        <w:top w:val="none" w:sz="0" w:space="0" w:color="auto"/>
        <w:left w:val="none" w:sz="0" w:space="0" w:color="auto"/>
        <w:bottom w:val="none" w:sz="0" w:space="0" w:color="auto"/>
        <w:right w:val="none" w:sz="0" w:space="0" w:color="auto"/>
      </w:divBdr>
    </w:div>
    <w:div w:id="167987204">
      <w:bodyDiv w:val="1"/>
      <w:marLeft w:val="0"/>
      <w:marRight w:val="0"/>
      <w:marTop w:val="0"/>
      <w:marBottom w:val="0"/>
      <w:divBdr>
        <w:top w:val="none" w:sz="0" w:space="0" w:color="auto"/>
        <w:left w:val="none" w:sz="0" w:space="0" w:color="auto"/>
        <w:bottom w:val="none" w:sz="0" w:space="0" w:color="auto"/>
        <w:right w:val="none" w:sz="0" w:space="0" w:color="auto"/>
      </w:divBdr>
    </w:div>
    <w:div w:id="213851013">
      <w:bodyDiv w:val="1"/>
      <w:marLeft w:val="0"/>
      <w:marRight w:val="0"/>
      <w:marTop w:val="0"/>
      <w:marBottom w:val="0"/>
      <w:divBdr>
        <w:top w:val="none" w:sz="0" w:space="0" w:color="auto"/>
        <w:left w:val="none" w:sz="0" w:space="0" w:color="auto"/>
        <w:bottom w:val="none" w:sz="0" w:space="0" w:color="auto"/>
        <w:right w:val="none" w:sz="0" w:space="0" w:color="auto"/>
      </w:divBdr>
    </w:div>
    <w:div w:id="223685321">
      <w:bodyDiv w:val="1"/>
      <w:marLeft w:val="0"/>
      <w:marRight w:val="0"/>
      <w:marTop w:val="0"/>
      <w:marBottom w:val="0"/>
      <w:divBdr>
        <w:top w:val="none" w:sz="0" w:space="0" w:color="auto"/>
        <w:left w:val="none" w:sz="0" w:space="0" w:color="auto"/>
        <w:bottom w:val="none" w:sz="0" w:space="0" w:color="auto"/>
        <w:right w:val="none" w:sz="0" w:space="0" w:color="auto"/>
      </w:divBdr>
    </w:div>
    <w:div w:id="261693748">
      <w:bodyDiv w:val="1"/>
      <w:marLeft w:val="0"/>
      <w:marRight w:val="0"/>
      <w:marTop w:val="0"/>
      <w:marBottom w:val="0"/>
      <w:divBdr>
        <w:top w:val="none" w:sz="0" w:space="0" w:color="auto"/>
        <w:left w:val="none" w:sz="0" w:space="0" w:color="auto"/>
        <w:bottom w:val="none" w:sz="0" w:space="0" w:color="auto"/>
        <w:right w:val="none" w:sz="0" w:space="0" w:color="auto"/>
      </w:divBdr>
    </w:div>
    <w:div w:id="316426337">
      <w:bodyDiv w:val="1"/>
      <w:marLeft w:val="0"/>
      <w:marRight w:val="0"/>
      <w:marTop w:val="0"/>
      <w:marBottom w:val="0"/>
      <w:divBdr>
        <w:top w:val="none" w:sz="0" w:space="0" w:color="auto"/>
        <w:left w:val="none" w:sz="0" w:space="0" w:color="auto"/>
        <w:bottom w:val="none" w:sz="0" w:space="0" w:color="auto"/>
        <w:right w:val="none" w:sz="0" w:space="0" w:color="auto"/>
      </w:divBdr>
    </w:div>
    <w:div w:id="328603241">
      <w:bodyDiv w:val="1"/>
      <w:marLeft w:val="0"/>
      <w:marRight w:val="0"/>
      <w:marTop w:val="0"/>
      <w:marBottom w:val="0"/>
      <w:divBdr>
        <w:top w:val="none" w:sz="0" w:space="0" w:color="auto"/>
        <w:left w:val="none" w:sz="0" w:space="0" w:color="auto"/>
        <w:bottom w:val="none" w:sz="0" w:space="0" w:color="auto"/>
        <w:right w:val="none" w:sz="0" w:space="0" w:color="auto"/>
      </w:divBdr>
    </w:div>
    <w:div w:id="336271565">
      <w:bodyDiv w:val="1"/>
      <w:marLeft w:val="0"/>
      <w:marRight w:val="0"/>
      <w:marTop w:val="0"/>
      <w:marBottom w:val="0"/>
      <w:divBdr>
        <w:top w:val="none" w:sz="0" w:space="0" w:color="auto"/>
        <w:left w:val="none" w:sz="0" w:space="0" w:color="auto"/>
        <w:bottom w:val="none" w:sz="0" w:space="0" w:color="auto"/>
        <w:right w:val="none" w:sz="0" w:space="0" w:color="auto"/>
      </w:divBdr>
    </w:div>
    <w:div w:id="340163128">
      <w:bodyDiv w:val="1"/>
      <w:marLeft w:val="0"/>
      <w:marRight w:val="0"/>
      <w:marTop w:val="0"/>
      <w:marBottom w:val="0"/>
      <w:divBdr>
        <w:top w:val="none" w:sz="0" w:space="0" w:color="auto"/>
        <w:left w:val="none" w:sz="0" w:space="0" w:color="auto"/>
        <w:bottom w:val="none" w:sz="0" w:space="0" w:color="auto"/>
        <w:right w:val="none" w:sz="0" w:space="0" w:color="auto"/>
      </w:divBdr>
    </w:div>
    <w:div w:id="358630233">
      <w:bodyDiv w:val="1"/>
      <w:marLeft w:val="0"/>
      <w:marRight w:val="0"/>
      <w:marTop w:val="0"/>
      <w:marBottom w:val="0"/>
      <w:divBdr>
        <w:top w:val="none" w:sz="0" w:space="0" w:color="auto"/>
        <w:left w:val="none" w:sz="0" w:space="0" w:color="auto"/>
        <w:bottom w:val="none" w:sz="0" w:space="0" w:color="auto"/>
        <w:right w:val="none" w:sz="0" w:space="0" w:color="auto"/>
      </w:divBdr>
    </w:div>
    <w:div w:id="391006876">
      <w:bodyDiv w:val="1"/>
      <w:marLeft w:val="0"/>
      <w:marRight w:val="0"/>
      <w:marTop w:val="0"/>
      <w:marBottom w:val="0"/>
      <w:divBdr>
        <w:top w:val="none" w:sz="0" w:space="0" w:color="auto"/>
        <w:left w:val="none" w:sz="0" w:space="0" w:color="auto"/>
        <w:bottom w:val="none" w:sz="0" w:space="0" w:color="auto"/>
        <w:right w:val="none" w:sz="0" w:space="0" w:color="auto"/>
      </w:divBdr>
    </w:div>
    <w:div w:id="416177162">
      <w:bodyDiv w:val="1"/>
      <w:marLeft w:val="0"/>
      <w:marRight w:val="0"/>
      <w:marTop w:val="0"/>
      <w:marBottom w:val="0"/>
      <w:divBdr>
        <w:top w:val="none" w:sz="0" w:space="0" w:color="auto"/>
        <w:left w:val="none" w:sz="0" w:space="0" w:color="auto"/>
        <w:bottom w:val="none" w:sz="0" w:space="0" w:color="auto"/>
        <w:right w:val="none" w:sz="0" w:space="0" w:color="auto"/>
      </w:divBdr>
    </w:div>
    <w:div w:id="456602688">
      <w:bodyDiv w:val="1"/>
      <w:marLeft w:val="0"/>
      <w:marRight w:val="0"/>
      <w:marTop w:val="0"/>
      <w:marBottom w:val="0"/>
      <w:divBdr>
        <w:top w:val="none" w:sz="0" w:space="0" w:color="auto"/>
        <w:left w:val="none" w:sz="0" w:space="0" w:color="auto"/>
        <w:bottom w:val="none" w:sz="0" w:space="0" w:color="auto"/>
        <w:right w:val="none" w:sz="0" w:space="0" w:color="auto"/>
      </w:divBdr>
    </w:div>
    <w:div w:id="470631300">
      <w:bodyDiv w:val="1"/>
      <w:marLeft w:val="0"/>
      <w:marRight w:val="0"/>
      <w:marTop w:val="0"/>
      <w:marBottom w:val="0"/>
      <w:divBdr>
        <w:top w:val="none" w:sz="0" w:space="0" w:color="auto"/>
        <w:left w:val="none" w:sz="0" w:space="0" w:color="auto"/>
        <w:bottom w:val="none" w:sz="0" w:space="0" w:color="auto"/>
        <w:right w:val="none" w:sz="0" w:space="0" w:color="auto"/>
      </w:divBdr>
    </w:div>
    <w:div w:id="478309256">
      <w:bodyDiv w:val="1"/>
      <w:marLeft w:val="0"/>
      <w:marRight w:val="0"/>
      <w:marTop w:val="0"/>
      <w:marBottom w:val="0"/>
      <w:divBdr>
        <w:top w:val="none" w:sz="0" w:space="0" w:color="auto"/>
        <w:left w:val="none" w:sz="0" w:space="0" w:color="auto"/>
        <w:bottom w:val="none" w:sz="0" w:space="0" w:color="auto"/>
        <w:right w:val="none" w:sz="0" w:space="0" w:color="auto"/>
      </w:divBdr>
    </w:div>
    <w:div w:id="507907786">
      <w:bodyDiv w:val="1"/>
      <w:marLeft w:val="0"/>
      <w:marRight w:val="0"/>
      <w:marTop w:val="0"/>
      <w:marBottom w:val="0"/>
      <w:divBdr>
        <w:top w:val="none" w:sz="0" w:space="0" w:color="auto"/>
        <w:left w:val="none" w:sz="0" w:space="0" w:color="auto"/>
        <w:bottom w:val="none" w:sz="0" w:space="0" w:color="auto"/>
        <w:right w:val="none" w:sz="0" w:space="0" w:color="auto"/>
      </w:divBdr>
    </w:div>
    <w:div w:id="526261467">
      <w:bodyDiv w:val="1"/>
      <w:marLeft w:val="0"/>
      <w:marRight w:val="0"/>
      <w:marTop w:val="0"/>
      <w:marBottom w:val="0"/>
      <w:divBdr>
        <w:top w:val="none" w:sz="0" w:space="0" w:color="auto"/>
        <w:left w:val="none" w:sz="0" w:space="0" w:color="auto"/>
        <w:bottom w:val="none" w:sz="0" w:space="0" w:color="auto"/>
        <w:right w:val="none" w:sz="0" w:space="0" w:color="auto"/>
      </w:divBdr>
    </w:div>
    <w:div w:id="526455016">
      <w:bodyDiv w:val="1"/>
      <w:marLeft w:val="0"/>
      <w:marRight w:val="0"/>
      <w:marTop w:val="0"/>
      <w:marBottom w:val="0"/>
      <w:divBdr>
        <w:top w:val="none" w:sz="0" w:space="0" w:color="auto"/>
        <w:left w:val="none" w:sz="0" w:space="0" w:color="auto"/>
        <w:bottom w:val="none" w:sz="0" w:space="0" w:color="auto"/>
        <w:right w:val="none" w:sz="0" w:space="0" w:color="auto"/>
      </w:divBdr>
    </w:div>
    <w:div w:id="530653234">
      <w:bodyDiv w:val="1"/>
      <w:marLeft w:val="0"/>
      <w:marRight w:val="0"/>
      <w:marTop w:val="0"/>
      <w:marBottom w:val="0"/>
      <w:divBdr>
        <w:top w:val="none" w:sz="0" w:space="0" w:color="auto"/>
        <w:left w:val="none" w:sz="0" w:space="0" w:color="auto"/>
        <w:bottom w:val="none" w:sz="0" w:space="0" w:color="auto"/>
        <w:right w:val="none" w:sz="0" w:space="0" w:color="auto"/>
      </w:divBdr>
    </w:div>
    <w:div w:id="533924646">
      <w:bodyDiv w:val="1"/>
      <w:marLeft w:val="0"/>
      <w:marRight w:val="0"/>
      <w:marTop w:val="0"/>
      <w:marBottom w:val="0"/>
      <w:divBdr>
        <w:top w:val="none" w:sz="0" w:space="0" w:color="auto"/>
        <w:left w:val="none" w:sz="0" w:space="0" w:color="auto"/>
        <w:bottom w:val="none" w:sz="0" w:space="0" w:color="auto"/>
        <w:right w:val="none" w:sz="0" w:space="0" w:color="auto"/>
      </w:divBdr>
    </w:div>
    <w:div w:id="548811012">
      <w:bodyDiv w:val="1"/>
      <w:marLeft w:val="0"/>
      <w:marRight w:val="0"/>
      <w:marTop w:val="0"/>
      <w:marBottom w:val="0"/>
      <w:divBdr>
        <w:top w:val="none" w:sz="0" w:space="0" w:color="auto"/>
        <w:left w:val="none" w:sz="0" w:space="0" w:color="auto"/>
        <w:bottom w:val="none" w:sz="0" w:space="0" w:color="auto"/>
        <w:right w:val="none" w:sz="0" w:space="0" w:color="auto"/>
      </w:divBdr>
    </w:div>
    <w:div w:id="570234074">
      <w:bodyDiv w:val="1"/>
      <w:marLeft w:val="0"/>
      <w:marRight w:val="0"/>
      <w:marTop w:val="0"/>
      <w:marBottom w:val="0"/>
      <w:divBdr>
        <w:top w:val="none" w:sz="0" w:space="0" w:color="auto"/>
        <w:left w:val="none" w:sz="0" w:space="0" w:color="auto"/>
        <w:bottom w:val="none" w:sz="0" w:space="0" w:color="auto"/>
        <w:right w:val="none" w:sz="0" w:space="0" w:color="auto"/>
      </w:divBdr>
    </w:div>
    <w:div w:id="570964729">
      <w:bodyDiv w:val="1"/>
      <w:marLeft w:val="0"/>
      <w:marRight w:val="0"/>
      <w:marTop w:val="0"/>
      <w:marBottom w:val="0"/>
      <w:divBdr>
        <w:top w:val="none" w:sz="0" w:space="0" w:color="auto"/>
        <w:left w:val="none" w:sz="0" w:space="0" w:color="auto"/>
        <w:bottom w:val="none" w:sz="0" w:space="0" w:color="auto"/>
        <w:right w:val="none" w:sz="0" w:space="0" w:color="auto"/>
      </w:divBdr>
    </w:div>
    <w:div w:id="574824465">
      <w:bodyDiv w:val="1"/>
      <w:marLeft w:val="0"/>
      <w:marRight w:val="0"/>
      <w:marTop w:val="0"/>
      <w:marBottom w:val="0"/>
      <w:divBdr>
        <w:top w:val="none" w:sz="0" w:space="0" w:color="auto"/>
        <w:left w:val="none" w:sz="0" w:space="0" w:color="auto"/>
        <w:bottom w:val="none" w:sz="0" w:space="0" w:color="auto"/>
        <w:right w:val="none" w:sz="0" w:space="0" w:color="auto"/>
      </w:divBdr>
    </w:div>
    <w:div w:id="595597291">
      <w:bodyDiv w:val="1"/>
      <w:marLeft w:val="0"/>
      <w:marRight w:val="0"/>
      <w:marTop w:val="0"/>
      <w:marBottom w:val="0"/>
      <w:divBdr>
        <w:top w:val="none" w:sz="0" w:space="0" w:color="auto"/>
        <w:left w:val="none" w:sz="0" w:space="0" w:color="auto"/>
        <w:bottom w:val="none" w:sz="0" w:space="0" w:color="auto"/>
        <w:right w:val="none" w:sz="0" w:space="0" w:color="auto"/>
      </w:divBdr>
    </w:div>
    <w:div w:id="599800404">
      <w:bodyDiv w:val="1"/>
      <w:marLeft w:val="0"/>
      <w:marRight w:val="0"/>
      <w:marTop w:val="0"/>
      <w:marBottom w:val="0"/>
      <w:divBdr>
        <w:top w:val="none" w:sz="0" w:space="0" w:color="auto"/>
        <w:left w:val="none" w:sz="0" w:space="0" w:color="auto"/>
        <w:bottom w:val="none" w:sz="0" w:space="0" w:color="auto"/>
        <w:right w:val="none" w:sz="0" w:space="0" w:color="auto"/>
      </w:divBdr>
    </w:div>
    <w:div w:id="605046097">
      <w:bodyDiv w:val="1"/>
      <w:marLeft w:val="0"/>
      <w:marRight w:val="0"/>
      <w:marTop w:val="0"/>
      <w:marBottom w:val="0"/>
      <w:divBdr>
        <w:top w:val="none" w:sz="0" w:space="0" w:color="auto"/>
        <w:left w:val="none" w:sz="0" w:space="0" w:color="auto"/>
        <w:bottom w:val="none" w:sz="0" w:space="0" w:color="auto"/>
        <w:right w:val="none" w:sz="0" w:space="0" w:color="auto"/>
      </w:divBdr>
    </w:div>
    <w:div w:id="625038842">
      <w:bodyDiv w:val="1"/>
      <w:marLeft w:val="0"/>
      <w:marRight w:val="0"/>
      <w:marTop w:val="0"/>
      <w:marBottom w:val="0"/>
      <w:divBdr>
        <w:top w:val="none" w:sz="0" w:space="0" w:color="auto"/>
        <w:left w:val="none" w:sz="0" w:space="0" w:color="auto"/>
        <w:bottom w:val="none" w:sz="0" w:space="0" w:color="auto"/>
        <w:right w:val="none" w:sz="0" w:space="0" w:color="auto"/>
      </w:divBdr>
    </w:div>
    <w:div w:id="656425298">
      <w:bodyDiv w:val="1"/>
      <w:marLeft w:val="0"/>
      <w:marRight w:val="0"/>
      <w:marTop w:val="0"/>
      <w:marBottom w:val="0"/>
      <w:divBdr>
        <w:top w:val="none" w:sz="0" w:space="0" w:color="auto"/>
        <w:left w:val="none" w:sz="0" w:space="0" w:color="auto"/>
        <w:bottom w:val="none" w:sz="0" w:space="0" w:color="auto"/>
        <w:right w:val="none" w:sz="0" w:space="0" w:color="auto"/>
      </w:divBdr>
    </w:div>
    <w:div w:id="677930786">
      <w:bodyDiv w:val="1"/>
      <w:marLeft w:val="0"/>
      <w:marRight w:val="0"/>
      <w:marTop w:val="0"/>
      <w:marBottom w:val="0"/>
      <w:divBdr>
        <w:top w:val="none" w:sz="0" w:space="0" w:color="auto"/>
        <w:left w:val="none" w:sz="0" w:space="0" w:color="auto"/>
        <w:bottom w:val="none" w:sz="0" w:space="0" w:color="auto"/>
        <w:right w:val="none" w:sz="0" w:space="0" w:color="auto"/>
      </w:divBdr>
    </w:div>
    <w:div w:id="679818563">
      <w:bodyDiv w:val="1"/>
      <w:marLeft w:val="0"/>
      <w:marRight w:val="0"/>
      <w:marTop w:val="0"/>
      <w:marBottom w:val="0"/>
      <w:divBdr>
        <w:top w:val="none" w:sz="0" w:space="0" w:color="auto"/>
        <w:left w:val="none" w:sz="0" w:space="0" w:color="auto"/>
        <w:bottom w:val="none" w:sz="0" w:space="0" w:color="auto"/>
        <w:right w:val="none" w:sz="0" w:space="0" w:color="auto"/>
      </w:divBdr>
    </w:div>
    <w:div w:id="687560091">
      <w:bodyDiv w:val="1"/>
      <w:marLeft w:val="0"/>
      <w:marRight w:val="0"/>
      <w:marTop w:val="0"/>
      <w:marBottom w:val="0"/>
      <w:divBdr>
        <w:top w:val="none" w:sz="0" w:space="0" w:color="auto"/>
        <w:left w:val="none" w:sz="0" w:space="0" w:color="auto"/>
        <w:bottom w:val="none" w:sz="0" w:space="0" w:color="auto"/>
        <w:right w:val="none" w:sz="0" w:space="0" w:color="auto"/>
      </w:divBdr>
    </w:div>
    <w:div w:id="687873917">
      <w:bodyDiv w:val="1"/>
      <w:marLeft w:val="0"/>
      <w:marRight w:val="0"/>
      <w:marTop w:val="0"/>
      <w:marBottom w:val="0"/>
      <w:divBdr>
        <w:top w:val="none" w:sz="0" w:space="0" w:color="auto"/>
        <w:left w:val="none" w:sz="0" w:space="0" w:color="auto"/>
        <w:bottom w:val="none" w:sz="0" w:space="0" w:color="auto"/>
        <w:right w:val="none" w:sz="0" w:space="0" w:color="auto"/>
      </w:divBdr>
    </w:div>
    <w:div w:id="702679312">
      <w:bodyDiv w:val="1"/>
      <w:marLeft w:val="0"/>
      <w:marRight w:val="0"/>
      <w:marTop w:val="0"/>
      <w:marBottom w:val="0"/>
      <w:divBdr>
        <w:top w:val="none" w:sz="0" w:space="0" w:color="auto"/>
        <w:left w:val="none" w:sz="0" w:space="0" w:color="auto"/>
        <w:bottom w:val="none" w:sz="0" w:space="0" w:color="auto"/>
        <w:right w:val="none" w:sz="0" w:space="0" w:color="auto"/>
      </w:divBdr>
    </w:div>
    <w:div w:id="707687284">
      <w:bodyDiv w:val="1"/>
      <w:marLeft w:val="0"/>
      <w:marRight w:val="0"/>
      <w:marTop w:val="0"/>
      <w:marBottom w:val="0"/>
      <w:divBdr>
        <w:top w:val="none" w:sz="0" w:space="0" w:color="auto"/>
        <w:left w:val="none" w:sz="0" w:space="0" w:color="auto"/>
        <w:bottom w:val="none" w:sz="0" w:space="0" w:color="auto"/>
        <w:right w:val="none" w:sz="0" w:space="0" w:color="auto"/>
      </w:divBdr>
    </w:div>
    <w:div w:id="735475731">
      <w:bodyDiv w:val="1"/>
      <w:marLeft w:val="0"/>
      <w:marRight w:val="0"/>
      <w:marTop w:val="0"/>
      <w:marBottom w:val="0"/>
      <w:divBdr>
        <w:top w:val="none" w:sz="0" w:space="0" w:color="auto"/>
        <w:left w:val="none" w:sz="0" w:space="0" w:color="auto"/>
        <w:bottom w:val="none" w:sz="0" w:space="0" w:color="auto"/>
        <w:right w:val="none" w:sz="0" w:space="0" w:color="auto"/>
      </w:divBdr>
    </w:div>
    <w:div w:id="745764276">
      <w:bodyDiv w:val="1"/>
      <w:marLeft w:val="0"/>
      <w:marRight w:val="0"/>
      <w:marTop w:val="0"/>
      <w:marBottom w:val="0"/>
      <w:divBdr>
        <w:top w:val="none" w:sz="0" w:space="0" w:color="auto"/>
        <w:left w:val="none" w:sz="0" w:space="0" w:color="auto"/>
        <w:bottom w:val="none" w:sz="0" w:space="0" w:color="auto"/>
        <w:right w:val="none" w:sz="0" w:space="0" w:color="auto"/>
      </w:divBdr>
    </w:div>
    <w:div w:id="782384083">
      <w:bodyDiv w:val="1"/>
      <w:marLeft w:val="0"/>
      <w:marRight w:val="0"/>
      <w:marTop w:val="0"/>
      <w:marBottom w:val="0"/>
      <w:divBdr>
        <w:top w:val="none" w:sz="0" w:space="0" w:color="auto"/>
        <w:left w:val="none" w:sz="0" w:space="0" w:color="auto"/>
        <w:bottom w:val="none" w:sz="0" w:space="0" w:color="auto"/>
        <w:right w:val="none" w:sz="0" w:space="0" w:color="auto"/>
      </w:divBdr>
    </w:div>
    <w:div w:id="784428310">
      <w:bodyDiv w:val="1"/>
      <w:marLeft w:val="0"/>
      <w:marRight w:val="0"/>
      <w:marTop w:val="0"/>
      <w:marBottom w:val="0"/>
      <w:divBdr>
        <w:top w:val="none" w:sz="0" w:space="0" w:color="auto"/>
        <w:left w:val="none" w:sz="0" w:space="0" w:color="auto"/>
        <w:bottom w:val="none" w:sz="0" w:space="0" w:color="auto"/>
        <w:right w:val="none" w:sz="0" w:space="0" w:color="auto"/>
      </w:divBdr>
    </w:div>
    <w:div w:id="802502282">
      <w:bodyDiv w:val="1"/>
      <w:marLeft w:val="0"/>
      <w:marRight w:val="0"/>
      <w:marTop w:val="0"/>
      <w:marBottom w:val="0"/>
      <w:divBdr>
        <w:top w:val="none" w:sz="0" w:space="0" w:color="auto"/>
        <w:left w:val="none" w:sz="0" w:space="0" w:color="auto"/>
        <w:bottom w:val="none" w:sz="0" w:space="0" w:color="auto"/>
        <w:right w:val="none" w:sz="0" w:space="0" w:color="auto"/>
      </w:divBdr>
    </w:div>
    <w:div w:id="813526541">
      <w:bodyDiv w:val="1"/>
      <w:marLeft w:val="0"/>
      <w:marRight w:val="0"/>
      <w:marTop w:val="0"/>
      <w:marBottom w:val="0"/>
      <w:divBdr>
        <w:top w:val="none" w:sz="0" w:space="0" w:color="auto"/>
        <w:left w:val="none" w:sz="0" w:space="0" w:color="auto"/>
        <w:bottom w:val="none" w:sz="0" w:space="0" w:color="auto"/>
        <w:right w:val="none" w:sz="0" w:space="0" w:color="auto"/>
      </w:divBdr>
    </w:div>
    <w:div w:id="820728458">
      <w:bodyDiv w:val="1"/>
      <w:marLeft w:val="0"/>
      <w:marRight w:val="0"/>
      <w:marTop w:val="0"/>
      <w:marBottom w:val="0"/>
      <w:divBdr>
        <w:top w:val="none" w:sz="0" w:space="0" w:color="auto"/>
        <w:left w:val="none" w:sz="0" w:space="0" w:color="auto"/>
        <w:bottom w:val="none" w:sz="0" w:space="0" w:color="auto"/>
        <w:right w:val="none" w:sz="0" w:space="0" w:color="auto"/>
      </w:divBdr>
    </w:div>
    <w:div w:id="833498178">
      <w:bodyDiv w:val="1"/>
      <w:marLeft w:val="0"/>
      <w:marRight w:val="0"/>
      <w:marTop w:val="0"/>
      <w:marBottom w:val="0"/>
      <w:divBdr>
        <w:top w:val="none" w:sz="0" w:space="0" w:color="auto"/>
        <w:left w:val="none" w:sz="0" w:space="0" w:color="auto"/>
        <w:bottom w:val="none" w:sz="0" w:space="0" w:color="auto"/>
        <w:right w:val="none" w:sz="0" w:space="0" w:color="auto"/>
      </w:divBdr>
    </w:div>
    <w:div w:id="870604189">
      <w:bodyDiv w:val="1"/>
      <w:marLeft w:val="0"/>
      <w:marRight w:val="0"/>
      <w:marTop w:val="0"/>
      <w:marBottom w:val="0"/>
      <w:divBdr>
        <w:top w:val="none" w:sz="0" w:space="0" w:color="auto"/>
        <w:left w:val="none" w:sz="0" w:space="0" w:color="auto"/>
        <w:bottom w:val="none" w:sz="0" w:space="0" w:color="auto"/>
        <w:right w:val="none" w:sz="0" w:space="0" w:color="auto"/>
      </w:divBdr>
    </w:div>
    <w:div w:id="874121130">
      <w:bodyDiv w:val="1"/>
      <w:marLeft w:val="0"/>
      <w:marRight w:val="0"/>
      <w:marTop w:val="0"/>
      <w:marBottom w:val="0"/>
      <w:divBdr>
        <w:top w:val="none" w:sz="0" w:space="0" w:color="auto"/>
        <w:left w:val="none" w:sz="0" w:space="0" w:color="auto"/>
        <w:bottom w:val="none" w:sz="0" w:space="0" w:color="auto"/>
        <w:right w:val="none" w:sz="0" w:space="0" w:color="auto"/>
      </w:divBdr>
    </w:div>
    <w:div w:id="905144822">
      <w:bodyDiv w:val="1"/>
      <w:marLeft w:val="0"/>
      <w:marRight w:val="0"/>
      <w:marTop w:val="0"/>
      <w:marBottom w:val="0"/>
      <w:divBdr>
        <w:top w:val="none" w:sz="0" w:space="0" w:color="auto"/>
        <w:left w:val="none" w:sz="0" w:space="0" w:color="auto"/>
        <w:bottom w:val="none" w:sz="0" w:space="0" w:color="auto"/>
        <w:right w:val="none" w:sz="0" w:space="0" w:color="auto"/>
      </w:divBdr>
    </w:div>
    <w:div w:id="915822515">
      <w:bodyDiv w:val="1"/>
      <w:marLeft w:val="0"/>
      <w:marRight w:val="0"/>
      <w:marTop w:val="0"/>
      <w:marBottom w:val="0"/>
      <w:divBdr>
        <w:top w:val="none" w:sz="0" w:space="0" w:color="auto"/>
        <w:left w:val="none" w:sz="0" w:space="0" w:color="auto"/>
        <w:bottom w:val="none" w:sz="0" w:space="0" w:color="auto"/>
        <w:right w:val="none" w:sz="0" w:space="0" w:color="auto"/>
      </w:divBdr>
    </w:div>
    <w:div w:id="924800091">
      <w:bodyDiv w:val="1"/>
      <w:marLeft w:val="0"/>
      <w:marRight w:val="0"/>
      <w:marTop w:val="0"/>
      <w:marBottom w:val="0"/>
      <w:divBdr>
        <w:top w:val="none" w:sz="0" w:space="0" w:color="auto"/>
        <w:left w:val="none" w:sz="0" w:space="0" w:color="auto"/>
        <w:bottom w:val="none" w:sz="0" w:space="0" w:color="auto"/>
        <w:right w:val="none" w:sz="0" w:space="0" w:color="auto"/>
      </w:divBdr>
    </w:div>
    <w:div w:id="936600830">
      <w:bodyDiv w:val="1"/>
      <w:marLeft w:val="0"/>
      <w:marRight w:val="0"/>
      <w:marTop w:val="0"/>
      <w:marBottom w:val="0"/>
      <w:divBdr>
        <w:top w:val="none" w:sz="0" w:space="0" w:color="auto"/>
        <w:left w:val="none" w:sz="0" w:space="0" w:color="auto"/>
        <w:bottom w:val="none" w:sz="0" w:space="0" w:color="auto"/>
        <w:right w:val="none" w:sz="0" w:space="0" w:color="auto"/>
      </w:divBdr>
    </w:div>
    <w:div w:id="953168984">
      <w:bodyDiv w:val="1"/>
      <w:marLeft w:val="0"/>
      <w:marRight w:val="0"/>
      <w:marTop w:val="0"/>
      <w:marBottom w:val="0"/>
      <w:divBdr>
        <w:top w:val="none" w:sz="0" w:space="0" w:color="auto"/>
        <w:left w:val="none" w:sz="0" w:space="0" w:color="auto"/>
        <w:bottom w:val="none" w:sz="0" w:space="0" w:color="auto"/>
        <w:right w:val="none" w:sz="0" w:space="0" w:color="auto"/>
      </w:divBdr>
    </w:div>
    <w:div w:id="954678240">
      <w:bodyDiv w:val="1"/>
      <w:marLeft w:val="0"/>
      <w:marRight w:val="0"/>
      <w:marTop w:val="0"/>
      <w:marBottom w:val="0"/>
      <w:divBdr>
        <w:top w:val="none" w:sz="0" w:space="0" w:color="auto"/>
        <w:left w:val="none" w:sz="0" w:space="0" w:color="auto"/>
        <w:bottom w:val="none" w:sz="0" w:space="0" w:color="auto"/>
        <w:right w:val="none" w:sz="0" w:space="0" w:color="auto"/>
      </w:divBdr>
    </w:div>
    <w:div w:id="959530887">
      <w:bodyDiv w:val="1"/>
      <w:marLeft w:val="0"/>
      <w:marRight w:val="0"/>
      <w:marTop w:val="0"/>
      <w:marBottom w:val="0"/>
      <w:divBdr>
        <w:top w:val="none" w:sz="0" w:space="0" w:color="auto"/>
        <w:left w:val="none" w:sz="0" w:space="0" w:color="auto"/>
        <w:bottom w:val="none" w:sz="0" w:space="0" w:color="auto"/>
        <w:right w:val="none" w:sz="0" w:space="0" w:color="auto"/>
      </w:divBdr>
    </w:div>
    <w:div w:id="972751852">
      <w:bodyDiv w:val="1"/>
      <w:marLeft w:val="0"/>
      <w:marRight w:val="0"/>
      <w:marTop w:val="0"/>
      <w:marBottom w:val="0"/>
      <w:divBdr>
        <w:top w:val="none" w:sz="0" w:space="0" w:color="auto"/>
        <w:left w:val="none" w:sz="0" w:space="0" w:color="auto"/>
        <w:bottom w:val="none" w:sz="0" w:space="0" w:color="auto"/>
        <w:right w:val="none" w:sz="0" w:space="0" w:color="auto"/>
      </w:divBdr>
    </w:div>
    <w:div w:id="1019966253">
      <w:bodyDiv w:val="1"/>
      <w:marLeft w:val="0"/>
      <w:marRight w:val="0"/>
      <w:marTop w:val="0"/>
      <w:marBottom w:val="0"/>
      <w:divBdr>
        <w:top w:val="none" w:sz="0" w:space="0" w:color="auto"/>
        <w:left w:val="none" w:sz="0" w:space="0" w:color="auto"/>
        <w:bottom w:val="none" w:sz="0" w:space="0" w:color="auto"/>
        <w:right w:val="none" w:sz="0" w:space="0" w:color="auto"/>
      </w:divBdr>
    </w:div>
    <w:div w:id="1029452559">
      <w:bodyDiv w:val="1"/>
      <w:marLeft w:val="0"/>
      <w:marRight w:val="0"/>
      <w:marTop w:val="0"/>
      <w:marBottom w:val="0"/>
      <w:divBdr>
        <w:top w:val="none" w:sz="0" w:space="0" w:color="auto"/>
        <w:left w:val="none" w:sz="0" w:space="0" w:color="auto"/>
        <w:bottom w:val="none" w:sz="0" w:space="0" w:color="auto"/>
        <w:right w:val="none" w:sz="0" w:space="0" w:color="auto"/>
      </w:divBdr>
    </w:div>
    <w:div w:id="1030298407">
      <w:bodyDiv w:val="1"/>
      <w:marLeft w:val="0"/>
      <w:marRight w:val="0"/>
      <w:marTop w:val="0"/>
      <w:marBottom w:val="0"/>
      <w:divBdr>
        <w:top w:val="none" w:sz="0" w:space="0" w:color="auto"/>
        <w:left w:val="none" w:sz="0" w:space="0" w:color="auto"/>
        <w:bottom w:val="none" w:sz="0" w:space="0" w:color="auto"/>
        <w:right w:val="none" w:sz="0" w:space="0" w:color="auto"/>
      </w:divBdr>
    </w:div>
    <w:div w:id="1030490459">
      <w:bodyDiv w:val="1"/>
      <w:marLeft w:val="0"/>
      <w:marRight w:val="0"/>
      <w:marTop w:val="0"/>
      <w:marBottom w:val="0"/>
      <w:divBdr>
        <w:top w:val="none" w:sz="0" w:space="0" w:color="auto"/>
        <w:left w:val="none" w:sz="0" w:space="0" w:color="auto"/>
        <w:bottom w:val="none" w:sz="0" w:space="0" w:color="auto"/>
        <w:right w:val="none" w:sz="0" w:space="0" w:color="auto"/>
      </w:divBdr>
    </w:div>
    <w:div w:id="1037975416">
      <w:bodyDiv w:val="1"/>
      <w:marLeft w:val="0"/>
      <w:marRight w:val="0"/>
      <w:marTop w:val="0"/>
      <w:marBottom w:val="0"/>
      <w:divBdr>
        <w:top w:val="none" w:sz="0" w:space="0" w:color="auto"/>
        <w:left w:val="none" w:sz="0" w:space="0" w:color="auto"/>
        <w:bottom w:val="none" w:sz="0" w:space="0" w:color="auto"/>
        <w:right w:val="none" w:sz="0" w:space="0" w:color="auto"/>
      </w:divBdr>
    </w:div>
    <w:div w:id="1088229921">
      <w:bodyDiv w:val="1"/>
      <w:marLeft w:val="0"/>
      <w:marRight w:val="0"/>
      <w:marTop w:val="0"/>
      <w:marBottom w:val="0"/>
      <w:divBdr>
        <w:top w:val="none" w:sz="0" w:space="0" w:color="auto"/>
        <w:left w:val="none" w:sz="0" w:space="0" w:color="auto"/>
        <w:bottom w:val="none" w:sz="0" w:space="0" w:color="auto"/>
        <w:right w:val="none" w:sz="0" w:space="0" w:color="auto"/>
      </w:divBdr>
    </w:div>
    <w:div w:id="1089501572">
      <w:bodyDiv w:val="1"/>
      <w:marLeft w:val="0"/>
      <w:marRight w:val="0"/>
      <w:marTop w:val="0"/>
      <w:marBottom w:val="0"/>
      <w:divBdr>
        <w:top w:val="none" w:sz="0" w:space="0" w:color="auto"/>
        <w:left w:val="none" w:sz="0" w:space="0" w:color="auto"/>
        <w:bottom w:val="none" w:sz="0" w:space="0" w:color="auto"/>
        <w:right w:val="none" w:sz="0" w:space="0" w:color="auto"/>
      </w:divBdr>
    </w:div>
    <w:div w:id="1178696303">
      <w:bodyDiv w:val="1"/>
      <w:marLeft w:val="0"/>
      <w:marRight w:val="0"/>
      <w:marTop w:val="0"/>
      <w:marBottom w:val="0"/>
      <w:divBdr>
        <w:top w:val="none" w:sz="0" w:space="0" w:color="auto"/>
        <w:left w:val="none" w:sz="0" w:space="0" w:color="auto"/>
        <w:bottom w:val="none" w:sz="0" w:space="0" w:color="auto"/>
        <w:right w:val="none" w:sz="0" w:space="0" w:color="auto"/>
      </w:divBdr>
    </w:div>
    <w:div w:id="1201283079">
      <w:bodyDiv w:val="1"/>
      <w:marLeft w:val="0"/>
      <w:marRight w:val="0"/>
      <w:marTop w:val="0"/>
      <w:marBottom w:val="0"/>
      <w:divBdr>
        <w:top w:val="none" w:sz="0" w:space="0" w:color="auto"/>
        <w:left w:val="none" w:sz="0" w:space="0" w:color="auto"/>
        <w:bottom w:val="none" w:sz="0" w:space="0" w:color="auto"/>
        <w:right w:val="none" w:sz="0" w:space="0" w:color="auto"/>
      </w:divBdr>
    </w:div>
    <w:div w:id="1219711546">
      <w:bodyDiv w:val="1"/>
      <w:marLeft w:val="0"/>
      <w:marRight w:val="0"/>
      <w:marTop w:val="0"/>
      <w:marBottom w:val="0"/>
      <w:divBdr>
        <w:top w:val="none" w:sz="0" w:space="0" w:color="auto"/>
        <w:left w:val="none" w:sz="0" w:space="0" w:color="auto"/>
        <w:bottom w:val="none" w:sz="0" w:space="0" w:color="auto"/>
        <w:right w:val="none" w:sz="0" w:space="0" w:color="auto"/>
      </w:divBdr>
    </w:div>
    <w:div w:id="1239629714">
      <w:bodyDiv w:val="1"/>
      <w:marLeft w:val="0"/>
      <w:marRight w:val="0"/>
      <w:marTop w:val="0"/>
      <w:marBottom w:val="0"/>
      <w:divBdr>
        <w:top w:val="none" w:sz="0" w:space="0" w:color="auto"/>
        <w:left w:val="none" w:sz="0" w:space="0" w:color="auto"/>
        <w:bottom w:val="none" w:sz="0" w:space="0" w:color="auto"/>
        <w:right w:val="none" w:sz="0" w:space="0" w:color="auto"/>
      </w:divBdr>
    </w:div>
    <w:div w:id="1282221475">
      <w:bodyDiv w:val="1"/>
      <w:marLeft w:val="0"/>
      <w:marRight w:val="0"/>
      <w:marTop w:val="0"/>
      <w:marBottom w:val="0"/>
      <w:divBdr>
        <w:top w:val="none" w:sz="0" w:space="0" w:color="auto"/>
        <w:left w:val="none" w:sz="0" w:space="0" w:color="auto"/>
        <w:bottom w:val="none" w:sz="0" w:space="0" w:color="auto"/>
        <w:right w:val="none" w:sz="0" w:space="0" w:color="auto"/>
      </w:divBdr>
    </w:div>
    <w:div w:id="1286739501">
      <w:bodyDiv w:val="1"/>
      <w:marLeft w:val="0"/>
      <w:marRight w:val="0"/>
      <w:marTop w:val="0"/>
      <w:marBottom w:val="0"/>
      <w:divBdr>
        <w:top w:val="none" w:sz="0" w:space="0" w:color="auto"/>
        <w:left w:val="none" w:sz="0" w:space="0" w:color="auto"/>
        <w:bottom w:val="none" w:sz="0" w:space="0" w:color="auto"/>
        <w:right w:val="none" w:sz="0" w:space="0" w:color="auto"/>
      </w:divBdr>
    </w:div>
    <w:div w:id="1311715847">
      <w:bodyDiv w:val="1"/>
      <w:marLeft w:val="0"/>
      <w:marRight w:val="0"/>
      <w:marTop w:val="0"/>
      <w:marBottom w:val="0"/>
      <w:divBdr>
        <w:top w:val="none" w:sz="0" w:space="0" w:color="auto"/>
        <w:left w:val="none" w:sz="0" w:space="0" w:color="auto"/>
        <w:bottom w:val="none" w:sz="0" w:space="0" w:color="auto"/>
        <w:right w:val="none" w:sz="0" w:space="0" w:color="auto"/>
      </w:divBdr>
    </w:div>
    <w:div w:id="1331330536">
      <w:bodyDiv w:val="1"/>
      <w:marLeft w:val="0"/>
      <w:marRight w:val="0"/>
      <w:marTop w:val="0"/>
      <w:marBottom w:val="0"/>
      <w:divBdr>
        <w:top w:val="none" w:sz="0" w:space="0" w:color="auto"/>
        <w:left w:val="none" w:sz="0" w:space="0" w:color="auto"/>
        <w:bottom w:val="none" w:sz="0" w:space="0" w:color="auto"/>
        <w:right w:val="none" w:sz="0" w:space="0" w:color="auto"/>
      </w:divBdr>
    </w:div>
    <w:div w:id="1335188755">
      <w:bodyDiv w:val="1"/>
      <w:marLeft w:val="0"/>
      <w:marRight w:val="0"/>
      <w:marTop w:val="0"/>
      <w:marBottom w:val="0"/>
      <w:divBdr>
        <w:top w:val="none" w:sz="0" w:space="0" w:color="auto"/>
        <w:left w:val="none" w:sz="0" w:space="0" w:color="auto"/>
        <w:bottom w:val="none" w:sz="0" w:space="0" w:color="auto"/>
        <w:right w:val="none" w:sz="0" w:space="0" w:color="auto"/>
      </w:divBdr>
    </w:div>
    <w:div w:id="1402830252">
      <w:bodyDiv w:val="1"/>
      <w:marLeft w:val="0"/>
      <w:marRight w:val="0"/>
      <w:marTop w:val="0"/>
      <w:marBottom w:val="0"/>
      <w:divBdr>
        <w:top w:val="none" w:sz="0" w:space="0" w:color="auto"/>
        <w:left w:val="none" w:sz="0" w:space="0" w:color="auto"/>
        <w:bottom w:val="none" w:sz="0" w:space="0" w:color="auto"/>
        <w:right w:val="none" w:sz="0" w:space="0" w:color="auto"/>
      </w:divBdr>
    </w:div>
    <w:div w:id="1413040606">
      <w:bodyDiv w:val="1"/>
      <w:marLeft w:val="0"/>
      <w:marRight w:val="0"/>
      <w:marTop w:val="0"/>
      <w:marBottom w:val="0"/>
      <w:divBdr>
        <w:top w:val="none" w:sz="0" w:space="0" w:color="auto"/>
        <w:left w:val="none" w:sz="0" w:space="0" w:color="auto"/>
        <w:bottom w:val="none" w:sz="0" w:space="0" w:color="auto"/>
        <w:right w:val="none" w:sz="0" w:space="0" w:color="auto"/>
      </w:divBdr>
    </w:div>
    <w:div w:id="1443643929">
      <w:bodyDiv w:val="1"/>
      <w:marLeft w:val="0"/>
      <w:marRight w:val="0"/>
      <w:marTop w:val="0"/>
      <w:marBottom w:val="0"/>
      <w:divBdr>
        <w:top w:val="none" w:sz="0" w:space="0" w:color="auto"/>
        <w:left w:val="none" w:sz="0" w:space="0" w:color="auto"/>
        <w:bottom w:val="none" w:sz="0" w:space="0" w:color="auto"/>
        <w:right w:val="none" w:sz="0" w:space="0" w:color="auto"/>
      </w:divBdr>
    </w:div>
    <w:div w:id="1460415831">
      <w:bodyDiv w:val="1"/>
      <w:marLeft w:val="0"/>
      <w:marRight w:val="0"/>
      <w:marTop w:val="0"/>
      <w:marBottom w:val="0"/>
      <w:divBdr>
        <w:top w:val="none" w:sz="0" w:space="0" w:color="auto"/>
        <w:left w:val="none" w:sz="0" w:space="0" w:color="auto"/>
        <w:bottom w:val="none" w:sz="0" w:space="0" w:color="auto"/>
        <w:right w:val="none" w:sz="0" w:space="0" w:color="auto"/>
      </w:divBdr>
    </w:div>
    <w:div w:id="1477602721">
      <w:bodyDiv w:val="1"/>
      <w:marLeft w:val="0"/>
      <w:marRight w:val="0"/>
      <w:marTop w:val="0"/>
      <w:marBottom w:val="0"/>
      <w:divBdr>
        <w:top w:val="none" w:sz="0" w:space="0" w:color="auto"/>
        <w:left w:val="none" w:sz="0" w:space="0" w:color="auto"/>
        <w:bottom w:val="none" w:sz="0" w:space="0" w:color="auto"/>
        <w:right w:val="none" w:sz="0" w:space="0" w:color="auto"/>
      </w:divBdr>
    </w:div>
    <w:div w:id="1478062473">
      <w:bodyDiv w:val="1"/>
      <w:marLeft w:val="0"/>
      <w:marRight w:val="0"/>
      <w:marTop w:val="0"/>
      <w:marBottom w:val="0"/>
      <w:divBdr>
        <w:top w:val="none" w:sz="0" w:space="0" w:color="auto"/>
        <w:left w:val="none" w:sz="0" w:space="0" w:color="auto"/>
        <w:bottom w:val="none" w:sz="0" w:space="0" w:color="auto"/>
        <w:right w:val="none" w:sz="0" w:space="0" w:color="auto"/>
      </w:divBdr>
    </w:div>
    <w:div w:id="1529220000">
      <w:bodyDiv w:val="1"/>
      <w:marLeft w:val="0"/>
      <w:marRight w:val="0"/>
      <w:marTop w:val="0"/>
      <w:marBottom w:val="0"/>
      <w:divBdr>
        <w:top w:val="none" w:sz="0" w:space="0" w:color="auto"/>
        <w:left w:val="none" w:sz="0" w:space="0" w:color="auto"/>
        <w:bottom w:val="none" w:sz="0" w:space="0" w:color="auto"/>
        <w:right w:val="none" w:sz="0" w:space="0" w:color="auto"/>
      </w:divBdr>
    </w:div>
    <w:div w:id="1557207475">
      <w:bodyDiv w:val="1"/>
      <w:marLeft w:val="0"/>
      <w:marRight w:val="0"/>
      <w:marTop w:val="0"/>
      <w:marBottom w:val="0"/>
      <w:divBdr>
        <w:top w:val="none" w:sz="0" w:space="0" w:color="auto"/>
        <w:left w:val="none" w:sz="0" w:space="0" w:color="auto"/>
        <w:bottom w:val="none" w:sz="0" w:space="0" w:color="auto"/>
        <w:right w:val="none" w:sz="0" w:space="0" w:color="auto"/>
      </w:divBdr>
    </w:div>
    <w:div w:id="1608848817">
      <w:bodyDiv w:val="1"/>
      <w:marLeft w:val="0"/>
      <w:marRight w:val="0"/>
      <w:marTop w:val="0"/>
      <w:marBottom w:val="0"/>
      <w:divBdr>
        <w:top w:val="none" w:sz="0" w:space="0" w:color="auto"/>
        <w:left w:val="none" w:sz="0" w:space="0" w:color="auto"/>
        <w:bottom w:val="none" w:sz="0" w:space="0" w:color="auto"/>
        <w:right w:val="none" w:sz="0" w:space="0" w:color="auto"/>
      </w:divBdr>
    </w:div>
    <w:div w:id="1623464895">
      <w:bodyDiv w:val="1"/>
      <w:marLeft w:val="0"/>
      <w:marRight w:val="0"/>
      <w:marTop w:val="0"/>
      <w:marBottom w:val="0"/>
      <w:divBdr>
        <w:top w:val="none" w:sz="0" w:space="0" w:color="auto"/>
        <w:left w:val="none" w:sz="0" w:space="0" w:color="auto"/>
        <w:bottom w:val="none" w:sz="0" w:space="0" w:color="auto"/>
        <w:right w:val="none" w:sz="0" w:space="0" w:color="auto"/>
      </w:divBdr>
    </w:div>
    <w:div w:id="1625573141">
      <w:bodyDiv w:val="1"/>
      <w:marLeft w:val="0"/>
      <w:marRight w:val="0"/>
      <w:marTop w:val="0"/>
      <w:marBottom w:val="0"/>
      <w:divBdr>
        <w:top w:val="none" w:sz="0" w:space="0" w:color="auto"/>
        <w:left w:val="none" w:sz="0" w:space="0" w:color="auto"/>
        <w:bottom w:val="none" w:sz="0" w:space="0" w:color="auto"/>
        <w:right w:val="none" w:sz="0" w:space="0" w:color="auto"/>
      </w:divBdr>
    </w:div>
    <w:div w:id="1631127500">
      <w:bodyDiv w:val="1"/>
      <w:marLeft w:val="0"/>
      <w:marRight w:val="0"/>
      <w:marTop w:val="0"/>
      <w:marBottom w:val="0"/>
      <w:divBdr>
        <w:top w:val="none" w:sz="0" w:space="0" w:color="auto"/>
        <w:left w:val="none" w:sz="0" w:space="0" w:color="auto"/>
        <w:bottom w:val="none" w:sz="0" w:space="0" w:color="auto"/>
        <w:right w:val="none" w:sz="0" w:space="0" w:color="auto"/>
      </w:divBdr>
    </w:div>
    <w:div w:id="1637375065">
      <w:bodyDiv w:val="1"/>
      <w:marLeft w:val="0"/>
      <w:marRight w:val="0"/>
      <w:marTop w:val="0"/>
      <w:marBottom w:val="0"/>
      <w:divBdr>
        <w:top w:val="none" w:sz="0" w:space="0" w:color="auto"/>
        <w:left w:val="none" w:sz="0" w:space="0" w:color="auto"/>
        <w:bottom w:val="none" w:sz="0" w:space="0" w:color="auto"/>
        <w:right w:val="none" w:sz="0" w:space="0" w:color="auto"/>
      </w:divBdr>
    </w:div>
    <w:div w:id="1651523186">
      <w:bodyDiv w:val="1"/>
      <w:marLeft w:val="0"/>
      <w:marRight w:val="0"/>
      <w:marTop w:val="0"/>
      <w:marBottom w:val="0"/>
      <w:divBdr>
        <w:top w:val="none" w:sz="0" w:space="0" w:color="auto"/>
        <w:left w:val="none" w:sz="0" w:space="0" w:color="auto"/>
        <w:bottom w:val="none" w:sz="0" w:space="0" w:color="auto"/>
        <w:right w:val="none" w:sz="0" w:space="0" w:color="auto"/>
      </w:divBdr>
    </w:div>
    <w:div w:id="1752507264">
      <w:bodyDiv w:val="1"/>
      <w:marLeft w:val="0"/>
      <w:marRight w:val="0"/>
      <w:marTop w:val="0"/>
      <w:marBottom w:val="0"/>
      <w:divBdr>
        <w:top w:val="none" w:sz="0" w:space="0" w:color="auto"/>
        <w:left w:val="none" w:sz="0" w:space="0" w:color="auto"/>
        <w:bottom w:val="none" w:sz="0" w:space="0" w:color="auto"/>
        <w:right w:val="none" w:sz="0" w:space="0" w:color="auto"/>
      </w:divBdr>
    </w:div>
    <w:div w:id="1789276782">
      <w:bodyDiv w:val="1"/>
      <w:marLeft w:val="0"/>
      <w:marRight w:val="0"/>
      <w:marTop w:val="0"/>
      <w:marBottom w:val="0"/>
      <w:divBdr>
        <w:top w:val="none" w:sz="0" w:space="0" w:color="auto"/>
        <w:left w:val="none" w:sz="0" w:space="0" w:color="auto"/>
        <w:bottom w:val="none" w:sz="0" w:space="0" w:color="auto"/>
        <w:right w:val="none" w:sz="0" w:space="0" w:color="auto"/>
      </w:divBdr>
    </w:div>
    <w:div w:id="1814713092">
      <w:bodyDiv w:val="1"/>
      <w:marLeft w:val="0"/>
      <w:marRight w:val="0"/>
      <w:marTop w:val="0"/>
      <w:marBottom w:val="0"/>
      <w:divBdr>
        <w:top w:val="none" w:sz="0" w:space="0" w:color="auto"/>
        <w:left w:val="none" w:sz="0" w:space="0" w:color="auto"/>
        <w:bottom w:val="none" w:sz="0" w:space="0" w:color="auto"/>
        <w:right w:val="none" w:sz="0" w:space="0" w:color="auto"/>
      </w:divBdr>
    </w:div>
    <w:div w:id="1867601278">
      <w:bodyDiv w:val="1"/>
      <w:marLeft w:val="0"/>
      <w:marRight w:val="0"/>
      <w:marTop w:val="0"/>
      <w:marBottom w:val="0"/>
      <w:divBdr>
        <w:top w:val="none" w:sz="0" w:space="0" w:color="auto"/>
        <w:left w:val="none" w:sz="0" w:space="0" w:color="auto"/>
        <w:bottom w:val="none" w:sz="0" w:space="0" w:color="auto"/>
        <w:right w:val="none" w:sz="0" w:space="0" w:color="auto"/>
      </w:divBdr>
    </w:div>
    <w:div w:id="1871337535">
      <w:bodyDiv w:val="1"/>
      <w:marLeft w:val="0"/>
      <w:marRight w:val="0"/>
      <w:marTop w:val="0"/>
      <w:marBottom w:val="0"/>
      <w:divBdr>
        <w:top w:val="none" w:sz="0" w:space="0" w:color="auto"/>
        <w:left w:val="none" w:sz="0" w:space="0" w:color="auto"/>
        <w:bottom w:val="none" w:sz="0" w:space="0" w:color="auto"/>
        <w:right w:val="none" w:sz="0" w:space="0" w:color="auto"/>
      </w:divBdr>
    </w:div>
    <w:div w:id="1874222193">
      <w:bodyDiv w:val="1"/>
      <w:marLeft w:val="0"/>
      <w:marRight w:val="0"/>
      <w:marTop w:val="0"/>
      <w:marBottom w:val="0"/>
      <w:divBdr>
        <w:top w:val="none" w:sz="0" w:space="0" w:color="auto"/>
        <w:left w:val="none" w:sz="0" w:space="0" w:color="auto"/>
        <w:bottom w:val="none" w:sz="0" w:space="0" w:color="auto"/>
        <w:right w:val="none" w:sz="0" w:space="0" w:color="auto"/>
      </w:divBdr>
    </w:div>
    <w:div w:id="1877231749">
      <w:bodyDiv w:val="1"/>
      <w:marLeft w:val="0"/>
      <w:marRight w:val="0"/>
      <w:marTop w:val="0"/>
      <w:marBottom w:val="0"/>
      <w:divBdr>
        <w:top w:val="none" w:sz="0" w:space="0" w:color="auto"/>
        <w:left w:val="none" w:sz="0" w:space="0" w:color="auto"/>
        <w:bottom w:val="none" w:sz="0" w:space="0" w:color="auto"/>
        <w:right w:val="none" w:sz="0" w:space="0" w:color="auto"/>
      </w:divBdr>
    </w:div>
    <w:div w:id="1913733026">
      <w:bodyDiv w:val="1"/>
      <w:marLeft w:val="0"/>
      <w:marRight w:val="0"/>
      <w:marTop w:val="0"/>
      <w:marBottom w:val="0"/>
      <w:divBdr>
        <w:top w:val="none" w:sz="0" w:space="0" w:color="auto"/>
        <w:left w:val="none" w:sz="0" w:space="0" w:color="auto"/>
        <w:bottom w:val="none" w:sz="0" w:space="0" w:color="auto"/>
        <w:right w:val="none" w:sz="0" w:space="0" w:color="auto"/>
      </w:divBdr>
    </w:div>
    <w:div w:id="1918632396">
      <w:bodyDiv w:val="1"/>
      <w:marLeft w:val="0"/>
      <w:marRight w:val="0"/>
      <w:marTop w:val="0"/>
      <w:marBottom w:val="0"/>
      <w:divBdr>
        <w:top w:val="none" w:sz="0" w:space="0" w:color="auto"/>
        <w:left w:val="none" w:sz="0" w:space="0" w:color="auto"/>
        <w:bottom w:val="none" w:sz="0" w:space="0" w:color="auto"/>
        <w:right w:val="none" w:sz="0" w:space="0" w:color="auto"/>
      </w:divBdr>
    </w:div>
    <w:div w:id="1919287618">
      <w:bodyDiv w:val="1"/>
      <w:marLeft w:val="0"/>
      <w:marRight w:val="0"/>
      <w:marTop w:val="0"/>
      <w:marBottom w:val="0"/>
      <w:divBdr>
        <w:top w:val="none" w:sz="0" w:space="0" w:color="auto"/>
        <w:left w:val="none" w:sz="0" w:space="0" w:color="auto"/>
        <w:bottom w:val="none" w:sz="0" w:space="0" w:color="auto"/>
        <w:right w:val="none" w:sz="0" w:space="0" w:color="auto"/>
      </w:divBdr>
    </w:div>
    <w:div w:id="1927374180">
      <w:bodyDiv w:val="1"/>
      <w:marLeft w:val="0"/>
      <w:marRight w:val="0"/>
      <w:marTop w:val="0"/>
      <w:marBottom w:val="0"/>
      <w:divBdr>
        <w:top w:val="none" w:sz="0" w:space="0" w:color="auto"/>
        <w:left w:val="none" w:sz="0" w:space="0" w:color="auto"/>
        <w:bottom w:val="none" w:sz="0" w:space="0" w:color="auto"/>
        <w:right w:val="none" w:sz="0" w:space="0" w:color="auto"/>
      </w:divBdr>
    </w:div>
    <w:div w:id="1961646351">
      <w:bodyDiv w:val="1"/>
      <w:marLeft w:val="0"/>
      <w:marRight w:val="0"/>
      <w:marTop w:val="0"/>
      <w:marBottom w:val="0"/>
      <w:divBdr>
        <w:top w:val="none" w:sz="0" w:space="0" w:color="auto"/>
        <w:left w:val="none" w:sz="0" w:space="0" w:color="auto"/>
        <w:bottom w:val="none" w:sz="0" w:space="0" w:color="auto"/>
        <w:right w:val="none" w:sz="0" w:space="0" w:color="auto"/>
      </w:divBdr>
    </w:div>
    <w:div w:id="1964846442">
      <w:bodyDiv w:val="1"/>
      <w:marLeft w:val="0"/>
      <w:marRight w:val="0"/>
      <w:marTop w:val="0"/>
      <w:marBottom w:val="0"/>
      <w:divBdr>
        <w:top w:val="none" w:sz="0" w:space="0" w:color="auto"/>
        <w:left w:val="none" w:sz="0" w:space="0" w:color="auto"/>
        <w:bottom w:val="none" w:sz="0" w:space="0" w:color="auto"/>
        <w:right w:val="none" w:sz="0" w:space="0" w:color="auto"/>
      </w:divBdr>
    </w:div>
    <w:div w:id="1966933497">
      <w:bodyDiv w:val="1"/>
      <w:marLeft w:val="0"/>
      <w:marRight w:val="0"/>
      <w:marTop w:val="0"/>
      <w:marBottom w:val="0"/>
      <w:divBdr>
        <w:top w:val="none" w:sz="0" w:space="0" w:color="auto"/>
        <w:left w:val="none" w:sz="0" w:space="0" w:color="auto"/>
        <w:bottom w:val="none" w:sz="0" w:space="0" w:color="auto"/>
        <w:right w:val="none" w:sz="0" w:space="0" w:color="auto"/>
      </w:divBdr>
    </w:div>
    <w:div w:id="1972587439">
      <w:bodyDiv w:val="1"/>
      <w:marLeft w:val="0"/>
      <w:marRight w:val="0"/>
      <w:marTop w:val="0"/>
      <w:marBottom w:val="0"/>
      <w:divBdr>
        <w:top w:val="none" w:sz="0" w:space="0" w:color="auto"/>
        <w:left w:val="none" w:sz="0" w:space="0" w:color="auto"/>
        <w:bottom w:val="none" w:sz="0" w:space="0" w:color="auto"/>
        <w:right w:val="none" w:sz="0" w:space="0" w:color="auto"/>
      </w:divBdr>
    </w:div>
    <w:div w:id="1983001884">
      <w:bodyDiv w:val="1"/>
      <w:marLeft w:val="0"/>
      <w:marRight w:val="0"/>
      <w:marTop w:val="0"/>
      <w:marBottom w:val="0"/>
      <w:divBdr>
        <w:top w:val="none" w:sz="0" w:space="0" w:color="auto"/>
        <w:left w:val="none" w:sz="0" w:space="0" w:color="auto"/>
        <w:bottom w:val="none" w:sz="0" w:space="0" w:color="auto"/>
        <w:right w:val="none" w:sz="0" w:space="0" w:color="auto"/>
      </w:divBdr>
    </w:div>
    <w:div w:id="1992707960">
      <w:bodyDiv w:val="1"/>
      <w:marLeft w:val="0"/>
      <w:marRight w:val="0"/>
      <w:marTop w:val="0"/>
      <w:marBottom w:val="0"/>
      <w:divBdr>
        <w:top w:val="none" w:sz="0" w:space="0" w:color="auto"/>
        <w:left w:val="none" w:sz="0" w:space="0" w:color="auto"/>
        <w:bottom w:val="none" w:sz="0" w:space="0" w:color="auto"/>
        <w:right w:val="none" w:sz="0" w:space="0" w:color="auto"/>
      </w:divBdr>
    </w:div>
    <w:div w:id="1997682245">
      <w:bodyDiv w:val="1"/>
      <w:marLeft w:val="0"/>
      <w:marRight w:val="0"/>
      <w:marTop w:val="0"/>
      <w:marBottom w:val="0"/>
      <w:divBdr>
        <w:top w:val="none" w:sz="0" w:space="0" w:color="auto"/>
        <w:left w:val="none" w:sz="0" w:space="0" w:color="auto"/>
        <w:bottom w:val="none" w:sz="0" w:space="0" w:color="auto"/>
        <w:right w:val="none" w:sz="0" w:space="0" w:color="auto"/>
      </w:divBdr>
    </w:div>
    <w:div w:id="2105686821">
      <w:bodyDiv w:val="1"/>
      <w:marLeft w:val="0"/>
      <w:marRight w:val="0"/>
      <w:marTop w:val="0"/>
      <w:marBottom w:val="0"/>
      <w:divBdr>
        <w:top w:val="none" w:sz="0" w:space="0" w:color="auto"/>
        <w:left w:val="none" w:sz="0" w:space="0" w:color="auto"/>
        <w:bottom w:val="none" w:sz="0" w:space="0" w:color="auto"/>
        <w:right w:val="none" w:sz="0" w:space="0" w:color="auto"/>
      </w:divBdr>
    </w:div>
    <w:div w:id="2106538336">
      <w:bodyDiv w:val="1"/>
      <w:marLeft w:val="0"/>
      <w:marRight w:val="0"/>
      <w:marTop w:val="0"/>
      <w:marBottom w:val="0"/>
      <w:divBdr>
        <w:top w:val="none" w:sz="0" w:space="0" w:color="auto"/>
        <w:left w:val="none" w:sz="0" w:space="0" w:color="auto"/>
        <w:bottom w:val="none" w:sz="0" w:space="0" w:color="auto"/>
        <w:right w:val="none" w:sz="0" w:space="0" w:color="auto"/>
      </w:divBdr>
    </w:div>
    <w:div w:id="2120951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8EAB828-7ABC-40A5-B953-B096BD27297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5EE0F053-E43D-4D71-B3E2-8561F5D5C79B}">
      <dgm:prSet phldrT="[Text]"/>
      <dgm:spPr/>
      <dgm:t>
        <a:bodyPr/>
        <a:lstStyle/>
        <a:p>
          <a:r>
            <a:rPr lang="en-GB"/>
            <a:t>Court of Appeal</a:t>
          </a:r>
        </a:p>
      </dgm:t>
    </dgm:pt>
    <dgm:pt modelId="{F61B41F0-0299-4733-9B2F-A774EC46C214}" type="parTrans" cxnId="{1166D4BA-1405-4007-B6C5-44AA9CE15309}">
      <dgm:prSet/>
      <dgm:spPr/>
      <dgm:t>
        <a:bodyPr/>
        <a:lstStyle/>
        <a:p>
          <a:endParaRPr lang="en-GB"/>
        </a:p>
      </dgm:t>
    </dgm:pt>
    <dgm:pt modelId="{2350FF34-381C-434E-ACD5-BD85DBAA8B47}" type="sibTrans" cxnId="{1166D4BA-1405-4007-B6C5-44AA9CE15309}">
      <dgm:prSet/>
      <dgm:spPr/>
      <dgm:t>
        <a:bodyPr/>
        <a:lstStyle/>
        <a:p>
          <a:endParaRPr lang="en-GB"/>
        </a:p>
      </dgm:t>
    </dgm:pt>
    <dgm:pt modelId="{C67B1AA5-DA5D-4F8E-BDDE-AAD7B830BCAF}" type="asst">
      <dgm:prSet phldrT="[Text]"/>
      <dgm:spPr/>
      <dgm:t>
        <a:bodyPr/>
        <a:lstStyle/>
        <a:p>
          <a:pPr algn="ctr"/>
          <a:r>
            <a:rPr lang="en-GB"/>
            <a:t>Employment Appeal Tribunal</a:t>
          </a:r>
        </a:p>
      </dgm:t>
    </dgm:pt>
    <dgm:pt modelId="{391EF7A7-4A46-4208-A169-AA49BE346374}" type="parTrans" cxnId="{0C70DDDE-0010-4058-B105-243223882824}">
      <dgm:prSet/>
      <dgm:spPr/>
      <dgm:t>
        <a:bodyPr/>
        <a:lstStyle/>
        <a:p>
          <a:endParaRPr lang="en-GB"/>
        </a:p>
      </dgm:t>
    </dgm:pt>
    <dgm:pt modelId="{234111B5-0682-4819-B894-F6EEA1B32672}" type="sibTrans" cxnId="{0C70DDDE-0010-4058-B105-243223882824}">
      <dgm:prSet/>
      <dgm:spPr/>
      <dgm:t>
        <a:bodyPr/>
        <a:lstStyle/>
        <a:p>
          <a:endParaRPr lang="en-GB"/>
        </a:p>
      </dgm:t>
    </dgm:pt>
    <dgm:pt modelId="{9D129719-F4C6-4AEF-B0B9-19099E4C04F9}">
      <dgm:prSet phldrT="[Text]"/>
      <dgm:spPr/>
      <dgm:t>
        <a:bodyPr/>
        <a:lstStyle/>
        <a:p>
          <a:r>
            <a:rPr lang="en-GB"/>
            <a:t>Employment Tribunal</a:t>
          </a:r>
        </a:p>
      </dgm:t>
    </dgm:pt>
    <dgm:pt modelId="{47581CE0-8389-4CE6-8C12-89B0D474E11F}" type="parTrans" cxnId="{2CE4AFF9-CDE3-44D3-8B2A-DF601BE1D659}">
      <dgm:prSet/>
      <dgm:spPr/>
      <dgm:t>
        <a:bodyPr/>
        <a:lstStyle/>
        <a:p>
          <a:endParaRPr lang="en-GB"/>
        </a:p>
      </dgm:t>
    </dgm:pt>
    <dgm:pt modelId="{34B486BD-088D-4C22-8990-20B829FB8F7B}" type="sibTrans" cxnId="{2CE4AFF9-CDE3-44D3-8B2A-DF601BE1D659}">
      <dgm:prSet/>
      <dgm:spPr/>
      <dgm:t>
        <a:bodyPr/>
        <a:lstStyle/>
        <a:p>
          <a:endParaRPr lang="en-GB"/>
        </a:p>
      </dgm:t>
    </dgm:pt>
    <dgm:pt modelId="{5B8505AA-AFB2-4D7F-B51E-531CEF6D3F01}">
      <dgm:prSet/>
      <dgm:spPr/>
      <dgm:t>
        <a:bodyPr/>
        <a:lstStyle/>
        <a:p>
          <a:r>
            <a:rPr lang="en-GB"/>
            <a:t>Supreme Court</a:t>
          </a:r>
        </a:p>
      </dgm:t>
    </dgm:pt>
    <dgm:pt modelId="{1F5BF70B-ECB1-4F4A-B3B6-9AA354F9F5C5}" type="parTrans" cxnId="{3C606052-A05C-49A1-85D6-A568D46E1516}">
      <dgm:prSet/>
      <dgm:spPr/>
      <dgm:t>
        <a:bodyPr/>
        <a:lstStyle/>
        <a:p>
          <a:endParaRPr lang="en-GB"/>
        </a:p>
      </dgm:t>
    </dgm:pt>
    <dgm:pt modelId="{79D28B13-BBE1-41FC-AF8E-EAE2701EFA11}" type="sibTrans" cxnId="{3C606052-A05C-49A1-85D6-A568D46E1516}">
      <dgm:prSet/>
      <dgm:spPr/>
      <dgm:t>
        <a:bodyPr/>
        <a:lstStyle/>
        <a:p>
          <a:endParaRPr lang="en-GB"/>
        </a:p>
      </dgm:t>
    </dgm:pt>
    <dgm:pt modelId="{D273A28E-3253-4FA1-B09F-986A58EB8C54}" type="pres">
      <dgm:prSet presAssocID="{88EAB828-7ABC-40A5-B953-B096BD27297B}" presName="hierChild1" presStyleCnt="0">
        <dgm:presLayoutVars>
          <dgm:orgChart val="1"/>
          <dgm:chPref val="1"/>
          <dgm:dir/>
          <dgm:animOne val="branch"/>
          <dgm:animLvl val="lvl"/>
          <dgm:resizeHandles/>
        </dgm:presLayoutVars>
      </dgm:prSet>
      <dgm:spPr/>
    </dgm:pt>
    <dgm:pt modelId="{A815B468-18C2-4C51-B6A2-86DD6F5F3216}" type="pres">
      <dgm:prSet presAssocID="{5B8505AA-AFB2-4D7F-B51E-531CEF6D3F01}" presName="hierRoot1" presStyleCnt="0">
        <dgm:presLayoutVars>
          <dgm:hierBranch val="init"/>
        </dgm:presLayoutVars>
      </dgm:prSet>
      <dgm:spPr/>
    </dgm:pt>
    <dgm:pt modelId="{14429FD2-993A-4055-9FA4-B82BB807BAA8}" type="pres">
      <dgm:prSet presAssocID="{5B8505AA-AFB2-4D7F-B51E-531CEF6D3F01}" presName="rootComposite1" presStyleCnt="0"/>
      <dgm:spPr/>
    </dgm:pt>
    <dgm:pt modelId="{7CB0B0BB-E99A-41CB-B87B-F9D1CB8E198B}" type="pres">
      <dgm:prSet presAssocID="{5B8505AA-AFB2-4D7F-B51E-531CEF6D3F01}" presName="rootText1" presStyleLbl="node0" presStyleIdx="0" presStyleCnt="1">
        <dgm:presLayoutVars>
          <dgm:chPref val="3"/>
        </dgm:presLayoutVars>
      </dgm:prSet>
      <dgm:spPr/>
    </dgm:pt>
    <dgm:pt modelId="{427B92FF-706D-43B9-B6B5-A09FFE9156D4}" type="pres">
      <dgm:prSet presAssocID="{5B8505AA-AFB2-4D7F-B51E-531CEF6D3F01}" presName="rootConnector1" presStyleLbl="node1" presStyleIdx="0" presStyleCnt="0"/>
      <dgm:spPr/>
    </dgm:pt>
    <dgm:pt modelId="{A6A0A6A4-0EA0-4234-BD03-87755232C5AE}" type="pres">
      <dgm:prSet presAssocID="{5B8505AA-AFB2-4D7F-B51E-531CEF6D3F01}" presName="hierChild2" presStyleCnt="0"/>
      <dgm:spPr/>
    </dgm:pt>
    <dgm:pt modelId="{BF3170C9-7663-4E47-8DDD-360E4930A3C1}" type="pres">
      <dgm:prSet presAssocID="{F61B41F0-0299-4733-9B2F-A774EC46C214}" presName="Name37" presStyleLbl="parChTrans1D2" presStyleIdx="0" presStyleCnt="1"/>
      <dgm:spPr/>
    </dgm:pt>
    <dgm:pt modelId="{8DBB60D7-B113-4B29-B743-CF5038465C94}" type="pres">
      <dgm:prSet presAssocID="{5EE0F053-E43D-4D71-B3E2-8561F5D5C79B}" presName="hierRoot2" presStyleCnt="0">
        <dgm:presLayoutVars>
          <dgm:hierBranch val="init"/>
        </dgm:presLayoutVars>
      </dgm:prSet>
      <dgm:spPr/>
    </dgm:pt>
    <dgm:pt modelId="{6E10C3CF-A908-4C68-9736-D256EB510A19}" type="pres">
      <dgm:prSet presAssocID="{5EE0F053-E43D-4D71-B3E2-8561F5D5C79B}" presName="rootComposite" presStyleCnt="0"/>
      <dgm:spPr/>
    </dgm:pt>
    <dgm:pt modelId="{70A0FCC9-8AB2-44A9-9F3C-E481D57C9B5E}" type="pres">
      <dgm:prSet presAssocID="{5EE0F053-E43D-4D71-B3E2-8561F5D5C79B}" presName="rootText" presStyleLbl="node2" presStyleIdx="0" presStyleCnt="1">
        <dgm:presLayoutVars>
          <dgm:chPref val="3"/>
        </dgm:presLayoutVars>
      </dgm:prSet>
      <dgm:spPr/>
    </dgm:pt>
    <dgm:pt modelId="{D95DC123-24DD-416A-91B2-AE18BFD7C9BC}" type="pres">
      <dgm:prSet presAssocID="{5EE0F053-E43D-4D71-B3E2-8561F5D5C79B}" presName="rootConnector" presStyleLbl="node2" presStyleIdx="0" presStyleCnt="1"/>
      <dgm:spPr/>
    </dgm:pt>
    <dgm:pt modelId="{58447AC8-68D0-4162-86FF-C1EC347CD008}" type="pres">
      <dgm:prSet presAssocID="{5EE0F053-E43D-4D71-B3E2-8561F5D5C79B}" presName="hierChild4" presStyleCnt="0"/>
      <dgm:spPr/>
    </dgm:pt>
    <dgm:pt modelId="{AE066E48-C5DE-4619-8080-D9F37BB973A1}" type="pres">
      <dgm:prSet presAssocID="{47581CE0-8389-4CE6-8C12-89B0D474E11F}" presName="Name37" presStyleLbl="parChTrans1D3" presStyleIdx="0" presStyleCnt="2"/>
      <dgm:spPr/>
    </dgm:pt>
    <dgm:pt modelId="{B3D5C007-CF37-41D5-BED9-283597C2F349}" type="pres">
      <dgm:prSet presAssocID="{9D129719-F4C6-4AEF-B0B9-19099E4C04F9}" presName="hierRoot2" presStyleCnt="0">
        <dgm:presLayoutVars>
          <dgm:hierBranch val="init"/>
        </dgm:presLayoutVars>
      </dgm:prSet>
      <dgm:spPr/>
    </dgm:pt>
    <dgm:pt modelId="{82326658-F44A-41E1-B9F1-3BA8D8E3B841}" type="pres">
      <dgm:prSet presAssocID="{9D129719-F4C6-4AEF-B0B9-19099E4C04F9}" presName="rootComposite" presStyleCnt="0"/>
      <dgm:spPr/>
    </dgm:pt>
    <dgm:pt modelId="{D3486F5E-1F5A-4077-A7FA-ED000D3CC487}" type="pres">
      <dgm:prSet presAssocID="{9D129719-F4C6-4AEF-B0B9-19099E4C04F9}" presName="rootText" presStyleLbl="node3" presStyleIdx="0" presStyleCnt="1">
        <dgm:presLayoutVars>
          <dgm:chPref val="3"/>
        </dgm:presLayoutVars>
      </dgm:prSet>
      <dgm:spPr/>
    </dgm:pt>
    <dgm:pt modelId="{AF3B68A6-A84C-4B34-AF8F-71BB2E56D754}" type="pres">
      <dgm:prSet presAssocID="{9D129719-F4C6-4AEF-B0B9-19099E4C04F9}" presName="rootConnector" presStyleLbl="node3" presStyleIdx="0" presStyleCnt="1"/>
      <dgm:spPr/>
    </dgm:pt>
    <dgm:pt modelId="{7A514E35-4B2C-46F7-B7C4-39FF7CB1545A}" type="pres">
      <dgm:prSet presAssocID="{9D129719-F4C6-4AEF-B0B9-19099E4C04F9}" presName="hierChild4" presStyleCnt="0"/>
      <dgm:spPr/>
    </dgm:pt>
    <dgm:pt modelId="{1D91BCF9-A00A-45F1-BB16-3CBBE6B4AA5E}" type="pres">
      <dgm:prSet presAssocID="{9D129719-F4C6-4AEF-B0B9-19099E4C04F9}" presName="hierChild5" presStyleCnt="0"/>
      <dgm:spPr/>
    </dgm:pt>
    <dgm:pt modelId="{6F24E814-6011-41ED-AF6B-0195371781BD}" type="pres">
      <dgm:prSet presAssocID="{5EE0F053-E43D-4D71-B3E2-8561F5D5C79B}" presName="hierChild5" presStyleCnt="0"/>
      <dgm:spPr/>
    </dgm:pt>
    <dgm:pt modelId="{E1A623BB-17EF-4592-BB00-2DCB79933B76}" type="pres">
      <dgm:prSet presAssocID="{391EF7A7-4A46-4208-A169-AA49BE346374}" presName="Name111" presStyleLbl="parChTrans1D3" presStyleIdx="1" presStyleCnt="2"/>
      <dgm:spPr/>
    </dgm:pt>
    <dgm:pt modelId="{3B5EFDCC-4292-487E-9426-4E833394971B}" type="pres">
      <dgm:prSet presAssocID="{C67B1AA5-DA5D-4F8E-BDDE-AAD7B830BCAF}" presName="hierRoot3" presStyleCnt="0">
        <dgm:presLayoutVars>
          <dgm:hierBranch val="init"/>
        </dgm:presLayoutVars>
      </dgm:prSet>
      <dgm:spPr/>
    </dgm:pt>
    <dgm:pt modelId="{8CC34622-836F-499D-83B4-237736FEA7C2}" type="pres">
      <dgm:prSet presAssocID="{C67B1AA5-DA5D-4F8E-BDDE-AAD7B830BCAF}" presName="rootComposite3" presStyleCnt="0"/>
      <dgm:spPr/>
    </dgm:pt>
    <dgm:pt modelId="{7803AB69-1BFA-4572-9F45-53B6797A46A4}" type="pres">
      <dgm:prSet presAssocID="{C67B1AA5-DA5D-4F8E-BDDE-AAD7B830BCAF}" presName="rootText3" presStyleLbl="asst2" presStyleIdx="0" presStyleCnt="1" custLinFactNeighborX="61291" custLinFactNeighborY="-1830">
        <dgm:presLayoutVars>
          <dgm:chPref val="3"/>
        </dgm:presLayoutVars>
      </dgm:prSet>
      <dgm:spPr/>
    </dgm:pt>
    <dgm:pt modelId="{0201550D-C9C0-4411-BB63-6F5FAF310171}" type="pres">
      <dgm:prSet presAssocID="{C67B1AA5-DA5D-4F8E-BDDE-AAD7B830BCAF}" presName="rootConnector3" presStyleLbl="asst2" presStyleIdx="0" presStyleCnt="1"/>
      <dgm:spPr/>
    </dgm:pt>
    <dgm:pt modelId="{4743EC5C-F3DA-4764-9F7C-6E0A6EDAC57C}" type="pres">
      <dgm:prSet presAssocID="{C67B1AA5-DA5D-4F8E-BDDE-AAD7B830BCAF}" presName="hierChild6" presStyleCnt="0"/>
      <dgm:spPr/>
    </dgm:pt>
    <dgm:pt modelId="{B20EE7C6-E1F2-4D06-B26E-E594C3FD710B}" type="pres">
      <dgm:prSet presAssocID="{C67B1AA5-DA5D-4F8E-BDDE-AAD7B830BCAF}" presName="hierChild7" presStyleCnt="0"/>
      <dgm:spPr/>
    </dgm:pt>
    <dgm:pt modelId="{C9F9E445-5ED6-4FB7-B76A-973B3DAF26B8}" type="pres">
      <dgm:prSet presAssocID="{5B8505AA-AFB2-4D7F-B51E-531CEF6D3F01}" presName="hierChild3" presStyleCnt="0"/>
      <dgm:spPr/>
    </dgm:pt>
  </dgm:ptLst>
  <dgm:cxnLst>
    <dgm:cxn modelId="{C636951A-1E86-4077-9B89-00799DA85181}" type="presOf" srcId="{5B8505AA-AFB2-4D7F-B51E-531CEF6D3F01}" destId="{427B92FF-706D-43B9-B6B5-A09FFE9156D4}" srcOrd="1" destOrd="0" presId="urn:microsoft.com/office/officeart/2005/8/layout/orgChart1"/>
    <dgm:cxn modelId="{20A59F22-982B-42B6-83AC-52D81747F336}" type="presOf" srcId="{88EAB828-7ABC-40A5-B953-B096BD27297B}" destId="{D273A28E-3253-4FA1-B09F-986A58EB8C54}" srcOrd="0" destOrd="0" presId="urn:microsoft.com/office/officeart/2005/8/layout/orgChart1"/>
    <dgm:cxn modelId="{1EBEDB44-FBA0-4D53-AE78-206C55594DB1}" type="presOf" srcId="{47581CE0-8389-4CE6-8C12-89B0D474E11F}" destId="{AE066E48-C5DE-4619-8080-D9F37BB973A1}" srcOrd="0" destOrd="0" presId="urn:microsoft.com/office/officeart/2005/8/layout/orgChart1"/>
    <dgm:cxn modelId="{9F31AA67-C278-4882-B7BA-5DF2468AE465}" type="presOf" srcId="{9D129719-F4C6-4AEF-B0B9-19099E4C04F9}" destId="{AF3B68A6-A84C-4B34-AF8F-71BB2E56D754}" srcOrd="1" destOrd="0" presId="urn:microsoft.com/office/officeart/2005/8/layout/orgChart1"/>
    <dgm:cxn modelId="{E3F45369-5878-4139-9C50-882E35F64ADB}" type="presOf" srcId="{5EE0F053-E43D-4D71-B3E2-8561F5D5C79B}" destId="{70A0FCC9-8AB2-44A9-9F3C-E481D57C9B5E}" srcOrd="0" destOrd="0" presId="urn:microsoft.com/office/officeart/2005/8/layout/orgChart1"/>
    <dgm:cxn modelId="{F5E4A54A-119F-4B3B-8711-8E464C6AD679}" type="presOf" srcId="{5B8505AA-AFB2-4D7F-B51E-531CEF6D3F01}" destId="{7CB0B0BB-E99A-41CB-B87B-F9D1CB8E198B}" srcOrd="0" destOrd="0" presId="urn:microsoft.com/office/officeart/2005/8/layout/orgChart1"/>
    <dgm:cxn modelId="{23C7F54F-F0C8-4510-AD7A-FBBD877DAC51}" type="presOf" srcId="{C67B1AA5-DA5D-4F8E-BDDE-AAD7B830BCAF}" destId="{0201550D-C9C0-4411-BB63-6F5FAF310171}" srcOrd="1" destOrd="0" presId="urn:microsoft.com/office/officeart/2005/8/layout/orgChart1"/>
    <dgm:cxn modelId="{3C606052-A05C-49A1-85D6-A568D46E1516}" srcId="{88EAB828-7ABC-40A5-B953-B096BD27297B}" destId="{5B8505AA-AFB2-4D7F-B51E-531CEF6D3F01}" srcOrd="0" destOrd="0" parTransId="{1F5BF70B-ECB1-4F4A-B3B6-9AA354F9F5C5}" sibTransId="{79D28B13-BBE1-41FC-AF8E-EAE2701EFA11}"/>
    <dgm:cxn modelId="{9BEDF153-A602-4EF6-BDC5-02CF5ABA7B1F}" type="presOf" srcId="{5EE0F053-E43D-4D71-B3E2-8561F5D5C79B}" destId="{D95DC123-24DD-416A-91B2-AE18BFD7C9BC}" srcOrd="1" destOrd="0" presId="urn:microsoft.com/office/officeart/2005/8/layout/orgChart1"/>
    <dgm:cxn modelId="{A57A5481-D2CE-43EB-9DAA-9450934AAD93}" type="presOf" srcId="{C67B1AA5-DA5D-4F8E-BDDE-AAD7B830BCAF}" destId="{7803AB69-1BFA-4572-9F45-53B6797A46A4}" srcOrd="0" destOrd="0" presId="urn:microsoft.com/office/officeart/2005/8/layout/orgChart1"/>
    <dgm:cxn modelId="{F20AEBB8-42DE-481F-AB24-B95758C87FB7}" type="presOf" srcId="{9D129719-F4C6-4AEF-B0B9-19099E4C04F9}" destId="{D3486F5E-1F5A-4077-A7FA-ED000D3CC487}" srcOrd="0" destOrd="0" presId="urn:microsoft.com/office/officeart/2005/8/layout/orgChart1"/>
    <dgm:cxn modelId="{1166D4BA-1405-4007-B6C5-44AA9CE15309}" srcId="{5B8505AA-AFB2-4D7F-B51E-531CEF6D3F01}" destId="{5EE0F053-E43D-4D71-B3E2-8561F5D5C79B}" srcOrd="0" destOrd="0" parTransId="{F61B41F0-0299-4733-9B2F-A774EC46C214}" sibTransId="{2350FF34-381C-434E-ACD5-BD85DBAA8B47}"/>
    <dgm:cxn modelId="{C95008C4-FA85-42AE-8CBC-999D615DE096}" type="presOf" srcId="{391EF7A7-4A46-4208-A169-AA49BE346374}" destId="{E1A623BB-17EF-4592-BB00-2DCB79933B76}" srcOrd="0" destOrd="0" presId="urn:microsoft.com/office/officeart/2005/8/layout/orgChart1"/>
    <dgm:cxn modelId="{0C70DDDE-0010-4058-B105-243223882824}" srcId="{5EE0F053-E43D-4D71-B3E2-8561F5D5C79B}" destId="{C67B1AA5-DA5D-4F8E-BDDE-AAD7B830BCAF}" srcOrd="0" destOrd="0" parTransId="{391EF7A7-4A46-4208-A169-AA49BE346374}" sibTransId="{234111B5-0682-4819-B894-F6EEA1B32672}"/>
    <dgm:cxn modelId="{8CB199F1-22BE-43C9-99D2-2917D2279D56}" type="presOf" srcId="{F61B41F0-0299-4733-9B2F-A774EC46C214}" destId="{BF3170C9-7663-4E47-8DDD-360E4930A3C1}" srcOrd="0" destOrd="0" presId="urn:microsoft.com/office/officeart/2005/8/layout/orgChart1"/>
    <dgm:cxn modelId="{2CE4AFF9-CDE3-44D3-8B2A-DF601BE1D659}" srcId="{5EE0F053-E43D-4D71-B3E2-8561F5D5C79B}" destId="{9D129719-F4C6-4AEF-B0B9-19099E4C04F9}" srcOrd="1" destOrd="0" parTransId="{47581CE0-8389-4CE6-8C12-89B0D474E11F}" sibTransId="{34B486BD-088D-4C22-8990-20B829FB8F7B}"/>
    <dgm:cxn modelId="{8D6EE3EC-155D-4C94-BCB0-2996A16A49E8}" type="presParOf" srcId="{D273A28E-3253-4FA1-B09F-986A58EB8C54}" destId="{A815B468-18C2-4C51-B6A2-86DD6F5F3216}" srcOrd="0" destOrd="0" presId="urn:microsoft.com/office/officeart/2005/8/layout/orgChart1"/>
    <dgm:cxn modelId="{5E5E135A-E068-446E-82F5-8EB18E05D001}" type="presParOf" srcId="{A815B468-18C2-4C51-B6A2-86DD6F5F3216}" destId="{14429FD2-993A-4055-9FA4-B82BB807BAA8}" srcOrd="0" destOrd="0" presId="urn:microsoft.com/office/officeart/2005/8/layout/orgChart1"/>
    <dgm:cxn modelId="{2677F522-131B-471A-B43B-D8EE5321012F}" type="presParOf" srcId="{14429FD2-993A-4055-9FA4-B82BB807BAA8}" destId="{7CB0B0BB-E99A-41CB-B87B-F9D1CB8E198B}" srcOrd="0" destOrd="0" presId="urn:microsoft.com/office/officeart/2005/8/layout/orgChart1"/>
    <dgm:cxn modelId="{BB969CAF-2B47-4129-A336-241F6AB22F11}" type="presParOf" srcId="{14429FD2-993A-4055-9FA4-B82BB807BAA8}" destId="{427B92FF-706D-43B9-B6B5-A09FFE9156D4}" srcOrd="1" destOrd="0" presId="urn:microsoft.com/office/officeart/2005/8/layout/orgChart1"/>
    <dgm:cxn modelId="{F8E265AC-D102-4520-A821-99AB20D6277C}" type="presParOf" srcId="{A815B468-18C2-4C51-B6A2-86DD6F5F3216}" destId="{A6A0A6A4-0EA0-4234-BD03-87755232C5AE}" srcOrd="1" destOrd="0" presId="urn:microsoft.com/office/officeart/2005/8/layout/orgChart1"/>
    <dgm:cxn modelId="{0C28A7AE-1208-4835-B534-34E55E789A52}" type="presParOf" srcId="{A6A0A6A4-0EA0-4234-BD03-87755232C5AE}" destId="{BF3170C9-7663-4E47-8DDD-360E4930A3C1}" srcOrd="0" destOrd="0" presId="urn:microsoft.com/office/officeart/2005/8/layout/orgChart1"/>
    <dgm:cxn modelId="{FF3388B1-6EC8-4589-B2A3-8847A17CD6B2}" type="presParOf" srcId="{A6A0A6A4-0EA0-4234-BD03-87755232C5AE}" destId="{8DBB60D7-B113-4B29-B743-CF5038465C94}" srcOrd="1" destOrd="0" presId="urn:microsoft.com/office/officeart/2005/8/layout/orgChart1"/>
    <dgm:cxn modelId="{D5AB0CA9-A157-4CD0-BB80-660B7E1EE5E2}" type="presParOf" srcId="{8DBB60D7-B113-4B29-B743-CF5038465C94}" destId="{6E10C3CF-A908-4C68-9736-D256EB510A19}" srcOrd="0" destOrd="0" presId="urn:microsoft.com/office/officeart/2005/8/layout/orgChart1"/>
    <dgm:cxn modelId="{5F0BF1B7-5725-492F-8EBE-0790514DEB70}" type="presParOf" srcId="{6E10C3CF-A908-4C68-9736-D256EB510A19}" destId="{70A0FCC9-8AB2-44A9-9F3C-E481D57C9B5E}" srcOrd="0" destOrd="0" presId="urn:microsoft.com/office/officeart/2005/8/layout/orgChart1"/>
    <dgm:cxn modelId="{8933E57D-D32C-482C-86DF-C90C11D7F0FC}" type="presParOf" srcId="{6E10C3CF-A908-4C68-9736-D256EB510A19}" destId="{D95DC123-24DD-416A-91B2-AE18BFD7C9BC}" srcOrd="1" destOrd="0" presId="urn:microsoft.com/office/officeart/2005/8/layout/orgChart1"/>
    <dgm:cxn modelId="{CC424E87-9696-4C92-83D0-7EB6DD482961}" type="presParOf" srcId="{8DBB60D7-B113-4B29-B743-CF5038465C94}" destId="{58447AC8-68D0-4162-86FF-C1EC347CD008}" srcOrd="1" destOrd="0" presId="urn:microsoft.com/office/officeart/2005/8/layout/orgChart1"/>
    <dgm:cxn modelId="{DFF6E780-FF37-439A-A1DF-6C559B8BCD36}" type="presParOf" srcId="{58447AC8-68D0-4162-86FF-C1EC347CD008}" destId="{AE066E48-C5DE-4619-8080-D9F37BB973A1}" srcOrd="0" destOrd="0" presId="urn:microsoft.com/office/officeart/2005/8/layout/orgChart1"/>
    <dgm:cxn modelId="{ECCEEA95-09F7-45C5-AEEE-8ADCCD027126}" type="presParOf" srcId="{58447AC8-68D0-4162-86FF-C1EC347CD008}" destId="{B3D5C007-CF37-41D5-BED9-283597C2F349}" srcOrd="1" destOrd="0" presId="urn:microsoft.com/office/officeart/2005/8/layout/orgChart1"/>
    <dgm:cxn modelId="{563C0FD5-2148-45FA-95F2-9B8D6E26EB91}" type="presParOf" srcId="{B3D5C007-CF37-41D5-BED9-283597C2F349}" destId="{82326658-F44A-41E1-B9F1-3BA8D8E3B841}" srcOrd="0" destOrd="0" presId="urn:microsoft.com/office/officeart/2005/8/layout/orgChart1"/>
    <dgm:cxn modelId="{B9283DE1-1207-4AFC-97E0-D495E1CE721C}" type="presParOf" srcId="{82326658-F44A-41E1-B9F1-3BA8D8E3B841}" destId="{D3486F5E-1F5A-4077-A7FA-ED000D3CC487}" srcOrd="0" destOrd="0" presId="urn:microsoft.com/office/officeart/2005/8/layout/orgChart1"/>
    <dgm:cxn modelId="{D8417350-B7DE-4389-8CA8-31A58301E986}" type="presParOf" srcId="{82326658-F44A-41E1-B9F1-3BA8D8E3B841}" destId="{AF3B68A6-A84C-4B34-AF8F-71BB2E56D754}" srcOrd="1" destOrd="0" presId="urn:microsoft.com/office/officeart/2005/8/layout/orgChart1"/>
    <dgm:cxn modelId="{4E6DD667-7444-47B0-8605-B1904F5F5E75}" type="presParOf" srcId="{B3D5C007-CF37-41D5-BED9-283597C2F349}" destId="{7A514E35-4B2C-46F7-B7C4-39FF7CB1545A}" srcOrd="1" destOrd="0" presId="urn:microsoft.com/office/officeart/2005/8/layout/orgChart1"/>
    <dgm:cxn modelId="{41331E27-1BB3-4ED0-A7AF-D421B6CB8869}" type="presParOf" srcId="{B3D5C007-CF37-41D5-BED9-283597C2F349}" destId="{1D91BCF9-A00A-45F1-BB16-3CBBE6B4AA5E}" srcOrd="2" destOrd="0" presId="urn:microsoft.com/office/officeart/2005/8/layout/orgChart1"/>
    <dgm:cxn modelId="{9BD79C51-D2F3-48DE-95F3-51928E4B55E4}" type="presParOf" srcId="{8DBB60D7-B113-4B29-B743-CF5038465C94}" destId="{6F24E814-6011-41ED-AF6B-0195371781BD}" srcOrd="2" destOrd="0" presId="urn:microsoft.com/office/officeart/2005/8/layout/orgChart1"/>
    <dgm:cxn modelId="{119BA823-0A78-4C43-A0E4-36EC11B2503D}" type="presParOf" srcId="{6F24E814-6011-41ED-AF6B-0195371781BD}" destId="{E1A623BB-17EF-4592-BB00-2DCB79933B76}" srcOrd="0" destOrd="0" presId="urn:microsoft.com/office/officeart/2005/8/layout/orgChart1"/>
    <dgm:cxn modelId="{C552A18E-BC2A-4E2F-8674-0E90EE1F8AA5}" type="presParOf" srcId="{6F24E814-6011-41ED-AF6B-0195371781BD}" destId="{3B5EFDCC-4292-487E-9426-4E833394971B}" srcOrd="1" destOrd="0" presId="urn:microsoft.com/office/officeart/2005/8/layout/orgChart1"/>
    <dgm:cxn modelId="{5A9FDEE9-42B2-45F5-9CBA-BF5242CDC605}" type="presParOf" srcId="{3B5EFDCC-4292-487E-9426-4E833394971B}" destId="{8CC34622-836F-499D-83B4-237736FEA7C2}" srcOrd="0" destOrd="0" presId="urn:microsoft.com/office/officeart/2005/8/layout/orgChart1"/>
    <dgm:cxn modelId="{0A26802C-69CE-498A-82E7-16EC126C30A5}" type="presParOf" srcId="{8CC34622-836F-499D-83B4-237736FEA7C2}" destId="{7803AB69-1BFA-4572-9F45-53B6797A46A4}" srcOrd="0" destOrd="0" presId="urn:microsoft.com/office/officeart/2005/8/layout/orgChart1"/>
    <dgm:cxn modelId="{B05100CC-B3CE-42CE-94D4-FEF2F8382D32}" type="presParOf" srcId="{8CC34622-836F-499D-83B4-237736FEA7C2}" destId="{0201550D-C9C0-4411-BB63-6F5FAF310171}" srcOrd="1" destOrd="0" presId="urn:microsoft.com/office/officeart/2005/8/layout/orgChart1"/>
    <dgm:cxn modelId="{BFF9F76F-BB4D-43E6-BF3A-E732CE751C71}" type="presParOf" srcId="{3B5EFDCC-4292-487E-9426-4E833394971B}" destId="{4743EC5C-F3DA-4764-9F7C-6E0A6EDAC57C}" srcOrd="1" destOrd="0" presId="urn:microsoft.com/office/officeart/2005/8/layout/orgChart1"/>
    <dgm:cxn modelId="{CAF50F4E-77CF-451D-A1D7-856892A5B9AF}" type="presParOf" srcId="{3B5EFDCC-4292-487E-9426-4E833394971B}" destId="{B20EE7C6-E1F2-4D06-B26E-E594C3FD710B}" srcOrd="2" destOrd="0" presId="urn:microsoft.com/office/officeart/2005/8/layout/orgChart1"/>
    <dgm:cxn modelId="{F2AFE48E-A446-44DC-BFAA-C374608CC679}" type="presParOf" srcId="{A815B468-18C2-4C51-B6A2-86DD6F5F3216}" destId="{C9F9E445-5ED6-4FB7-B76A-973B3DAF26B8}" srcOrd="2" destOrd="0" presId="urn:microsoft.com/office/officeart/2005/8/layout/orgChar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A623BB-17EF-4592-BB00-2DCB79933B76}">
      <dsp:nvSpPr>
        <dsp:cNvPr id="0" name=""/>
        <dsp:cNvSpPr/>
      </dsp:nvSpPr>
      <dsp:spPr>
        <a:xfrm>
          <a:off x="2052207" y="1626845"/>
          <a:ext cx="660779" cy="605402"/>
        </a:xfrm>
        <a:custGeom>
          <a:avLst/>
          <a:gdLst/>
          <a:ahLst/>
          <a:cxnLst/>
          <a:rect l="0" t="0" r="0" b="0"/>
          <a:pathLst>
            <a:path>
              <a:moveTo>
                <a:pt x="660779" y="0"/>
              </a:moveTo>
              <a:lnTo>
                <a:pt x="0" y="6054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066E48-C5DE-4619-8080-D9F37BB973A1}">
      <dsp:nvSpPr>
        <dsp:cNvPr id="0" name=""/>
        <dsp:cNvSpPr/>
      </dsp:nvSpPr>
      <dsp:spPr>
        <a:xfrm>
          <a:off x="2712986" y="1626845"/>
          <a:ext cx="201420" cy="1571078"/>
        </a:xfrm>
        <a:custGeom>
          <a:avLst/>
          <a:gdLst/>
          <a:ahLst/>
          <a:cxnLst/>
          <a:rect l="0" t="0" r="0" b="0"/>
          <a:pathLst>
            <a:path>
              <a:moveTo>
                <a:pt x="0" y="0"/>
              </a:moveTo>
              <a:lnTo>
                <a:pt x="0" y="1571078"/>
              </a:lnTo>
              <a:lnTo>
                <a:pt x="201420" y="157107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3170C9-7663-4E47-8DDD-360E4930A3C1}">
      <dsp:nvSpPr>
        <dsp:cNvPr id="0" name=""/>
        <dsp:cNvSpPr/>
      </dsp:nvSpPr>
      <dsp:spPr>
        <a:xfrm>
          <a:off x="2667266" y="673456"/>
          <a:ext cx="91440" cy="281988"/>
        </a:xfrm>
        <a:custGeom>
          <a:avLst/>
          <a:gdLst/>
          <a:ahLst/>
          <a:cxnLst/>
          <a:rect l="0" t="0" r="0" b="0"/>
          <a:pathLst>
            <a:path>
              <a:moveTo>
                <a:pt x="45720" y="0"/>
              </a:moveTo>
              <a:lnTo>
                <a:pt x="45720" y="28198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B0B0BB-E99A-41CB-B87B-F9D1CB8E198B}">
      <dsp:nvSpPr>
        <dsp:cNvPr id="0" name=""/>
        <dsp:cNvSpPr/>
      </dsp:nvSpPr>
      <dsp:spPr>
        <a:xfrm>
          <a:off x="2041586" y="2055"/>
          <a:ext cx="1342801" cy="6714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Supreme Court</a:t>
          </a:r>
        </a:p>
      </dsp:txBody>
      <dsp:txXfrm>
        <a:off x="2041586" y="2055"/>
        <a:ext cx="1342801" cy="671400"/>
      </dsp:txXfrm>
    </dsp:sp>
    <dsp:sp modelId="{70A0FCC9-8AB2-44A9-9F3C-E481D57C9B5E}">
      <dsp:nvSpPr>
        <dsp:cNvPr id="0" name=""/>
        <dsp:cNvSpPr/>
      </dsp:nvSpPr>
      <dsp:spPr>
        <a:xfrm>
          <a:off x="2041586" y="955444"/>
          <a:ext cx="1342801" cy="6714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Court of Appeal</a:t>
          </a:r>
        </a:p>
      </dsp:txBody>
      <dsp:txXfrm>
        <a:off x="2041586" y="955444"/>
        <a:ext cx="1342801" cy="671400"/>
      </dsp:txXfrm>
    </dsp:sp>
    <dsp:sp modelId="{D3486F5E-1F5A-4077-A7FA-ED000D3CC487}">
      <dsp:nvSpPr>
        <dsp:cNvPr id="0" name=""/>
        <dsp:cNvSpPr/>
      </dsp:nvSpPr>
      <dsp:spPr>
        <a:xfrm>
          <a:off x="2914407" y="2862223"/>
          <a:ext cx="1342801" cy="6714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Employment Tribunal</a:t>
          </a:r>
        </a:p>
      </dsp:txBody>
      <dsp:txXfrm>
        <a:off x="2914407" y="2862223"/>
        <a:ext cx="1342801" cy="671400"/>
      </dsp:txXfrm>
    </dsp:sp>
    <dsp:sp modelId="{7803AB69-1BFA-4572-9F45-53B6797A46A4}">
      <dsp:nvSpPr>
        <dsp:cNvPr id="0" name=""/>
        <dsp:cNvSpPr/>
      </dsp:nvSpPr>
      <dsp:spPr>
        <a:xfrm>
          <a:off x="2052207" y="1896547"/>
          <a:ext cx="1342801" cy="6714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Employment Appeal Tribunal</a:t>
          </a:r>
        </a:p>
      </dsp:txBody>
      <dsp:txXfrm>
        <a:off x="2052207" y="1896547"/>
        <a:ext cx="1342801" cy="67140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Tay15</b:Tag>
    <b:SourceType>Book</b:SourceType>
    <b:Guid>{5D6BBCFF-DE63-452F-811A-906F0F2F7FF7}</b:Guid>
    <b:Author>
      <b:Author>
        <b:NameList>
          <b:Person>
            <b:Last>Taylor</b:Last>
            <b:First>Stephen</b:First>
          </b:Person>
          <b:Person>
            <b:Last>Emir</b:Last>
            <b:First>Astra</b:First>
          </b:Person>
        </b:NameList>
      </b:Author>
    </b:Author>
    <b:Title>Employment Law: An Introduction</b:Title>
    <b:Year>2015</b:Year>
    <b:City>Oxford</b:City>
    <b:Publisher>Oxford University Press</b:Publisher>
    <b:RefOrder>1</b:RefOrder>
  </b:Source>
  <b:Source>
    <b:Tag>CIP17</b:Tag>
    <b:SourceType>Report</b:SourceType>
    <b:Guid>{16E03F47-54CD-4CE2-A1DF-83D8A5EE6505}</b:Guid>
    <b:Title>Employment Regulation in the UK: burden or benefit?</b:Title>
    <b:Year>2017</b:Year>
    <b:City>London</b:City>
    <b:Publisher>CIPD</b:Publisher>
    <b:Author>
      <b:Author>
        <b:Corporate>CIPD</b:Corporate>
      </b:Author>
    </b:Author>
    <b:RefOrder>4</b:RefOrder>
  </b:Source>
  <b:Source>
    <b:Tag>Rut22</b:Tag>
    <b:SourceType>InternetSite</b:SourceType>
    <b:Guid>{7CC9E563-D375-46C1-913E-FC1897B59731}</b:Guid>
    <b:Title>Who killed british Manufacturing</b:Title>
    <b:Year>2022</b:Year>
    <b:Author>
      <b:Author>
        <b:NameList>
          <b:Person>
            <b:Last>Strachan</b:Last>
            <b:First>Ruth</b:First>
          </b:Person>
        </b:NameList>
      </b:Author>
    </b:Author>
    <b:InternetSiteTitle>Investment Monitor</b:InternetSiteTitle>
    <b:Month>August</b:Month>
    <b:Day>12</b:Day>
    <b:URL>https://www.investmentmonitor.ai/manufacturing/who-killed-british-manufacturing/</b:URL>
    <b:RefOrder>2</b:RefOrder>
  </b:Source>
  <b:Source>
    <b:Tag>Ari19</b:Tag>
    <b:SourceType>Report</b:SourceType>
    <b:Guid>{C6911C75-9775-4D4C-90B0-8B906585BE3C}</b:Guid>
    <b:Title>Impacts of minimum wages: review of the international evidence</b:Title>
    <b:Year>2019</b:Year>
    <b:Author>
      <b:Author>
        <b:NameList>
          <b:Person>
            <b:Last>Dube</b:Last>
            <b:First>Aringdrajit</b:First>
          </b:Person>
        </b:NameList>
      </b:Author>
    </b:Author>
    <b:Publisher>National Bureau of Economic Research and IZA institude of law economic</b:Publisher>
    <b:RefOrder>3</b:RefOrder>
  </b:Source>
  <b:Source>
    <b:Tag>Kat222</b:Tag>
    <b:SourceType>Book</b:SourceType>
    <b:Guid>{C27BCF04-47BA-4E2B-9322-76257BA9ED50}</b:Guid>
    <b:Title>Introduction to employment law: Fundamentals for HR and business students</b:Title>
    <b:Year>2022</b:Year>
    <b:Publisher>Kogan Page</b:Publisher>
    <b:City>London</b:City>
    <b:Author>
      <b:Author>
        <b:NameList>
          <b:Person>
            <b:Last>Daniels</b:Last>
            <b:First>Kathy</b:First>
          </b:Person>
        </b:NameList>
      </b:Author>
    </b:Author>
    <b:RefOrder>5</b:RefOrder>
  </b:Source>
  <b:Source>
    <b:Tag>Tay17</b:Tag>
    <b:SourceType>Report</b:SourceType>
    <b:Guid>{363D030D-E75A-4FD1-95D2-00E8A8257DEF}</b:Guid>
    <b:Title>Good work: the Taylor review of modern working practices</b:Title>
    <b:Year>2017</b:Year>
    <b:City>London</b:City>
    <b:Publisher>Department for business</b:Publisher>
    <b:Author>
      <b:Author>
        <b:NameList>
          <b:Person>
            <b:Last>Taylor</b:Last>
            <b:First>Matthew</b:First>
          </b:Person>
        </b:NameList>
      </b:Author>
    </b:Author>
    <b:RefOrder>6</b:RefOrder>
  </b:Source>
  <b:Source>
    <b:Tag>Rec24</b:Tag>
    <b:SourceType>Report</b:SourceType>
    <b:Guid>{08A9A85F-0C85-4F05-B5F7-2C42075C7098}</b:Guid>
    <b:Author>
      <b:Author>
        <b:Corporate>Recruitment &amp; Employment Federation</b:Corporate>
      </b:Author>
    </b:Author>
    <b:Title>Spring Budget 2025  - A Submission from the Recruitment and employment confederation</b:Title>
    <b:Year>2024</b:Year>
    <b:Publisher>Recruitment &amp; Employment Federation</b:Publisher>
    <b:City>London</b:City>
    <b:RefOrder>9</b:RefOrder>
  </b:Source>
  <b:Source>
    <b:Tag>Jud24</b:Tag>
    <b:SourceType>InternetSite</b:SourceType>
    <b:Guid>{B7B75665-C800-4730-B63D-697FBCA18AB2}</b:Guid>
    <b:Title>What are employment tribunals</b:Title>
    <b:Year>2024</b:Year>
    <b:Author>
      <b:Author>
        <b:Corporate>Judiciary</b:Corporate>
      </b:Author>
    </b:Author>
    <b:InternetSiteTitle>Judiciary.uk</b:InternetSiteTitle>
    <b:Month>4</b:Month>
    <b:Day>1</b:Day>
    <b:URL>https://www.judiciary.uk/courts-and-tribunals/tribunals/employment-tribunal/employment-tribunal-england-wales/work-of-the-employment-tribunal/what-is-the-employment-tribunal/#:~:text=Previously%20called%20the%20Industrial%20Tribunals,employers%20by%20Indu</b:URL>
    <b:RefOrder>10</b:RefOrder>
  </b:Source>
  <b:Source>
    <b:Tag>ACA221</b:Tag>
    <b:SourceType>InternetSite</b:SourceType>
    <b:Guid>{4AF15642-2590-4679-80E2-B241FCDDDD0B}</b:Guid>
    <b:Author>
      <b:Author>
        <b:Corporate>ACAS</b:Corporate>
      </b:Author>
    </b:Author>
    <b:Title>Acas annual report shows year of high impact and support for businesses and workers</b:Title>
    <b:Year>2022</b:Year>
    <b:YearAccessed>2024</b:YearAccessed>
    <b:MonthAccessed>April</b:MonthAccessed>
    <b:DayAccessed>24</b:DayAccessed>
    <b:URL>https://www.acas.org.uk/acas-annual-report-shows-year-of-high-impact-and-support-for-businesses-and-workers#:~:text=36%25%20of%20early%20conciliation%20cases,31%25%20in%202020%20to%202021</b:URL>
    <b:RefOrder>11</b:RefOrder>
  </b:Source>
  <b:Source>
    <b:Tag>Jud241</b:Tag>
    <b:SourceType>InternetSite</b:SourceType>
    <b:Guid>{A7E4B0F0-DA34-4205-BD95-D3DD2FA83AA0}</b:Guid>
    <b:Author>
      <b:Author>
        <b:Corporate>Judiciary</b:Corporate>
      </b:Author>
    </b:Author>
    <b:Title>Structure of Courts and Tribunals System</b:Title>
    <b:Year>2024</b:Year>
    <b:YearAccessed>2024</b:YearAccessed>
    <b:MonthAccessed>4</b:MonthAccessed>
    <b:DayAccessed>14</b:DayAccessed>
    <b:URL>https://www.judiciary.uk/structure-of-courts-and-tribunals-system/</b:URL>
    <b:RefOrder>12</b:RefOrder>
  </b:Source>
  <b:Source>
    <b:Tag>ACA24</b:Tag>
    <b:SourceType>InternetSite</b:SourceType>
    <b:Guid>{0A7F5A21-8DDD-4654-A00F-814ED34E9710}</b:Guid>
    <b:Author>
      <b:Author>
        <b:Corporate>ACAS</b:Corporate>
      </b:Author>
    </b:Author>
    <b:Title>Making a claim to an employment tribunal</b:Title>
    <b:Year>2024</b:Year>
    <b:YearAccessed>2024</b:YearAccessed>
    <b:MonthAccessed>April</b:MonthAccessed>
    <b:DayAccessed>20</b:DayAccessed>
    <b:URL>https://www.acas.org.uk/making-a-claim-to-an-employment-tribunal#:~:text=There%20are%20strict%20time%20limits,the%20problem%20at%20work%20happened.</b:URL>
    <b:RefOrder>13</b:RefOrder>
  </b:Source>
  <b:Source>
    <b:Tag>Jud242</b:Tag>
    <b:SourceType>InternetSite</b:SourceType>
    <b:Guid>{CB5422BE-051B-4955-B686-07AB354A3AA9}</b:Guid>
    <b:Author>
      <b:Author>
        <b:Corporate>Judiciary</b:Corporate>
      </b:Author>
    </b:Author>
    <b:Title>Structure of the Courts &amp; Tribunals system</b:Title>
    <b:Year>2024</b:Year>
    <b:YearAccessed>2024</b:YearAccessed>
    <b:MonthAccessed>April</b:MonthAccessed>
    <b:DayAccessed>15</b:DayAccessed>
    <b:URL>https://www.judiciary.uk/about-the-judiciary/our-justice-system/court-structure/</b:URL>
    <b:RefOrder>14</b:RefOrder>
  </b:Source>
  <b:Source>
    <b:Tag>CIP2320</b:Tag>
    <b:SourceType>InternetSite</b:SourceType>
    <b:Guid>{2963F983-F81A-404A-B830-D3CB1277F7CC}</b:Guid>
    <b:Author>
      <b:Author>
        <b:Corporate>CIPD</b:Corporate>
      </b:Author>
    </b:Author>
    <b:Title>The role of employment tribunals</b:Title>
    <b:Year>2023</b:Year>
    <b:YearAccessed>2024</b:YearAccessed>
    <b:MonthAccessed>April </b:MonthAccessed>
    <b:DayAccessed>10</b:DayAccessed>
    <b:URL>https://www.cipd.org/uk/knowledge/factsheets/tribunals-factsheet/</b:URL>
    <b:RefOrder>15</b:RefOrder>
  </b:Source>
  <b:Source>
    <b:Tag>CIP242</b:Tag>
    <b:SourceType>InternetSite</b:SourceType>
    <b:Guid>{FB9D1555-AA6F-4CC2-97CE-B329774471E1}</b:Guid>
    <b:Title>Working hours and time off work</b:Title>
    <b:Year>2024</b:Year>
    <b:Author>
      <b:Author>
        <b:Corporate>CIPD</b:Corporate>
      </b:Author>
    </b:Author>
    <b:YearAccessed>2024</b:YearAccessed>
    <b:MonthAccessed>April</b:MonthAccessed>
    <b:DayAccessed>30</b:DayAccessed>
    <b:URL>https://www.cipd.org/uk/knowledge/factsheets/working-time-factsheet/</b:URL>
    <b:RefOrder>35</b:RefOrder>
  </b:Source>
  <b:Source>
    <b:Tag>Nat221</b:Tag>
    <b:SourceType>InternetSite</b:SourceType>
    <b:Guid>{BD751070-1077-4018-B875-48ADC0DE25BE}</b:Guid>
    <b:Author>
      <b:Author>
        <b:Corporate>National Heart, Lung and blood instiute</b:Corporate>
      </b:Author>
    </b:Author>
    <b:Title>What Are Sleep Deprivation and Deficiency?</b:Title>
    <b:Year>2022</b:Year>
    <b:YearAccessed>2024</b:YearAccessed>
    <b:MonthAccessed>4</b:MonthAccessed>
    <b:DayAccessed>13</b:DayAccessed>
    <b:URL>https://www.nhlbi.nih.gov/health/sleep-deprivation#:~:text=Sleep%20deficiency%20can%20interfere%20with,or%20worried%20in%20social%20situations.</b:URL>
    <b:RefOrder>38</b:RefOrder>
  </b:Source>
  <b:Source>
    <b:Tag>Gov24</b:Tag>
    <b:SourceType>InternetSite</b:SourceType>
    <b:Guid>{160E9331-F294-41D9-9484-C95C03525B2B}</b:Guid>
    <b:Author>
      <b:Author>
        <b:Corporate>Gov.uk</b:Corporate>
      </b:Author>
    </b:Author>
    <b:Title>Get financial help with statutory pay</b:Title>
    <b:Year>2024</b:Year>
    <b:YearAccessed>2023</b:YearAccessed>
    <b:MonthAccessed>4</b:MonthAccessed>
    <b:DayAccessed>15</b:DayAccessed>
    <b:URL>https://www.gov.uk/recover-statutory-payments</b:URL>
    <b:RefOrder>41</b:RefOrder>
  </b:Source>
  <b:Source>
    <b:Tag>Guy19</b:Tag>
    <b:SourceType>Report</b:SourceType>
    <b:Guid>{21AEEC73-AF68-44F8-BC09-BCCB8551BBE4}</b:Guid>
    <b:Title>Equality, diversity and inclusion in research and innovation: UK Review</b:Title>
    <b:Year>2019</b:Year>
    <b:Author>
      <b:Author>
        <b:NameList>
          <b:Person>
            <b:Last>Guyan</b:Last>
            <b:First>Kevin</b:First>
          </b:Person>
          <b:Person>
            <b:Last>Oloyede</b:Last>
            <b:First>Freya</b:First>
          </b:Person>
        </b:NameList>
      </b:Author>
    </b:Author>
    <b:JournalName>UK Research and Innovation</b:JournalName>
    <b:Publisher>UK Research and Innovation</b:Publisher>
    <b:City>London</b:City>
    <b:RefOrder>7</b:RefOrder>
  </b:Source>
  <b:Source>
    <b:Tag>Rin21</b:Tag>
    <b:SourceType>JournalArticle</b:SourceType>
    <b:Guid>{A6F5E8A0-7E77-46F7-98C2-4C7186627E91}</b:Guid>
    <b:Title>The impact of employment relationships on firm sustainability</b:Title>
    <b:Year>2021</b:Year>
    <b:JournalName>Empoyee Relations</b:JournalName>
    <b:Pages>386-402</b:Pages>
    <b:Volume>44</b:Volume>
    <b:Issue>2</b:Issue>
    <b:Author>
      <b:Author>
        <b:NameList>
          <b:Person>
            <b:Last>Rincon-Roldan</b:Last>
            <b:First>Francisco</b:First>
          </b:Person>
          <b:Person>
            <b:Last>Lopez-Cabrales</b:Last>
            <b:First>Alvaro</b:First>
          </b:Person>
        </b:NameList>
      </b:Author>
    </b:Author>
    <b:RefOrder>8</b:RefOrder>
  </b:Source>
  <b:Source>
    <b:Tag>Avo78</b:Tag>
    <b:SourceType>Case</b:SourceType>
    <b:Guid>{7A8259E0-A431-41B1-A903-5104E736DE54}</b:Guid>
    <b:Title>Avon County Council v Haywood-Hicks </b:Title>
    <b:Year>1978</b:Year>
    <b:Reporter>ICR 646</b:Reporter>
    <b:RefOrder>45</b:RefOrder>
  </b:Source>
  <b:Source>
    <b:Tag>ACA18</b:Tag>
    <b:SourceType>Report</b:SourceType>
    <b:Guid>{1D43FCBF-0276-43A1-89F1-D131903A396A}</b:Guid>
    <b:Title>Settlemetn Agreements</b:Title>
    <b:Year>2018</b:Year>
    <b:Author>
      <b:Author>
        <b:Corporate>ACAS</b:Corporate>
      </b:Author>
    </b:Author>
    <b:Publisher>ACAS </b:Publisher>
    <b:City>London</b:City>
    <b:RefOrder>16</b:RefOrder>
  </b:Source>
  <b:Source>
    <b:Tag>Cit23</b:Tag>
    <b:SourceType>InternetSite</b:SourceType>
    <b:Guid>{AC7BC4D5-F09E-465E-88E7-11CA79FBA88A}</b:Guid>
    <b:Title>Making a settlement agreement with your employer</b:Title>
    <b:Year>2023</b:Year>
    <b:Author>
      <b:Author>
        <b:Corporate>Citizens Advice</b:Corporate>
      </b:Author>
    </b:Author>
    <b:YearAccessed>2024</b:YearAccessed>
    <b:MonthAccessed>April</b:MonthAccessed>
    <b:DayAccessed>15</b:DayAccessed>
    <b:URL>https://www.citizensadvice.org.uk/work/employment-tribunals/employment-tribunals/before-you-go-to-the-tribunal/making-a-settlement-agreement-with-your-employer/</b:URL>
    <b:RefOrder>17</b:RefOrder>
  </b:Source>
  <b:Source>
    <b:Tag>Kat223</b:Tag>
    <b:SourceType>BookSection</b:SourceType>
    <b:Guid>{D73A632B-11DC-4989-8C34-FF4114E15FDF}</b:Guid>
    <b:Title>The Employment Tribunals and the Employment Appeal Tribunal</b:Title>
    <b:Year>2022</b:Year>
    <b:Author>
      <b:Author>
        <b:NameList>
          <b:Person>
            <b:Last>Daniels</b:Last>
            <b:First>Kathy</b:First>
          </b:Person>
        </b:NameList>
      </b:Author>
    </b:Author>
    <b:BookTitle>Introduction to employment law</b:BookTitle>
    <b:Pages>25</b:Pages>
    <b:City>London</b:City>
    <b:Publisher>Kogan Page</b:Publisher>
    <b:RefOrder>18</b:RefOrder>
  </b:Source>
  <b:Source>
    <b:Tag>Wad20</b:Tag>
    <b:SourceType>BookSection</b:SourceType>
    <b:Guid>{33E20252-0ADF-4425-99B7-AAF0AE58B318}</b:Guid>
    <b:Title>Employment Relations in the United Kingdowm</b:Title>
    <b:BookTitle>International &amp; Comparative employment relations</b:BookTitle>
    <b:Year>2020</b:Year>
    <b:City>London</b:City>
    <b:Publisher>Routledge</b:Publisher>
    <b:Author>
      <b:Author>
        <b:NameList>
          <b:Person>
            <b:Last>Waddington</b:Last>
            <b:First>Jeremy</b:First>
          </b:Person>
        </b:NameList>
      </b:Author>
    </b:Author>
    <b:RefOrder>19</b:RefOrder>
  </b:Source>
  <b:Source>
    <b:Tag>The</b:Tag>
    <b:SourceType>Case</b:SourceType>
    <b:Guid>{F44A4554-0D70-44DC-B150-624304476723}</b:Guid>
    <b:Title>The Government Legal Service v Ms T Brookes (2017) UKEAT/0302/16/RN.</b:Title>
    <b:RefOrder>46</b:RefOrder>
  </b:Source>
  <b:Source>
    <b:Tag>ACA241</b:Tag>
    <b:SourceType>InternetSite</b:SourceType>
    <b:Guid>{BCA5E41B-2DFF-48EF-AC82-58B084B65D43}</b:Guid>
    <b:Title>Advertising a job</b:Title>
    <b:Year>2024</b:Year>
    <b:Author>
      <b:Author>
        <b:Corporate>ACAS</b:Corporate>
      </b:Author>
    </b:Author>
    <b:YearAccessed>2024</b:YearAccessed>
    <b:MonthAccessed>April </b:MonthAccessed>
    <b:DayAccessed>15</b:DayAccessed>
    <b:URL>https://www.acas.org.uk/hiring-someone/how-to-advertise-a-job#:~:text=Avoid%20discriminatory%20language&amp;text=Examples%20of%20words%20and%20phrases,job%20requirement%20in%20your%20advert</b:URL>
    <b:RefOrder>20</b:RefOrder>
  </b:Source>
  <b:Source>
    <b:Tag>Cit24</b:Tag>
    <b:SourceType>InternetSite</b:SourceType>
    <b:Guid>{DEF254F2-13F3-40C0-A4DF-1F65517D6FDC}</b:Guid>
    <b:Author>
      <b:Author>
        <b:Corporate>Citizens Advice</b:Corporate>
      </b:Author>
    </b:Author>
    <b:Title>If you're being harassed or bullied at work</b:Title>
    <b:Year>2024</b:Year>
    <b:YearAccessed>2024</b:YearAccessed>
    <b:MonthAccessed>April</b:MonthAccessed>
    <b:DayAccessed>15</b:DayAccessed>
    <b:URL>https://www.citizensadvice.org.uk/work/discrimination-at-work/discrimination-at-work/checking-if-its-discrimination/if-youre-being-harassed-or-bullied-at-work/#:~:text=Check%20what's%20harassment%20under%20discrimination%20law&amp;text=You%20also%20always%20n</b:URL>
    <b:RefOrder>21</b:RefOrder>
  </b:Source>
  <b:Source>
    <b:Tag>MrM</b:Tag>
    <b:SourceType>Case</b:SourceType>
    <b:Guid>{1C24B82C-37FF-4993-90D6-86D80057769E}</b:Guid>
    <b:Title>Mr M Furlong v The Chief Constable of Cheshire Police (2018)</b:Title>
    <b:RefOrder>47</b:RefOrder>
  </b:Source>
  <b:Source>
    <b:Tag>ACA242</b:Tag>
    <b:SourceType>InternetSite</b:SourceType>
    <b:Guid>{18307408-E80B-4E1F-BBBC-7FD5D08B7320}</b:Guid>
    <b:Title>If you've been discriminated against at work</b:Title>
    <b:Year>2024</b:Year>
    <b:Author>
      <b:Author>
        <b:Corporate>ACAS</b:Corporate>
      </b:Author>
    </b:Author>
    <b:YearAccessed>2024</b:YearAccessed>
    <b:MonthAccessed>April</b:MonthAccessed>
    <b:DayAccessed>20</b:DayAccessed>
    <b:URL>https://www.acas.org.uk/if-youve-been-discriminated-against-at-work</b:URL>
    <b:RefOrder>22</b:RefOrder>
  </b:Source>
  <b:Source>
    <b:Tag>Hat</b:Tag>
    <b:SourceType>Case</b:SourceType>
    <b:Guid>{526E9409-284E-4326-B03D-447BB29BCA2C}</b:Guid>
    <b:Title>Hatch v Wadham Stringer Commercials (Ashford) Ltd (1977)</b:Title>
    <b:RefOrder>48</b:RefOrder>
  </b:Source>
  <b:Source>
    <b:Tag>CIP243</b:Tag>
    <b:SourceType>InternetSite</b:SourceType>
    <b:Guid>{0823859C-C5C3-4160-BCB4-59A089715479}</b:Guid>
    <b:Title>Equal pay: UK employment law</b:Title>
    <b:Year>2024</b:Year>
    <b:Author>
      <b:Author>
        <b:Corporate>CIPD</b:Corporate>
      </b:Author>
    </b:Author>
    <b:YearAccessed>2024</b:YearAccessed>
    <b:MonthAccessed>Apri</b:MonthAccessed>
    <b:DayAccessed>24</b:DayAccessed>
    <b:URL>https://www.cipd.org/uk/knowledge/employment-law/equal-pay/</b:URL>
    <b:RefOrder>23</b:RefOrder>
  </b:Source>
  <b:Source>
    <b:Tag>Bir</b:Tag>
    <b:SourceType>Case</b:SourceType>
    <b:Guid>{D26ADE79-2C32-40A4-93F9-4380051DB21F}</b:Guid>
    <b:Title>Birmingham City Council V Adbulla and others (2012)</b:Title>
    <b:RefOrder>49</b:RefOrder>
  </b:Source>
  <b:Source>
    <b:Tag>ACA243</b:Tag>
    <b:SourceType>InternetSite</b:SourceType>
    <b:Guid>{2CBD5213-BE91-40A4-9011-60E94F2F016E}</b:Guid>
    <b:Title>Collective consultation for redundancy</b:Title>
    <b:Year>2024</b:Year>
    <b:Author>
      <b:Author>
        <b:Corporate>ACAS</b:Corporate>
      </b:Author>
    </b:Author>
    <b:YearAccessed>2024</b:YearAccessed>
    <b:MonthAccessed>April</b:MonthAccessed>
    <b:DayAccessed>20</b:DayAccessed>
    <b:URL>https://www.acas.org.uk/collective-consultation-redundancy/if-an-employer-does-not-collectively-consult#:~:text=If%20an%20employer%20does%20not,pay%20for%20each%20affected%20employee.</b:URL>
    <b:RefOrder>26</b:RefOrder>
  </b:Source>
  <b:Source>
    <b:Tag>ACA244</b:Tag>
    <b:SourceType>InternetSite</b:SourceType>
    <b:Guid>{0EE795AA-AC73-494B-83E2-7C79DD8955B9}</b:Guid>
    <b:Author>
      <b:Author>
        <b:Corporate>ACAS</b:Corporate>
      </b:Author>
    </b:Author>
    <b:Title>UPE: informing and consulting</b:Title>
    <b:Year>2024</b:Year>
    <b:YearAccessed>2024</b:YearAccessed>
    <b:MonthAccessed>April</b:MonthAccessed>
    <b:DayAccessed>25</b:DayAccessed>
    <b:URL>https://www.acas.org.uk/inform-and-consult-staff-in-a-tupe-transfer</b:URL>
    <b:RefOrder>27</b:RefOrder>
  </b:Source>
  <b:Source>
    <b:Tag>ILa</b:Tag>
    <b:SourceType>Case</b:SourceType>
    <b:Guid>{815ABF5D-128C-455B-9FD0-77E3E088553C}</b:Guid>
    <b:Title>I Lab Facilities v Metcalfe (2012)</b:Title>
    <b:RefOrder>50</b:RefOrder>
  </b:Source>
  <b:Source>
    <b:Tag>ACA245</b:Tag>
    <b:SourceType>InternetSite</b:SourceType>
    <b:Guid>{C13F90B8-5A57-4BB6-AF0E-BD8F0ED88C1A}</b:Guid>
    <b:Title>National Minimum Wage</b:Title>
    <b:Year>2024</b:Year>
    <b:Author>
      <b:Author>
        <b:Corporate>ACAS</b:Corporate>
      </b:Author>
    </b:Author>
    <b:YearAccessed>2024</b:YearAccessed>
    <b:MonthAccessed>May</b:MonthAccessed>
    <b:DayAccessed>1</b:DayAccessed>
    <b:URL>https://www.acas.org.uk/national-minimum-wage-entitlement</b:URL>
    <b:RefOrder>28</b:RefOrder>
  </b:Source>
  <b:Source>
    <b:Tag>Mar17</b:Tag>
    <b:SourceType>InternetSite</b:SourceType>
    <b:Guid>{F1E532BC-BB80-4BD1-B9CD-E3C1CA147A53}</b:Guid>
    <b:Author>
      <b:Author>
        <b:NameList>
          <b:Person>
            <b:Last>Calnan</b:Last>
            <b:First>Marianne</b:First>
          </b:Person>
        </b:NameList>
      </b:Author>
    </b:Author>
    <b:Title>Ageism the most common form of discrimination, say employees</b:Title>
    <b:Year>2017</b:Year>
    <b:YearAccessed>2024</b:YearAccessed>
    <b:MonthAccessed>April</b:MonthAccessed>
    <b:DayAccessed>14</b:DayAccessed>
    <b:URL>https://www.peoplemanagement.co.uk/article/1744888/ageism-the-most-common-form-of-discrimination-say-employees</b:URL>
    <b:RefOrder>29</b:RefOrder>
  </b:Source>
  <b:Source>
    <b:Tag>GOV12</b:Tag>
    <b:SourceType>InternetSite</b:SourceType>
    <b:Guid>{24D70904-2336-4C28-B7BB-597310AA803A}</b:Guid>
    <b:Author>
      <b:Author>
        <b:Corporate>GOV.UK</b:Corporate>
      </b:Author>
    </b:Author>
    <b:Title>Ageism no longer acceptable under new legislation</b:Title>
    <b:Year>2012</b:Year>
    <b:YearAccessed>2024</b:YearAccessed>
    <b:MonthAccessed>April</b:MonthAccessed>
    <b:DayAccessed>2</b:DayAccessed>
    <b:URL>https://www.gov.uk/government/news/ageism-no-longer-acceptable-under-new-legislation</b:URL>
    <b:RefOrder>30</b:RefOrder>
  </b:Source>
  <b:Source>
    <b:Tag>GOV21</b:Tag>
    <b:SourceType>InternetSite</b:SourceType>
    <b:Guid>{981580C2-85BE-413C-B259-5CDFA75C4CDB}</b:Guid>
    <b:Author>
      <b:Author>
        <b:Corporate>GOV.UK</b:Corporate>
      </b:Author>
    </b:Author>
    <b:Title>Employers ‘named and shamed’ for paying less than minimum wage</b:Title>
    <b:Year>2021</b:Year>
    <b:YearAccessed>2024</b:YearAccessed>
    <b:MonthAccessed>April</b:MonthAccessed>
    <b:DayAccessed>4</b:DayAccessed>
    <b:URL>https://www.gov.uk/government/news/employers-named-and-shamed-for-paying-less-than-minimum-wage</b:URL>
    <b:RefOrder>33</b:RefOrder>
  </b:Source>
  <b:Source>
    <b:Tag>Isa24</b:Tag>
    <b:SourceType>InternetSite</b:SourceType>
    <b:Guid>{71F85548-34FD-456F-BC0F-C6C5C0DDCD13}</b:Guid>
    <b:Author>
      <b:Author>
        <b:NameList>
          <b:Person>
            <b:Last>Jackson</b:Last>
            <b:First>Isabel</b:First>
          </b:Person>
        </b:NameList>
      </b:Author>
    </b:Author>
    <b:Title>‘Chronic’ civil service pay issues hindering recruitment and morale, report finds – what can HR learn?</b:Title>
    <b:Year>2024</b:Year>
    <b:YearAccessed>2024</b:YearAccessed>
    <b:MonthAccessed>April</b:MonthAccessed>
    <b:DayAccessed>7</b:DayAccessed>
    <b:URL>https://www.peoplemanagement.co.uk/article/1866429/chronic-civil-service-pay-issues-hindering-recruitment-morale-report-finds-%E2%80%93-hr-learn</b:URL>
    <b:RefOrder>32</b:RefOrder>
  </b:Source>
  <b:Source>
    <b:Tag>GOV24</b:Tag>
    <b:SourceType>InternetSite</b:SourceType>
    <b:Guid>{28DE1123-A78A-4F08-9665-32B01C0CBB09}</b:Guid>
    <b:Author>
      <b:Author>
        <b:Corporate>GOV.UK</b:Corporate>
      </b:Author>
    </b:Author>
    <b:Title>Maternity pay and leave</b:Title>
    <b:Year>2024</b:Year>
    <b:YearAccessed>2024</b:YearAccessed>
    <b:MonthAccessed>April</b:MonthAccessed>
    <b:DayAccessed>17</b:DayAccessed>
    <b:URL>https://www.gov.uk/maternity-pay-leave</b:URL>
    <b:RefOrder>39</b:RefOrder>
  </b:Source>
  <b:Source>
    <b:Tag>Atk</b:Tag>
    <b:SourceType>Case</b:SourceType>
    <b:Guid>{E258879E-A418-402B-8370-9F71910F0239}</b:Guid>
    <b:Title>Atkins v Coyle Personnel (2008)</b:Title>
    <b:RefOrder>51</b:RefOrder>
  </b:Source>
  <b:Source>
    <b:Tag>GOV241</b:Tag>
    <b:SourceType>InternetSite</b:SourceType>
    <b:Guid>{B59AEF35-A054-4B29-B1A9-BB110F03EB2C}</b:Guid>
    <b:Title>Paternity pay and leave</b:Title>
    <b:Year>2024</b:Year>
    <b:Author>
      <b:Author>
        <b:Corporate>GOV.UK</b:Corporate>
      </b:Author>
    </b:Author>
    <b:YearAccessed>2024</b:YearAccessed>
    <b:MonthAccessed>April</b:MonthAccessed>
    <b:DayAccessed>14</b:DayAccessed>
    <b:URL>https://www.gov.uk/paternity-pay-leave</b:URL>
    <b:RefOrder>40</b:RefOrder>
  </b:Source>
  <b:Source>
    <b:Tag>CIP244</b:Tag>
    <b:SourceType>InternetSite</b:SourceType>
    <b:Guid>{E185595F-1608-4BD0-B762-9D73233BA6E7}</b:Guid>
    <b:Author>
      <b:Author>
        <b:Corporate>CIPD</b:Corporate>
      </b:Author>
    </b:Author>
    <b:Title>New employment legislation to come into effect on 6 April 2024</b:Title>
    <b:Year>2024</b:Year>
    <b:YearAccessed>2024</b:YearAccessed>
    <b:MonthAccessed>April</b:MonthAccessed>
    <b:DayAccessed>3</b:DayAccessed>
    <b:URL>https://www.cipd.org/uk/views-and-insights/thought-leadership/cipd-voice/new-employment-legislation/#:~:text=Under%20the%20new%20regulations%2C%20employees,hours%2C%20and%20varied%20working%20locations.</b:URL>
    <b:RefOrder>42</b:RefOrder>
  </b:Source>
  <b:Source>
    <b:Tag>CIP245</b:Tag>
    <b:SourceType>InternetSite</b:SourceType>
    <b:Guid>{EBE05787-F79C-4252-A944-5B9A1B9082F4}</b:Guid>
    <b:Author>
      <b:Author>
        <b:Corporate>CIPD</b:Corporate>
      </b:Author>
    </b:Author>
    <b:Title>Flexible working practices</b:Title>
    <b:Year>2024</b:Year>
    <b:YearAccessed>2024</b:YearAccessed>
    <b:MonthAccessed>April</b:MonthAccessed>
    <b:DayAccessed>20</b:DayAccessed>
    <b:URL>https://www.cipd.org/uk/knowledge/factsheets/flexible-working-factsheet/#title6</b:URL>
    <b:RefOrder>43</b:RefOrder>
  </b:Source>
  <b:Source>
    <b:Tag>ACA246</b:Tag>
    <b:SourceType>InternetSite</b:SourceType>
    <b:Guid>{342B47FC-6583-4B39-BD67-2E2A2F6F186D}</b:Guid>
    <b:Author>
      <b:Author>
        <b:Corporate>ACAS</b:Corporate>
      </b:Author>
    </b:Author>
    <b:Title>Code of Practice on requests for flexible working</b:Title>
    <b:Year>2024</b:Year>
    <b:YearAccessed>2024</b:YearAccessed>
    <b:MonthAccessed>April</b:MonthAccessed>
    <b:DayAccessed>25</b:DayAccessed>
    <b:URL>https://www.acas.org.uk/acas-code-of-practice-on-flexible-working-requests/html</b:URL>
    <b:RefOrder>44</b:RefOrder>
  </b:Source>
  <b:Source>
    <b:Tag>Hod</b:Tag>
    <b:SourceType>Case</b:SourceType>
    <b:Guid>{AA77B777-3E29-4614-AAF4-C945102D5094}</b:Guid>
    <b:Title>Hodgson v MDA Ltd (2020) </b:Title>
    <b:RefOrder>52</b:RefOrder>
  </b:Source>
  <b:Source>
    <b:Tag>Dob</b:Tag>
    <b:SourceType>Case</b:SourceType>
    <b:Guid>{48090424-D862-41A4-B12C-670D8F74D008}</b:Guid>
    <b:Title>Dobson v North Cumbria Integrated Care NHS Foundation Trust 2021</b:Title>
    <b:RefOrder>53</b:RefOrder>
  </b:Source>
  <b:Source>
    <b:Tag>Pay24</b:Tag>
    <b:SourceType>InternetSite</b:SourceType>
    <b:Guid>{71C08845-A0B2-4A2A-BFA7-7702F7C004F6}</b:Guid>
    <b:Title>Pay and hours for young workers and apprentices</b:Title>
    <b:Year>2024</b:Year>
    <b:YearAccessed>2024</b:YearAccessed>
    <b:MonthAccessed>April</b:MonthAccessed>
    <b:DayAccessed>15</b:DayAccessed>
    <b:URL>https://www.acas.org.uk/young-workers-apprentices-and-work-experience</b:URL>
    <b:Author>
      <b:Author>
        <b:Corporate>ACAS</b:Corporate>
      </b:Author>
    </b:Author>
    <b:RefOrder>34</b:RefOrder>
  </b:Source>
  <b:Source>
    <b:Tag>Lei</b:Tag>
    <b:SourceType>Case</b:SourceType>
    <b:Guid>{150A47BA-B90A-447F-A52A-641FFF270D12}</b:Guid>
    <b:Title>Leisure Employment Services v HMRC (2007)</b:Title>
    <b:RefOrder>54</b:RefOrder>
  </b:Source>
  <b:Source>
    <b:Tag>ACA236</b:Tag>
    <b:SourceType>InternetSite</b:SourceType>
    <b:Guid>{8C3245B9-6D26-4F6D-B19D-24799DD17B59}</b:Guid>
    <b:Title>Collectice consultation for redundancy</b:Title>
    <b:Year>2023</b:Year>
    <b:Author>
      <b:Author>
        <b:Corporate>ACAS</b:Corporate>
      </b:Author>
    </b:Author>
    <b:YearAccessed>2024</b:YearAccessed>
    <b:MonthAccessed>6</b:MonthAccessed>
    <b:DayAccessed>7</b:DayAccessed>
    <b:URL>https://www.acas.org.uk/collective-consultation-redundancy/if-an-employer-does-not-collectively-consult</b:URL>
    <b:RefOrder>24</b:RefOrder>
  </b:Source>
  <b:Source>
    <b:Tag>ACA247</b:Tag>
    <b:SourceType>InternetSite</b:SourceType>
    <b:Guid>{AE4373D3-3F22-4AA2-BD38-EE710EFE346A}</b:Guid>
    <b:Author>
      <b:Author>
        <b:Corporate>ACAS</b:Corporate>
      </b:Author>
    </b:Author>
    <b:Title>Your rights during redundancy</b:Title>
    <b:Year>2024</b:Year>
    <b:YearAccessed>2024</b:YearAccessed>
    <b:MonthAccessed>6</b:MonthAccessed>
    <b:DayAccessed>7</b:DayAccessed>
    <b:URL>https://www.acas.org.uk/your-rights-during-redundancy/taking-another-job-with-your-employer#:~:text=This%20is%20called%20'suitable%20alternative,to%20apply%20for%20the%20role.</b:URL>
    <b:RefOrder>25</b:RefOrder>
  </b:Source>
  <b:Source>
    <b:Tag>ACA237</b:Tag>
    <b:SourceType>InternetSite</b:SourceType>
    <b:Guid>{B4045B99-4306-4D10-9007-1033DDF45FF1}</b:Guid>
    <b:Author>
      <b:Author>
        <b:Corporate>ACAS</b:Corporate>
      </b:Author>
    </b:Author>
    <b:Title>If your wages are not paid</b:Title>
    <b:Year>2023</b:Year>
    <b:YearAccessed>2024</b:YearAccessed>
    <b:MonthAccessed>6</b:MonthAccessed>
    <b:DayAccessed>7</b:DayAccessed>
    <b:URL>https://www.acas.org.uk/if-your-wages-are-not-paid#:~:text=There%20are%20strict%20time%20limits,the%20last%20time%20it%20happened.</b:URL>
    <b:RefOrder>31</b:RefOrder>
  </b:Source>
  <b:Source>
    <b:Tag>ACA222</b:Tag>
    <b:SourceType>InternetSite</b:SourceType>
    <b:Guid>{528F2175-6492-47BF-8856-1913C8EA34DC}</b:Guid>
    <b:Author>
      <b:Author>
        <b:Corporate>ACAS</b:Corporate>
      </b:Author>
    </b:Author>
    <b:Title>Dismissals</b:Title>
    <b:Year>2022</b:Year>
    <b:YearAccessed>2024</b:YearAccessed>
    <b:MonthAccessed>6</b:MonthAccessed>
    <b:DayAccessed>7</b:DayAccessed>
    <b:URL>https://www.acas.org.uk/dismissals/unfair-dismissal</b:URL>
    <b:RefOrder>37</b:RefOrder>
  </b:Source>
  <b:Source>
    <b:Tag>ACA151</b:Tag>
    <b:SourceType>InternetSite</b:SourceType>
    <b:Guid>{E037B2E5-97B5-4F30-A682-73D6A30F7FC5}</b:Guid>
    <b:Author>
      <b:Author>
        <b:Corporate>ACAS</b:Corporate>
      </b:Author>
    </b:Author>
    <b:Title>Acas Code of Practice on disciplinary and grievance procedures</b:Title>
    <b:Year>2015</b:Year>
    <b:YearAccessed>2024</b:YearAccessed>
    <b:MonthAccessed>6</b:MonthAccessed>
    <b:DayAccessed>7</b:DayAccessed>
    <b:URL>https://www.acas.org.uk/acas-code-of-practice-on-disciplinary-and-grievance-procedures</b:URL>
    <b:RefOrder>36</b:RefOrder>
  </b:Source>
</b:Sources>
</file>

<file path=customXml/itemProps1.xml><?xml version="1.0" encoding="utf-8"?>
<ds:datastoreItem xmlns:ds="http://schemas.openxmlformats.org/officeDocument/2006/customXml" ds:itemID="{3094C66D-DB2F-45D5-BB66-41B297B7D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8192</TotalTime>
  <Pages>12</Pages>
  <Words>5575</Words>
  <Characters>31784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 Green</dc:creator>
  <cp:keywords/>
  <dc:description/>
  <cp:lastModifiedBy>Hywel Green</cp:lastModifiedBy>
  <cp:revision>628</cp:revision>
  <dcterms:created xsi:type="dcterms:W3CDTF">2024-03-18T09:14:00Z</dcterms:created>
  <dcterms:modified xsi:type="dcterms:W3CDTF">2024-06-10T08:55:00Z</dcterms:modified>
</cp:coreProperties>
</file>