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C360C" w:rsidRDefault="004C360C" w:rsidP="004C360C">
      <w:pPr>
        <w:rPr>
          <w:rFonts w:cs="Arial"/>
          <w:color w:val="58595B"/>
          <w:sz w:val="36"/>
          <w:szCs w:val="36"/>
        </w:rPr>
      </w:pPr>
      <w:r>
        <w:rPr>
          <w:rFonts w:cs="Arial"/>
          <w:color w:val="58595B"/>
          <w:sz w:val="36"/>
          <w:szCs w:val="36"/>
        </w:rPr>
        <w:t>Qualification: CIPD Diploma in Applied Human Resources</w:t>
      </w:r>
    </w:p>
    <w:p w:rsidR="004C360C" w:rsidRDefault="004C360C" w:rsidP="004C360C">
      <w:pPr>
        <w:rPr>
          <w:rFonts w:cs="Arial"/>
          <w:color w:val="58595B"/>
          <w:sz w:val="36"/>
          <w:szCs w:val="36"/>
        </w:rPr>
      </w:pPr>
    </w:p>
    <w:p w:rsidR="004C360C" w:rsidRDefault="004C360C" w:rsidP="004C360C">
      <w:pPr>
        <w:rPr>
          <w:rFonts w:cs="Arial"/>
          <w:color w:val="58595B"/>
          <w:sz w:val="36"/>
          <w:szCs w:val="36"/>
        </w:rPr>
      </w:pPr>
      <w:r>
        <w:rPr>
          <w:rFonts w:cs="Arial"/>
          <w:color w:val="58595B"/>
          <w:sz w:val="36"/>
          <w:szCs w:val="36"/>
        </w:rPr>
        <w:t xml:space="preserve">Module Name: </w:t>
      </w:r>
      <w:r w:rsidR="00DD413A">
        <w:rPr>
          <w:rFonts w:cs="Arial"/>
          <w:color w:val="58595B"/>
          <w:sz w:val="36"/>
          <w:szCs w:val="36"/>
        </w:rPr>
        <w:t>Understanding the Business Context of HR</w:t>
      </w:r>
    </w:p>
    <w:p w:rsidR="004C360C" w:rsidRDefault="004C360C" w:rsidP="004C360C">
      <w:pPr>
        <w:rPr>
          <w:rFonts w:cs="Arial"/>
          <w:color w:val="58595B"/>
          <w:sz w:val="36"/>
          <w:szCs w:val="36"/>
        </w:rPr>
      </w:pPr>
    </w:p>
    <w:p w:rsidR="004C360C" w:rsidRDefault="004C360C" w:rsidP="004C360C">
      <w:pPr>
        <w:rPr>
          <w:rFonts w:cs="Arial"/>
          <w:color w:val="58595B"/>
          <w:sz w:val="36"/>
          <w:szCs w:val="36"/>
        </w:rPr>
      </w:pPr>
    </w:p>
    <w:p w:rsidR="004C360C" w:rsidRDefault="004C360C" w:rsidP="004C360C">
      <w:pPr>
        <w:rPr>
          <w:rFonts w:cs="Arial"/>
          <w:color w:val="58595B"/>
          <w:sz w:val="36"/>
          <w:szCs w:val="36"/>
        </w:rPr>
      </w:pPr>
      <w:r>
        <w:rPr>
          <w:rFonts w:cs="Arial"/>
          <w:color w:val="58595B"/>
          <w:sz w:val="36"/>
          <w:szCs w:val="36"/>
        </w:rPr>
        <w:t xml:space="preserve">Word Count: </w:t>
      </w:r>
      <w:r w:rsidR="001A644F">
        <w:rPr>
          <w:rFonts w:cs="Arial"/>
          <w:color w:val="58595B"/>
          <w:sz w:val="36"/>
          <w:szCs w:val="36"/>
        </w:rPr>
        <w:t>2488</w:t>
      </w:r>
    </w:p>
    <w:p w:rsidR="004C360C" w:rsidRDefault="004C360C" w:rsidP="004C360C">
      <w:pPr>
        <w:rPr>
          <w:rFonts w:cs="Arial"/>
          <w:color w:val="58595B"/>
          <w:sz w:val="36"/>
          <w:szCs w:val="36"/>
        </w:rPr>
      </w:pPr>
    </w:p>
    <w:p w:rsidR="004C360C" w:rsidRDefault="004C360C" w:rsidP="004C360C">
      <w:pPr>
        <w:rPr>
          <w:rFonts w:cs="Arial"/>
          <w:color w:val="58595B"/>
          <w:sz w:val="36"/>
          <w:szCs w:val="36"/>
        </w:rPr>
      </w:pPr>
    </w:p>
    <w:p w:rsidR="004C360C" w:rsidRDefault="004C360C" w:rsidP="004C360C">
      <w:pPr>
        <w:rPr>
          <w:rFonts w:cs="Arial"/>
          <w:color w:val="58595B"/>
          <w:sz w:val="36"/>
          <w:szCs w:val="36"/>
        </w:rPr>
      </w:pPr>
    </w:p>
    <w:p w:rsidR="004C360C" w:rsidRDefault="004C360C" w:rsidP="004C360C">
      <w:pPr>
        <w:rPr>
          <w:rFonts w:cs="Arial"/>
          <w:color w:val="58595B"/>
          <w:sz w:val="36"/>
          <w:szCs w:val="36"/>
        </w:rPr>
      </w:pPr>
    </w:p>
    <w:p w:rsidR="004C360C" w:rsidRDefault="004C360C" w:rsidP="004C360C">
      <w:pPr>
        <w:rPr>
          <w:rFonts w:cs="Arial"/>
          <w:color w:val="58595B"/>
          <w:sz w:val="36"/>
          <w:szCs w:val="36"/>
        </w:rPr>
      </w:pPr>
    </w:p>
    <w:p w:rsidR="004C360C" w:rsidRDefault="004C360C" w:rsidP="004C360C">
      <w:pPr>
        <w:rPr>
          <w:rFonts w:cs="Arial"/>
          <w:color w:val="58595B"/>
          <w:sz w:val="36"/>
          <w:szCs w:val="36"/>
        </w:rPr>
      </w:pPr>
    </w:p>
    <w:p w:rsidR="004C360C" w:rsidRDefault="004C360C" w:rsidP="004C360C">
      <w:pPr>
        <w:rPr>
          <w:rFonts w:cs="Arial"/>
          <w:color w:val="58595B"/>
          <w:sz w:val="36"/>
          <w:szCs w:val="36"/>
        </w:rPr>
      </w:pPr>
    </w:p>
    <w:p w:rsidR="004C360C" w:rsidRDefault="004C360C" w:rsidP="004C360C">
      <w:pPr>
        <w:tabs>
          <w:tab w:val="left" w:pos="720"/>
          <w:tab w:val="left" w:pos="1440"/>
          <w:tab w:val="left" w:pos="2160"/>
          <w:tab w:val="left" w:pos="2880"/>
          <w:tab w:val="left" w:pos="3600"/>
        </w:tabs>
        <w:rPr>
          <w:rFonts w:cs="Arial"/>
          <w:color w:val="58595B"/>
          <w:sz w:val="36"/>
          <w:szCs w:val="36"/>
        </w:rPr>
      </w:pPr>
      <w:r>
        <w:rPr>
          <w:rFonts w:cs="Arial"/>
          <w:color w:val="58595B"/>
          <w:sz w:val="36"/>
          <w:szCs w:val="36"/>
        </w:rPr>
        <w:t>Student Name:</w:t>
      </w:r>
      <w:r>
        <w:rPr>
          <w:rFonts w:cs="Arial"/>
          <w:color w:val="58595B"/>
          <w:sz w:val="36"/>
          <w:szCs w:val="36"/>
        </w:rPr>
        <w:tab/>
        <w:t>Sharon Abbott</w:t>
      </w:r>
      <w:r>
        <w:rPr>
          <w:rFonts w:cs="Arial"/>
          <w:color w:val="58595B"/>
          <w:sz w:val="36"/>
          <w:szCs w:val="36"/>
        </w:rPr>
        <w:tab/>
      </w:r>
      <w:r>
        <w:rPr>
          <w:rFonts w:cs="Arial"/>
          <w:color w:val="58595B"/>
          <w:sz w:val="36"/>
          <w:szCs w:val="36"/>
        </w:rPr>
        <w:tab/>
      </w:r>
      <w:r>
        <w:rPr>
          <w:rFonts w:cs="Arial"/>
          <w:color w:val="58595B"/>
          <w:sz w:val="36"/>
          <w:szCs w:val="36"/>
        </w:rPr>
        <w:tab/>
      </w:r>
    </w:p>
    <w:p w:rsidR="004C360C" w:rsidRDefault="004C360C" w:rsidP="004C360C">
      <w:pPr>
        <w:rPr>
          <w:rFonts w:cs="Arial"/>
          <w:color w:val="58595B"/>
          <w:sz w:val="36"/>
          <w:szCs w:val="36"/>
        </w:rPr>
      </w:pPr>
      <w:r>
        <w:rPr>
          <w:rFonts w:cs="Arial"/>
          <w:color w:val="58595B"/>
          <w:sz w:val="36"/>
          <w:szCs w:val="36"/>
        </w:rPr>
        <w:t>Student Number:</w:t>
      </w:r>
      <w:r>
        <w:rPr>
          <w:rFonts w:cs="Arial"/>
          <w:color w:val="58595B"/>
          <w:sz w:val="36"/>
          <w:szCs w:val="36"/>
        </w:rPr>
        <w:tab/>
        <w:t>2005868</w:t>
      </w:r>
      <w:r>
        <w:rPr>
          <w:rFonts w:cs="Arial"/>
          <w:color w:val="58595B"/>
          <w:sz w:val="36"/>
          <w:szCs w:val="36"/>
        </w:rPr>
        <w:tab/>
      </w:r>
      <w:r>
        <w:rPr>
          <w:rFonts w:cs="Arial"/>
          <w:color w:val="58595B"/>
          <w:sz w:val="36"/>
          <w:szCs w:val="36"/>
        </w:rPr>
        <w:tab/>
      </w:r>
      <w:r>
        <w:rPr>
          <w:rFonts w:cs="Arial"/>
          <w:color w:val="58595B"/>
          <w:sz w:val="36"/>
          <w:szCs w:val="36"/>
        </w:rPr>
        <w:tab/>
      </w:r>
    </w:p>
    <w:p w:rsidR="004C360C" w:rsidRDefault="004C360C" w:rsidP="004C360C">
      <w:pPr>
        <w:rPr>
          <w:rFonts w:cs="Arial"/>
          <w:color w:val="58595B"/>
          <w:sz w:val="36"/>
          <w:szCs w:val="36"/>
        </w:rPr>
      </w:pPr>
      <w:r>
        <w:rPr>
          <w:rFonts w:cs="Arial"/>
          <w:color w:val="58595B"/>
          <w:sz w:val="36"/>
          <w:szCs w:val="36"/>
        </w:rPr>
        <w:t>CIPD Membership Number:</w:t>
      </w:r>
      <w:r w:rsidR="00DD413A">
        <w:rPr>
          <w:rFonts w:cs="Arial"/>
          <w:color w:val="58595B"/>
          <w:sz w:val="36"/>
          <w:szCs w:val="36"/>
        </w:rPr>
        <w:tab/>
        <w:t>56646084</w:t>
      </w:r>
      <w:r>
        <w:rPr>
          <w:rFonts w:cs="Arial"/>
          <w:color w:val="58595B"/>
          <w:sz w:val="36"/>
          <w:szCs w:val="36"/>
        </w:rPr>
        <w:tab/>
      </w:r>
    </w:p>
    <w:p w:rsidR="004C360C" w:rsidRDefault="004C360C" w:rsidP="004C360C">
      <w:pPr>
        <w:rPr>
          <w:rFonts w:cs="Arial"/>
          <w:color w:val="58595B"/>
          <w:sz w:val="36"/>
          <w:szCs w:val="36"/>
        </w:rPr>
      </w:pPr>
    </w:p>
    <w:p w:rsidR="004C360C" w:rsidRDefault="004C360C" w:rsidP="004C360C">
      <w:pPr>
        <w:rPr>
          <w:rFonts w:cs="Arial"/>
          <w:color w:val="58595B"/>
          <w:sz w:val="36"/>
          <w:szCs w:val="36"/>
        </w:rPr>
      </w:pPr>
    </w:p>
    <w:p w:rsidR="004C360C" w:rsidRDefault="004C360C" w:rsidP="004C360C">
      <w:pPr>
        <w:rPr>
          <w:rFonts w:cs="Arial"/>
          <w:color w:val="58595B"/>
          <w:sz w:val="36"/>
          <w:szCs w:val="36"/>
        </w:rPr>
      </w:pPr>
    </w:p>
    <w:p w:rsidR="004C360C" w:rsidRDefault="004C360C" w:rsidP="004C360C">
      <w:pPr>
        <w:rPr>
          <w:rFonts w:cs="Arial"/>
          <w:color w:val="58595B"/>
          <w:sz w:val="36"/>
          <w:szCs w:val="36"/>
        </w:rPr>
      </w:pPr>
      <w:r>
        <w:rPr>
          <w:rFonts w:cs="Arial"/>
          <w:color w:val="58595B"/>
          <w:sz w:val="36"/>
          <w:szCs w:val="36"/>
        </w:rPr>
        <w:lastRenderedPageBreak/>
        <w:t>By signing below, I confirm that the work/evidence presented is my own, unaided work. I understand the regulations pertaining to candidate malpractice and the action that may be taken as a result.</w:t>
      </w:r>
    </w:p>
    <w:p w:rsidR="004C360C" w:rsidRDefault="004C360C" w:rsidP="004C360C">
      <w:pPr>
        <w:rPr>
          <w:rFonts w:cs="Arial"/>
          <w:color w:val="58595B"/>
          <w:sz w:val="36"/>
          <w:szCs w:val="36"/>
        </w:rPr>
      </w:pPr>
    </w:p>
    <w:p w:rsidR="004C360C" w:rsidRDefault="004C360C" w:rsidP="004C360C">
      <w:pPr>
        <w:rPr>
          <w:rFonts w:cs="Arial"/>
          <w:color w:val="58595B"/>
          <w:sz w:val="36"/>
          <w:szCs w:val="36"/>
        </w:rPr>
      </w:pPr>
      <w:r>
        <w:rPr>
          <w:rFonts w:cs="Arial"/>
          <w:color w:val="58595B"/>
          <w:sz w:val="36"/>
          <w:szCs w:val="36"/>
        </w:rPr>
        <w:t xml:space="preserve">Signed: </w:t>
      </w:r>
      <w:r>
        <w:rPr>
          <w:rFonts w:cs="Arial"/>
          <w:color w:val="58595B"/>
          <w:sz w:val="36"/>
          <w:szCs w:val="36"/>
        </w:rPr>
        <w:tab/>
      </w:r>
    </w:p>
    <w:p w:rsidR="004C360C" w:rsidRDefault="004C360C" w:rsidP="004C360C">
      <w:pPr>
        <w:rPr>
          <w:rFonts w:cs="Arial"/>
          <w:color w:val="58595B"/>
          <w:sz w:val="36"/>
          <w:szCs w:val="36"/>
        </w:rPr>
      </w:pPr>
      <w:r w:rsidRPr="00D97C4E">
        <w:rPr>
          <w:rFonts w:cs="Arial"/>
          <w:noProof/>
          <w:color w:val="58595B"/>
          <w:sz w:val="36"/>
          <w:szCs w:val="36"/>
          <w:lang w:val="en-GB" w:eastAsia="en-GB"/>
        </w:rPr>
        <w:drawing>
          <wp:inline distT="0" distB="0" distL="0" distR="0" wp14:anchorId="604D01EE" wp14:editId="054FF5FC">
            <wp:extent cx="1828800" cy="628650"/>
            <wp:effectExtent l="0" t="0" r="0" b="0"/>
            <wp:docPr id="1" name="Picture 1" descr="C:\Users\abbottsh\AppData\Local\Microsoft\Windows\INetCache\Content.Outlook\U57OMBC7\SnipImage (00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bottsh\AppData\Local\Microsoft\Windows\INetCache\Content.Outlook\U57OMBC7\SnipImage (00D).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28800" cy="628650"/>
                    </a:xfrm>
                    <a:prstGeom prst="rect">
                      <a:avLst/>
                    </a:prstGeom>
                    <a:noFill/>
                    <a:ln>
                      <a:noFill/>
                    </a:ln>
                  </pic:spPr>
                </pic:pic>
              </a:graphicData>
            </a:graphic>
          </wp:inline>
        </w:drawing>
      </w:r>
    </w:p>
    <w:p w:rsidR="004C360C" w:rsidRDefault="004C360C" w:rsidP="004C360C">
      <w:pPr>
        <w:rPr>
          <w:rFonts w:cs="Arial"/>
          <w:color w:val="58595B"/>
          <w:sz w:val="36"/>
          <w:szCs w:val="36"/>
        </w:rPr>
      </w:pPr>
      <w:r>
        <w:rPr>
          <w:rFonts w:cs="Arial"/>
          <w:color w:val="58595B"/>
          <w:sz w:val="36"/>
          <w:szCs w:val="36"/>
        </w:rPr>
        <w:tab/>
      </w:r>
    </w:p>
    <w:p w:rsidR="004C360C" w:rsidRDefault="004C360C" w:rsidP="004C360C">
      <w:pPr>
        <w:rPr>
          <w:rFonts w:cs="Arial"/>
          <w:color w:val="58595B"/>
          <w:sz w:val="36"/>
          <w:szCs w:val="36"/>
        </w:rPr>
      </w:pPr>
      <w:r>
        <w:rPr>
          <w:rFonts w:cs="Arial"/>
          <w:color w:val="58595B"/>
          <w:sz w:val="36"/>
          <w:szCs w:val="36"/>
        </w:rPr>
        <w:t xml:space="preserve">Date:  </w:t>
      </w:r>
      <w:r w:rsidR="00DD413A">
        <w:rPr>
          <w:rFonts w:cs="Arial"/>
          <w:color w:val="58595B"/>
          <w:sz w:val="36"/>
          <w:szCs w:val="36"/>
        </w:rPr>
        <w:t>21/02/2021</w:t>
      </w:r>
    </w:p>
    <w:p w:rsidR="004C360C" w:rsidRDefault="004C360C" w:rsidP="004C360C"/>
    <w:p w:rsidR="004A38BE" w:rsidRDefault="004A38BE"/>
    <w:p w:rsidR="004C360C" w:rsidRDefault="004C360C"/>
    <w:p w:rsidR="0019377D" w:rsidRDefault="0019377D">
      <w:pPr>
        <w:suppressAutoHyphens w:val="0"/>
        <w:spacing w:after="160" w:line="259" w:lineRule="auto"/>
      </w:pPr>
      <w:r>
        <w:br w:type="page"/>
      </w:r>
    </w:p>
    <w:p w:rsidR="004C360C" w:rsidRDefault="004C360C"/>
    <w:p w:rsidR="004C360C" w:rsidRDefault="004C360C"/>
    <w:p w:rsidR="004C360C" w:rsidRPr="004C360C" w:rsidRDefault="004C360C" w:rsidP="004C360C">
      <w:pPr>
        <w:rPr>
          <w:rFonts w:cs="Arial"/>
          <w:color w:val="000000" w:themeColor="text1"/>
          <w:sz w:val="24"/>
          <w:szCs w:val="24"/>
        </w:rPr>
      </w:pPr>
      <w:r w:rsidRPr="004C360C">
        <w:rPr>
          <w:rFonts w:cs="Arial"/>
          <w:color w:val="000000" w:themeColor="text1"/>
          <w:sz w:val="24"/>
          <w:szCs w:val="24"/>
        </w:rPr>
        <w:t xml:space="preserve">The two </w:t>
      </w:r>
      <w:proofErr w:type="spellStart"/>
      <w:r w:rsidRPr="004C360C">
        <w:rPr>
          <w:rFonts w:cs="Arial"/>
          <w:color w:val="000000" w:themeColor="text1"/>
          <w:sz w:val="24"/>
          <w:szCs w:val="24"/>
        </w:rPr>
        <w:t>organisations</w:t>
      </w:r>
      <w:proofErr w:type="spellEnd"/>
      <w:r w:rsidRPr="004C360C">
        <w:rPr>
          <w:rFonts w:cs="Arial"/>
          <w:color w:val="000000" w:themeColor="text1"/>
          <w:sz w:val="24"/>
          <w:szCs w:val="24"/>
        </w:rPr>
        <w:t xml:space="preserve"> being compared are Pembrokeshire County Council and </w:t>
      </w:r>
      <w:proofErr w:type="spellStart"/>
      <w:r w:rsidRPr="004C360C">
        <w:rPr>
          <w:rFonts w:cs="Arial"/>
          <w:color w:val="000000" w:themeColor="text1"/>
          <w:sz w:val="24"/>
          <w:szCs w:val="24"/>
        </w:rPr>
        <w:t>Morrisons</w:t>
      </w:r>
      <w:proofErr w:type="spellEnd"/>
      <w:r w:rsidRPr="004C360C">
        <w:rPr>
          <w:rFonts w:cs="Arial"/>
          <w:color w:val="000000" w:themeColor="text1"/>
          <w:sz w:val="24"/>
          <w:szCs w:val="24"/>
        </w:rPr>
        <w:t xml:space="preserve"> PLC.  The two </w:t>
      </w:r>
      <w:proofErr w:type="spellStart"/>
      <w:r w:rsidRPr="004C360C">
        <w:rPr>
          <w:rFonts w:cs="Arial"/>
          <w:color w:val="000000" w:themeColor="text1"/>
          <w:sz w:val="24"/>
          <w:szCs w:val="24"/>
        </w:rPr>
        <w:t>organisations</w:t>
      </w:r>
      <w:proofErr w:type="spellEnd"/>
      <w:r w:rsidRPr="004C360C">
        <w:rPr>
          <w:rFonts w:cs="Arial"/>
          <w:color w:val="000000" w:themeColor="text1"/>
          <w:sz w:val="24"/>
          <w:szCs w:val="24"/>
        </w:rPr>
        <w:t xml:space="preserve"> are different in many ways as illustrated below.  Pembrokeshire County Council is a Local Government </w:t>
      </w:r>
      <w:proofErr w:type="spellStart"/>
      <w:r w:rsidRPr="004C360C">
        <w:rPr>
          <w:rFonts w:cs="Arial"/>
          <w:color w:val="000000" w:themeColor="text1"/>
          <w:sz w:val="24"/>
          <w:szCs w:val="24"/>
        </w:rPr>
        <w:t>organisation</w:t>
      </w:r>
      <w:proofErr w:type="spellEnd"/>
      <w:r w:rsidRPr="004C360C">
        <w:rPr>
          <w:rFonts w:cs="Arial"/>
          <w:color w:val="000000" w:themeColor="text1"/>
          <w:sz w:val="24"/>
          <w:szCs w:val="24"/>
        </w:rPr>
        <w:t xml:space="preserve"> and operates within the public sector for the benefit of the residents within the county.  As with many public sector </w:t>
      </w:r>
      <w:proofErr w:type="spellStart"/>
      <w:r w:rsidRPr="004C360C">
        <w:rPr>
          <w:rFonts w:cs="Arial"/>
          <w:color w:val="000000" w:themeColor="text1"/>
          <w:sz w:val="24"/>
          <w:szCs w:val="24"/>
        </w:rPr>
        <w:t>organisations</w:t>
      </w:r>
      <w:proofErr w:type="spellEnd"/>
      <w:r w:rsidRPr="004C360C">
        <w:rPr>
          <w:rFonts w:cs="Arial"/>
          <w:color w:val="000000" w:themeColor="text1"/>
          <w:sz w:val="24"/>
          <w:szCs w:val="24"/>
        </w:rPr>
        <w:t xml:space="preserve">, recent years have seen budgets cut dramatically so partnerships with third sector or voluntary </w:t>
      </w:r>
      <w:proofErr w:type="spellStart"/>
      <w:r w:rsidRPr="004C360C">
        <w:rPr>
          <w:rFonts w:cs="Arial"/>
          <w:color w:val="000000" w:themeColor="text1"/>
          <w:sz w:val="24"/>
          <w:szCs w:val="24"/>
        </w:rPr>
        <w:t>organisations</w:t>
      </w:r>
      <w:proofErr w:type="spellEnd"/>
      <w:r w:rsidRPr="004C360C">
        <w:rPr>
          <w:rFonts w:cs="Arial"/>
          <w:color w:val="000000" w:themeColor="text1"/>
          <w:sz w:val="24"/>
          <w:szCs w:val="24"/>
        </w:rPr>
        <w:t xml:space="preserve"> has been invaluable to help provide the best possible service to its community especially those deemed to be vulnerable. </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The mission statement for Pembrokeshire County Council is:</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“Working together; improving lives”</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The 3 key principles are:</w:t>
      </w:r>
    </w:p>
    <w:p w:rsidR="004C360C" w:rsidRPr="00D87AF9" w:rsidRDefault="004C360C" w:rsidP="004C360C">
      <w:pPr>
        <w:pStyle w:val="ListParagraph"/>
        <w:numPr>
          <w:ilvl w:val="0"/>
          <w:numId w:val="1"/>
        </w:numPr>
        <w:rPr>
          <w:rFonts w:ascii="Arial" w:hAnsi="Arial" w:cs="Arial"/>
          <w:sz w:val="24"/>
          <w:szCs w:val="24"/>
        </w:rPr>
      </w:pPr>
      <w:r w:rsidRPr="00D87AF9">
        <w:rPr>
          <w:rFonts w:ascii="Arial" w:hAnsi="Arial" w:cs="Arial"/>
          <w:sz w:val="24"/>
          <w:szCs w:val="24"/>
        </w:rPr>
        <w:t>Sense of purpose</w:t>
      </w:r>
    </w:p>
    <w:p w:rsidR="004C360C" w:rsidRPr="00D87AF9" w:rsidRDefault="004C360C" w:rsidP="004C360C">
      <w:pPr>
        <w:pStyle w:val="ListParagraph"/>
        <w:numPr>
          <w:ilvl w:val="0"/>
          <w:numId w:val="1"/>
        </w:numPr>
        <w:rPr>
          <w:rFonts w:ascii="Arial" w:hAnsi="Arial" w:cs="Arial"/>
          <w:sz w:val="24"/>
          <w:szCs w:val="24"/>
        </w:rPr>
      </w:pPr>
      <w:r w:rsidRPr="00D87AF9">
        <w:rPr>
          <w:rFonts w:ascii="Arial" w:hAnsi="Arial" w:cs="Arial"/>
          <w:sz w:val="24"/>
          <w:szCs w:val="24"/>
        </w:rPr>
        <w:t xml:space="preserve">Improvement </w:t>
      </w:r>
    </w:p>
    <w:p w:rsidR="004C360C" w:rsidRPr="004C360C" w:rsidRDefault="004C360C" w:rsidP="004C360C">
      <w:pPr>
        <w:pStyle w:val="ListParagraph"/>
        <w:numPr>
          <w:ilvl w:val="0"/>
          <w:numId w:val="1"/>
        </w:numPr>
        <w:rPr>
          <w:rFonts w:ascii="Arial" w:hAnsi="Arial" w:cs="Arial"/>
          <w:color w:val="000000" w:themeColor="text1"/>
          <w:sz w:val="24"/>
          <w:szCs w:val="24"/>
        </w:rPr>
      </w:pPr>
      <w:r w:rsidRPr="00D87AF9">
        <w:rPr>
          <w:rFonts w:ascii="Arial" w:hAnsi="Arial" w:cs="Arial"/>
          <w:sz w:val="24"/>
          <w:szCs w:val="24"/>
        </w:rPr>
        <w:t xml:space="preserve">Working </w:t>
      </w:r>
      <w:r w:rsidRPr="004C360C">
        <w:rPr>
          <w:rFonts w:ascii="Arial" w:hAnsi="Arial" w:cs="Arial"/>
          <w:color w:val="000000" w:themeColor="text1"/>
          <w:sz w:val="24"/>
          <w:szCs w:val="24"/>
        </w:rPr>
        <w:t>together</w:t>
      </w:r>
    </w:p>
    <w:p w:rsidR="004C360C" w:rsidRDefault="004C360C" w:rsidP="0033342C">
      <w:pPr>
        <w:ind w:left="6480" w:firstLine="720"/>
        <w:rPr>
          <w:rFonts w:cs="Arial"/>
          <w:color w:val="000000" w:themeColor="text1"/>
          <w:sz w:val="24"/>
          <w:szCs w:val="24"/>
        </w:rPr>
      </w:pPr>
      <w:r w:rsidRPr="004C360C">
        <w:rPr>
          <w:rFonts w:cs="Arial"/>
          <w:color w:val="000000" w:themeColor="text1"/>
          <w:sz w:val="24"/>
          <w:szCs w:val="24"/>
        </w:rPr>
        <w:t>Source: www.pembrokeshire.gov.uk 14/06/2019</w:t>
      </w:r>
    </w:p>
    <w:p w:rsidR="0033342C" w:rsidRPr="004C360C" w:rsidRDefault="0033342C" w:rsidP="0033342C">
      <w:pPr>
        <w:ind w:left="6480" w:firstLine="720"/>
        <w:rPr>
          <w:rFonts w:cs="Arial"/>
          <w:color w:val="000000" w:themeColor="text1"/>
          <w:sz w:val="24"/>
          <w:szCs w:val="24"/>
        </w:rPr>
      </w:pP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The three principles above are very community based and aim to work with groups from all sections with the aim of the whole community being represented.</w:t>
      </w:r>
    </w:p>
    <w:p w:rsidR="004C360C" w:rsidRPr="004C360C" w:rsidRDefault="004C360C" w:rsidP="004C360C">
      <w:pPr>
        <w:rPr>
          <w:rFonts w:cs="Arial"/>
          <w:color w:val="000000" w:themeColor="text1"/>
          <w:sz w:val="24"/>
          <w:szCs w:val="24"/>
        </w:rPr>
      </w:pPr>
      <w:proofErr w:type="spellStart"/>
      <w:r w:rsidRPr="004C360C">
        <w:rPr>
          <w:rFonts w:cs="Arial"/>
          <w:color w:val="000000" w:themeColor="text1"/>
          <w:sz w:val="24"/>
          <w:szCs w:val="24"/>
        </w:rPr>
        <w:t>Morrisons</w:t>
      </w:r>
      <w:proofErr w:type="spellEnd"/>
      <w:r w:rsidRPr="004C360C">
        <w:rPr>
          <w:rFonts w:cs="Arial"/>
          <w:color w:val="000000" w:themeColor="text1"/>
          <w:sz w:val="24"/>
          <w:szCs w:val="24"/>
        </w:rPr>
        <w:t xml:space="preserve"> PLC is the 4</w:t>
      </w:r>
      <w:r w:rsidRPr="004C360C">
        <w:rPr>
          <w:rFonts w:cs="Arial"/>
          <w:color w:val="000000" w:themeColor="text1"/>
          <w:sz w:val="24"/>
          <w:szCs w:val="24"/>
          <w:vertAlign w:val="superscript"/>
        </w:rPr>
        <w:t>th</w:t>
      </w:r>
      <w:r w:rsidRPr="004C360C">
        <w:rPr>
          <w:rFonts w:cs="Arial"/>
          <w:color w:val="000000" w:themeColor="text1"/>
          <w:sz w:val="24"/>
          <w:szCs w:val="24"/>
        </w:rPr>
        <w:t xml:space="preserve"> largest chain of UK supermarket and is a retailer that operates within the private sector.  Their mission statement is:</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 xml:space="preserve"> “To deliver the very best for less”</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ab/>
      </w:r>
      <w:r w:rsidRPr="004C360C">
        <w:rPr>
          <w:rFonts w:cs="Arial"/>
          <w:color w:val="000000" w:themeColor="text1"/>
          <w:sz w:val="24"/>
          <w:szCs w:val="24"/>
        </w:rPr>
        <w:tab/>
      </w:r>
      <w:r w:rsidRPr="004C360C">
        <w:rPr>
          <w:rFonts w:cs="Arial"/>
          <w:color w:val="000000" w:themeColor="text1"/>
          <w:sz w:val="24"/>
          <w:szCs w:val="24"/>
        </w:rPr>
        <w:tab/>
      </w:r>
      <w:r w:rsidRPr="004C360C">
        <w:rPr>
          <w:rFonts w:cs="Arial"/>
          <w:color w:val="000000" w:themeColor="text1"/>
          <w:sz w:val="24"/>
          <w:szCs w:val="24"/>
        </w:rPr>
        <w:tab/>
      </w:r>
      <w:r w:rsidRPr="004C360C">
        <w:rPr>
          <w:rFonts w:cs="Arial"/>
          <w:color w:val="000000" w:themeColor="text1"/>
          <w:sz w:val="24"/>
          <w:szCs w:val="24"/>
        </w:rPr>
        <w:tab/>
      </w:r>
      <w:r w:rsidR="0033342C">
        <w:rPr>
          <w:rFonts w:cs="Arial"/>
          <w:color w:val="000000" w:themeColor="text1"/>
          <w:sz w:val="24"/>
          <w:szCs w:val="24"/>
        </w:rPr>
        <w:tab/>
      </w:r>
      <w:r w:rsidR="0033342C">
        <w:rPr>
          <w:rFonts w:cs="Arial"/>
          <w:color w:val="000000" w:themeColor="text1"/>
          <w:sz w:val="24"/>
          <w:szCs w:val="24"/>
        </w:rPr>
        <w:tab/>
      </w:r>
      <w:r w:rsidR="0033342C">
        <w:rPr>
          <w:rFonts w:cs="Arial"/>
          <w:color w:val="000000" w:themeColor="text1"/>
          <w:sz w:val="24"/>
          <w:szCs w:val="24"/>
        </w:rPr>
        <w:tab/>
      </w:r>
      <w:r w:rsidR="0033342C">
        <w:rPr>
          <w:rFonts w:cs="Arial"/>
          <w:color w:val="000000" w:themeColor="text1"/>
          <w:sz w:val="24"/>
          <w:szCs w:val="24"/>
        </w:rPr>
        <w:tab/>
      </w:r>
      <w:r w:rsidR="0033342C">
        <w:rPr>
          <w:rFonts w:cs="Arial"/>
          <w:color w:val="000000" w:themeColor="text1"/>
          <w:sz w:val="24"/>
          <w:szCs w:val="24"/>
        </w:rPr>
        <w:tab/>
      </w:r>
      <w:r w:rsidRPr="004C360C">
        <w:rPr>
          <w:rFonts w:cs="Arial"/>
          <w:color w:val="000000" w:themeColor="text1"/>
          <w:sz w:val="24"/>
          <w:szCs w:val="24"/>
        </w:rPr>
        <w:t>Source: www.morrisonscorporate.co.uk</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 xml:space="preserve">As with most private sector companies they are continuously having to </w:t>
      </w:r>
      <w:proofErr w:type="spellStart"/>
      <w:r w:rsidRPr="004C360C">
        <w:rPr>
          <w:rFonts w:cs="Arial"/>
          <w:color w:val="000000" w:themeColor="text1"/>
          <w:sz w:val="24"/>
          <w:szCs w:val="24"/>
        </w:rPr>
        <w:t>reorganise</w:t>
      </w:r>
      <w:proofErr w:type="spellEnd"/>
      <w:r w:rsidRPr="004C360C">
        <w:rPr>
          <w:rFonts w:cs="Arial"/>
          <w:color w:val="000000" w:themeColor="text1"/>
          <w:sz w:val="24"/>
          <w:szCs w:val="24"/>
        </w:rPr>
        <w:t xml:space="preserve"> how the business operates in an attempt to stay ahead of their competitors.  They have identified 6 areas to focus on to allow them to strengthen their brand, they are:</w:t>
      </w:r>
    </w:p>
    <w:p w:rsidR="004C360C" w:rsidRDefault="004C360C" w:rsidP="004C360C">
      <w:pPr>
        <w:pStyle w:val="ListParagraph"/>
        <w:numPr>
          <w:ilvl w:val="0"/>
          <w:numId w:val="2"/>
        </w:numPr>
        <w:rPr>
          <w:rFonts w:ascii="Arial" w:hAnsi="Arial" w:cs="Arial"/>
          <w:sz w:val="24"/>
          <w:szCs w:val="24"/>
        </w:rPr>
      </w:pPr>
      <w:r>
        <w:rPr>
          <w:rFonts w:ascii="Arial" w:hAnsi="Arial" w:cs="Arial"/>
          <w:sz w:val="24"/>
          <w:szCs w:val="24"/>
        </w:rPr>
        <w:t>Be more competitive</w:t>
      </w:r>
    </w:p>
    <w:p w:rsidR="004C360C" w:rsidRDefault="004C360C" w:rsidP="004C360C">
      <w:pPr>
        <w:pStyle w:val="ListParagraph"/>
        <w:numPr>
          <w:ilvl w:val="0"/>
          <w:numId w:val="2"/>
        </w:numPr>
        <w:rPr>
          <w:rFonts w:ascii="Arial" w:hAnsi="Arial" w:cs="Arial"/>
          <w:sz w:val="24"/>
          <w:szCs w:val="24"/>
        </w:rPr>
      </w:pPr>
      <w:r>
        <w:rPr>
          <w:rFonts w:ascii="Arial" w:hAnsi="Arial" w:cs="Arial"/>
          <w:sz w:val="24"/>
          <w:szCs w:val="24"/>
        </w:rPr>
        <w:t>Serve their customers better</w:t>
      </w:r>
    </w:p>
    <w:p w:rsidR="004C360C" w:rsidRDefault="004C360C" w:rsidP="004C360C">
      <w:pPr>
        <w:pStyle w:val="ListParagraph"/>
        <w:numPr>
          <w:ilvl w:val="0"/>
          <w:numId w:val="2"/>
        </w:numPr>
        <w:rPr>
          <w:rFonts w:ascii="Arial" w:hAnsi="Arial" w:cs="Arial"/>
          <w:sz w:val="24"/>
          <w:szCs w:val="24"/>
        </w:rPr>
      </w:pPr>
      <w:r>
        <w:rPr>
          <w:rFonts w:ascii="Arial" w:hAnsi="Arial" w:cs="Arial"/>
          <w:sz w:val="24"/>
          <w:szCs w:val="24"/>
        </w:rPr>
        <w:t>Find local solutions</w:t>
      </w:r>
    </w:p>
    <w:p w:rsidR="004C360C" w:rsidRDefault="004C360C" w:rsidP="004C360C">
      <w:pPr>
        <w:pStyle w:val="ListParagraph"/>
        <w:numPr>
          <w:ilvl w:val="0"/>
          <w:numId w:val="2"/>
        </w:numPr>
        <w:rPr>
          <w:rFonts w:ascii="Arial" w:hAnsi="Arial" w:cs="Arial"/>
          <w:sz w:val="24"/>
          <w:szCs w:val="24"/>
        </w:rPr>
      </w:pPr>
      <w:r>
        <w:rPr>
          <w:rFonts w:ascii="Arial" w:hAnsi="Arial" w:cs="Arial"/>
          <w:sz w:val="24"/>
          <w:szCs w:val="24"/>
        </w:rPr>
        <w:t>Develop popular and useful services</w:t>
      </w:r>
    </w:p>
    <w:p w:rsidR="004C360C" w:rsidRDefault="004C360C" w:rsidP="004C360C">
      <w:pPr>
        <w:pStyle w:val="ListParagraph"/>
        <w:numPr>
          <w:ilvl w:val="0"/>
          <w:numId w:val="2"/>
        </w:numPr>
        <w:rPr>
          <w:rFonts w:ascii="Arial" w:hAnsi="Arial" w:cs="Arial"/>
          <w:sz w:val="24"/>
          <w:szCs w:val="24"/>
        </w:rPr>
      </w:pPr>
      <w:r>
        <w:rPr>
          <w:rFonts w:ascii="Arial" w:hAnsi="Arial" w:cs="Arial"/>
          <w:sz w:val="24"/>
          <w:szCs w:val="24"/>
        </w:rPr>
        <w:t>Simplify and speed up</w:t>
      </w:r>
    </w:p>
    <w:p w:rsidR="004C360C" w:rsidRPr="004C360C" w:rsidRDefault="004C360C" w:rsidP="004C360C">
      <w:pPr>
        <w:pStyle w:val="ListParagraph"/>
        <w:numPr>
          <w:ilvl w:val="0"/>
          <w:numId w:val="2"/>
        </w:numPr>
        <w:rPr>
          <w:rFonts w:ascii="Arial" w:hAnsi="Arial" w:cs="Arial"/>
          <w:color w:val="000000" w:themeColor="text1"/>
          <w:sz w:val="24"/>
          <w:szCs w:val="24"/>
        </w:rPr>
      </w:pPr>
      <w:r w:rsidRPr="004C360C">
        <w:rPr>
          <w:rFonts w:ascii="Arial" w:hAnsi="Arial" w:cs="Arial"/>
          <w:color w:val="000000" w:themeColor="text1"/>
          <w:sz w:val="24"/>
          <w:szCs w:val="24"/>
        </w:rPr>
        <w:t>Make the core supermarkets strong again</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lastRenderedPageBreak/>
        <w:t>The above areas will determine the company strategies, which in turn will allow the HR practitioners to determine the best way for the HR function to operate.</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 xml:space="preserve">The main difference between these two companies, as stated by Bach (2010, p563) ‘employment decisions are subject to levels of public accountability and transparency that arise from the government’s role as a custodian of public funds’, whereas </w:t>
      </w:r>
      <w:proofErr w:type="spellStart"/>
      <w:r w:rsidRPr="004C360C">
        <w:rPr>
          <w:rFonts w:cs="Arial"/>
          <w:color w:val="000000" w:themeColor="text1"/>
          <w:sz w:val="24"/>
          <w:szCs w:val="24"/>
        </w:rPr>
        <w:t>Morrisons</w:t>
      </w:r>
      <w:proofErr w:type="spellEnd"/>
      <w:r w:rsidRPr="004C360C">
        <w:rPr>
          <w:rFonts w:cs="Arial"/>
          <w:color w:val="000000" w:themeColor="text1"/>
          <w:sz w:val="24"/>
          <w:szCs w:val="24"/>
        </w:rPr>
        <w:t xml:space="preserve"> PLC will aim to make as much profit as possible for its shareholders and not be held accountable for what it spends, as well as not being subject to large cuts in budgets over recent years.</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 xml:space="preserve">Pembrokeshire County Council differs from </w:t>
      </w:r>
      <w:proofErr w:type="spellStart"/>
      <w:r w:rsidRPr="004C360C">
        <w:rPr>
          <w:rFonts w:cs="Arial"/>
          <w:color w:val="000000" w:themeColor="text1"/>
          <w:sz w:val="24"/>
          <w:szCs w:val="24"/>
        </w:rPr>
        <w:t>Morrisons</w:t>
      </w:r>
      <w:proofErr w:type="spellEnd"/>
      <w:r w:rsidRPr="004C360C">
        <w:rPr>
          <w:rFonts w:cs="Arial"/>
          <w:color w:val="000000" w:themeColor="text1"/>
          <w:sz w:val="24"/>
          <w:szCs w:val="24"/>
        </w:rPr>
        <w:t xml:space="preserve"> PLC in that it does not outsource any of its HR functions but has a traditional HR structure overseen by the Head of HR/Chief HR Officer within the Local Authority, it then branches off into 5 distinct areas:</w:t>
      </w:r>
    </w:p>
    <w:p w:rsidR="004C360C" w:rsidRDefault="004C360C" w:rsidP="004C360C">
      <w:pPr>
        <w:pStyle w:val="ListParagraph"/>
        <w:numPr>
          <w:ilvl w:val="0"/>
          <w:numId w:val="3"/>
        </w:numPr>
        <w:rPr>
          <w:rFonts w:ascii="Arial" w:hAnsi="Arial" w:cs="Arial"/>
          <w:sz w:val="24"/>
          <w:szCs w:val="24"/>
        </w:rPr>
      </w:pPr>
      <w:r>
        <w:rPr>
          <w:rFonts w:ascii="Arial" w:hAnsi="Arial" w:cs="Arial"/>
          <w:sz w:val="24"/>
          <w:szCs w:val="24"/>
        </w:rPr>
        <w:t>Education Services – consists of HR manager, HR advisors and a HR senior assistant</w:t>
      </w:r>
    </w:p>
    <w:p w:rsidR="004C360C" w:rsidRDefault="004C360C" w:rsidP="004C360C">
      <w:pPr>
        <w:pStyle w:val="ListParagraph"/>
        <w:numPr>
          <w:ilvl w:val="0"/>
          <w:numId w:val="3"/>
        </w:numPr>
        <w:rPr>
          <w:rFonts w:ascii="Arial" w:hAnsi="Arial" w:cs="Arial"/>
          <w:sz w:val="24"/>
          <w:szCs w:val="24"/>
        </w:rPr>
      </w:pPr>
      <w:r>
        <w:rPr>
          <w:rFonts w:ascii="Arial" w:hAnsi="Arial" w:cs="Arial"/>
          <w:sz w:val="24"/>
          <w:szCs w:val="24"/>
        </w:rPr>
        <w:t>Employee Relations (Corporate) – consists of ER manager, HR advisors and senior HR assistants</w:t>
      </w:r>
    </w:p>
    <w:p w:rsidR="004C360C" w:rsidRDefault="004C360C" w:rsidP="004C360C">
      <w:pPr>
        <w:pStyle w:val="ListParagraph"/>
        <w:numPr>
          <w:ilvl w:val="0"/>
          <w:numId w:val="3"/>
        </w:numPr>
        <w:rPr>
          <w:rFonts w:ascii="Arial" w:hAnsi="Arial" w:cs="Arial"/>
          <w:sz w:val="24"/>
          <w:szCs w:val="24"/>
        </w:rPr>
      </w:pPr>
      <w:r>
        <w:rPr>
          <w:rFonts w:ascii="Arial" w:hAnsi="Arial" w:cs="Arial"/>
          <w:sz w:val="24"/>
          <w:szCs w:val="24"/>
        </w:rPr>
        <w:t>Occupational Health – consists of a manager, practitioners, health and safety team and admin team</w:t>
      </w:r>
    </w:p>
    <w:p w:rsidR="004C360C" w:rsidRDefault="004C360C" w:rsidP="004C360C">
      <w:pPr>
        <w:pStyle w:val="ListParagraph"/>
        <w:numPr>
          <w:ilvl w:val="0"/>
          <w:numId w:val="3"/>
        </w:numPr>
        <w:rPr>
          <w:rFonts w:ascii="Arial" w:hAnsi="Arial" w:cs="Arial"/>
          <w:sz w:val="24"/>
          <w:szCs w:val="24"/>
        </w:rPr>
      </w:pPr>
      <w:r>
        <w:rPr>
          <w:rFonts w:ascii="Arial" w:hAnsi="Arial" w:cs="Arial"/>
          <w:sz w:val="24"/>
          <w:szCs w:val="24"/>
        </w:rPr>
        <w:t>Systems Team – consists of systems manager, payroll managers, payroll admin, recruitment admin, systems admin and HR assistants</w:t>
      </w:r>
    </w:p>
    <w:p w:rsidR="004C360C" w:rsidRPr="004C360C" w:rsidRDefault="004C360C" w:rsidP="004C360C">
      <w:pPr>
        <w:pStyle w:val="ListParagraph"/>
        <w:numPr>
          <w:ilvl w:val="0"/>
          <w:numId w:val="3"/>
        </w:numPr>
        <w:rPr>
          <w:rFonts w:ascii="Arial" w:hAnsi="Arial" w:cs="Arial"/>
          <w:color w:val="000000" w:themeColor="text1"/>
          <w:sz w:val="24"/>
          <w:szCs w:val="24"/>
        </w:rPr>
      </w:pPr>
      <w:r>
        <w:rPr>
          <w:rFonts w:ascii="Arial" w:hAnsi="Arial" w:cs="Arial"/>
          <w:sz w:val="24"/>
          <w:szCs w:val="24"/>
        </w:rPr>
        <w:t xml:space="preserve">Learning and </w:t>
      </w:r>
      <w:r w:rsidRPr="004C360C">
        <w:rPr>
          <w:rFonts w:ascii="Arial" w:hAnsi="Arial" w:cs="Arial"/>
          <w:color w:val="000000" w:themeColor="text1"/>
          <w:sz w:val="24"/>
          <w:szCs w:val="24"/>
        </w:rPr>
        <w:t>Development – consists of manager, advisors and assistants</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 xml:space="preserve">One of the main HR objectives that Pembrokeshire County Council are attempting to deliver is to transform the workforce, ‘The Workforce Plan 2020-23’ sets out a number of objectives such as ‘transforming services and a changing workforce profile’ that the HR function will play a major role in over the next few years.  The HR function plays a central role to achieving most of the objectives set by the Authority, especially when it comes to changes in how the workforce operates and the recruiting of key talent to the </w:t>
      </w:r>
      <w:proofErr w:type="spellStart"/>
      <w:r w:rsidRPr="004C360C">
        <w:rPr>
          <w:rFonts w:cs="Arial"/>
          <w:color w:val="000000" w:themeColor="text1"/>
          <w:sz w:val="24"/>
          <w:szCs w:val="24"/>
        </w:rPr>
        <w:t>organisation</w:t>
      </w:r>
      <w:proofErr w:type="spellEnd"/>
      <w:r w:rsidRPr="004C360C">
        <w:rPr>
          <w:rFonts w:cs="Arial"/>
          <w:color w:val="000000" w:themeColor="text1"/>
          <w:sz w:val="24"/>
          <w:szCs w:val="24"/>
        </w:rPr>
        <w:t xml:space="preserve">.  Pembrokeshire County Council lean toward a traditional/transactional culture in the deliverance of HR which can prove to be quite outdated, however, the Authority are reviewing how they operate in order to become more transformational in the way in which services are delivered to the community, the HR function will play an important role her and will work in partnership with senior leaders as the roles of many line managers will alter. </w:t>
      </w:r>
    </w:p>
    <w:p w:rsidR="004C360C" w:rsidRPr="004C360C" w:rsidRDefault="004C360C" w:rsidP="004C360C">
      <w:pPr>
        <w:rPr>
          <w:rFonts w:cs="Arial"/>
          <w:color w:val="000000" w:themeColor="text1"/>
          <w:sz w:val="24"/>
          <w:szCs w:val="24"/>
        </w:rPr>
      </w:pPr>
      <w:proofErr w:type="spellStart"/>
      <w:r w:rsidRPr="004C360C">
        <w:rPr>
          <w:rFonts w:cs="Arial"/>
          <w:color w:val="000000" w:themeColor="text1"/>
          <w:sz w:val="24"/>
          <w:szCs w:val="24"/>
        </w:rPr>
        <w:t>Morrisons</w:t>
      </w:r>
      <w:proofErr w:type="spellEnd"/>
      <w:r w:rsidRPr="004C360C">
        <w:rPr>
          <w:rFonts w:cs="Arial"/>
          <w:color w:val="000000" w:themeColor="text1"/>
          <w:sz w:val="24"/>
          <w:szCs w:val="24"/>
        </w:rPr>
        <w:t xml:space="preserve"> PLC HR structure is Ulrich’s ‘Three-Legged Stool’ so the company has a main Head Office which can provide specialist support. Each store will have a business partner and shared services operated by a third party for the payroll element of the company.  Their main objectives set out are the 6 areas mentioned on the first page of this report, the HR function would need to be intrinsically linked to all departments to aid the deliverance of these objectives as the company seem to be very people orientated and the message from their Head Office would appear that they care and reward their workforce.</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As with most companies within the private sector they are facing challenging times with the emergence of new companies in the global market and technology enabling these companies to be more accessible, therefore, the culture of HR would tend to be more transformational in order for them to keep up with the competition and understand how their market may be changing in part due to the diversity of the people they now serve.</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lastRenderedPageBreak/>
        <w:t xml:space="preserve">The relationship between line managers and HR professionals has never been as important as it is currently, this is mainly due to the responsibility of HR activities that is now undertaken by line managers.  HR professionals need to ensure that the capabilities of their line managers carrying out the specific HR functions is of a standard that will enable the </w:t>
      </w:r>
      <w:proofErr w:type="spellStart"/>
      <w:r w:rsidRPr="004C360C">
        <w:rPr>
          <w:rFonts w:cs="Arial"/>
          <w:color w:val="000000" w:themeColor="text1"/>
          <w:sz w:val="24"/>
          <w:szCs w:val="24"/>
        </w:rPr>
        <w:t>organisation</w:t>
      </w:r>
      <w:proofErr w:type="spellEnd"/>
      <w:r w:rsidRPr="004C360C">
        <w:rPr>
          <w:rFonts w:cs="Arial"/>
          <w:color w:val="000000" w:themeColor="text1"/>
          <w:sz w:val="24"/>
          <w:szCs w:val="24"/>
        </w:rPr>
        <w:t xml:space="preserve"> to be efficient in this field, in turn it will allow the </w:t>
      </w:r>
      <w:proofErr w:type="spellStart"/>
      <w:r w:rsidRPr="004C360C">
        <w:rPr>
          <w:rFonts w:cs="Arial"/>
          <w:color w:val="000000" w:themeColor="text1"/>
          <w:sz w:val="24"/>
          <w:szCs w:val="24"/>
        </w:rPr>
        <w:t>organisation</w:t>
      </w:r>
      <w:proofErr w:type="spellEnd"/>
      <w:r w:rsidRPr="004C360C">
        <w:rPr>
          <w:rFonts w:cs="Arial"/>
          <w:color w:val="000000" w:themeColor="text1"/>
          <w:sz w:val="24"/>
          <w:szCs w:val="24"/>
        </w:rPr>
        <w:t xml:space="preserve"> to achieve the set targets.</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 xml:space="preserve">Even though the challenges faced by </w:t>
      </w:r>
      <w:proofErr w:type="spellStart"/>
      <w:r w:rsidRPr="004C360C">
        <w:rPr>
          <w:rFonts w:cs="Arial"/>
          <w:color w:val="000000" w:themeColor="text1"/>
          <w:sz w:val="24"/>
          <w:szCs w:val="24"/>
        </w:rPr>
        <w:t>organisations</w:t>
      </w:r>
      <w:proofErr w:type="spellEnd"/>
      <w:r w:rsidRPr="004C360C">
        <w:rPr>
          <w:rFonts w:cs="Arial"/>
          <w:color w:val="000000" w:themeColor="text1"/>
          <w:sz w:val="24"/>
          <w:szCs w:val="24"/>
        </w:rPr>
        <w:t xml:space="preserve"> differ dependent on the sector they work within, the fact that HR is becoming a key factor when developing the </w:t>
      </w:r>
      <w:proofErr w:type="spellStart"/>
      <w:r w:rsidRPr="004C360C">
        <w:rPr>
          <w:rFonts w:cs="Arial"/>
          <w:color w:val="000000" w:themeColor="text1"/>
          <w:sz w:val="24"/>
          <w:szCs w:val="24"/>
        </w:rPr>
        <w:t>organisational</w:t>
      </w:r>
      <w:proofErr w:type="spellEnd"/>
      <w:r w:rsidRPr="004C360C">
        <w:rPr>
          <w:rFonts w:cs="Arial"/>
          <w:color w:val="000000" w:themeColor="text1"/>
          <w:sz w:val="24"/>
          <w:szCs w:val="24"/>
        </w:rPr>
        <w:t xml:space="preserve"> strategy is of the utmost importance in all sectors and tends to be conducted by senior managers of all departments and board members if it is in the private sector. </w:t>
      </w:r>
    </w:p>
    <w:p w:rsidR="004C360C" w:rsidRPr="004C360C" w:rsidRDefault="004C360C" w:rsidP="004C360C">
      <w:pPr>
        <w:rPr>
          <w:rFonts w:cs="Arial"/>
          <w:color w:val="000000" w:themeColor="text1"/>
          <w:sz w:val="24"/>
          <w:szCs w:val="24"/>
        </w:rPr>
      </w:pPr>
      <w:proofErr w:type="spellStart"/>
      <w:r w:rsidRPr="004C360C">
        <w:rPr>
          <w:rFonts w:cs="Arial"/>
          <w:color w:val="000000" w:themeColor="text1"/>
          <w:sz w:val="24"/>
          <w:szCs w:val="24"/>
        </w:rPr>
        <w:t>Cascio</w:t>
      </w:r>
      <w:proofErr w:type="spellEnd"/>
      <w:r w:rsidRPr="004C360C">
        <w:rPr>
          <w:rFonts w:cs="Arial"/>
          <w:color w:val="000000" w:themeColor="text1"/>
          <w:sz w:val="24"/>
          <w:szCs w:val="24"/>
        </w:rPr>
        <w:t xml:space="preserve"> and Boudreau (2012) stated that: ‘HR strategy should parallel and facilitate the implementation of an </w:t>
      </w:r>
      <w:proofErr w:type="spellStart"/>
      <w:r w:rsidRPr="004C360C">
        <w:rPr>
          <w:rFonts w:cs="Arial"/>
          <w:color w:val="000000" w:themeColor="text1"/>
          <w:sz w:val="24"/>
          <w:szCs w:val="24"/>
        </w:rPr>
        <w:t>organisation’s</w:t>
      </w:r>
      <w:proofErr w:type="spellEnd"/>
      <w:r w:rsidRPr="004C360C">
        <w:rPr>
          <w:rFonts w:cs="Arial"/>
          <w:color w:val="000000" w:themeColor="text1"/>
          <w:sz w:val="24"/>
          <w:szCs w:val="24"/>
        </w:rPr>
        <w:t xml:space="preserve"> strategic business plan. HR strategy aligns with that plan by creating the capacity in the workforce and how it is organized that is necessary to achieve the </w:t>
      </w:r>
      <w:proofErr w:type="spellStart"/>
      <w:r w:rsidRPr="004C360C">
        <w:rPr>
          <w:rFonts w:cs="Arial"/>
          <w:color w:val="000000" w:themeColor="text1"/>
          <w:sz w:val="24"/>
          <w:szCs w:val="24"/>
        </w:rPr>
        <w:t>organisation’s</w:t>
      </w:r>
      <w:proofErr w:type="spellEnd"/>
      <w:r w:rsidRPr="004C360C">
        <w:rPr>
          <w:rFonts w:cs="Arial"/>
          <w:color w:val="000000" w:themeColor="text1"/>
          <w:sz w:val="24"/>
          <w:szCs w:val="24"/>
        </w:rPr>
        <w:t xml:space="preserve"> strategic objectives.’ (IES report, February 2019).</w:t>
      </w:r>
    </w:p>
    <w:p w:rsidR="004C360C" w:rsidRPr="004C360C" w:rsidRDefault="004C360C" w:rsidP="004C360C">
      <w:pPr>
        <w:rPr>
          <w:rFonts w:cs="Arial"/>
          <w:color w:val="000000" w:themeColor="text1"/>
          <w:sz w:val="24"/>
          <w:szCs w:val="24"/>
        </w:rPr>
      </w:pPr>
      <w:proofErr w:type="spellStart"/>
      <w:r w:rsidRPr="004C360C">
        <w:rPr>
          <w:rFonts w:cs="Arial"/>
          <w:color w:val="000000" w:themeColor="text1"/>
          <w:sz w:val="24"/>
          <w:szCs w:val="24"/>
        </w:rPr>
        <w:t>Cappelli</w:t>
      </w:r>
      <w:proofErr w:type="spellEnd"/>
      <w:r w:rsidRPr="004C360C">
        <w:rPr>
          <w:rFonts w:cs="Arial"/>
          <w:color w:val="000000" w:themeColor="text1"/>
          <w:sz w:val="24"/>
          <w:szCs w:val="24"/>
        </w:rPr>
        <w:t xml:space="preserve"> (1999: 8) states: ‘The choice of practices that an employer pursues is heavily contingent on a number of factors at the </w:t>
      </w:r>
      <w:proofErr w:type="spellStart"/>
      <w:r w:rsidRPr="004C360C">
        <w:rPr>
          <w:rFonts w:cs="Arial"/>
          <w:color w:val="000000" w:themeColor="text1"/>
          <w:sz w:val="24"/>
          <w:szCs w:val="24"/>
        </w:rPr>
        <w:t>organisational</w:t>
      </w:r>
      <w:proofErr w:type="spellEnd"/>
      <w:r w:rsidRPr="004C360C">
        <w:rPr>
          <w:rFonts w:cs="Arial"/>
          <w:color w:val="000000" w:themeColor="text1"/>
          <w:sz w:val="24"/>
          <w:szCs w:val="24"/>
        </w:rPr>
        <w:t xml:space="preserve"> level, including their own business and production strategies, support of HR policies, and cooperative </w:t>
      </w:r>
      <w:proofErr w:type="spellStart"/>
      <w:r w:rsidRPr="004C360C">
        <w:rPr>
          <w:rFonts w:cs="Arial"/>
          <w:color w:val="000000" w:themeColor="text1"/>
          <w:sz w:val="24"/>
          <w:szCs w:val="24"/>
        </w:rPr>
        <w:t>labour</w:t>
      </w:r>
      <w:proofErr w:type="spellEnd"/>
      <w:r w:rsidRPr="004C360C">
        <w:rPr>
          <w:rFonts w:cs="Arial"/>
          <w:color w:val="000000" w:themeColor="text1"/>
          <w:sz w:val="24"/>
          <w:szCs w:val="24"/>
        </w:rPr>
        <w:t xml:space="preserve"> relations.’ (IES report, February 2019).</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 xml:space="preserve">When developing the strategy, HR will need to be involved in order to advise on issues such as skills gaps within the company and how these can be best filled, retaining key employees as well as advising on the best ways to promote the company brand. The HR function works with senior managers to ensure that when creating the </w:t>
      </w:r>
      <w:proofErr w:type="spellStart"/>
      <w:r w:rsidRPr="004C360C">
        <w:rPr>
          <w:rFonts w:cs="Arial"/>
          <w:color w:val="000000" w:themeColor="text1"/>
          <w:sz w:val="24"/>
          <w:szCs w:val="24"/>
        </w:rPr>
        <w:t>organisational</w:t>
      </w:r>
      <w:proofErr w:type="spellEnd"/>
      <w:r w:rsidRPr="004C360C">
        <w:rPr>
          <w:rFonts w:cs="Arial"/>
          <w:color w:val="000000" w:themeColor="text1"/>
          <w:sz w:val="24"/>
          <w:szCs w:val="24"/>
        </w:rPr>
        <w:t xml:space="preserve"> strategy the workforce are considered at all levels as they will all have different needs and thoughts on the path the </w:t>
      </w:r>
      <w:proofErr w:type="spellStart"/>
      <w:r w:rsidRPr="004C360C">
        <w:rPr>
          <w:rFonts w:cs="Arial"/>
          <w:color w:val="000000" w:themeColor="text1"/>
          <w:sz w:val="24"/>
          <w:szCs w:val="24"/>
        </w:rPr>
        <w:t>organisation</w:t>
      </w:r>
      <w:proofErr w:type="spellEnd"/>
      <w:r w:rsidRPr="004C360C">
        <w:rPr>
          <w:rFonts w:cs="Arial"/>
          <w:color w:val="000000" w:themeColor="text1"/>
          <w:sz w:val="24"/>
          <w:szCs w:val="24"/>
        </w:rPr>
        <w:t xml:space="preserve"> should follow, as well as working with Trade Unions as they are still a powerful force within the public sector as confirmed in the 2011 Workplace Employment Relations Survey that 57% of the workforce within public sector are members of trade unions (Van </w:t>
      </w:r>
      <w:proofErr w:type="spellStart"/>
      <w:r w:rsidRPr="004C360C">
        <w:rPr>
          <w:rFonts w:cs="Arial"/>
          <w:color w:val="000000" w:themeColor="text1"/>
          <w:sz w:val="24"/>
          <w:szCs w:val="24"/>
        </w:rPr>
        <w:t>Wanrooy</w:t>
      </w:r>
      <w:proofErr w:type="spellEnd"/>
      <w:r w:rsidRPr="004C360C">
        <w:rPr>
          <w:rFonts w:cs="Arial"/>
          <w:color w:val="000000" w:themeColor="text1"/>
          <w:sz w:val="24"/>
          <w:szCs w:val="24"/>
        </w:rPr>
        <w:t xml:space="preserve"> et al 2013) and can prove to be oppositional to strategies attempting to be set.  It also enables the HR function to develop their strategies in line with the </w:t>
      </w:r>
      <w:proofErr w:type="spellStart"/>
      <w:r w:rsidRPr="004C360C">
        <w:rPr>
          <w:rFonts w:cs="Arial"/>
          <w:color w:val="000000" w:themeColor="text1"/>
          <w:sz w:val="24"/>
          <w:szCs w:val="24"/>
        </w:rPr>
        <w:t>organisation</w:t>
      </w:r>
      <w:proofErr w:type="spellEnd"/>
      <w:r w:rsidRPr="004C360C">
        <w:rPr>
          <w:rFonts w:cs="Arial"/>
          <w:color w:val="000000" w:themeColor="text1"/>
          <w:sz w:val="24"/>
          <w:szCs w:val="24"/>
        </w:rPr>
        <w:t xml:space="preserve">.  </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 xml:space="preserve">HR will also be required to assist the </w:t>
      </w:r>
      <w:proofErr w:type="spellStart"/>
      <w:r w:rsidRPr="004C360C">
        <w:rPr>
          <w:rFonts w:cs="Arial"/>
          <w:color w:val="000000" w:themeColor="text1"/>
          <w:sz w:val="24"/>
          <w:szCs w:val="24"/>
        </w:rPr>
        <w:t>organisation</w:t>
      </w:r>
      <w:proofErr w:type="spellEnd"/>
      <w:r w:rsidRPr="004C360C">
        <w:rPr>
          <w:rFonts w:cs="Arial"/>
          <w:color w:val="000000" w:themeColor="text1"/>
          <w:sz w:val="24"/>
          <w:szCs w:val="24"/>
        </w:rPr>
        <w:t xml:space="preserve"> with the recruitment as this is key for most </w:t>
      </w:r>
      <w:proofErr w:type="spellStart"/>
      <w:r w:rsidRPr="004C360C">
        <w:rPr>
          <w:rFonts w:cs="Arial"/>
          <w:color w:val="000000" w:themeColor="text1"/>
          <w:sz w:val="24"/>
          <w:szCs w:val="24"/>
        </w:rPr>
        <w:t>organisations</w:t>
      </w:r>
      <w:proofErr w:type="spellEnd"/>
      <w:r w:rsidRPr="004C360C">
        <w:rPr>
          <w:rFonts w:cs="Arial"/>
          <w:color w:val="000000" w:themeColor="text1"/>
          <w:sz w:val="24"/>
          <w:szCs w:val="24"/>
        </w:rPr>
        <w:t xml:space="preserve"> and selecting the right candidate is crucial.  Most </w:t>
      </w:r>
      <w:proofErr w:type="spellStart"/>
      <w:r w:rsidRPr="004C360C">
        <w:rPr>
          <w:rFonts w:cs="Arial"/>
          <w:color w:val="000000" w:themeColor="text1"/>
          <w:sz w:val="24"/>
          <w:szCs w:val="24"/>
        </w:rPr>
        <w:t>organisational</w:t>
      </w:r>
      <w:proofErr w:type="spellEnd"/>
      <w:r w:rsidRPr="004C360C">
        <w:rPr>
          <w:rFonts w:cs="Arial"/>
          <w:color w:val="000000" w:themeColor="text1"/>
          <w:sz w:val="24"/>
          <w:szCs w:val="24"/>
        </w:rPr>
        <w:t xml:space="preserve"> strategies will require training and development to be at the top of its game, this is an area that HR professionals will be the experts in and will be able to add value to the </w:t>
      </w:r>
      <w:proofErr w:type="spellStart"/>
      <w:r w:rsidRPr="004C360C">
        <w:rPr>
          <w:rFonts w:cs="Arial"/>
          <w:color w:val="000000" w:themeColor="text1"/>
          <w:sz w:val="24"/>
          <w:szCs w:val="24"/>
        </w:rPr>
        <w:t>organisation</w:t>
      </w:r>
      <w:proofErr w:type="spellEnd"/>
      <w:r w:rsidRPr="004C360C">
        <w:rPr>
          <w:rFonts w:cs="Arial"/>
          <w:color w:val="000000" w:themeColor="text1"/>
          <w:sz w:val="24"/>
          <w:szCs w:val="24"/>
        </w:rPr>
        <w:t>.</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More so in the public sector HR play an important role when developing the strategies set given that they must also meet set government targets which they have no influence over and usually need to do this with tight budget constraints.</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 xml:space="preserve">Henry </w:t>
      </w:r>
      <w:proofErr w:type="spellStart"/>
      <w:r w:rsidRPr="004C360C">
        <w:rPr>
          <w:rFonts w:cs="Arial"/>
          <w:color w:val="000000" w:themeColor="text1"/>
          <w:sz w:val="24"/>
          <w:szCs w:val="24"/>
        </w:rPr>
        <w:t>Mintzberg</w:t>
      </w:r>
      <w:proofErr w:type="spellEnd"/>
      <w:r w:rsidRPr="004C360C">
        <w:rPr>
          <w:rFonts w:cs="Arial"/>
          <w:color w:val="000000" w:themeColor="text1"/>
          <w:sz w:val="24"/>
          <w:szCs w:val="24"/>
        </w:rPr>
        <w:t xml:space="preserve"> introduced the 5 Ps method in 1987 with the aim of </w:t>
      </w:r>
      <w:proofErr w:type="spellStart"/>
      <w:r w:rsidRPr="004C360C">
        <w:rPr>
          <w:rFonts w:cs="Arial"/>
          <w:color w:val="000000" w:themeColor="text1"/>
          <w:sz w:val="24"/>
          <w:szCs w:val="24"/>
        </w:rPr>
        <w:t>organisations</w:t>
      </w:r>
      <w:proofErr w:type="spellEnd"/>
      <w:r w:rsidRPr="004C360C">
        <w:rPr>
          <w:rFonts w:cs="Arial"/>
          <w:color w:val="000000" w:themeColor="text1"/>
          <w:sz w:val="24"/>
          <w:szCs w:val="24"/>
        </w:rPr>
        <w:t xml:space="preserve"> following this to produce effective </w:t>
      </w:r>
      <w:proofErr w:type="spellStart"/>
      <w:r w:rsidRPr="004C360C">
        <w:rPr>
          <w:rFonts w:cs="Arial"/>
          <w:color w:val="000000" w:themeColor="text1"/>
          <w:sz w:val="24"/>
          <w:szCs w:val="24"/>
        </w:rPr>
        <w:t>organisational</w:t>
      </w:r>
      <w:proofErr w:type="spellEnd"/>
      <w:r w:rsidRPr="004C360C">
        <w:rPr>
          <w:rFonts w:cs="Arial"/>
          <w:color w:val="000000" w:themeColor="text1"/>
          <w:sz w:val="24"/>
          <w:szCs w:val="24"/>
        </w:rPr>
        <w:t xml:space="preserve"> strategies, they are: Plan, Ploy, Pattern, Position and Perspective, each section identifies an analysis model from Pestle in the planning stage to Deal and Kennedys cultural model in the perspective stage that can be used for any type of </w:t>
      </w:r>
      <w:proofErr w:type="spellStart"/>
      <w:r w:rsidRPr="004C360C">
        <w:rPr>
          <w:rFonts w:cs="Arial"/>
          <w:color w:val="000000" w:themeColor="text1"/>
          <w:sz w:val="24"/>
          <w:szCs w:val="24"/>
        </w:rPr>
        <w:t>organisation</w:t>
      </w:r>
      <w:proofErr w:type="spellEnd"/>
      <w:r w:rsidRPr="004C360C">
        <w:rPr>
          <w:rFonts w:cs="Arial"/>
          <w:color w:val="000000" w:themeColor="text1"/>
          <w:sz w:val="24"/>
          <w:szCs w:val="24"/>
        </w:rPr>
        <w:t xml:space="preserve"> no matter what sector they fall under.</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lastRenderedPageBreak/>
        <w:t xml:space="preserve">The CIPD state that ‘human capital is often referred to as a business’ most important asset’ </w:t>
      </w:r>
      <w:r w:rsidRPr="004C360C">
        <w:rPr>
          <w:rFonts w:cs="Arial"/>
          <w:color w:val="000000" w:themeColor="text1"/>
          <w:sz w:val="24"/>
          <w:szCs w:val="24"/>
        </w:rPr>
        <w:tab/>
        <w:t xml:space="preserve">(CIPD factsheet 20/02/2020) with this in mind it is important to examine how the </w:t>
      </w:r>
      <w:proofErr w:type="spellStart"/>
      <w:r w:rsidRPr="004C360C">
        <w:rPr>
          <w:rFonts w:cs="Arial"/>
          <w:color w:val="000000" w:themeColor="text1"/>
          <w:sz w:val="24"/>
          <w:szCs w:val="24"/>
        </w:rPr>
        <w:t>organisational</w:t>
      </w:r>
      <w:proofErr w:type="spellEnd"/>
      <w:r w:rsidRPr="004C360C">
        <w:rPr>
          <w:rFonts w:cs="Arial"/>
          <w:color w:val="000000" w:themeColor="text1"/>
          <w:sz w:val="24"/>
          <w:szCs w:val="24"/>
        </w:rPr>
        <w:t xml:space="preserve"> strategy links with the HR strategy, this can be done by using the approaches examined below.</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 xml:space="preserve">There are 3 different approaches that a company can take when developing HR strategies to meet the needs of the overall </w:t>
      </w:r>
      <w:proofErr w:type="spellStart"/>
      <w:r w:rsidRPr="004C360C">
        <w:rPr>
          <w:rFonts w:cs="Arial"/>
          <w:color w:val="000000" w:themeColor="text1"/>
          <w:sz w:val="24"/>
          <w:szCs w:val="24"/>
        </w:rPr>
        <w:t>organisational</w:t>
      </w:r>
      <w:proofErr w:type="spellEnd"/>
      <w:r w:rsidRPr="004C360C">
        <w:rPr>
          <w:rFonts w:cs="Arial"/>
          <w:color w:val="000000" w:themeColor="text1"/>
          <w:sz w:val="24"/>
          <w:szCs w:val="24"/>
        </w:rPr>
        <w:t xml:space="preserve"> strategy, they are:</w:t>
      </w:r>
    </w:p>
    <w:p w:rsidR="004C360C" w:rsidRDefault="004C360C" w:rsidP="004C360C">
      <w:pPr>
        <w:pStyle w:val="ListParagraph"/>
        <w:numPr>
          <w:ilvl w:val="0"/>
          <w:numId w:val="4"/>
        </w:numPr>
        <w:rPr>
          <w:rFonts w:ascii="Arial" w:hAnsi="Arial" w:cs="Arial"/>
          <w:sz w:val="24"/>
          <w:szCs w:val="24"/>
        </w:rPr>
      </w:pPr>
      <w:r>
        <w:rPr>
          <w:rFonts w:ascii="Arial" w:hAnsi="Arial" w:cs="Arial"/>
          <w:sz w:val="24"/>
          <w:szCs w:val="24"/>
        </w:rPr>
        <w:t>Rational/classical</w:t>
      </w:r>
    </w:p>
    <w:p w:rsidR="004C360C" w:rsidRPr="004C360C" w:rsidRDefault="004C360C" w:rsidP="004C360C">
      <w:pPr>
        <w:pStyle w:val="ListParagraph"/>
        <w:numPr>
          <w:ilvl w:val="0"/>
          <w:numId w:val="4"/>
        </w:numPr>
        <w:rPr>
          <w:rFonts w:ascii="Arial" w:hAnsi="Arial" w:cs="Arial"/>
          <w:color w:val="000000" w:themeColor="text1"/>
          <w:sz w:val="24"/>
          <w:szCs w:val="24"/>
        </w:rPr>
      </w:pPr>
      <w:r>
        <w:rPr>
          <w:rFonts w:ascii="Arial" w:hAnsi="Arial" w:cs="Arial"/>
          <w:sz w:val="24"/>
          <w:szCs w:val="24"/>
        </w:rPr>
        <w:t>Emergent/</w:t>
      </w:r>
      <w:r w:rsidRPr="004C360C">
        <w:rPr>
          <w:rFonts w:ascii="Arial" w:hAnsi="Arial" w:cs="Arial"/>
          <w:color w:val="000000" w:themeColor="text1"/>
          <w:sz w:val="24"/>
          <w:szCs w:val="24"/>
        </w:rPr>
        <w:t>logical incrementalism</w:t>
      </w:r>
    </w:p>
    <w:p w:rsidR="004C360C" w:rsidRPr="004C360C" w:rsidRDefault="004C360C" w:rsidP="004C360C">
      <w:pPr>
        <w:pStyle w:val="ListParagraph"/>
        <w:numPr>
          <w:ilvl w:val="0"/>
          <w:numId w:val="4"/>
        </w:numPr>
        <w:rPr>
          <w:rFonts w:ascii="Arial" w:hAnsi="Arial" w:cs="Arial"/>
          <w:color w:val="000000" w:themeColor="text1"/>
          <w:sz w:val="24"/>
          <w:szCs w:val="24"/>
        </w:rPr>
      </w:pPr>
      <w:r w:rsidRPr="004C360C">
        <w:rPr>
          <w:rFonts w:ascii="Arial" w:hAnsi="Arial" w:cs="Arial"/>
          <w:color w:val="000000" w:themeColor="text1"/>
          <w:sz w:val="24"/>
          <w:szCs w:val="24"/>
        </w:rPr>
        <w:t>Symbolic/radical</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All of these methods are carried out at senior management level.</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 xml:space="preserve">The rational/classical approach is based on continually using various analysis techniques to enable the </w:t>
      </w:r>
      <w:proofErr w:type="spellStart"/>
      <w:r w:rsidRPr="004C360C">
        <w:rPr>
          <w:rFonts w:cs="Arial"/>
          <w:color w:val="000000" w:themeColor="text1"/>
          <w:sz w:val="24"/>
          <w:szCs w:val="24"/>
        </w:rPr>
        <w:t>organisation</w:t>
      </w:r>
      <w:proofErr w:type="spellEnd"/>
      <w:r w:rsidRPr="004C360C">
        <w:rPr>
          <w:rFonts w:cs="Arial"/>
          <w:color w:val="000000" w:themeColor="text1"/>
          <w:sz w:val="24"/>
          <w:szCs w:val="24"/>
        </w:rPr>
        <w:t xml:space="preserve"> to re-evaluate the objectives set in order to achieve them.</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 xml:space="preserve">The emergent/logical incrementalism approach was developed by James Quinn (1980) who identified that different factors occur which requires an </w:t>
      </w:r>
      <w:proofErr w:type="spellStart"/>
      <w:r w:rsidRPr="004C360C">
        <w:rPr>
          <w:rFonts w:cs="Arial"/>
          <w:color w:val="000000" w:themeColor="text1"/>
          <w:sz w:val="24"/>
          <w:szCs w:val="24"/>
        </w:rPr>
        <w:t>organisations</w:t>
      </w:r>
      <w:proofErr w:type="spellEnd"/>
      <w:r w:rsidRPr="004C360C">
        <w:rPr>
          <w:rFonts w:cs="Arial"/>
          <w:color w:val="000000" w:themeColor="text1"/>
          <w:sz w:val="24"/>
          <w:szCs w:val="24"/>
        </w:rPr>
        <w:t xml:space="preserve"> to revise their strategies, and can be a case of ‘trial and error’, and does tend to rely on the workforce as a whole working together to achieve the goals.</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 xml:space="preserve">The symbolic/radical approach consists of an </w:t>
      </w:r>
      <w:proofErr w:type="spellStart"/>
      <w:r w:rsidRPr="004C360C">
        <w:rPr>
          <w:rFonts w:cs="Arial"/>
          <w:color w:val="000000" w:themeColor="text1"/>
          <w:sz w:val="24"/>
          <w:szCs w:val="24"/>
        </w:rPr>
        <w:t>organisation</w:t>
      </w:r>
      <w:proofErr w:type="spellEnd"/>
      <w:r w:rsidRPr="004C360C">
        <w:rPr>
          <w:rFonts w:cs="Arial"/>
          <w:color w:val="000000" w:themeColor="text1"/>
          <w:sz w:val="24"/>
          <w:szCs w:val="24"/>
        </w:rPr>
        <w:t xml:space="preserve"> developing strategies after trying a variety of methods to see what works best for them.  </w:t>
      </w:r>
      <w:proofErr w:type="spellStart"/>
      <w:r w:rsidRPr="004C360C">
        <w:rPr>
          <w:rFonts w:cs="Arial"/>
          <w:color w:val="000000" w:themeColor="text1"/>
          <w:sz w:val="24"/>
          <w:szCs w:val="24"/>
        </w:rPr>
        <w:t>Mintzberg</w:t>
      </w:r>
      <w:proofErr w:type="spellEnd"/>
      <w:r w:rsidRPr="004C360C">
        <w:rPr>
          <w:rFonts w:cs="Arial"/>
          <w:color w:val="000000" w:themeColor="text1"/>
          <w:sz w:val="24"/>
          <w:szCs w:val="24"/>
        </w:rPr>
        <w:t xml:space="preserve"> (1994) suggests that ‘the key variables are the complexity of the </w:t>
      </w:r>
      <w:proofErr w:type="spellStart"/>
      <w:r w:rsidRPr="004C360C">
        <w:rPr>
          <w:rFonts w:cs="Arial"/>
          <w:color w:val="000000" w:themeColor="text1"/>
          <w:sz w:val="24"/>
          <w:szCs w:val="24"/>
        </w:rPr>
        <w:t>organisation</w:t>
      </w:r>
      <w:proofErr w:type="spellEnd"/>
      <w:r w:rsidRPr="004C360C">
        <w:rPr>
          <w:rFonts w:cs="Arial"/>
          <w:color w:val="000000" w:themeColor="text1"/>
          <w:sz w:val="24"/>
          <w:szCs w:val="24"/>
        </w:rPr>
        <w:t xml:space="preserve"> and its environment and the rate of change in that environment’, for this reason he devised a contingency model which can be used by an </w:t>
      </w:r>
      <w:proofErr w:type="spellStart"/>
      <w:r w:rsidRPr="004C360C">
        <w:rPr>
          <w:rFonts w:cs="Arial"/>
          <w:color w:val="000000" w:themeColor="text1"/>
          <w:sz w:val="24"/>
          <w:szCs w:val="24"/>
        </w:rPr>
        <w:t>organisation</w:t>
      </w:r>
      <w:proofErr w:type="spellEnd"/>
      <w:r w:rsidRPr="004C360C">
        <w:rPr>
          <w:rFonts w:cs="Arial"/>
          <w:color w:val="000000" w:themeColor="text1"/>
          <w:sz w:val="24"/>
          <w:szCs w:val="24"/>
        </w:rPr>
        <w:t xml:space="preserve"> to determine which of the three approaches will suit the </w:t>
      </w:r>
      <w:proofErr w:type="spellStart"/>
      <w:r w:rsidRPr="004C360C">
        <w:rPr>
          <w:rFonts w:cs="Arial"/>
          <w:color w:val="000000" w:themeColor="text1"/>
          <w:sz w:val="24"/>
          <w:szCs w:val="24"/>
        </w:rPr>
        <w:t>organisation</w:t>
      </w:r>
      <w:proofErr w:type="spellEnd"/>
      <w:r w:rsidRPr="004C360C">
        <w:rPr>
          <w:rFonts w:cs="Arial"/>
          <w:color w:val="000000" w:themeColor="text1"/>
          <w:sz w:val="24"/>
          <w:szCs w:val="24"/>
        </w:rPr>
        <w:t xml:space="preserve"> at that point in time when developing the strategies.  Although from his research </w:t>
      </w:r>
      <w:proofErr w:type="spellStart"/>
      <w:r w:rsidRPr="004C360C">
        <w:rPr>
          <w:rFonts w:cs="Arial"/>
          <w:color w:val="000000" w:themeColor="text1"/>
          <w:sz w:val="24"/>
          <w:szCs w:val="24"/>
        </w:rPr>
        <w:t>Mintzberg</w:t>
      </w:r>
      <w:proofErr w:type="spellEnd"/>
      <w:r w:rsidRPr="004C360C">
        <w:rPr>
          <w:rFonts w:cs="Arial"/>
          <w:color w:val="000000" w:themeColor="text1"/>
          <w:sz w:val="24"/>
          <w:szCs w:val="24"/>
        </w:rPr>
        <w:t xml:space="preserve"> did identify that the rational/classical approach is proving less popular due to ‘fast changing environments’ and ‘complex </w:t>
      </w:r>
      <w:proofErr w:type="spellStart"/>
      <w:r w:rsidRPr="004C360C">
        <w:rPr>
          <w:rFonts w:cs="Arial"/>
          <w:color w:val="000000" w:themeColor="text1"/>
          <w:sz w:val="24"/>
          <w:szCs w:val="24"/>
        </w:rPr>
        <w:t>organisations’</w:t>
      </w:r>
      <w:proofErr w:type="spellEnd"/>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 xml:space="preserve">Many HR managers will use contingency thinking and contingency models to aid them when developing HR strategies in line with the </w:t>
      </w:r>
      <w:proofErr w:type="spellStart"/>
      <w:r w:rsidRPr="004C360C">
        <w:rPr>
          <w:rFonts w:cs="Arial"/>
          <w:color w:val="000000" w:themeColor="text1"/>
          <w:sz w:val="24"/>
          <w:szCs w:val="24"/>
        </w:rPr>
        <w:t>organisational</w:t>
      </w:r>
      <w:proofErr w:type="spellEnd"/>
      <w:r w:rsidRPr="004C360C">
        <w:rPr>
          <w:rFonts w:cs="Arial"/>
          <w:color w:val="000000" w:themeColor="text1"/>
          <w:sz w:val="24"/>
          <w:szCs w:val="24"/>
        </w:rPr>
        <w:t xml:space="preserve"> strategy, for the simple reason that some of the above approaches that may be used will not clearly state the strategies the </w:t>
      </w:r>
      <w:proofErr w:type="spellStart"/>
      <w:r w:rsidRPr="004C360C">
        <w:rPr>
          <w:rFonts w:cs="Arial"/>
          <w:color w:val="000000" w:themeColor="text1"/>
          <w:sz w:val="24"/>
          <w:szCs w:val="24"/>
        </w:rPr>
        <w:t>organisation</w:t>
      </w:r>
      <w:proofErr w:type="spellEnd"/>
      <w:r w:rsidRPr="004C360C">
        <w:rPr>
          <w:rFonts w:cs="Arial"/>
          <w:color w:val="000000" w:themeColor="text1"/>
          <w:sz w:val="24"/>
          <w:szCs w:val="24"/>
        </w:rPr>
        <w:t xml:space="preserve"> wish to achieve.  One such model is Porters’ 5 forces model (1985) which concentrates on 3 areas:</w:t>
      </w:r>
    </w:p>
    <w:p w:rsidR="004C360C" w:rsidRDefault="004C360C" w:rsidP="004C360C">
      <w:pPr>
        <w:pStyle w:val="ListParagraph"/>
        <w:numPr>
          <w:ilvl w:val="0"/>
          <w:numId w:val="5"/>
        </w:numPr>
        <w:rPr>
          <w:rFonts w:ascii="Arial" w:hAnsi="Arial" w:cs="Arial"/>
          <w:sz w:val="24"/>
          <w:szCs w:val="24"/>
        </w:rPr>
      </w:pPr>
      <w:r>
        <w:rPr>
          <w:rFonts w:ascii="Arial" w:hAnsi="Arial" w:cs="Arial"/>
          <w:sz w:val="24"/>
          <w:szCs w:val="24"/>
        </w:rPr>
        <w:t>Cost leadership</w:t>
      </w:r>
    </w:p>
    <w:p w:rsidR="004C360C" w:rsidRDefault="004C360C" w:rsidP="004C360C">
      <w:pPr>
        <w:pStyle w:val="ListParagraph"/>
        <w:numPr>
          <w:ilvl w:val="0"/>
          <w:numId w:val="5"/>
        </w:numPr>
        <w:rPr>
          <w:rFonts w:ascii="Arial" w:hAnsi="Arial" w:cs="Arial"/>
          <w:sz w:val="24"/>
          <w:szCs w:val="24"/>
        </w:rPr>
      </w:pPr>
      <w:r>
        <w:rPr>
          <w:rFonts w:ascii="Arial" w:hAnsi="Arial" w:cs="Arial"/>
          <w:sz w:val="24"/>
          <w:szCs w:val="24"/>
        </w:rPr>
        <w:t>Differentiation</w:t>
      </w:r>
    </w:p>
    <w:p w:rsidR="004C360C" w:rsidRPr="004C360C" w:rsidRDefault="004C360C" w:rsidP="004C360C">
      <w:pPr>
        <w:pStyle w:val="ListParagraph"/>
        <w:numPr>
          <w:ilvl w:val="0"/>
          <w:numId w:val="5"/>
        </w:numPr>
        <w:rPr>
          <w:rFonts w:ascii="Arial" w:hAnsi="Arial" w:cs="Arial"/>
          <w:color w:val="000000" w:themeColor="text1"/>
          <w:sz w:val="24"/>
          <w:szCs w:val="24"/>
        </w:rPr>
      </w:pPr>
      <w:r>
        <w:rPr>
          <w:rFonts w:ascii="Arial" w:hAnsi="Arial" w:cs="Arial"/>
          <w:sz w:val="24"/>
          <w:szCs w:val="24"/>
        </w:rPr>
        <w:t>Focus</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This has received mixed reviews over the years as Porter states that ‘</w:t>
      </w:r>
      <w:proofErr w:type="spellStart"/>
      <w:r w:rsidRPr="004C360C">
        <w:rPr>
          <w:rFonts w:cs="Arial"/>
          <w:color w:val="000000" w:themeColor="text1"/>
          <w:sz w:val="24"/>
          <w:szCs w:val="24"/>
        </w:rPr>
        <w:t>organisations</w:t>
      </w:r>
      <w:proofErr w:type="spellEnd"/>
      <w:r w:rsidRPr="004C360C">
        <w:rPr>
          <w:rFonts w:cs="Arial"/>
          <w:color w:val="000000" w:themeColor="text1"/>
          <w:sz w:val="24"/>
          <w:szCs w:val="24"/>
        </w:rPr>
        <w:t xml:space="preserve"> will not gain competitive advantage if they pursue a hybrid strategy’ (Taylor &amp; </w:t>
      </w:r>
      <w:proofErr w:type="spellStart"/>
      <w:r w:rsidRPr="004C360C">
        <w:rPr>
          <w:rFonts w:cs="Arial"/>
          <w:color w:val="000000" w:themeColor="text1"/>
          <w:sz w:val="24"/>
          <w:szCs w:val="24"/>
        </w:rPr>
        <w:t>woodhams</w:t>
      </w:r>
      <w:proofErr w:type="spellEnd"/>
      <w:r w:rsidRPr="004C360C">
        <w:rPr>
          <w:rFonts w:cs="Arial"/>
          <w:color w:val="000000" w:themeColor="text1"/>
          <w:sz w:val="24"/>
          <w:szCs w:val="24"/>
        </w:rPr>
        <w:t xml:space="preserve">, 2016 </w:t>
      </w:r>
      <w:proofErr w:type="spellStart"/>
      <w:r w:rsidRPr="004C360C">
        <w:rPr>
          <w:rFonts w:cs="Arial"/>
          <w:color w:val="000000" w:themeColor="text1"/>
          <w:sz w:val="24"/>
          <w:szCs w:val="24"/>
        </w:rPr>
        <w:t>pg</w:t>
      </w:r>
      <w:proofErr w:type="spellEnd"/>
      <w:r w:rsidRPr="004C360C">
        <w:rPr>
          <w:rFonts w:cs="Arial"/>
          <w:color w:val="000000" w:themeColor="text1"/>
          <w:sz w:val="24"/>
          <w:szCs w:val="24"/>
        </w:rPr>
        <w:t xml:space="preserve"> 61), by following the 3 areas above, HR managers may find it a challenge to devise a HR strategy in line with the </w:t>
      </w:r>
      <w:proofErr w:type="spellStart"/>
      <w:r w:rsidRPr="004C360C">
        <w:rPr>
          <w:rFonts w:cs="Arial"/>
          <w:color w:val="000000" w:themeColor="text1"/>
          <w:sz w:val="24"/>
          <w:szCs w:val="24"/>
        </w:rPr>
        <w:t>organisational</w:t>
      </w:r>
      <w:proofErr w:type="spellEnd"/>
      <w:r w:rsidRPr="004C360C">
        <w:rPr>
          <w:rFonts w:cs="Arial"/>
          <w:color w:val="000000" w:themeColor="text1"/>
          <w:sz w:val="24"/>
          <w:szCs w:val="24"/>
        </w:rPr>
        <w:t xml:space="preserve"> strategy, as focusing on cost could have a negative result when HR managers are attempting to recruit effectively.  Companies could also consider other contingency models such as:</w:t>
      </w:r>
    </w:p>
    <w:p w:rsidR="004C360C" w:rsidRDefault="004C360C" w:rsidP="004C360C">
      <w:pPr>
        <w:pStyle w:val="ListParagraph"/>
        <w:numPr>
          <w:ilvl w:val="0"/>
          <w:numId w:val="6"/>
        </w:numPr>
        <w:rPr>
          <w:rFonts w:ascii="Arial" w:hAnsi="Arial" w:cs="Arial"/>
          <w:sz w:val="24"/>
          <w:szCs w:val="24"/>
        </w:rPr>
      </w:pPr>
      <w:r>
        <w:rPr>
          <w:rFonts w:ascii="Arial" w:hAnsi="Arial" w:cs="Arial"/>
          <w:sz w:val="24"/>
          <w:szCs w:val="24"/>
        </w:rPr>
        <w:lastRenderedPageBreak/>
        <w:t>Boston Consulting Model</w:t>
      </w:r>
    </w:p>
    <w:p w:rsidR="004C360C" w:rsidRDefault="004C360C" w:rsidP="004C360C">
      <w:pPr>
        <w:pStyle w:val="ListParagraph"/>
        <w:numPr>
          <w:ilvl w:val="0"/>
          <w:numId w:val="6"/>
        </w:numPr>
        <w:rPr>
          <w:rFonts w:ascii="Arial" w:hAnsi="Arial" w:cs="Arial"/>
          <w:sz w:val="24"/>
          <w:szCs w:val="24"/>
        </w:rPr>
      </w:pPr>
      <w:r>
        <w:rPr>
          <w:rFonts w:ascii="Arial" w:hAnsi="Arial" w:cs="Arial"/>
          <w:sz w:val="24"/>
          <w:szCs w:val="24"/>
        </w:rPr>
        <w:t>Miles and Snow Business Strategy</w:t>
      </w:r>
    </w:p>
    <w:p w:rsidR="004C360C" w:rsidRDefault="004C360C" w:rsidP="004C360C">
      <w:pPr>
        <w:rPr>
          <w:rFonts w:cs="Arial"/>
          <w:color w:val="333333"/>
          <w:sz w:val="24"/>
          <w:szCs w:val="24"/>
          <w:shd w:val="clear" w:color="auto" w:fill="FFFFFF"/>
        </w:rPr>
      </w:pPr>
      <w:r w:rsidRPr="004C360C">
        <w:rPr>
          <w:rFonts w:cs="Arial"/>
          <w:color w:val="000000" w:themeColor="text1"/>
          <w:sz w:val="24"/>
          <w:szCs w:val="24"/>
        </w:rPr>
        <w:t xml:space="preserve">However, these models are often seen as one dimensional when developing strategies, another approach from contingency thinking that could be used is resource based thinking which looks at what makes a business unique and sets it apart from its competitors, a definition of this provided by IGI Global is </w:t>
      </w:r>
      <w:r>
        <w:rPr>
          <w:rFonts w:cs="Arial"/>
          <w:sz w:val="24"/>
          <w:szCs w:val="24"/>
        </w:rPr>
        <w:t>“</w:t>
      </w:r>
      <w:r w:rsidRPr="00561556">
        <w:rPr>
          <w:rFonts w:cs="Arial"/>
          <w:color w:val="333333"/>
          <w:sz w:val="24"/>
          <w:szCs w:val="24"/>
          <w:shd w:val="clear" w:color="auto" w:fill="FFFFFF"/>
        </w:rPr>
        <w:t>The </w:t>
      </w:r>
      <w:r w:rsidRPr="00C218AD">
        <w:rPr>
          <w:rFonts w:cs="Arial"/>
          <w:bCs/>
          <w:color w:val="333333"/>
          <w:sz w:val="24"/>
          <w:szCs w:val="24"/>
          <w:shd w:val="clear" w:color="auto" w:fill="FFFFFF"/>
        </w:rPr>
        <w:t>resource-based view</w:t>
      </w:r>
      <w:r w:rsidRPr="00C218AD">
        <w:rPr>
          <w:rFonts w:cs="Arial"/>
          <w:color w:val="333333"/>
          <w:sz w:val="24"/>
          <w:szCs w:val="24"/>
          <w:shd w:val="clear" w:color="auto" w:fill="FFFFFF"/>
        </w:rPr>
        <w:t> (</w:t>
      </w:r>
      <w:r w:rsidRPr="00C218AD">
        <w:rPr>
          <w:rFonts w:cs="Arial"/>
          <w:bCs/>
          <w:color w:val="333333"/>
          <w:sz w:val="24"/>
          <w:szCs w:val="24"/>
          <w:shd w:val="clear" w:color="auto" w:fill="FFFFFF"/>
        </w:rPr>
        <w:t>RBV</w:t>
      </w:r>
      <w:r w:rsidRPr="00C218AD">
        <w:rPr>
          <w:rFonts w:cs="Arial"/>
          <w:color w:val="333333"/>
          <w:sz w:val="24"/>
          <w:szCs w:val="24"/>
          <w:shd w:val="clear" w:color="auto" w:fill="FFFFFF"/>
        </w:rPr>
        <w:t>)</w:t>
      </w:r>
      <w:r w:rsidRPr="00561556">
        <w:rPr>
          <w:rFonts w:cs="Arial"/>
          <w:color w:val="333333"/>
          <w:sz w:val="24"/>
          <w:szCs w:val="24"/>
          <w:shd w:val="clear" w:color="auto" w:fill="FFFFFF"/>
        </w:rPr>
        <w:t xml:space="preserve"> is a managerial framework used to determine the strategic resources a firm can exploit to achieve sustainable competitive advantage</w:t>
      </w:r>
      <w:r>
        <w:rPr>
          <w:rFonts w:cs="Arial"/>
          <w:color w:val="333333"/>
          <w:sz w:val="24"/>
          <w:szCs w:val="24"/>
          <w:shd w:val="clear" w:color="auto" w:fill="FFFFFF"/>
        </w:rPr>
        <w:t>”.  It focuses on ‘inside out thinking’ rather than ‘outside in thinking’.  Barney (1991) suggests that focus should be placed on the understanding of the following four areas:</w:t>
      </w:r>
    </w:p>
    <w:p w:rsidR="004C360C" w:rsidRDefault="004C360C" w:rsidP="004C360C">
      <w:pPr>
        <w:pStyle w:val="ListParagraph"/>
        <w:numPr>
          <w:ilvl w:val="0"/>
          <w:numId w:val="7"/>
        </w:numPr>
        <w:rPr>
          <w:rFonts w:ascii="Arial" w:hAnsi="Arial" w:cs="Arial"/>
          <w:sz w:val="24"/>
          <w:szCs w:val="24"/>
        </w:rPr>
      </w:pPr>
      <w:r>
        <w:rPr>
          <w:rFonts w:ascii="Arial" w:hAnsi="Arial" w:cs="Arial"/>
          <w:sz w:val="24"/>
          <w:szCs w:val="24"/>
        </w:rPr>
        <w:t>Valuable</w:t>
      </w:r>
    </w:p>
    <w:p w:rsidR="004C360C" w:rsidRDefault="004C360C" w:rsidP="004C360C">
      <w:pPr>
        <w:pStyle w:val="ListParagraph"/>
        <w:numPr>
          <w:ilvl w:val="0"/>
          <w:numId w:val="7"/>
        </w:numPr>
        <w:rPr>
          <w:rFonts w:ascii="Arial" w:hAnsi="Arial" w:cs="Arial"/>
          <w:sz w:val="24"/>
          <w:szCs w:val="24"/>
        </w:rPr>
      </w:pPr>
      <w:r>
        <w:rPr>
          <w:rFonts w:ascii="Arial" w:hAnsi="Arial" w:cs="Arial"/>
          <w:sz w:val="24"/>
          <w:szCs w:val="24"/>
        </w:rPr>
        <w:t>Rare</w:t>
      </w:r>
    </w:p>
    <w:p w:rsidR="004C360C" w:rsidRDefault="004C360C" w:rsidP="004C360C">
      <w:pPr>
        <w:pStyle w:val="ListParagraph"/>
        <w:numPr>
          <w:ilvl w:val="0"/>
          <w:numId w:val="7"/>
        </w:numPr>
        <w:rPr>
          <w:rFonts w:ascii="Arial" w:hAnsi="Arial" w:cs="Arial"/>
          <w:sz w:val="24"/>
          <w:szCs w:val="24"/>
        </w:rPr>
      </w:pPr>
      <w:r>
        <w:rPr>
          <w:rFonts w:ascii="Arial" w:hAnsi="Arial" w:cs="Arial"/>
          <w:sz w:val="24"/>
          <w:szCs w:val="24"/>
        </w:rPr>
        <w:t>Inimitable</w:t>
      </w:r>
    </w:p>
    <w:p w:rsidR="004C360C" w:rsidRPr="004C360C" w:rsidRDefault="004C360C" w:rsidP="004C360C">
      <w:pPr>
        <w:pStyle w:val="ListParagraph"/>
        <w:numPr>
          <w:ilvl w:val="0"/>
          <w:numId w:val="7"/>
        </w:numPr>
        <w:rPr>
          <w:rFonts w:ascii="Arial" w:hAnsi="Arial" w:cs="Arial"/>
          <w:color w:val="000000" w:themeColor="text1"/>
          <w:sz w:val="24"/>
          <w:szCs w:val="24"/>
        </w:rPr>
      </w:pPr>
      <w:r w:rsidRPr="004C360C">
        <w:rPr>
          <w:rFonts w:ascii="Arial" w:hAnsi="Arial" w:cs="Arial"/>
          <w:color w:val="000000" w:themeColor="text1"/>
          <w:sz w:val="24"/>
          <w:szCs w:val="24"/>
        </w:rPr>
        <w:t>Non-substitutable</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 xml:space="preserve">The final approach that HR managers could use when aligning the HR strategy with the </w:t>
      </w:r>
      <w:proofErr w:type="spellStart"/>
      <w:r w:rsidRPr="004C360C">
        <w:rPr>
          <w:rFonts w:cs="Arial"/>
          <w:color w:val="000000" w:themeColor="text1"/>
          <w:sz w:val="24"/>
          <w:szCs w:val="24"/>
        </w:rPr>
        <w:t>organisational</w:t>
      </w:r>
      <w:proofErr w:type="spellEnd"/>
      <w:r w:rsidRPr="004C360C">
        <w:rPr>
          <w:rFonts w:cs="Arial"/>
          <w:color w:val="000000" w:themeColor="text1"/>
          <w:sz w:val="24"/>
          <w:szCs w:val="24"/>
        </w:rPr>
        <w:t xml:space="preserve"> strategy is horizontal/vertical integration, they both have different functions – vertical alignment relates directly to the goals required to achieve the </w:t>
      </w:r>
      <w:proofErr w:type="spellStart"/>
      <w:r w:rsidRPr="004C360C">
        <w:rPr>
          <w:rFonts w:cs="Arial"/>
          <w:color w:val="000000" w:themeColor="text1"/>
          <w:sz w:val="24"/>
          <w:szCs w:val="24"/>
        </w:rPr>
        <w:t>organisation</w:t>
      </w:r>
      <w:proofErr w:type="spellEnd"/>
      <w:r w:rsidRPr="004C360C">
        <w:rPr>
          <w:rFonts w:cs="Arial"/>
          <w:color w:val="000000" w:themeColor="text1"/>
          <w:sz w:val="24"/>
          <w:szCs w:val="24"/>
        </w:rPr>
        <w:t xml:space="preserve"> strategy, whereas the horizontal element focuses on all strategies working as one, as confirmed by </w:t>
      </w:r>
      <w:proofErr w:type="spellStart"/>
      <w:r w:rsidRPr="004C360C">
        <w:rPr>
          <w:rFonts w:cs="Arial"/>
          <w:color w:val="000000" w:themeColor="text1"/>
          <w:sz w:val="24"/>
          <w:szCs w:val="24"/>
        </w:rPr>
        <w:t>Delery</w:t>
      </w:r>
      <w:proofErr w:type="spellEnd"/>
      <w:r w:rsidRPr="004C360C">
        <w:rPr>
          <w:rFonts w:cs="Arial"/>
          <w:color w:val="000000" w:themeColor="text1"/>
          <w:sz w:val="24"/>
          <w:szCs w:val="24"/>
        </w:rPr>
        <w:t xml:space="preserve"> and Doty (1996):  ‘In order to be effective, an </w:t>
      </w:r>
      <w:proofErr w:type="spellStart"/>
      <w:r w:rsidRPr="004C360C">
        <w:rPr>
          <w:rFonts w:cs="Arial"/>
          <w:color w:val="000000" w:themeColor="text1"/>
          <w:sz w:val="24"/>
          <w:szCs w:val="24"/>
        </w:rPr>
        <w:t>organisation</w:t>
      </w:r>
      <w:proofErr w:type="spellEnd"/>
      <w:r w:rsidRPr="004C360C">
        <w:rPr>
          <w:rFonts w:cs="Arial"/>
          <w:color w:val="000000" w:themeColor="text1"/>
          <w:sz w:val="24"/>
          <w:szCs w:val="24"/>
        </w:rPr>
        <w:t xml:space="preserve"> must develop an HR system that achieves both horizontal and vertical fit. Horizontal fit refers to the internal consistency of the </w:t>
      </w:r>
      <w:proofErr w:type="spellStart"/>
      <w:r w:rsidRPr="004C360C">
        <w:rPr>
          <w:rFonts w:cs="Arial"/>
          <w:color w:val="000000" w:themeColor="text1"/>
          <w:sz w:val="24"/>
          <w:szCs w:val="24"/>
        </w:rPr>
        <w:t>organisation’s</w:t>
      </w:r>
      <w:proofErr w:type="spellEnd"/>
      <w:r w:rsidRPr="004C360C">
        <w:rPr>
          <w:rFonts w:cs="Arial"/>
          <w:color w:val="000000" w:themeColor="text1"/>
          <w:sz w:val="24"/>
          <w:szCs w:val="24"/>
        </w:rPr>
        <w:t xml:space="preserve"> HR policies or practices, and vertical fit refers to the congruence of the HR system with other </w:t>
      </w:r>
      <w:proofErr w:type="spellStart"/>
      <w:r w:rsidRPr="004C360C">
        <w:rPr>
          <w:rFonts w:cs="Arial"/>
          <w:color w:val="000000" w:themeColor="text1"/>
          <w:sz w:val="24"/>
          <w:szCs w:val="24"/>
        </w:rPr>
        <w:t>organisational</w:t>
      </w:r>
      <w:proofErr w:type="spellEnd"/>
      <w:r w:rsidRPr="004C360C">
        <w:rPr>
          <w:rFonts w:cs="Arial"/>
          <w:color w:val="000000" w:themeColor="text1"/>
          <w:sz w:val="24"/>
          <w:szCs w:val="24"/>
        </w:rPr>
        <w:t xml:space="preserve"> characteristics such as firm strategy. An ideal configuration would be one with the highest degree of horizontal fit.’ IES report, (February 2019)</w:t>
      </w:r>
    </w:p>
    <w:p w:rsidR="004C360C" w:rsidRDefault="004C360C" w:rsidP="004C360C">
      <w:pPr>
        <w:rPr>
          <w:rFonts w:cs="Arial"/>
          <w:sz w:val="24"/>
          <w:szCs w:val="24"/>
        </w:rPr>
      </w:pPr>
    </w:p>
    <w:p w:rsidR="004C360C" w:rsidRDefault="004C360C" w:rsidP="004C360C">
      <w:pPr>
        <w:rPr>
          <w:rFonts w:cs="Arial"/>
          <w:sz w:val="24"/>
          <w:szCs w:val="24"/>
        </w:rPr>
      </w:pPr>
    </w:p>
    <w:p w:rsidR="004C360C" w:rsidRDefault="004C360C" w:rsidP="004C360C">
      <w:pPr>
        <w:rPr>
          <w:rFonts w:cs="Arial"/>
          <w:sz w:val="24"/>
          <w:szCs w:val="24"/>
        </w:rPr>
      </w:pP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 xml:space="preserve">The </w:t>
      </w:r>
      <w:proofErr w:type="spellStart"/>
      <w:r w:rsidRPr="004C360C">
        <w:rPr>
          <w:rFonts w:cs="Arial"/>
          <w:color w:val="000000" w:themeColor="text1"/>
          <w:sz w:val="24"/>
          <w:szCs w:val="24"/>
        </w:rPr>
        <w:t>organisation</w:t>
      </w:r>
      <w:proofErr w:type="spellEnd"/>
      <w:r w:rsidRPr="004C360C">
        <w:rPr>
          <w:rFonts w:cs="Arial"/>
          <w:color w:val="000000" w:themeColor="text1"/>
          <w:sz w:val="24"/>
          <w:szCs w:val="24"/>
        </w:rPr>
        <w:t xml:space="preserve"> selected for PESTLE and SWOT analysis is Pembrokeshire County Council. </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 xml:space="preserve">The recent pandemic has had a major impact on many of the services provided by the Local Authority such as social services and education, added with Brexit and how this will affect much of the funding for various </w:t>
      </w:r>
      <w:proofErr w:type="spellStart"/>
      <w:r w:rsidRPr="004C360C">
        <w:rPr>
          <w:rFonts w:cs="Arial"/>
          <w:color w:val="000000" w:themeColor="text1"/>
          <w:sz w:val="24"/>
          <w:szCs w:val="24"/>
        </w:rPr>
        <w:t>programmes</w:t>
      </w:r>
      <w:proofErr w:type="spellEnd"/>
      <w:r w:rsidRPr="004C360C">
        <w:rPr>
          <w:rFonts w:cs="Arial"/>
          <w:color w:val="000000" w:themeColor="text1"/>
          <w:sz w:val="24"/>
          <w:szCs w:val="24"/>
        </w:rPr>
        <w:t xml:space="preserve"> delivered by the Authority to the community.</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 xml:space="preserve">From evaluating the two analysis techniques used it is evident that the global threats from the coronavirus pandemic and Brexit have had a major impact on the Authority’s HR function.  </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lastRenderedPageBreak/>
        <w:t xml:space="preserve">The main political factor affecting the Authority will be Brexit as a lot of the community projects introduced by the Authority have been funded through European grants, the Authority will need to consider how these projects will be financed going forward?  This will have a direct impact on the economic element of the analysis due to budget constraints already faced by the Local Authority. </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New legislation being brought into force such as ‘The Health Protection (coronavirus restrictions) (No 5) (Wales) Regulations 2020’, will require the HR practitioners to incorporate this into policies already in existence whilst still being able to meet the objectives for the Authority.</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When examining the social section of the analysis it is evident that the ageing population within the Authority’s catchment will increase the pressure already faced by the Social Services team.  Staff members will also be looking to achieve a work-life balance that suits them.</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 xml:space="preserve">Use of technology is going to be a driving force in how </w:t>
      </w:r>
      <w:proofErr w:type="spellStart"/>
      <w:r w:rsidRPr="004C360C">
        <w:rPr>
          <w:rFonts w:cs="Arial"/>
          <w:color w:val="000000" w:themeColor="text1"/>
          <w:sz w:val="24"/>
          <w:szCs w:val="24"/>
        </w:rPr>
        <w:t>organisations</w:t>
      </w:r>
      <w:proofErr w:type="spellEnd"/>
      <w:r w:rsidRPr="004C360C">
        <w:rPr>
          <w:rFonts w:cs="Arial"/>
          <w:color w:val="000000" w:themeColor="text1"/>
          <w:sz w:val="24"/>
          <w:szCs w:val="24"/>
        </w:rPr>
        <w:t xml:space="preserve"> operate going forward, especially as the ongoing global pandemic has forced companies such as Pembrokeshire County Council to speed up the implementation of new </w:t>
      </w:r>
      <w:proofErr w:type="spellStart"/>
      <w:r w:rsidRPr="004C360C">
        <w:rPr>
          <w:rFonts w:cs="Arial"/>
          <w:color w:val="000000" w:themeColor="text1"/>
          <w:sz w:val="24"/>
          <w:szCs w:val="24"/>
        </w:rPr>
        <w:t>programmes</w:t>
      </w:r>
      <w:proofErr w:type="spellEnd"/>
      <w:r w:rsidRPr="004C360C">
        <w:rPr>
          <w:rFonts w:cs="Arial"/>
          <w:color w:val="000000" w:themeColor="text1"/>
          <w:sz w:val="24"/>
          <w:szCs w:val="24"/>
        </w:rPr>
        <w:t xml:space="preserve"> etc.  The Authority are already working to educate sections of the community in access and use of technology systems.</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Environmentally the Authority are performing well and have continued throughout the pandemic.  The challenge in this area will be to continually review the contingency plans for any future pandemics in order to prevent the pressure currently being felt by certain departments.</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 xml:space="preserve">The pandemic forced the majority of the workforce within the Authority to work from home, which placed ongoing increased pressure on the </w:t>
      </w:r>
      <w:proofErr w:type="spellStart"/>
      <w:r w:rsidRPr="004C360C">
        <w:rPr>
          <w:rFonts w:cs="Arial"/>
          <w:color w:val="000000" w:themeColor="text1"/>
          <w:sz w:val="24"/>
          <w:szCs w:val="24"/>
        </w:rPr>
        <w:t>organisation</w:t>
      </w:r>
      <w:proofErr w:type="spellEnd"/>
      <w:r w:rsidRPr="004C360C">
        <w:rPr>
          <w:rFonts w:cs="Arial"/>
          <w:color w:val="000000" w:themeColor="text1"/>
          <w:sz w:val="24"/>
          <w:szCs w:val="24"/>
        </w:rPr>
        <w:t>. Pressures ranging from line managers ensuring all staff are following GDPR regulations, to the I.T. department providing new and updated technology, as well as tackling the threat of cyber criminals.</w:t>
      </w:r>
    </w:p>
    <w:p w:rsidR="004C360C" w:rsidRPr="004C360C" w:rsidRDefault="004C360C" w:rsidP="004C360C">
      <w:pPr>
        <w:rPr>
          <w:rFonts w:cs="Arial"/>
          <w:color w:val="000000" w:themeColor="text1"/>
          <w:sz w:val="24"/>
          <w:szCs w:val="24"/>
        </w:rPr>
      </w:pPr>
      <w:r w:rsidRPr="004C360C">
        <w:rPr>
          <w:rFonts w:cs="Arial"/>
          <w:color w:val="000000" w:themeColor="text1"/>
          <w:sz w:val="24"/>
          <w:szCs w:val="24"/>
        </w:rPr>
        <w:t>The SWOT analysis has identified that the global pandemic and Brexit are going to have a heavy impact on all services and functions provided by the Authority.  However, it is important for the Authority to build upon</w:t>
      </w:r>
      <w:r w:rsidRPr="004C360C">
        <w:rPr>
          <w:rFonts w:cs="Arial"/>
          <w:color w:val="000000" w:themeColor="text1"/>
          <w:sz w:val="28"/>
          <w:szCs w:val="28"/>
        </w:rPr>
        <w:t xml:space="preserve"> </w:t>
      </w:r>
      <w:r w:rsidRPr="004C360C">
        <w:rPr>
          <w:rFonts w:cs="Arial"/>
          <w:color w:val="000000" w:themeColor="text1"/>
          <w:sz w:val="24"/>
          <w:szCs w:val="24"/>
        </w:rPr>
        <w:t>the strengths identified to allow them to stand out from their competitors whilst looking to recruit.</w:t>
      </w:r>
    </w:p>
    <w:p w:rsidR="004C360C" w:rsidRPr="00B12BCD" w:rsidRDefault="004C360C" w:rsidP="004C360C">
      <w:pPr>
        <w:rPr>
          <w:rFonts w:cs="Arial"/>
          <w:sz w:val="24"/>
          <w:szCs w:val="24"/>
        </w:rPr>
      </w:pPr>
      <w:r w:rsidRPr="004C360C">
        <w:rPr>
          <w:rFonts w:cs="Arial"/>
          <w:color w:val="000000" w:themeColor="text1"/>
          <w:sz w:val="24"/>
          <w:szCs w:val="24"/>
        </w:rPr>
        <w:t xml:space="preserve">Both of the techniques used identified that budget constraints will hinder the Authority’s ability to attract and recruit key talent to the </w:t>
      </w:r>
      <w:proofErr w:type="spellStart"/>
      <w:r w:rsidRPr="004C360C">
        <w:rPr>
          <w:rFonts w:cs="Arial"/>
          <w:color w:val="000000" w:themeColor="text1"/>
          <w:sz w:val="24"/>
          <w:szCs w:val="24"/>
        </w:rPr>
        <w:t>organisation</w:t>
      </w:r>
      <w:proofErr w:type="spellEnd"/>
      <w:r w:rsidRPr="004C360C">
        <w:rPr>
          <w:rFonts w:cs="Arial"/>
          <w:color w:val="000000" w:themeColor="text1"/>
          <w:sz w:val="24"/>
          <w:szCs w:val="24"/>
        </w:rPr>
        <w:t>, so the HR advisors will need to work with Senior Managers and Directors to overcome this issue in order for PCC to compete with private sector companies for talent</w:t>
      </w:r>
      <w:r w:rsidRPr="00B12BCD">
        <w:rPr>
          <w:rFonts w:cs="Arial"/>
          <w:sz w:val="24"/>
          <w:szCs w:val="24"/>
        </w:rPr>
        <w:t>.</w:t>
      </w:r>
    </w:p>
    <w:p w:rsidR="004C360C" w:rsidRDefault="004C360C" w:rsidP="004C360C"/>
    <w:p w:rsidR="004C360C" w:rsidRPr="001B3EC0" w:rsidRDefault="004C360C" w:rsidP="004C360C">
      <w:pPr>
        <w:rPr>
          <w:rFonts w:cs="Arial"/>
          <w:sz w:val="24"/>
          <w:szCs w:val="24"/>
        </w:rPr>
      </w:pPr>
    </w:p>
    <w:p w:rsidR="004C360C" w:rsidRDefault="004C360C"/>
    <w:p w:rsidR="009969FB" w:rsidRDefault="009969FB"/>
    <w:p w:rsidR="009969FB" w:rsidRDefault="009969FB"/>
    <w:p w:rsidR="009969FB" w:rsidRDefault="009969FB"/>
    <w:p w:rsidR="0019377D" w:rsidRDefault="0019377D">
      <w:pPr>
        <w:suppressAutoHyphens w:val="0"/>
        <w:spacing w:after="160" w:line="259" w:lineRule="auto"/>
      </w:pPr>
      <w:r>
        <w:br w:type="page"/>
      </w:r>
    </w:p>
    <w:p w:rsidR="009969FB" w:rsidRDefault="009969FB"/>
    <w:p w:rsidR="009969FB" w:rsidRPr="009969FB" w:rsidRDefault="009969FB" w:rsidP="009969FB">
      <w:pPr>
        <w:rPr>
          <w:rFonts w:cs="Arial"/>
          <w:color w:val="000000" w:themeColor="text1"/>
        </w:rPr>
      </w:pPr>
    </w:p>
    <w:tbl>
      <w:tblPr>
        <w:tblW w:w="13480" w:type="dxa"/>
        <w:tblLook w:val="04A0" w:firstRow="1" w:lastRow="0" w:firstColumn="1" w:lastColumn="0" w:noHBand="0" w:noVBand="1"/>
      </w:tblPr>
      <w:tblGrid>
        <w:gridCol w:w="2500"/>
        <w:gridCol w:w="2620"/>
        <w:gridCol w:w="3420"/>
        <w:gridCol w:w="2380"/>
        <w:gridCol w:w="2560"/>
      </w:tblGrid>
      <w:tr w:rsidR="0019377D" w:rsidRPr="0019377D" w:rsidTr="0019377D">
        <w:trPr>
          <w:trHeight w:val="600"/>
        </w:trPr>
        <w:tc>
          <w:tcPr>
            <w:tcW w:w="250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t> </w:t>
            </w:r>
          </w:p>
        </w:tc>
        <w:tc>
          <w:tcPr>
            <w:tcW w:w="2620" w:type="dxa"/>
            <w:tcBorders>
              <w:top w:val="single" w:sz="4" w:space="0" w:color="auto"/>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t>External Factors</w:t>
            </w:r>
          </w:p>
        </w:tc>
        <w:tc>
          <w:tcPr>
            <w:tcW w:w="3420" w:type="dxa"/>
            <w:tcBorders>
              <w:top w:val="single" w:sz="4" w:space="0" w:color="auto"/>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t>Internal Factors</w:t>
            </w:r>
          </w:p>
        </w:tc>
        <w:tc>
          <w:tcPr>
            <w:tcW w:w="2380" w:type="dxa"/>
            <w:tcBorders>
              <w:top w:val="single" w:sz="4" w:space="0" w:color="auto"/>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t>Importance to organisation</w:t>
            </w:r>
          </w:p>
        </w:tc>
        <w:tc>
          <w:tcPr>
            <w:tcW w:w="2560" w:type="dxa"/>
            <w:tcBorders>
              <w:top w:val="single" w:sz="4" w:space="0" w:color="auto"/>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t>HR implications</w:t>
            </w:r>
          </w:p>
        </w:tc>
      </w:tr>
      <w:tr w:rsidR="0019377D" w:rsidRPr="0019377D" w:rsidTr="0019377D">
        <w:trPr>
          <w:trHeight w:val="510"/>
        </w:trPr>
        <w:tc>
          <w:tcPr>
            <w:tcW w:w="2500" w:type="dxa"/>
            <w:tcBorders>
              <w:top w:val="nil"/>
              <w:left w:val="single" w:sz="4" w:space="0" w:color="auto"/>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t>Political</w:t>
            </w:r>
          </w:p>
        </w:tc>
        <w:tc>
          <w:tcPr>
            <w:tcW w:w="26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Global pandemic</w:t>
            </w:r>
          </w:p>
        </w:tc>
        <w:tc>
          <w:tcPr>
            <w:tcW w:w="34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Certain departments such as Social Care pushed to breaking point.</w:t>
            </w:r>
          </w:p>
        </w:tc>
        <w:tc>
          <w:tcPr>
            <w:tcW w:w="238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High</w:t>
            </w:r>
          </w:p>
        </w:tc>
        <w:tc>
          <w:tcPr>
            <w:tcW w:w="256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proofErr w:type="spellStart"/>
            <w:r w:rsidRPr="0019377D">
              <w:rPr>
                <w:rFonts w:eastAsia="Times New Roman" w:cs="Arial"/>
                <w:color w:val="000000"/>
                <w:sz w:val="16"/>
                <w:szCs w:val="16"/>
                <w:lang w:val="en-GB" w:eastAsia="en-GB"/>
              </w:rPr>
              <w:t>Dept</w:t>
            </w:r>
            <w:proofErr w:type="spellEnd"/>
            <w:r w:rsidRPr="0019377D">
              <w:rPr>
                <w:rFonts w:eastAsia="Times New Roman" w:cs="Arial"/>
                <w:color w:val="000000"/>
                <w:sz w:val="16"/>
                <w:szCs w:val="16"/>
                <w:lang w:val="en-GB" w:eastAsia="en-GB"/>
              </w:rPr>
              <w:t xml:space="preserve"> outcomes may start to fail.</w:t>
            </w:r>
          </w:p>
        </w:tc>
      </w:tr>
      <w:tr w:rsidR="0019377D" w:rsidRPr="0019377D" w:rsidTr="0019377D">
        <w:trPr>
          <w:trHeight w:val="765"/>
        </w:trPr>
        <w:tc>
          <w:tcPr>
            <w:tcW w:w="2500" w:type="dxa"/>
            <w:tcBorders>
              <w:top w:val="nil"/>
              <w:left w:val="single" w:sz="4" w:space="0" w:color="auto"/>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t> </w:t>
            </w:r>
          </w:p>
        </w:tc>
        <w:tc>
          <w:tcPr>
            <w:tcW w:w="262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Central and Welsh Government laws, regulations &amp; policies.</w:t>
            </w:r>
          </w:p>
        </w:tc>
        <w:tc>
          <w:tcPr>
            <w:tcW w:w="342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Enforcement of new regulations set in law</w:t>
            </w:r>
          </w:p>
        </w:tc>
        <w:tc>
          <w:tcPr>
            <w:tcW w:w="238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High</w:t>
            </w:r>
          </w:p>
        </w:tc>
        <w:tc>
          <w:tcPr>
            <w:tcW w:w="256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Ratified laws clearer to understand and follow.</w:t>
            </w:r>
          </w:p>
        </w:tc>
      </w:tr>
      <w:tr w:rsidR="0019377D" w:rsidRPr="0019377D" w:rsidTr="0019377D">
        <w:trPr>
          <w:trHeight w:val="1275"/>
        </w:trPr>
        <w:tc>
          <w:tcPr>
            <w:tcW w:w="2500" w:type="dxa"/>
            <w:tcBorders>
              <w:top w:val="nil"/>
              <w:left w:val="single" w:sz="4" w:space="0" w:color="auto"/>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t>Economic</w:t>
            </w:r>
          </w:p>
        </w:tc>
        <w:tc>
          <w:tcPr>
            <w:tcW w:w="26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Austerity measures</w:t>
            </w:r>
          </w:p>
        </w:tc>
        <w:tc>
          <w:tcPr>
            <w:tcW w:w="34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Recent austerity measures have seen the Authority struggle to meet demand on services</w:t>
            </w:r>
            <w:proofErr w:type="gramStart"/>
            <w:r w:rsidRPr="0019377D">
              <w:rPr>
                <w:rFonts w:eastAsia="Times New Roman" w:cs="Arial"/>
                <w:color w:val="000000"/>
                <w:sz w:val="16"/>
                <w:szCs w:val="16"/>
                <w:lang w:val="en-GB" w:eastAsia="en-GB"/>
              </w:rPr>
              <w:t>,  the</w:t>
            </w:r>
            <w:proofErr w:type="gramEnd"/>
            <w:r w:rsidRPr="0019377D">
              <w:rPr>
                <w:rFonts w:eastAsia="Times New Roman" w:cs="Arial"/>
                <w:color w:val="000000"/>
                <w:sz w:val="16"/>
                <w:szCs w:val="16"/>
                <w:lang w:val="en-GB" w:eastAsia="en-GB"/>
              </w:rPr>
              <w:t xml:space="preserve"> recent pandemic will have increased this pressure.</w:t>
            </w:r>
          </w:p>
        </w:tc>
        <w:tc>
          <w:tcPr>
            <w:tcW w:w="238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High</w:t>
            </w:r>
          </w:p>
        </w:tc>
        <w:tc>
          <w:tcPr>
            <w:tcW w:w="256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Services may not meet goals.</w:t>
            </w:r>
          </w:p>
        </w:tc>
      </w:tr>
      <w:tr w:rsidR="0019377D" w:rsidRPr="0019377D" w:rsidTr="0019377D">
        <w:trPr>
          <w:trHeight w:val="765"/>
        </w:trPr>
        <w:tc>
          <w:tcPr>
            <w:tcW w:w="2500" w:type="dxa"/>
            <w:tcBorders>
              <w:top w:val="nil"/>
              <w:left w:val="single" w:sz="4" w:space="0" w:color="auto"/>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t> </w:t>
            </w:r>
          </w:p>
        </w:tc>
        <w:tc>
          <w:tcPr>
            <w:tcW w:w="26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Labour costs</w:t>
            </w:r>
          </w:p>
        </w:tc>
        <w:tc>
          <w:tcPr>
            <w:tcW w:w="34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Budget constraints meant that recruitment would not have been an option.</w:t>
            </w:r>
          </w:p>
        </w:tc>
        <w:tc>
          <w:tcPr>
            <w:tcW w:w="238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Medium</w:t>
            </w:r>
          </w:p>
        </w:tc>
        <w:tc>
          <w:tcPr>
            <w:tcW w:w="256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No new blood; push current development.</w:t>
            </w:r>
          </w:p>
        </w:tc>
      </w:tr>
      <w:tr w:rsidR="0019377D" w:rsidRPr="0019377D" w:rsidTr="0019377D">
        <w:trPr>
          <w:trHeight w:val="765"/>
        </w:trPr>
        <w:tc>
          <w:tcPr>
            <w:tcW w:w="2500" w:type="dxa"/>
            <w:tcBorders>
              <w:top w:val="nil"/>
              <w:left w:val="single" w:sz="4" w:space="0" w:color="auto"/>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t> </w:t>
            </w:r>
          </w:p>
        </w:tc>
        <w:tc>
          <w:tcPr>
            <w:tcW w:w="26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Welsh Government grants</w:t>
            </w:r>
          </w:p>
        </w:tc>
        <w:tc>
          <w:tcPr>
            <w:tcW w:w="34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 xml:space="preserve">The distribution of grants for self-employed businesses during the lockdown. </w:t>
            </w:r>
          </w:p>
        </w:tc>
        <w:tc>
          <w:tcPr>
            <w:tcW w:w="238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High</w:t>
            </w:r>
          </w:p>
        </w:tc>
        <w:tc>
          <w:tcPr>
            <w:tcW w:w="256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More given chance to stay solvent.</w:t>
            </w:r>
          </w:p>
        </w:tc>
      </w:tr>
      <w:tr w:rsidR="0019377D" w:rsidRPr="0019377D" w:rsidTr="0019377D">
        <w:trPr>
          <w:trHeight w:val="765"/>
        </w:trPr>
        <w:tc>
          <w:tcPr>
            <w:tcW w:w="2500" w:type="dxa"/>
            <w:tcBorders>
              <w:top w:val="nil"/>
              <w:left w:val="single" w:sz="4" w:space="0" w:color="auto"/>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t> </w:t>
            </w:r>
          </w:p>
        </w:tc>
        <w:tc>
          <w:tcPr>
            <w:tcW w:w="262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 xml:space="preserve">WG funding </w:t>
            </w:r>
          </w:p>
        </w:tc>
        <w:tc>
          <w:tcPr>
            <w:tcW w:w="342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Recruiting additional staff to meet Co-vid requirements.</w:t>
            </w:r>
          </w:p>
        </w:tc>
        <w:tc>
          <w:tcPr>
            <w:tcW w:w="238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High</w:t>
            </w:r>
          </w:p>
        </w:tc>
        <w:tc>
          <w:tcPr>
            <w:tcW w:w="256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Opportunity to cross over employees from closed businesses.</w:t>
            </w:r>
          </w:p>
        </w:tc>
      </w:tr>
      <w:tr w:rsidR="0019377D" w:rsidRPr="0019377D" w:rsidTr="0019377D">
        <w:trPr>
          <w:trHeight w:val="1096"/>
        </w:trPr>
        <w:tc>
          <w:tcPr>
            <w:tcW w:w="2500" w:type="dxa"/>
            <w:tcBorders>
              <w:top w:val="nil"/>
              <w:left w:val="single" w:sz="4" w:space="0" w:color="auto"/>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t>Social</w:t>
            </w:r>
          </w:p>
        </w:tc>
        <w:tc>
          <w:tcPr>
            <w:tcW w:w="26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Ageing population</w:t>
            </w:r>
          </w:p>
        </w:tc>
        <w:tc>
          <w:tcPr>
            <w:tcW w:w="34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The ageing population within the County in increased pressure on services offered by the Authority. Providing services for the ‘at risk’ within the community.</w:t>
            </w:r>
          </w:p>
        </w:tc>
        <w:tc>
          <w:tcPr>
            <w:tcW w:w="238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High has resulted</w:t>
            </w:r>
          </w:p>
        </w:tc>
        <w:tc>
          <w:tcPr>
            <w:tcW w:w="256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High 'at risk' proportion on the community.</w:t>
            </w:r>
          </w:p>
        </w:tc>
      </w:tr>
      <w:tr w:rsidR="0019377D" w:rsidRPr="0019377D" w:rsidTr="0019377D">
        <w:trPr>
          <w:trHeight w:val="795"/>
        </w:trPr>
        <w:tc>
          <w:tcPr>
            <w:tcW w:w="2500" w:type="dxa"/>
            <w:tcBorders>
              <w:top w:val="nil"/>
              <w:left w:val="single" w:sz="4" w:space="0" w:color="auto"/>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t> </w:t>
            </w:r>
          </w:p>
        </w:tc>
        <w:tc>
          <w:tcPr>
            <w:tcW w:w="26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Work-life balance</w:t>
            </w:r>
          </w:p>
        </w:tc>
        <w:tc>
          <w:tcPr>
            <w:tcW w:w="34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Increased investment required for employees to achieve the desired balance for each individual.</w:t>
            </w:r>
          </w:p>
        </w:tc>
        <w:tc>
          <w:tcPr>
            <w:tcW w:w="238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Medium</w:t>
            </w:r>
          </w:p>
        </w:tc>
        <w:tc>
          <w:tcPr>
            <w:tcW w:w="2560" w:type="dxa"/>
            <w:tcBorders>
              <w:top w:val="nil"/>
              <w:left w:val="nil"/>
              <w:bottom w:val="nil"/>
              <w:right w:val="single" w:sz="4" w:space="0" w:color="auto"/>
            </w:tcBorders>
            <w:shd w:val="clear" w:color="auto" w:fill="auto"/>
            <w:vAlign w:val="center"/>
            <w:hideMark/>
          </w:tcPr>
          <w:p w:rsid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Raising employee output and worth.</w:t>
            </w:r>
          </w:p>
          <w:p w:rsidR="0019377D" w:rsidRPr="0019377D" w:rsidRDefault="0019377D" w:rsidP="0019377D">
            <w:pPr>
              <w:suppressAutoHyphens w:val="0"/>
              <w:rPr>
                <w:rFonts w:eastAsia="Times New Roman" w:cs="Arial"/>
                <w:color w:val="000000"/>
                <w:sz w:val="16"/>
                <w:szCs w:val="16"/>
                <w:lang w:val="en-GB" w:eastAsia="en-GB"/>
              </w:rPr>
            </w:pPr>
          </w:p>
        </w:tc>
      </w:tr>
      <w:tr w:rsidR="0019377D" w:rsidRPr="0019377D" w:rsidTr="0019377D">
        <w:trPr>
          <w:trHeight w:val="1020"/>
        </w:trPr>
        <w:tc>
          <w:tcPr>
            <w:tcW w:w="2500" w:type="dxa"/>
            <w:tcBorders>
              <w:top w:val="nil"/>
              <w:left w:val="single" w:sz="4" w:space="0" w:color="auto"/>
              <w:bottom w:val="single" w:sz="4" w:space="0" w:color="auto"/>
              <w:right w:val="single" w:sz="4" w:space="0" w:color="auto"/>
            </w:tcBorders>
            <w:shd w:val="clear" w:color="auto" w:fill="auto"/>
            <w:vAlign w:val="center"/>
            <w:hideMark/>
          </w:tcPr>
          <w:p w:rsidR="0019377D" w:rsidRPr="0019377D" w:rsidRDefault="0019377D" w:rsidP="0019377D">
            <w:pPr>
              <w:suppressAutoHyphens w:val="0"/>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t> </w:t>
            </w:r>
          </w:p>
        </w:tc>
        <w:tc>
          <w:tcPr>
            <w:tcW w:w="262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Demographics</w:t>
            </w:r>
          </w:p>
        </w:tc>
        <w:tc>
          <w:tcPr>
            <w:tcW w:w="342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The County is made up of very rural areas increasing the challenges faced to deliver services during the pandemic.</w:t>
            </w:r>
          </w:p>
        </w:tc>
        <w:tc>
          <w:tcPr>
            <w:tcW w:w="238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High</w:t>
            </w:r>
          </w:p>
        </w:tc>
        <w:tc>
          <w:tcPr>
            <w:tcW w:w="256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Low grade transport system may hinder logistics.</w:t>
            </w:r>
          </w:p>
        </w:tc>
      </w:tr>
      <w:tr w:rsidR="0019377D" w:rsidRPr="0019377D" w:rsidTr="0019377D">
        <w:trPr>
          <w:trHeight w:val="765"/>
        </w:trPr>
        <w:tc>
          <w:tcPr>
            <w:tcW w:w="2500" w:type="dxa"/>
            <w:tcBorders>
              <w:top w:val="single" w:sz="4" w:space="0" w:color="auto"/>
              <w:left w:val="single" w:sz="4" w:space="0" w:color="auto"/>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lastRenderedPageBreak/>
              <w:t>Technological</w:t>
            </w:r>
          </w:p>
        </w:tc>
        <w:tc>
          <w:tcPr>
            <w:tcW w:w="2620" w:type="dxa"/>
            <w:tcBorders>
              <w:top w:val="single" w:sz="4" w:space="0" w:color="auto"/>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Cyber security</w:t>
            </w:r>
          </w:p>
        </w:tc>
        <w:tc>
          <w:tcPr>
            <w:tcW w:w="3420" w:type="dxa"/>
            <w:tcBorders>
              <w:top w:val="single" w:sz="4" w:space="0" w:color="auto"/>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Educating certain target groups</w:t>
            </w:r>
            <w:r w:rsidRPr="0019377D">
              <w:rPr>
                <w:rFonts w:eastAsia="Times New Roman" w:cs="Arial"/>
                <w:b/>
                <w:bCs/>
                <w:color w:val="000000"/>
                <w:sz w:val="16"/>
                <w:szCs w:val="16"/>
                <w:lang w:val="en-GB" w:eastAsia="en-GB"/>
              </w:rPr>
              <w:t xml:space="preserve"> </w:t>
            </w:r>
            <w:r w:rsidRPr="0019377D">
              <w:rPr>
                <w:rFonts w:eastAsia="Times New Roman" w:cs="Arial"/>
                <w:color w:val="000000"/>
                <w:sz w:val="16"/>
                <w:szCs w:val="16"/>
                <w:lang w:val="en-GB" w:eastAsia="en-GB"/>
              </w:rPr>
              <w:t>within our community regarding cyber security.</w:t>
            </w:r>
          </w:p>
        </w:tc>
        <w:tc>
          <w:tcPr>
            <w:tcW w:w="2380" w:type="dxa"/>
            <w:tcBorders>
              <w:top w:val="single" w:sz="4" w:space="0" w:color="auto"/>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High</w:t>
            </w:r>
          </w:p>
        </w:tc>
        <w:tc>
          <w:tcPr>
            <w:tcW w:w="2560" w:type="dxa"/>
            <w:tcBorders>
              <w:top w:val="single" w:sz="4" w:space="0" w:color="auto"/>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Helping tackle crime and health threats.</w:t>
            </w:r>
          </w:p>
        </w:tc>
      </w:tr>
      <w:tr w:rsidR="0019377D" w:rsidRPr="0019377D" w:rsidTr="0019377D">
        <w:trPr>
          <w:trHeight w:val="765"/>
        </w:trPr>
        <w:tc>
          <w:tcPr>
            <w:tcW w:w="2500" w:type="dxa"/>
            <w:tcBorders>
              <w:top w:val="nil"/>
              <w:left w:val="single" w:sz="4" w:space="0" w:color="auto"/>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t> </w:t>
            </w:r>
          </w:p>
        </w:tc>
        <w:tc>
          <w:tcPr>
            <w:tcW w:w="26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Data Protection</w:t>
            </w:r>
          </w:p>
        </w:tc>
        <w:tc>
          <w:tcPr>
            <w:tcW w:w="34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Ensuring all staff have completed E-learning module on GDPS.</w:t>
            </w:r>
          </w:p>
        </w:tc>
        <w:tc>
          <w:tcPr>
            <w:tcW w:w="238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High</w:t>
            </w:r>
          </w:p>
        </w:tc>
        <w:tc>
          <w:tcPr>
            <w:tcW w:w="256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 xml:space="preserve">Less secure premises; heightened </w:t>
            </w:r>
            <w:proofErr w:type="spellStart"/>
            <w:r w:rsidRPr="0019377D">
              <w:rPr>
                <w:rFonts w:eastAsia="Times New Roman" w:cs="Arial"/>
                <w:color w:val="000000"/>
                <w:sz w:val="16"/>
                <w:szCs w:val="16"/>
                <w:lang w:val="en-GB" w:eastAsia="en-GB"/>
              </w:rPr>
              <w:t>individiual</w:t>
            </w:r>
            <w:proofErr w:type="spellEnd"/>
            <w:r w:rsidRPr="0019377D">
              <w:rPr>
                <w:rFonts w:eastAsia="Times New Roman" w:cs="Arial"/>
                <w:color w:val="000000"/>
                <w:sz w:val="16"/>
                <w:szCs w:val="16"/>
                <w:lang w:val="en-GB" w:eastAsia="en-GB"/>
              </w:rPr>
              <w:t xml:space="preserve"> emphasis.</w:t>
            </w:r>
          </w:p>
        </w:tc>
      </w:tr>
      <w:tr w:rsidR="0019377D" w:rsidRPr="0019377D" w:rsidTr="0019377D">
        <w:trPr>
          <w:trHeight w:val="765"/>
        </w:trPr>
        <w:tc>
          <w:tcPr>
            <w:tcW w:w="2500" w:type="dxa"/>
            <w:tcBorders>
              <w:top w:val="nil"/>
              <w:left w:val="single" w:sz="4" w:space="0" w:color="auto"/>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t> </w:t>
            </w:r>
          </w:p>
        </w:tc>
        <w:tc>
          <w:tcPr>
            <w:tcW w:w="26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Increased home working</w:t>
            </w:r>
          </w:p>
        </w:tc>
        <w:tc>
          <w:tcPr>
            <w:tcW w:w="34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Continuous development of the intranet – providing more toolkits for staff</w:t>
            </w:r>
          </w:p>
        </w:tc>
        <w:tc>
          <w:tcPr>
            <w:tcW w:w="238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Medium</w:t>
            </w:r>
          </w:p>
        </w:tc>
        <w:tc>
          <w:tcPr>
            <w:tcW w:w="256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Enabling functions to maintain standards.</w:t>
            </w:r>
          </w:p>
        </w:tc>
      </w:tr>
      <w:tr w:rsidR="0019377D" w:rsidRPr="0019377D" w:rsidTr="0019377D">
        <w:trPr>
          <w:trHeight w:val="510"/>
        </w:trPr>
        <w:tc>
          <w:tcPr>
            <w:tcW w:w="2500" w:type="dxa"/>
            <w:tcBorders>
              <w:top w:val="nil"/>
              <w:left w:val="single" w:sz="4" w:space="0" w:color="auto"/>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t> </w:t>
            </w:r>
          </w:p>
        </w:tc>
        <w:tc>
          <w:tcPr>
            <w:tcW w:w="262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Availability</w:t>
            </w:r>
          </w:p>
        </w:tc>
        <w:tc>
          <w:tcPr>
            <w:tcW w:w="342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PCC working on the ‘digital connectivity programme’</w:t>
            </w:r>
          </w:p>
        </w:tc>
        <w:tc>
          <w:tcPr>
            <w:tcW w:w="238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High</w:t>
            </w:r>
          </w:p>
        </w:tc>
        <w:tc>
          <w:tcPr>
            <w:tcW w:w="256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 </w:t>
            </w:r>
          </w:p>
        </w:tc>
      </w:tr>
      <w:tr w:rsidR="0019377D" w:rsidRPr="0019377D" w:rsidTr="0019377D">
        <w:trPr>
          <w:trHeight w:val="510"/>
        </w:trPr>
        <w:tc>
          <w:tcPr>
            <w:tcW w:w="2500" w:type="dxa"/>
            <w:tcBorders>
              <w:top w:val="nil"/>
              <w:left w:val="single" w:sz="4" w:space="0" w:color="auto"/>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t>Legal</w:t>
            </w:r>
          </w:p>
        </w:tc>
        <w:tc>
          <w:tcPr>
            <w:tcW w:w="26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Employment law</w:t>
            </w:r>
          </w:p>
        </w:tc>
        <w:tc>
          <w:tcPr>
            <w:tcW w:w="34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Ensure redeployment of staff meets employment law and PCC policies.</w:t>
            </w:r>
          </w:p>
        </w:tc>
        <w:tc>
          <w:tcPr>
            <w:tcW w:w="238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High</w:t>
            </w:r>
          </w:p>
        </w:tc>
        <w:tc>
          <w:tcPr>
            <w:tcW w:w="256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ascii="Calibri" w:eastAsia="Times New Roman" w:hAnsi="Calibri"/>
                <w:color w:val="000000"/>
                <w:sz w:val="16"/>
                <w:szCs w:val="16"/>
                <w:lang w:val="en-GB" w:eastAsia="en-GB"/>
              </w:rPr>
            </w:pPr>
            <w:r w:rsidRPr="0019377D">
              <w:rPr>
                <w:rFonts w:ascii="Calibri" w:eastAsia="Times New Roman" w:hAnsi="Calibri"/>
                <w:color w:val="000000"/>
                <w:sz w:val="16"/>
                <w:szCs w:val="16"/>
                <w:lang w:val="en-GB" w:eastAsia="en-GB"/>
              </w:rPr>
              <w:t>Correct redeployment.</w:t>
            </w:r>
          </w:p>
        </w:tc>
      </w:tr>
      <w:tr w:rsidR="0019377D" w:rsidRPr="0019377D" w:rsidTr="0019377D">
        <w:trPr>
          <w:trHeight w:val="765"/>
        </w:trPr>
        <w:tc>
          <w:tcPr>
            <w:tcW w:w="2500" w:type="dxa"/>
            <w:tcBorders>
              <w:top w:val="nil"/>
              <w:left w:val="single" w:sz="4" w:space="0" w:color="auto"/>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t> </w:t>
            </w:r>
          </w:p>
        </w:tc>
        <w:tc>
          <w:tcPr>
            <w:tcW w:w="26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Furlough</w:t>
            </w:r>
          </w:p>
        </w:tc>
        <w:tc>
          <w:tcPr>
            <w:tcW w:w="34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Can staff be redeployed rather than furloughed to cover gaps elsewhere in the organisation.</w:t>
            </w:r>
          </w:p>
        </w:tc>
        <w:tc>
          <w:tcPr>
            <w:tcW w:w="238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High</w:t>
            </w:r>
          </w:p>
        </w:tc>
        <w:tc>
          <w:tcPr>
            <w:tcW w:w="256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Consideration and utilisation of staff for best fit.</w:t>
            </w:r>
          </w:p>
        </w:tc>
      </w:tr>
      <w:tr w:rsidR="0019377D" w:rsidRPr="0019377D" w:rsidTr="0019377D">
        <w:trPr>
          <w:trHeight w:val="765"/>
        </w:trPr>
        <w:tc>
          <w:tcPr>
            <w:tcW w:w="2500" w:type="dxa"/>
            <w:tcBorders>
              <w:top w:val="nil"/>
              <w:left w:val="single" w:sz="4" w:space="0" w:color="auto"/>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t> </w:t>
            </w:r>
          </w:p>
        </w:tc>
        <w:tc>
          <w:tcPr>
            <w:tcW w:w="262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Brexit – development of new legislation</w:t>
            </w:r>
          </w:p>
        </w:tc>
        <w:tc>
          <w:tcPr>
            <w:tcW w:w="342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Many community based projects receive European funding.</w:t>
            </w:r>
          </w:p>
        </w:tc>
        <w:tc>
          <w:tcPr>
            <w:tcW w:w="238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ascii="Calibri" w:eastAsia="Times New Roman" w:hAnsi="Calibri"/>
                <w:color w:val="000000"/>
                <w:sz w:val="16"/>
                <w:szCs w:val="16"/>
                <w:lang w:val="en-GB" w:eastAsia="en-GB"/>
              </w:rPr>
            </w:pPr>
            <w:r w:rsidRPr="0019377D">
              <w:rPr>
                <w:rFonts w:ascii="Calibri" w:eastAsia="Times New Roman" w:hAnsi="Calibri"/>
                <w:color w:val="000000"/>
                <w:sz w:val="16"/>
                <w:szCs w:val="16"/>
                <w:lang w:val="en-GB" w:eastAsia="en-GB"/>
              </w:rPr>
              <w:t> </w:t>
            </w:r>
          </w:p>
        </w:tc>
        <w:tc>
          <w:tcPr>
            <w:tcW w:w="256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 xml:space="preserve">Will the outcome be an end, continuation or switch of </w:t>
            </w:r>
            <w:proofErr w:type="gramStart"/>
            <w:r w:rsidRPr="0019377D">
              <w:rPr>
                <w:rFonts w:eastAsia="Times New Roman" w:cs="Arial"/>
                <w:color w:val="000000"/>
                <w:sz w:val="16"/>
                <w:szCs w:val="16"/>
                <w:lang w:val="en-GB" w:eastAsia="en-GB"/>
              </w:rPr>
              <w:t>funding.</w:t>
            </w:r>
            <w:proofErr w:type="gramEnd"/>
          </w:p>
        </w:tc>
      </w:tr>
      <w:tr w:rsidR="0019377D" w:rsidRPr="0019377D" w:rsidTr="0019377D">
        <w:trPr>
          <w:trHeight w:val="765"/>
        </w:trPr>
        <w:tc>
          <w:tcPr>
            <w:tcW w:w="2500" w:type="dxa"/>
            <w:tcBorders>
              <w:top w:val="nil"/>
              <w:left w:val="single" w:sz="4" w:space="0" w:color="auto"/>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t>Environmental</w:t>
            </w:r>
          </w:p>
        </w:tc>
        <w:tc>
          <w:tcPr>
            <w:tcW w:w="26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Future pandemics</w:t>
            </w:r>
          </w:p>
        </w:tc>
        <w:tc>
          <w:tcPr>
            <w:tcW w:w="34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Evaluate performance during Co-vid pandemic and set procedures in place for future events.</w:t>
            </w:r>
          </w:p>
        </w:tc>
        <w:tc>
          <w:tcPr>
            <w:tcW w:w="238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High</w:t>
            </w:r>
          </w:p>
        </w:tc>
        <w:tc>
          <w:tcPr>
            <w:tcW w:w="256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Future proofing</w:t>
            </w:r>
          </w:p>
        </w:tc>
      </w:tr>
      <w:tr w:rsidR="0019377D" w:rsidRPr="0019377D" w:rsidTr="0019377D">
        <w:trPr>
          <w:trHeight w:val="510"/>
        </w:trPr>
        <w:tc>
          <w:tcPr>
            <w:tcW w:w="2500" w:type="dxa"/>
            <w:tcBorders>
              <w:top w:val="nil"/>
              <w:left w:val="single" w:sz="4" w:space="0" w:color="auto"/>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t> </w:t>
            </w:r>
          </w:p>
        </w:tc>
        <w:tc>
          <w:tcPr>
            <w:tcW w:w="26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proofErr w:type="spellStart"/>
            <w:r w:rsidRPr="0019377D">
              <w:rPr>
                <w:rFonts w:eastAsia="Times New Roman" w:cs="Arial"/>
                <w:color w:val="000000"/>
                <w:sz w:val="16"/>
                <w:szCs w:val="16"/>
                <w:lang w:val="en-GB" w:eastAsia="en-GB"/>
              </w:rPr>
              <w:t>Recyling</w:t>
            </w:r>
            <w:proofErr w:type="spellEnd"/>
            <w:r w:rsidRPr="0019377D">
              <w:rPr>
                <w:rFonts w:eastAsia="Times New Roman" w:cs="Arial"/>
                <w:color w:val="000000"/>
                <w:sz w:val="16"/>
                <w:szCs w:val="16"/>
                <w:lang w:val="en-GB" w:eastAsia="en-GB"/>
              </w:rPr>
              <w:t xml:space="preserve"> targets</w:t>
            </w:r>
          </w:p>
        </w:tc>
        <w:tc>
          <w:tcPr>
            <w:tcW w:w="342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Meeting the statutory recycling targets set by WG</w:t>
            </w:r>
          </w:p>
        </w:tc>
        <w:tc>
          <w:tcPr>
            <w:tcW w:w="238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Medium</w:t>
            </w:r>
          </w:p>
        </w:tc>
        <w:tc>
          <w:tcPr>
            <w:tcW w:w="2560" w:type="dxa"/>
            <w:tcBorders>
              <w:top w:val="nil"/>
              <w:left w:val="nil"/>
              <w:bottom w:val="nil"/>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Maintaining current targets.</w:t>
            </w:r>
          </w:p>
        </w:tc>
      </w:tr>
      <w:tr w:rsidR="0019377D" w:rsidRPr="0019377D" w:rsidTr="0019377D">
        <w:trPr>
          <w:trHeight w:val="765"/>
        </w:trPr>
        <w:tc>
          <w:tcPr>
            <w:tcW w:w="2500" w:type="dxa"/>
            <w:tcBorders>
              <w:top w:val="nil"/>
              <w:left w:val="single" w:sz="4" w:space="0" w:color="auto"/>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b/>
                <w:bCs/>
                <w:color w:val="000000"/>
                <w:sz w:val="16"/>
                <w:szCs w:val="16"/>
                <w:lang w:val="en-GB" w:eastAsia="en-GB"/>
              </w:rPr>
            </w:pPr>
            <w:r w:rsidRPr="0019377D">
              <w:rPr>
                <w:rFonts w:eastAsia="Times New Roman" w:cs="Arial"/>
                <w:b/>
                <w:bCs/>
                <w:color w:val="000000"/>
                <w:sz w:val="16"/>
                <w:szCs w:val="16"/>
                <w:lang w:val="en-GB" w:eastAsia="en-GB"/>
              </w:rPr>
              <w:t> </w:t>
            </w:r>
          </w:p>
        </w:tc>
        <w:tc>
          <w:tcPr>
            <w:tcW w:w="262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Transportation links</w:t>
            </w:r>
          </w:p>
        </w:tc>
        <w:tc>
          <w:tcPr>
            <w:tcW w:w="342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Ensuring affordable green transport is available to all parts of the community especially the most rural</w:t>
            </w:r>
          </w:p>
        </w:tc>
        <w:tc>
          <w:tcPr>
            <w:tcW w:w="238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Medium</w:t>
            </w:r>
          </w:p>
        </w:tc>
        <w:tc>
          <w:tcPr>
            <w:tcW w:w="2560" w:type="dxa"/>
            <w:tcBorders>
              <w:top w:val="nil"/>
              <w:left w:val="nil"/>
              <w:bottom w:val="single" w:sz="4" w:space="0" w:color="auto"/>
              <w:right w:val="single" w:sz="4" w:space="0" w:color="auto"/>
            </w:tcBorders>
            <w:shd w:val="clear" w:color="auto" w:fill="auto"/>
            <w:vAlign w:val="center"/>
            <w:hideMark/>
          </w:tcPr>
          <w:p w:rsidR="0019377D" w:rsidRPr="0019377D" w:rsidRDefault="0019377D" w:rsidP="0019377D">
            <w:pPr>
              <w:suppressAutoHyphens w:val="0"/>
              <w:jc w:val="center"/>
              <w:rPr>
                <w:rFonts w:eastAsia="Times New Roman" w:cs="Arial"/>
                <w:color w:val="000000"/>
                <w:sz w:val="16"/>
                <w:szCs w:val="16"/>
                <w:lang w:val="en-GB" w:eastAsia="en-GB"/>
              </w:rPr>
            </w:pPr>
            <w:r w:rsidRPr="0019377D">
              <w:rPr>
                <w:rFonts w:eastAsia="Times New Roman" w:cs="Arial"/>
                <w:color w:val="000000"/>
                <w:sz w:val="16"/>
                <w:szCs w:val="16"/>
                <w:lang w:val="en-GB" w:eastAsia="en-GB"/>
              </w:rPr>
              <w:t>Maintaining current targets. Future proofing.</w:t>
            </w:r>
          </w:p>
        </w:tc>
      </w:tr>
    </w:tbl>
    <w:p w:rsidR="00387DAA" w:rsidRDefault="00387DAA"/>
    <w:p w:rsidR="00387DAA" w:rsidRDefault="00387DAA">
      <w:pPr>
        <w:suppressAutoHyphens w:val="0"/>
        <w:spacing w:after="160" w:line="259" w:lineRule="auto"/>
      </w:pPr>
      <w:r>
        <w:br w:type="page"/>
      </w:r>
    </w:p>
    <w:tbl>
      <w:tblPr>
        <w:tblW w:w="12260" w:type="dxa"/>
        <w:tblLook w:val="04A0" w:firstRow="1" w:lastRow="0" w:firstColumn="1" w:lastColumn="0" w:noHBand="0" w:noVBand="1"/>
      </w:tblPr>
      <w:tblGrid>
        <w:gridCol w:w="2540"/>
        <w:gridCol w:w="3040"/>
        <w:gridCol w:w="3380"/>
        <w:gridCol w:w="3300"/>
      </w:tblGrid>
      <w:tr w:rsidR="00387DAA" w:rsidRPr="00387DAA" w:rsidTr="00387DAA">
        <w:trPr>
          <w:trHeight w:val="300"/>
        </w:trPr>
        <w:tc>
          <w:tcPr>
            <w:tcW w:w="2540" w:type="dxa"/>
            <w:tcBorders>
              <w:top w:val="nil"/>
              <w:left w:val="nil"/>
              <w:bottom w:val="nil"/>
              <w:right w:val="nil"/>
            </w:tcBorders>
            <w:shd w:val="clear" w:color="auto" w:fill="auto"/>
            <w:noWrap/>
            <w:vAlign w:val="bottom"/>
            <w:hideMark/>
          </w:tcPr>
          <w:p w:rsidR="00387DAA" w:rsidRPr="00387DAA" w:rsidRDefault="00387DAA" w:rsidP="00387DAA">
            <w:pPr>
              <w:suppressAutoHyphens w:val="0"/>
              <w:rPr>
                <w:rFonts w:ascii="Calibri" w:eastAsia="Times New Roman" w:hAnsi="Calibri"/>
                <w:color w:val="000000"/>
                <w:lang w:val="en-GB" w:eastAsia="en-GB"/>
              </w:rPr>
            </w:pPr>
          </w:p>
        </w:tc>
        <w:tc>
          <w:tcPr>
            <w:tcW w:w="3040" w:type="dxa"/>
            <w:tcBorders>
              <w:top w:val="nil"/>
              <w:left w:val="nil"/>
              <w:bottom w:val="nil"/>
              <w:right w:val="nil"/>
            </w:tcBorders>
            <w:shd w:val="clear" w:color="auto" w:fill="auto"/>
            <w:noWrap/>
            <w:vAlign w:val="bottom"/>
            <w:hideMark/>
          </w:tcPr>
          <w:p w:rsidR="00387DAA" w:rsidRPr="00387DAA" w:rsidRDefault="00387DAA" w:rsidP="00387DAA">
            <w:pPr>
              <w:suppressAutoHyphens w:val="0"/>
              <w:jc w:val="center"/>
              <w:rPr>
                <w:rFonts w:ascii="Calibri" w:eastAsia="Times New Roman" w:hAnsi="Calibri"/>
                <w:color w:val="000000"/>
                <w:lang w:val="en-GB" w:eastAsia="en-GB"/>
              </w:rPr>
            </w:pPr>
          </w:p>
        </w:tc>
        <w:tc>
          <w:tcPr>
            <w:tcW w:w="3380" w:type="dxa"/>
            <w:tcBorders>
              <w:top w:val="nil"/>
              <w:left w:val="nil"/>
              <w:bottom w:val="nil"/>
              <w:right w:val="nil"/>
            </w:tcBorders>
            <w:shd w:val="clear" w:color="auto" w:fill="auto"/>
            <w:noWrap/>
            <w:vAlign w:val="bottom"/>
            <w:hideMark/>
          </w:tcPr>
          <w:p w:rsidR="00387DAA" w:rsidRPr="00387DAA" w:rsidRDefault="00387DAA" w:rsidP="00387DAA">
            <w:pPr>
              <w:suppressAutoHyphens w:val="0"/>
              <w:rPr>
                <w:rFonts w:ascii="Times New Roman" w:eastAsia="Times New Roman" w:hAnsi="Times New Roman"/>
                <w:color w:val="auto"/>
                <w:sz w:val="24"/>
                <w:szCs w:val="24"/>
                <w:lang w:val="en-GB" w:eastAsia="en-GB"/>
              </w:rPr>
            </w:pPr>
            <w:r w:rsidRPr="00387DAA">
              <w:rPr>
                <w:rFonts w:ascii="Times New Roman" w:eastAsia="Times New Roman" w:hAnsi="Times New Roman"/>
                <w:color w:val="auto"/>
                <w:sz w:val="24"/>
                <w:szCs w:val="24"/>
                <w:lang w:val="en-GB" w:eastAsia="en-GB"/>
              </w:rPr>
              <w:t>SWOT Analysis</w:t>
            </w:r>
          </w:p>
        </w:tc>
        <w:tc>
          <w:tcPr>
            <w:tcW w:w="3300" w:type="dxa"/>
            <w:tcBorders>
              <w:top w:val="nil"/>
              <w:left w:val="nil"/>
              <w:bottom w:val="nil"/>
              <w:right w:val="nil"/>
            </w:tcBorders>
            <w:shd w:val="clear" w:color="auto" w:fill="auto"/>
            <w:noWrap/>
            <w:vAlign w:val="bottom"/>
            <w:hideMark/>
          </w:tcPr>
          <w:p w:rsidR="00387DAA" w:rsidRPr="00387DAA" w:rsidRDefault="00387DAA" w:rsidP="00387DAA">
            <w:pPr>
              <w:suppressAutoHyphens w:val="0"/>
              <w:rPr>
                <w:rFonts w:ascii="Times New Roman" w:eastAsia="Times New Roman" w:hAnsi="Times New Roman"/>
                <w:color w:val="auto"/>
                <w:sz w:val="20"/>
                <w:szCs w:val="20"/>
                <w:lang w:val="en-GB" w:eastAsia="en-GB"/>
              </w:rPr>
            </w:pPr>
          </w:p>
        </w:tc>
      </w:tr>
      <w:tr w:rsidR="00387DAA" w:rsidRPr="00387DAA" w:rsidTr="00387DAA">
        <w:trPr>
          <w:trHeight w:val="300"/>
        </w:trPr>
        <w:tc>
          <w:tcPr>
            <w:tcW w:w="2540" w:type="dxa"/>
            <w:tcBorders>
              <w:top w:val="nil"/>
              <w:left w:val="nil"/>
              <w:bottom w:val="nil"/>
              <w:right w:val="nil"/>
            </w:tcBorders>
            <w:shd w:val="clear" w:color="auto" w:fill="auto"/>
            <w:noWrap/>
            <w:vAlign w:val="bottom"/>
            <w:hideMark/>
          </w:tcPr>
          <w:p w:rsidR="00387DAA" w:rsidRPr="00387DAA" w:rsidRDefault="00387DAA" w:rsidP="00387DAA">
            <w:pPr>
              <w:suppressAutoHyphens w:val="0"/>
              <w:rPr>
                <w:rFonts w:ascii="Times New Roman" w:eastAsia="Times New Roman" w:hAnsi="Times New Roman"/>
                <w:color w:val="auto"/>
                <w:sz w:val="20"/>
                <w:szCs w:val="20"/>
                <w:lang w:val="en-GB" w:eastAsia="en-GB"/>
              </w:rPr>
            </w:pPr>
          </w:p>
        </w:tc>
        <w:tc>
          <w:tcPr>
            <w:tcW w:w="3040" w:type="dxa"/>
            <w:tcBorders>
              <w:top w:val="nil"/>
              <w:left w:val="nil"/>
              <w:bottom w:val="nil"/>
              <w:right w:val="nil"/>
            </w:tcBorders>
            <w:shd w:val="clear" w:color="auto" w:fill="auto"/>
            <w:noWrap/>
            <w:vAlign w:val="bottom"/>
            <w:hideMark/>
          </w:tcPr>
          <w:p w:rsidR="00387DAA" w:rsidRPr="00387DAA" w:rsidRDefault="00387DAA" w:rsidP="00387DAA">
            <w:pPr>
              <w:suppressAutoHyphens w:val="0"/>
              <w:rPr>
                <w:rFonts w:ascii="Times New Roman" w:eastAsia="Times New Roman" w:hAnsi="Times New Roman"/>
                <w:color w:val="auto"/>
                <w:sz w:val="20"/>
                <w:szCs w:val="20"/>
                <w:lang w:val="en-GB" w:eastAsia="en-GB"/>
              </w:rPr>
            </w:pPr>
          </w:p>
        </w:tc>
        <w:tc>
          <w:tcPr>
            <w:tcW w:w="3380" w:type="dxa"/>
            <w:tcBorders>
              <w:top w:val="nil"/>
              <w:left w:val="nil"/>
              <w:bottom w:val="nil"/>
              <w:right w:val="nil"/>
            </w:tcBorders>
            <w:shd w:val="clear" w:color="auto" w:fill="auto"/>
            <w:noWrap/>
            <w:vAlign w:val="bottom"/>
            <w:hideMark/>
          </w:tcPr>
          <w:p w:rsidR="00387DAA" w:rsidRPr="00387DAA" w:rsidRDefault="00387DAA" w:rsidP="00387DAA">
            <w:pPr>
              <w:suppressAutoHyphens w:val="0"/>
              <w:rPr>
                <w:rFonts w:ascii="Times New Roman" w:eastAsia="Times New Roman" w:hAnsi="Times New Roman"/>
                <w:color w:val="auto"/>
                <w:sz w:val="20"/>
                <w:szCs w:val="20"/>
                <w:lang w:val="en-GB" w:eastAsia="en-GB"/>
              </w:rPr>
            </w:pPr>
          </w:p>
        </w:tc>
        <w:tc>
          <w:tcPr>
            <w:tcW w:w="3300" w:type="dxa"/>
            <w:tcBorders>
              <w:top w:val="nil"/>
              <w:left w:val="nil"/>
              <w:bottom w:val="nil"/>
              <w:right w:val="nil"/>
            </w:tcBorders>
            <w:shd w:val="clear" w:color="auto" w:fill="auto"/>
            <w:noWrap/>
            <w:vAlign w:val="bottom"/>
            <w:hideMark/>
          </w:tcPr>
          <w:p w:rsidR="00387DAA" w:rsidRPr="00387DAA" w:rsidRDefault="00387DAA" w:rsidP="00387DAA">
            <w:pPr>
              <w:suppressAutoHyphens w:val="0"/>
              <w:rPr>
                <w:rFonts w:ascii="Times New Roman" w:eastAsia="Times New Roman" w:hAnsi="Times New Roman"/>
                <w:color w:val="auto"/>
                <w:sz w:val="20"/>
                <w:szCs w:val="20"/>
                <w:lang w:val="en-GB" w:eastAsia="en-GB"/>
              </w:rPr>
            </w:pPr>
          </w:p>
        </w:tc>
      </w:tr>
      <w:tr w:rsidR="00387DAA" w:rsidRPr="00387DAA" w:rsidTr="00387DAA">
        <w:trPr>
          <w:trHeight w:val="300"/>
        </w:trPr>
        <w:tc>
          <w:tcPr>
            <w:tcW w:w="254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rsidR="00387DAA" w:rsidRPr="00387DAA" w:rsidRDefault="00387DAA" w:rsidP="00387DAA">
            <w:pPr>
              <w:suppressAutoHyphens w:val="0"/>
              <w:rPr>
                <w:rFonts w:eastAsia="Times New Roman" w:cs="Arial"/>
                <w:b/>
                <w:bCs/>
                <w:color w:val="000000"/>
                <w:sz w:val="16"/>
                <w:szCs w:val="16"/>
                <w:lang w:val="en-GB" w:eastAsia="en-GB"/>
              </w:rPr>
            </w:pPr>
            <w:r w:rsidRPr="00387DAA">
              <w:rPr>
                <w:rFonts w:eastAsia="Times New Roman" w:cs="Arial"/>
                <w:b/>
                <w:bCs/>
                <w:color w:val="000000"/>
                <w:sz w:val="16"/>
                <w:szCs w:val="16"/>
                <w:lang w:val="en-GB" w:eastAsia="en-GB"/>
              </w:rPr>
              <w:t>Strengths</w:t>
            </w:r>
          </w:p>
        </w:tc>
        <w:tc>
          <w:tcPr>
            <w:tcW w:w="3040" w:type="dxa"/>
            <w:tcBorders>
              <w:top w:val="single" w:sz="4" w:space="0" w:color="auto"/>
              <w:left w:val="nil"/>
              <w:bottom w:val="single" w:sz="4" w:space="0" w:color="auto"/>
              <w:right w:val="single" w:sz="4" w:space="0" w:color="auto"/>
            </w:tcBorders>
            <w:shd w:val="clear" w:color="000000" w:fill="9BC2E6"/>
            <w:noWrap/>
            <w:vAlign w:val="bottom"/>
            <w:hideMark/>
          </w:tcPr>
          <w:p w:rsidR="00387DAA" w:rsidRPr="00387DAA" w:rsidRDefault="00387DAA" w:rsidP="00387DAA">
            <w:pPr>
              <w:suppressAutoHyphens w:val="0"/>
              <w:rPr>
                <w:rFonts w:eastAsia="Times New Roman" w:cs="Arial"/>
                <w:b/>
                <w:bCs/>
                <w:color w:val="000000"/>
                <w:sz w:val="16"/>
                <w:szCs w:val="16"/>
                <w:lang w:val="en-GB" w:eastAsia="en-GB"/>
              </w:rPr>
            </w:pPr>
            <w:r w:rsidRPr="00387DAA">
              <w:rPr>
                <w:rFonts w:eastAsia="Times New Roman" w:cs="Arial"/>
                <w:b/>
                <w:bCs/>
                <w:color w:val="000000"/>
                <w:sz w:val="16"/>
                <w:szCs w:val="16"/>
                <w:lang w:val="en-GB" w:eastAsia="en-GB"/>
              </w:rPr>
              <w:t>Weaknesses</w:t>
            </w:r>
          </w:p>
        </w:tc>
        <w:tc>
          <w:tcPr>
            <w:tcW w:w="3380" w:type="dxa"/>
            <w:tcBorders>
              <w:top w:val="single" w:sz="4" w:space="0" w:color="auto"/>
              <w:left w:val="nil"/>
              <w:bottom w:val="single" w:sz="4" w:space="0" w:color="auto"/>
              <w:right w:val="single" w:sz="4" w:space="0" w:color="auto"/>
            </w:tcBorders>
            <w:shd w:val="clear" w:color="000000" w:fill="A9D08E"/>
            <w:noWrap/>
            <w:vAlign w:val="bottom"/>
            <w:hideMark/>
          </w:tcPr>
          <w:p w:rsidR="00387DAA" w:rsidRPr="00387DAA" w:rsidRDefault="00387DAA" w:rsidP="00387DAA">
            <w:pPr>
              <w:suppressAutoHyphens w:val="0"/>
              <w:rPr>
                <w:rFonts w:eastAsia="Times New Roman" w:cs="Arial"/>
                <w:b/>
                <w:bCs/>
                <w:color w:val="000000"/>
                <w:sz w:val="16"/>
                <w:szCs w:val="16"/>
                <w:lang w:val="en-GB" w:eastAsia="en-GB"/>
              </w:rPr>
            </w:pPr>
            <w:r w:rsidRPr="00387DAA">
              <w:rPr>
                <w:rFonts w:eastAsia="Times New Roman" w:cs="Arial"/>
                <w:b/>
                <w:bCs/>
                <w:color w:val="000000"/>
                <w:sz w:val="16"/>
                <w:szCs w:val="16"/>
                <w:lang w:val="en-GB" w:eastAsia="en-GB"/>
              </w:rPr>
              <w:t>Opportunities</w:t>
            </w:r>
          </w:p>
        </w:tc>
        <w:tc>
          <w:tcPr>
            <w:tcW w:w="3300" w:type="dxa"/>
            <w:tcBorders>
              <w:top w:val="single" w:sz="4" w:space="0" w:color="auto"/>
              <w:left w:val="nil"/>
              <w:bottom w:val="single" w:sz="4" w:space="0" w:color="auto"/>
              <w:right w:val="single" w:sz="4" w:space="0" w:color="auto"/>
            </w:tcBorders>
            <w:shd w:val="clear" w:color="000000" w:fill="F4B084"/>
            <w:noWrap/>
            <w:vAlign w:val="bottom"/>
            <w:hideMark/>
          </w:tcPr>
          <w:p w:rsidR="00387DAA" w:rsidRPr="00387DAA" w:rsidRDefault="00387DAA" w:rsidP="00387DAA">
            <w:pPr>
              <w:suppressAutoHyphens w:val="0"/>
              <w:rPr>
                <w:rFonts w:eastAsia="Times New Roman" w:cs="Arial"/>
                <w:b/>
                <w:bCs/>
                <w:color w:val="000000"/>
                <w:sz w:val="16"/>
                <w:szCs w:val="16"/>
                <w:lang w:val="en-GB" w:eastAsia="en-GB"/>
              </w:rPr>
            </w:pPr>
            <w:r w:rsidRPr="00387DAA">
              <w:rPr>
                <w:rFonts w:eastAsia="Times New Roman" w:cs="Arial"/>
                <w:b/>
                <w:bCs/>
                <w:color w:val="000000"/>
                <w:sz w:val="16"/>
                <w:szCs w:val="16"/>
                <w:lang w:val="en-GB" w:eastAsia="en-GB"/>
              </w:rPr>
              <w:t>Threats</w:t>
            </w:r>
          </w:p>
        </w:tc>
      </w:tr>
      <w:tr w:rsidR="00387DAA" w:rsidRPr="00387DAA" w:rsidTr="00387DAA">
        <w:trPr>
          <w:trHeight w:val="300"/>
        </w:trPr>
        <w:tc>
          <w:tcPr>
            <w:tcW w:w="2540" w:type="dxa"/>
            <w:tcBorders>
              <w:top w:val="nil"/>
              <w:left w:val="single" w:sz="4" w:space="0" w:color="auto"/>
              <w:bottom w:val="nil"/>
              <w:right w:val="single" w:sz="4" w:space="0" w:color="auto"/>
            </w:tcBorders>
            <w:shd w:val="clear" w:color="000000" w:fill="FFFF00"/>
            <w:noWrap/>
            <w:vAlign w:val="bottom"/>
            <w:hideMark/>
          </w:tcPr>
          <w:p w:rsidR="00387DAA" w:rsidRPr="00387DAA" w:rsidRDefault="00387DAA" w:rsidP="00387DAA">
            <w:pPr>
              <w:suppressAutoHyphens w:val="0"/>
              <w:rPr>
                <w:rFonts w:eastAsia="Times New Roman" w:cs="Arial"/>
                <w:color w:val="000000"/>
                <w:sz w:val="16"/>
                <w:szCs w:val="16"/>
                <w:lang w:val="en-GB" w:eastAsia="en-GB"/>
              </w:rPr>
            </w:pPr>
            <w:r w:rsidRPr="00387DAA">
              <w:rPr>
                <w:rFonts w:eastAsia="Times New Roman" w:cs="Arial"/>
                <w:color w:val="000000"/>
                <w:sz w:val="16"/>
                <w:szCs w:val="16"/>
                <w:lang w:val="en-GB" w:eastAsia="en-GB"/>
              </w:rPr>
              <w:t>Advancing Technology</w:t>
            </w:r>
          </w:p>
        </w:tc>
        <w:tc>
          <w:tcPr>
            <w:tcW w:w="3040" w:type="dxa"/>
            <w:tcBorders>
              <w:top w:val="nil"/>
              <w:left w:val="nil"/>
              <w:bottom w:val="nil"/>
              <w:right w:val="single" w:sz="4" w:space="0" w:color="auto"/>
            </w:tcBorders>
            <w:shd w:val="clear" w:color="000000" w:fill="9BC2E6"/>
            <w:noWrap/>
            <w:vAlign w:val="bottom"/>
            <w:hideMark/>
          </w:tcPr>
          <w:p w:rsidR="00387DAA" w:rsidRPr="00387DAA" w:rsidRDefault="00387DAA" w:rsidP="00387DAA">
            <w:pPr>
              <w:suppressAutoHyphens w:val="0"/>
              <w:rPr>
                <w:rFonts w:eastAsia="Times New Roman" w:cs="Arial"/>
                <w:color w:val="000000"/>
                <w:sz w:val="16"/>
                <w:szCs w:val="16"/>
                <w:lang w:val="en-GB" w:eastAsia="en-GB"/>
              </w:rPr>
            </w:pPr>
            <w:r w:rsidRPr="00387DAA">
              <w:rPr>
                <w:rFonts w:eastAsia="Times New Roman" w:cs="Arial"/>
                <w:color w:val="000000"/>
                <w:sz w:val="16"/>
                <w:szCs w:val="16"/>
                <w:lang w:val="en-GB" w:eastAsia="en-GB"/>
              </w:rPr>
              <w:t xml:space="preserve">Austerity measures – budget </w:t>
            </w:r>
          </w:p>
        </w:tc>
        <w:tc>
          <w:tcPr>
            <w:tcW w:w="3380" w:type="dxa"/>
            <w:tcBorders>
              <w:top w:val="nil"/>
              <w:left w:val="nil"/>
              <w:bottom w:val="nil"/>
              <w:right w:val="single" w:sz="4" w:space="0" w:color="auto"/>
            </w:tcBorders>
            <w:shd w:val="clear" w:color="000000" w:fill="A9D08E"/>
            <w:noWrap/>
            <w:vAlign w:val="bottom"/>
            <w:hideMark/>
          </w:tcPr>
          <w:p w:rsidR="00387DAA" w:rsidRPr="00387DAA" w:rsidRDefault="00387DAA" w:rsidP="00387DAA">
            <w:pPr>
              <w:suppressAutoHyphens w:val="0"/>
              <w:rPr>
                <w:rFonts w:eastAsia="Times New Roman" w:cs="Arial"/>
                <w:color w:val="000000"/>
                <w:sz w:val="16"/>
                <w:szCs w:val="16"/>
                <w:lang w:val="en-GB" w:eastAsia="en-GB"/>
              </w:rPr>
            </w:pPr>
            <w:r w:rsidRPr="00387DAA">
              <w:rPr>
                <w:rFonts w:eastAsia="Times New Roman" w:cs="Arial"/>
                <w:color w:val="000000"/>
                <w:sz w:val="16"/>
                <w:szCs w:val="16"/>
                <w:lang w:val="en-GB" w:eastAsia="en-GB"/>
              </w:rPr>
              <w:t xml:space="preserve">Developing the organisation to be able to </w:t>
            </w:r>
          </w:p>
        </w:tc>
        <w:tc>
          <w:tcPr>
            <w:tcW w:w="3300" w:type="dxa"/>
            <w:tcBorders>
              <w:top w:val="nil"/>
              <w:left w:val="nil"/>
              <w:bottom w:val="nil"/>
              <w:right w:val="single" w:sz="4" w:space="0" w:color="auto"/>
            </w:tcBorders>
            <w:shd w:val="clear" w:color="000000" w:fill="F4B084"/>
            <w:noWrap/>
            <w:vAlign w:val="bottom"/>
            <w:hideMark/>
          </w:tcPr>
          <w:p w:rsidR="00387DAA" w:rsidRPr="00387DAA" w:rsidRDefault="00387DAA" w:rsidP="00387DAA">
            <w:pPr>
              <w:suppressAutoHyphens w:val="0"/>
              <w:rPr>
                <w:rFonts w:eastAsia="Times New Roman" w:cs="Arial"/>
                <w:color w:val="000000"/>
                <w:sz w:val="16"/>
                <w:szCs w:val="16"/>
                <w:lang w:val="en-GB" w:eastAsia="en-GB"/>
              </w:rPr>
            </w:pPr>
            <w:r w:rsidRPr="00387DAA">
              <w:rPr>
                <w:rFonts w:eastAsia="Times New Roman" w:cs="Arial"/>
                <w:color w:val="000000"/>
                <w:sz w:val="16"/>
                <w:szCs w:val="16"/>
                <w:lang w:val="en-GB" w:eastAsia="en-GB"/>
              </w:rPr>
              <w:t>Global pandemic</w:t>
            </w:r>
          </w:p>
        </w:tc>
      </w:tr>
      <w:tr w:rsidR="00387DAA" w:rsidRPr="00387DAA" w:rsidTr="00387DAA">
        <w:trPr>
          <w:trHeight w:val="300"/>
        </w:trPr>
        <w:tc>
          <w:tcPr>
            <w:tcW w:w="2540" w:type="dxa"/>
            <w:tcBorders>
              <w:top w:val="nil"/>
              <w:left w:val="single" w:sz="4" w:space="0" w:color="auto"/>
              <w:bottom w:val="nil"/>
              <w:right w:val="single" w:sz="4" w:space="0" w:color="auto"/>
            </w:tcBorders>
            <w:shd w:val="clear" w:color="000000" w:fill="FFFF00"/>
            <w:noWrap/>
            <w:vAlign w:val="bottom"/>
            <w:hideMark/>
          </w:tcPr>
          <w:p w:rsidR="00387DAA" w:rsidRPr="00387DAA" w:rsidRDefault="00387DAA" w:rsidP="00387DAA">
            <w:pPr>
              <w:suppressAutoHyphens w:val="0"/>
              <w:rPr>
                <w:rFonts w:ascii="Calibri" w:eastAsia="Times New Roman" w:hAnsi="Calibri"/>
                <w:color w:val="000000"/>
                <w:lang w:val="en-GB" w:eastAsia="en-GB"/>
              </w:rPr>
            </w:pPr>
            <w:r w:rsidRPr="00387DAA">
              <w:rPr>
                <w:rFonts w:ascii="Calibri" w:eastAsia="Times New Roman" w:hAnsi="Calibri"/>
                <w:color w:val="000000"/>
                <w:lang w:val="en-GB" w:eastAsia="en-GB"/>
              </w:rPr>
              <w:t> </w:t>
            </w:r>
          </w:p>
        </w:tc>
        <w:tc>
          <w:tcPr>
            <w:tcW w:w="3040" w:type="dxa"/>
            <w:tcBorders>
              <w:top w:val="nil"/>
              <w:left w:val="nil"/>
              <w:bottom w:val="nil"/>
              <w:right w:val="single" w:sz="4" w:space="0" w:color="auto"/>
            </w:tcBorders>
            <w:shd w:val="clear" w:color="000000" w:fill="9BC2E6"/>
            <w:noWrap/>
            <w:vAlign w:val="bottom"/>
            <w:hideMark/>
          </w:tcPr>
          <w:p w:rsidR="00387DAA" w:rsidRPr="00387DAA" w:rsidRDefault="00387DAA" w:rsidP="00387DAA">
            <w:pPr>
              <w:suppressAutoHyphens w:val="0"/>
              <w:rPr>
                <w:rFonts w:eastAsia="Times New Roman" w:cs="Arial"/>
                <w:color w:val="000000"/>
                <w:sz w:val="16"/>
                <w:szCs w:val="16"/>
                <w:lang w:val="en-GB" w:eastAsia="en-GB"/>
              </w:rPr>
            </w:pPr>
            <w:r w:rsidRPr="00387DAA">
              <w:rPr>
                <w:rFonts w:eastAsia="Times New Roman" w:cs="Arial"/>
                <w:color w:val="000000"/>
                <w:sz w:val="16"/>
                <w:szCs w:val="16"/>
                <w:lang w:val="en-GB" w:eastAsia="en-GB"/>
              </w:rPr>
              <w:t>constraints</w:t>
            </w:r>
          </w:p>
        </w:tc>
        <w:tc>
          <w:tcPr>
            <w:tcW w:w="3380" w:type="dxa"/>
            <w:tcBorders>
              <w:top w:val="nil"/>
              <w:left w:val="nil"/>
              <w:bottom w:val="nil"/>
              <w:right w:val="single" w:sz="4" w:space="0" w:color="auto"/>
            </w:tcBorders>
            <w:shd w:val="clear" w:color="000000" w:fill="A9D08E"/>
            <w:noWrap/>
            <w:vAlign w:val="bottom"/>
            <w:hideMark/>
          </w:tcPr>
          <w:p w:rsidR="00387DAA" w:rsidRPr="00387DAA" w:rsidRDefault="00387DAA" w:rsidP="00387DAA">
            <w:pPr>
              <w:suppressAutoHyphens w:val="0"/>
              <w:rPr>
                <w:rFonts w:eastAsia="Times New Roman" w:cs="Arial"/>
                <w:color w:val="000000"/>
                <w:sz w:val="16"/>
                <w:szCs w:val="16"/>
                <w:lang w:val="en-GB" w:eastAsia="en-GB"/>
              </w:rPr>
            </w:pPr>
            <w:r w:rsidRPr="00387DAA">
              <w:rPr>
                <w:rFonts w:eastAsia="Times New Roman" w:cs="Arial"/>
                <w:color w:val="000000"/>
                <w:sz w:val="16"/>
                <w:szCs w:val="16"/>
                <w:lang w:val="en-GB" w:eastAsia="en-GB"/>
              </w:rPr>
              <w:t>with companies in the private sector</w:t>
            </w:r>
          </w:p>
        </w:tc>
        <w:tc>
          <w:tcPr>
            <w:tcW w:w="3300" w:type="dxa"/>
            <w:tcBorders>
              <w:top w:val="nil"/>
              <w:left w:val="nil"/>
              <w:bottom w:val="nil"/>
              <w:right w:val="single" w:sz="4" w:space="0" w:color="auto"/>
            </w:tcBorders>
            <w:shd w:val="clear" w:color="000000" w:fill="F4B084"/>
            <w:noWrap/>
            <w:vAlign w:val="bottom"/>
            <w:hideMark/>
          </w:tcPr>
          <w:p w:rsidR="00387DAA" w:rsidRPr="00387DAA" w:rsidRDefault="00387DAA" w:rsidP="00387DAA">
            <w:pPr>
              <w:suppressAutoHyphens w:val="0"/>
              <w:rPr>
                <w:rFonts w:eastAsia="Times New Roman" w:cs="Arial"/>
                <w:color w:val="000000"/>
                <w:sz w:val="16"/>
                <w:szCs w:val="16"/>
                <w:lang w:val="en-GB" w:eastAsia="en-GB"/>
              </w:rPr>
            </w:pPr>
            <w:r w:rsidRPr="00387DAA">
              <w:rPr>
                <w:rFonts w:eastAsia="Times New Roman" w:cs="Arial"/>
                <w:color w:val="000000"/>
                <w:sz w:val="16"/>
                <w:szCs w:val="16"/>
                <w:lang w:val="en-GB" w:eastAsia="en-GB"/>
              </w:rPr>
              <w:t> </w:t>
            </w:r>
          </w:p>
        </w:tc>
      </w:tr>
      <w:tr w:rsidR="00387DAA" w:rsidRPr="00387DAA" w:rsidTr="00387DAA">
        <w:trPr>
          <w:trHeight w:val="300"/>
        </w:trPr>
        <w:tc>
          <w:tcPr>
            <w:tcW w:w="2540" w:type="dxa"/>
            <w:tcBorders>
              <w:top w:val="single" w:sz="4" w:space="0" w:color="auto"/>
              <w:left w:val="single" w:sz="4" w:space="0" w:color="auto"/>
              <w:bottom w:val="nil"/>
              <w:right w:val="single" w:sz="4" w:space="0" w:color="auto"/>
            </w:tcBorders>
            <w:shd w:val="clear" w:color="000000" w:fill="FFFF00"/>
            <w:noWrap/>
            <w:vAlign w:val="bottom"/>
            <w:hideMark/>
          </w:tcPr>
          <w:p w:rsidR="00387DAA" w:rsidRPr="00387DAA" w:rsidRDefault="00387DAA" w:rsidP="00387DAA">
            <w:pPr>
              <w:suppressAutoHyphens w:val="0"/>
              <w:rPr>
                <w:rFonts w:eastAsia="Times New Roman" w:cs="Arial"/>
                <w:color w:val="000000"/>
                <w:sz w:val="16"/>
                <w:szCs w:val="16"/>
                <w:lang w:val="en-GB" w:eastAsia="en-GB"/>
              </w:rPr>
            </w:pPr>
            <w:r w:rsidRPr="00387DAA">
              <w:rPr>
                <w:rFonts w:eastAsia="Times New Roman" w:cs="Arial"/>
                <w:color w:val="000000"/>
                <w:sz w:val="16"/>
                <w:szCs w:val="16"/>
                <w:lang w:val="en-GB" w:eastAsia="en-GB"/>
              </w:rPr>
              <w:t>Employee Well-being</w:t>
            </w:r>
          </w:p>
        </w:tc>
        <w:tc>
          <w:tcPr>
            <w:tcW w:w="3040" w:type="dxa"/>
            <w:tcBorders>
              <w:top w:val="single" w:sz="4" w:space="0" w:color="auto"/>
              <w:left w:val="nil"/>
              <w:bottom w:val="nil"/>
              <w:right w:val="single" w:sz="4" w:space="0" w:color="auto"/>
            </w:tcBorders>
            <w:shd w:val="clear" w:color="000000" w:fill="9BC2E6"/>
            <w:noWrap/>
            <w:vAlign w:val="bottom"/>
            <w:hideMark/>
          </w:tcPr>
          <w:p w:rsidR="00387DAA" w:rsidRPr="00387DAA" w:rsidRDefault="00387DAA" w:rsidP="00387DAA">
            <w:pPr>
              <w:suppressAutoHyphens w:val="0"/>
              <w:rPr>
                <w:rFonts w:eastAsia="Times New Roman" w:cs="Arial"/>
                <w:color w:val="000000"/>
                <w:sz w:val="16"/>
                <w:szCs w:val="16"/>
                <w:lang w:val="en-GB" w:eastAsia="en-GB"/>
              </w:rPr>
            </w:pPr>
            <w:r w:rsidRPr="00387DAA">
              <w:rPr>
                <w:rFonts w:eastAsia="Times New Roman" w:cs="Arial"/>
                <w:color w:val="000000"/>
                <w:sz w:val="16"/>
                <w:szCs w:val="16"/>
                <w:lang w:val="en-GB" w:eastAsia="en-GB"/>
              </w:rPr>
              <w:t>Ability to attract and retain candidates</w:t>
            </w:r>
          </w:p>
        </w:tc>
        <w:tc>
          <w:tcPr>
            <w:tcW w:w="3380" w:type="dxa"/>
            <w:tcBorders>
              <w:top w:val="single" w:sz="4" w:space="0" w:color="auto"/>
              <w:left w:val="nil"/>
              <w:bottom w:val="nil"/>
              <w:right w:val="single" w:sz="4" w:space="0" w:color="auto"/>
            </w:tcBorders>
            <w:shd w:val="clear" w:color="000000" w:fill="A9D08E"/>
            <w:noWrap/>
            <w:vAlign w:val="bottom"/>
            <w:hideMark/>
          </w:tcPr>
          <w:p w:rsidR="00387DAA" w:rsidRPr="00387DAA" w:rsidRDefault="00387DAA" w:rsidP="00387DAA">
            <w:pPr>
              <w:suppressAutoHyphens w:val="0"/>
              <w:rPr>
                <w:rFonts w:ascii="Calibri" w:eastAsia="Times New Roman" w:hAnsi="Calibri"/>
                <w:color w:val="000000"/>
                <w:lang w:val="en-GB" w:eastAsia="en-GB"/>
              </w:rPr>
            </w:pPr>
            <w:r w:rsidRPr="00387DAA">
              <w:rPr>
                <w:rFonts w:ascii="Calibri" w:eastAsia="Times New Roman" w:hAnsi="Calibri"/>
                <w:color w:val="000000"/>
                <w:lang w:val="en-GB" w:eastAsia="en-GB"/>
              </w:rPr>
              <w:t> </w:t>
            </w:r>
          </w:p>
        </w:tc>
        <w:tc>
          <w:tcPr>
            <w:tcW w:w="3300" w:type="dxa"/>
            <w:tcBorders>
              <w:top w:val="single" w:sz="4" w:space="0" w:color="auto"/>
              <w:left w:val="nil"/>
              <w:bottom w:val="nil"/>
              <w:right w:val="single" w:sz="4" w:space="0" w:color="auto"/>
            </w:tcBorders>
            <w:shd w:val="clear" w:color="000000" w:fill="F4B084"/>
            <w:noWrap/>
            <w:vAlign w:val="bottom"/>
            <w:hideMark/>
          </w:tcPr>
          <w:p w:rsidR="00387DAA" w:rsidRPr="00387DAA" w:rsidRDefault="00387DAA" w:rsidP="00387DAA">
            <w:pPr>
              <w:suppressAutoHyphens w:val="0"/>
              <w:rPr>
                <w:rFonts w:eastAsia="Times New Roman" w:cs="Arial"/>
                <w:color w:val="000000"/>
                <w:sz w:val="16"/>
                <w:szCs w:val="16"/>
                <w:lang w:val="en-GB" w:eastAsia="en-GB"/>
              </w:rPr>
            </w:pPr>
            <w:r w:rsidRPr="00387DAA">
              <w:rPr>
                <w:rFonts w:eastAsia="Times New Roman" w:cs="Arial"/>
                <w:color w:val="000000"/>
                <w:sz w:val="16"/>
                <w:szCs w:val="16"/>
                <w:lang w:val="en-GB" w:eastAsia="en-GB"/>
              </w:rPr>
              <w:t>Geography - remote, rural location</w:t>
            </w:r>
          </w:p>
        </w:tc>
      </w:tr>
      <w:tr w:rsidR="00387DAA" w:rsidRPr="00387DAA" w:rsidTr="00387DAA">
        <w:trPr>
          <w:trHeight w:val="300"/>
        </w:trPr>
        <w:tc>
          <w:tcPr>
            <w:tcW w:w="2540" w:type="dxa"/>
            <w:tcBorders>
              <w:top w:val="nil"/>
              <w:left w:val="single" w:sz="4" w:space="0" w:color="auto"/>
              <w:bottom w:val="nil"/>
              <w:right w:val="single" w:sz="4" w:space="0" w:color="auto"/>
            </w:tcBorders>
            <w:shd w:val="clear" w:color="000000" w:fill="FFFF00"/>
            <w:noWrap/>
            <w:vAlign w:val="bottom"/>
            <w:hideMark/>
          </w:tcPr>
          <w:p w:rsidR="00387DAA" w:rsidRPr="00387DAA" w:rsidRDefault="00387DAA" w:rsidP="00387DAA">
            <w:pPr>
              <w:suppressAutoHyphens w:val="0"/>
              <w:rPr>
                <w:rFonts w:ascii="Calibri" w:eastAsia="Times New Roman" w:hAnsi="Calibri"/>
                <w:color w:val="000000"/>
                <w:lang w:val="en-GB" w:eastAsia="en-GB"/>
              </w:rPr>
            </w:pPr>
            <w:r w:rsidRPr="00387DAA">
              <w:rPr>
                <w:rFonts w:ascii="Calibri" w:eastAsia="Times New Roman" w:hAnsi="Calibri"/>
                <w:color w:val="000000"/>
                <w:lang w:val="en-GB" w:eastAsia="en-GB"/>
              </w:rPr>
              <w:t> </w:t>
            </w:r>
          </w:p>
        </w:tc>
        <w:tc>
          <w:tcPr>
            <w:tcW w:w="3040" w:type="dxa"/>
            <w:tcBorders>
              <w:top w:val="nil"/>
              <w:left w:val="nil"/>
              <w:bottom w:val="nil"/>
              <w:right w:val="single" w:sz="4" w:space="0" w:color="auto"/>
            </w:tcBorders>
            <w:shd w:val="clear" w:color="000000" w:fill="9BC2E6"/>
            <w:noWrap/>
            <w:vAlign w:val="bottom"/>
            <w:hideMark/>
          </w:tcPr>
          <w:p w:rsidR="00387DAA" w:rsidRPr="00387DAA" w:rsidRDefault="00387DAA" w:rsidP="00387DAA">
            <w:pPr>
              <w:suppressAutoHyphens w:val="0"/>
              <w:rPr>
                <w:rFonts w:ascii="Calibri" w:eastAsia="Times New Roman" w:hAnsi="Calibri"/>
                <w:color w:val="000000"/>
                <w:lang w:val="en-GB" w:eastAsia="en-GB"/>
              </w:rPr>
            </w:pPr>
            <w:r w:rsidRPr="00387DAA">
              <w:rPr>
                <w:rFonts w:ascii="Calibri" w:eastAsia="Times New Roman" w:hAnsi="Calibri"/>
                <w:color w:val="000000"/>
                <w:lang w:val="en-GB" w:eastAsia="en-GB"/>
              </w:rPr>
              <w:t> </w:t>
            </w:r>
          </w:p>
        </w:tc>
        <w:tc>
          <w:tcPr>
            <w:tcW w:w="3380" w:type="dxa"/>
            <w:tcBorders>
              <w:top w:val="nil"/>
              <w:left w:val="nil"/>
              <w:bottom w:val="nil"/>
              <w:right w:val="single" w:sz="4" w:space="0" w:color="auto"/>
            </w:tcBorders>
            <w:shd w:val="clear" w:color="000000" w:fill="A9D08E"/>
            <w:noWrap/>
            <w:vAlign w:val="bottom"/>
            <w:hideMark/>
          </w:tcPr>
          <w:p w:rsidR="00387DAA" w:rsidRPr="00387DAA" w:rsidRDefault="00387DAA" w:rsidP="00387DAA">
            <w:pPr>
              <w:suppressAutoHyphens w:val="0"/>
              <w:rPr>
                <w:rFonts w:ascii="Calibri" w:eastAsia="Times New Roman" w:hAnsi="Calibri"/>
                <w:color w:val="000000"/>
                <w:lang w:val="en-GB" w:eastAsia="en-GB"/>
              </w:rPr>
            </w:pPr>
            <w:r w:rsidRPr="00387DAA">
              <w:rPr>
                <w:rFonts w:ascii="Calibri" w:eastAsia="Times New Roman" w:hAnsi="Calibri"/>
                <w:color w:val="000000"/>
                <w:lang w:val="en-GB" w:eastAsia="en-GB"/>
              </w:rPr>
              <w:t> </w:t>
            </w:r>
          </w:p>
        </w:tc>
        <w:tc>
          <w:tcPr>
            <w:tcW w:w="3300" w:type="dxa"/>
            <w:tcBorders>
              <w:top w:val="nil"/>
              <w:left w:val="nil"/>
              <w:bottom w:val="nil"/>
              <w:right w:val="single" w:sz="4" w:space="0" w:color="auto"/>
            </w:tcBorders>
            <w:shd w:val="clear" w:color="000000" w:fill="F4B084"/>
            <w:noWrap/>
            <w:vAlign w:val="bottom"/>
            <w:hideMark/>
          </w:tcPr>
          <w:p w:rsidR="00387DAA" w:rsidRPr="00387DAA" w:rsidRDefault="00387DAA" w:rsidP="00387DAA">
            <w:pPr>
              <w:suppressAutoHyphens w:val="0"/>
              <w:rPr>
                <w:rFonts w:ascii="Calibri" w:eastAsia="Times New Roman" w:hAnsi="Calibri"/>
                <w:color w:val="000000"/>
                <w:lang w:val="en-GB" w:eastAsia="en-GB"/>
              </w:rPr>
            </w:pPr>
            <w:r w:rsidRPr="00387DAA">
              <w:rPr>
                <w:rFonts w:ascii="Calibri" w:eastAsia="Times New Roman" w:hAnsi="Calibri"/>
                <w:color w:val="000000"/>
                <w:lang w:val="en-GB" w:eastAsia="en-GB"/>
              </w:rPr>
              <w:t> </w:t>
            </w:r>
          </w:p>
        </w:tc>
      </w:tr>
      <w:tr w:rsidR="00387DAA" w:rsidRPr="00387DAA" w:rsidTr="00387DAA">
        <w:trPr>
          <w:trHeight w:val="300"/>
        </w:trPr>
        <w:tc>
          <w:tcPr>
            <w:tcW w:w="2540" w:type="dxa"/>
            <w:tcBorders>
              <w:top w:val="single" w:sz="4" w:space="0" w:color="auto"/>
              <w:left w:val="single" w:sz="4" w:space="0" w:color="auto"/>
              <w:bottom w:val="nil"/>
              <w:right w:val="single" w:sz="4" w:space="0" w:color="auto"/>
            </w:tcBorders>
            <w:shd w:val="clear" w:color="000000" w:fill="FFFF00"/>
            <w:noWrap/>
            <w:vAlign w:val="bottom"/>
            <w:hideMark/>
          </w:tcPr>
          <w:p w:rsidR="00387DAA" w:rsidRPr="00387DAA" w:rsidRDefault="00387DAA" w:rsidP="00387DAA">
            <w:pPr>
              <w:suppressAutoHyphens w:val="0"/>
              <w:rPr>
                <w:rFonts w:eastAsia="Times New Roman" w:cs="Arial"/>
                <w:color w:val="000000"/>
                <w:sz w:val="16"/>
                <w:szCs w:val="16"/>
                <w:lang w:val="en-GB" w:eastAsia="en-GB"/>
              </w:rPr>
            </w:pPr>
            <w:r w:rsidRPr="00387DAA">
              <w:rPr>
                <w:rFonts w:eastAsia="Times New Roman" w:cs="Arial"/>
                <w:color w:val="000000"/>
                <w:sz w:val="16"/>
                <w:szCs w:val="16"/>
                <w:lang w:val="en-GB" w:eastAsia="en-GB"/>
              </w:rPr>
              <w:t>Flexible working</w:t>
            </w:r>
          </w:p>
        </w:tc>
        <w:tc>
          <w:tcPr>
            <w:tcW w:w="3040" w:type="dxa"/>
            <w:tcBorders>
              <w:top w:val="single" w:sz="4" w:space="0" w:color="auto"/>
              <w:left w:val="nil"/>
              <w:bottom w:val="nil"/>
              <w:right w:val="single" w:sz="4" w:space="0" w:color="auto"/>
            </w:tcBorders>
            <w:shd w:val="clear" w:color="000000" w:fill="9BC2E6"/>
            <w:noWrap/>
            <w:vAlign w:val="bottom"/>
            <w:hideMark/>
          </w:tcPr>
          <w:p w:rsidR="00387DAA" w:rsidRPr="00387DAA" w:rsidRDefault="00387DAA" w:rsidP="00387DAA">
            <w:pPr>
              <w:suppressAutoHyphens w:val="0"/>
              <w:rPr>
                <w:rFonts w:eastAsia="Times New Roman" w:cs="Arial"/>
                <w:color w:val="000000"/>
                <w:sz w:val="16"/>
                <w:szCs w:val="16"/>
                <w:lang w:val="en-GB" w:eastAsia="en-GB"/>
              </w:rPr>
            </w:pPr>
            <w:r w:rsidRPr="00387DAA">
              <w:rPr>
                <w:rFonts w:eastAsia="Times New Roman" w:cs="Arial"/>
                <w:color w:val="000000"/>
                <w:sz w:val="16"/>
                <w:szCs w:val="16"/>
                <w:lang w:val="en-GB" w:eastAsia="en-GB"/>
              </w:rPr>
              <w:t>Increased workload</w:t>
            </w:r>
          </w:p>
        </w:tc>
        <w:tc>
          <w:tcPr>
            <w:tcW w:w="3380" w:type="dxa"/>
            <w:tcBorders>
              <w:top w:val="single" w:sz="4" w:space="0" w:color="auto"/>
              <w:left w:val="nil"/>
              <w:bottom w:val="nil"/>
              <w:right w:val="single" w:sz="4" w:space="0" w:color="auto"/>
            </w:tcBorders>
            <w:shd w:val="clear" w:color="000000" w:fill="A9D08E"/>
            <w:noWrap/>
            <w:vAlign w:val="bottom"/>
            <w:hideMark/>
          </w:tcPr>
          <w:p w:rsidR="00387DAA" w:rsidRPr="00387DAA" w:rsidRDefault="00387DAA" w:rsidP="00387DAA">
            <w:pPr>
              <w:suppressAutoHyphens w:val="0"/>
              <w:rPr>
                <w:rFonts w:ascii="Calibri" w:eastAsia="Times New Roman" w:hAnsi="Calibri"/>
                <w:color w:val="000000"/>
                <w:lang w:val="en-GB" w:eastAsia="en-GB"/>
              </w:rPr>
            </w:pPr>
            <w:r w:rsidRPr="00387DAA">
              <w:rPr>
                <w:rFonts w:ascii="Calibri" w:eastAsia="Times New Roman" w:hAnsi="Calibri"/>
                <w:color w:val="000000"/>
                <w:lang w:val="en-GB" w:eastAsia="en-GB"/>
              </w:rPr>
              <w:t> </w:t>
            </w:r>
          </w:p>
        </w:tc>
        <w:tc>
          <w:tcPr>
            <w:tcW w:w="3300" w:type="dxa"/>
            <w:tcBorders>
              <w:top w:val="single" w:sz="4" w:space="0" w:color="auto"/>
              <w:left w:val="nil"/>
              <w:bottom w:val="nil"/>
              <w:right w:val="single" w:sz="4" w:space="0" w:color="auto"/>
            </w:tcBorders>
            <w:shd w:val="clear" w:color="000000" w:fill="F4B084"/>
            <w:noWrap/>
            <w:vAlign w:val="bottom"/>
            <w:hideMark/>
          </w:tcPr>
          <w:p w:rsidR="00387DAA" w:rsidRPr="00387DAA" w:rsidRDefault="00387DAA" w:rsidP="00387DAA">
            <w:pPr>
              <w:suppressAutoHyphens w:val="0"/>
              <w:rPr>
                <w:rFonts w:eastAsia="Times New Roman" w:cs="Arial"/>
                <w:color w:val="000000"/>
                <w:sz w:val="16"/>
                <w:szCs w:val="16"/>
                <w:lang w:val="en-GB" w:eastAsia="en-GB"/>
              </w:rPr>
            </w:pPr>
            <w:r w:rsidRPr="00387DAA">
              <w:rPr>
                <w:rFonts w:eastAsia="Times New Roman" w:cs="Arial"/>
                <w:color w:val="000000"/>
                <w:sz w:val="16"/>
                <w:szCs w:val="16"/>
                <w:lang w:val="en-GB" w:eastAsia="en-GB"/>
              </w:rPr>
              <w:t xml:space="preserve">Brexit - PCC community projects funded </w:t>
            </w:r>
          </w:p>
        </w:tc>
      </w:tr>
      <w:tr w:rsidR="00387DAA" w:rsidRPr="00387DAA" w:rsidTr="00387DAA">
        <w:trPr>
          <w:trHeight w:val="300"/>
        </w:trPr>
        <w:tc>
          <w:tcPr>
            <w:tcW w:w="2540" w:type="dxa"/>
            <w:tcBorders>
              <w:top w:val="nil"/>
              <w:left w:val="single" w:sz="4" w:space="0" w:color="auto"/>
              <w:bottom w:val="single" w:sz="4" w:space="0" w:color="auto"/>
              <w:right w:val="single" w:sz="4" w:space="0" w:color="auto"/>
            </w:tcBorders>
            <w:shd w:val="clear" w:color="000000" w:fill="FFFF00"/>
            <w:noWrap/>
            <w:vAlign w:val="bottom"/>
            <w:hideMark/>
          </w:tcPr>
          <w:p w:rsidR="00387DAA" w:rsidRPr="00387DAA" w:rsidRDefault="00387DAA" w:rsidP="00387DAA">
            <w:pPr>
              <w:suppressAutoHyphens w:val="0"/>
              <w:rPr>
                <w:rFonts w:ascii="Calibri" w:eastAsia="Times New Roman" w:hAnsi="Calibri"/>
                <w:color w:val="000000"/>
                <w:lang w:val="en-GB" w:eastAsia="en-GB"/>
              </w:rPr>
            </w:pPr>
            <w:r w:rsidRPr="00387DAA">
              <w:rPr>
                <w:rFonts w:ascii="Calibri" w:eastAsia="Times New Roman" w:hAnsi="Calibri"/>
                <w:color w:val="000000"/>
                <w:lang w:val="en-GB" w:eastAsia="en-GB"/>
              </w:rPr>
              <w:t> </w:t>
            </w:r>
          </w:p>
        </w:tc>
        <w:tc>
          <w:tcPr>
            <w:tcW w:w="3040" w:type="dxa"/>
            <w:tcBorders>
              <w:top w:val="nil"/>
              <w:left w:val="nil"/>
              <w:bottom w:val="single" w:sz="4" w:space="0" w:color="auto"/>
              <w:right w:val="single" w:sz="4" w:space="0" w:color="auto"/>
            </w:tcBorders>
            <w:shd w:val="clear" w:color="000000" w:fill="9BC2E6"/>
            <w:noWrap/>
            <w:vAlign w:val="bottom"/>
            <w:hideMark/>
          </w:tcPr>
          <w:p w:rsidR="00387DAA" w:rsidRPr="00387DAA" w:rsidRDefault="00387DAA" w:rsidP="00387DAA">
            <w:pPr>
              <w:suppressAutoHyphens w:val="0"/>
              <w:rPr>
                <w:rFonts w:ascii="Calibri" w:eastAsia="Times New Roman" w:hAnsi="Calibri"/>
                <w:color w:val="000000"/>
                <w:lang w:val="en-GB" w:eastAsia="en-GB"/>
              </w:rPr>
            </w:pPr>
            <w:r w:rsidRPr="00387DAA">
              <w:rPr>
                <w:rFonts w:ascii="Calibri" w:eastAsia="Times New Roman" w:hAnsi="Calibri"/>
                <w:color w:val="000000"/>
                <w:lang w:val="en-GB" w:eastAsia="en-GB"/>
              </w:rPr>
              <w:t> </w:t>
            </w:r>
          </w:p>
        </w:tc>
        <w:tc>
          <w:tcPr>
            <w:tcW w:w="3380" w:type="dxa"/>
            <w:tcBorders>
              <w:top w:val="nil"/>
              <w:left w:val="nil"/>
              <w:bottom w:val="single" w:sz="4" w:space="0" w:color="auto"/>
              <w:right w:val="single" w:sz="4" w:space="0" w:color="auto"/>
            </w:tcBorders>
            <w:shd w:val="clear" w:color="000000" w:fill="A9D08E"/>
            <w:noWrap/>
            <w:vAlign w:val="bottom"/>
            <w:hideMark/>
          </w:tcPr>
          <w:p w:rsidR="00387DAA" w:rsidRPr="00387DAA" w:rsidRDefault="00387DAA" w:rsidP="00387DAA">
            <w:pPr>
              <w:suppressAutoHyphens w:val="0"/>
              <w:rPr>
                <w:rFonts w:ascii="Calibri" w:eastAsia="Times New Roman" w:hAnsi="Calibri"/>
                <w:color w:val="000000"/>
                <w:lang w:val="en-GB" w:eastAsia="en-GB"/>
              </w:rPr>
            </w:pPr>
            <w:r w:rsidRPr="00387DAA">
              <w:rPr>
                <w:rFonts w:ascii="Calibri" w:eastAsia="Times New Roman" w:hAnsi="Calibri"/>
                <w:color w:val="000000"/>
                <w:lang w:val="en-GB" w:eastAsia="en-GB"/>
              </w:rPr>
              <w:t> </w:t>
            </w:r>
          </w:p>
        </w:tc>
        <w:tc>
          <w:tcPr>
            <w:tcW w:w="3300" w:type="dxa"/>
            <w:tcBorders>
              <w:top w:val="nil"/>
              <w:left w:val="nil"/>
              <w:bottom w:val="single" w:sz="4" w:space="0" w:color="auto"/>
              <w:right w:val="single" w:sz="4" w:space="0" w:color="auto"/>
            </w:tcBorders>
            <w:shd w:val="clear" w:color="000000" w:fill="F4B084"/>
            <w:noWrap/>
            <w:vAlign w:val="bottom"/>
            <w:hideMark/>
          </w:tcPr>
          <w:p w:rsidR="00387DAA" w:rsidRPr="00387DAA" w:rsidRDefault="00387DAA" w:rsidP="00387DAA">
            <w:pPr>
              <w:suppressAutoHyphens w:val="0"/>
              <w:rPr>
                <w:rFonts w:eastAsia="Times New Roman" w:cs="Arial"/>
                <w:color w:val="000000"/>
                <w:sz w:val="16"/>
                <w:szCs w:val="16"/>
                <w:lang w:val="en-GB" w:eastAsia="en-GB"/>
              </w:rPr>
            </w:pPr>
            <w:r w:rsidRPr="00387DAA">
              <w:rPr>
                <w:rFonts w:eastAsia="Times New Roman" w:cs="Arial"/>
                <w:color w:val="000000"/>
                <w:sz w:val="16"/>
                <w:szCs w:val="16"/>
                <w:lang w:val="en-GB" w:eastAsia="en-GB"/>
              </w:rPr>
              <w:t>by EU</w:t>
            </w:r>
          </w:p>
        </w:tc>
      </w:tr>
      <w:tr w:rsidR="00387DAA" w:rsidRPr="00387DAA" w:rsidTr="00387DAA">
        <w:trPr>
          <w:trHeight w:val="300"/>
        </w:trPr>
        <w:tc>
          <w:tcPr>
            <w:tcW w:w="2540" w:type="dxa"/>
            <w:tcBorders>
              <w:top w:val="nil"/>
              <w:left w:val="nil"/>
              <w:bottom w:val="nil"/>
              <w:right w:val="nil"/>
            </w:tcBorders>
            <w:shd w:val="clear" w:color="auto" w:fill="auto"/>
            <w:noWrap/>
            <w:vAlign w:val="bottom"/>
            <w:hideMark/>
          </w:tcPr>
          <w:p w:rsidR="00387DAA" w:rsidRPr="00387DAA" w:rsidRDefault="00387DAA" w:rsidP="00387DAA">
            <w:pPr>
              <w:suppressAutoHyphens w:val="0"/>
              <w:rPr>
                <w:rFonts w:eastAsia="Times New Roman" w:cs="Arial"/>
                <w:color w:val="000000"/>
                <w:sz w:val="16"/>
                <w:szCs w:val="16"/>
                <w:lang w:val="en-GB" w:eastAsia="en-GB"/>
              </w:rPr>
            </w:pPr>
          </w:p>
        </w:tc>
        <w:tc>
          <w:tcPr>
            <w:tcW w:w="3040" w:type="dxa"/>
            <w:tcBorders>
              <w:top w:val="nil"/>
              <w:left w:val="nil"/>
              <w:bottom w:val="nil"/>
              <w:right w:val="nil"/>
            </w:tcBorders>
            <w:shd w:val="clear" w:color="auto" w:fill="auto"/>
            <w:noWrap/>
            <w:vAlign w:val="bottom"/>
            <w:hideMark/>
          </w:tcPr>
          <w:p w:rsidR="00387DAA" w:rsidRPr="00387DAA" w:rsidRDefault="00387DAA" w:rsidP="00387DAA">
            <w:pPr>
              <w:suppressAutoHyphens w:val="0"/>
              <w:rPr>
                <w:rFonts w:ascii="Times New Roman" w:eastAsia="Times New Roman" w:hAnsi="Times New Roman"/>
                <w:color w:val="auto"/>
                <w:sz w:val="20"/>
                <w:szCs w:val="20"/>
                <w:lang w:val="en-GB" w:eastAsia="en-GB"/>
              </w:rPr>
            </w:pPr>
          </w:p>
        </w:tc>
        <w:tc>
          <w:tcPr>
            <w:tcW w:w="3380" w:type="dxa"/>
            <w:tcBorders>
              <w:top w:val="nil"/>
              <w:left w:val="nil"/>
              <w:bottom w:val="nil"/>
              <w:right w:val="nil"/>
            </w:tcBorders>
            <w:shd w:val="clear" w:color="auto" w:fill="auto"/>
            <w:noWrap/>
            <w:vAlign w:val="bottom"/>
            <w:hideMark/>
          </w:tcPr>
          <w:p w:rsidR="00387DAA" w:rsidRPr="00387DAA" w:rsidRDefault="00387DAA" w:rsidP="00387DAA">
            <w:pPr>
              <w:suppressAutoHyphens w:val="0"/>
              <w:rPr>
                <w:rFonts w:ascii="Times New Roman" w:eastAsia="Times New Roman" w:hAnsi="Times New Roman"/>
                <w:color w:val="auto"/>
                <w:sz w:val="20"/>
                <w:szCs w:val="20"/>
                <w:lang w:val="en-GB" w:eastAsia="en-GB"/>
              </w:rPr>
            </w:pPr>
          </w:p>
        </w:tc>
        <w:tc>
          <w:tcPr>
            <w:tcW w:w="3300" w:type="dxa"/>
            <w:tcBorders>
              <w:top w:val="nil"/>
              <w:left w:val="nil"/>
              <w:bottom w:val="nil"/>
              <w:right w:val="nil"/>
            </w:tcBorders>
            <w:shd w:val="clear" w:color="auto" w:fill="auto"/>
            <w:noWrap/>
            <w:vAlign w:val="bottom"/>
            <w:hideMark/>
          </w:tcPr>
          <w:p w:rsidR="00387DAA" w:rsidRPr="00387DAA" w:rsidRDefault="00387DAA" w:rsidP="00387DAA">
            <w:pPr>
              <w:suppressAutoHyphens w:val="0"/>
              <w:rPr>
                <w:rFonts w:ascii="Times New Roman" w:eastAsia="Times New Roman" w:hAnsi="Times New Roman"/>
                <w:color w:val="auto"/>
                <w:sz w:val="20"/>
                <w:szCs w:val="20"/>
                <w:lang w:val="en-GB" w:eastAsia="en-GB"/>
              </w:rPr>
            </w:pPr>
          </w:p>
        </w:tc>
      </w:tr>
    </w:tbl>
    <w:p w:rsidR="001A644F" w:rsidRDefault="001A644F"/>
    <w:p w:rsidR="001A644F" w:rsidRDefault="001A644F">
      <w:pPr>
        <w:suppressAutoHyphens w:val="0"/>
        <w:spacing w:after="160" w:line="259" w:lineRule="auto"/>
      </w:pPr>
      <w:r>
        <w:br w:type="page"/>
      </w:r>
    </w:p>
    <w:p w:rsidR="001A644F" w:rsidRPr="00643260" w:rsidRDefault="001A644F" w:rsidP="001A644F">
      <w:pPr>
        <w:jc w:val="center"/>
        <w:rPr>
          <w:rFonts w:cs="Arial"/>
          <w:b/>
          <w:color w:val="000000" w:themeColor="text1"/>
          <w:sz w:val="28"/>
          <w:szCs w:val="28"/>
          <w:u w:val="single"/>
        </w:rPr>
      </w:pPr>
      <w:bookmarkStart w:id="0" w:name="_GoBack"/>
      <w:r w:rsidRPr="00643260">
        <w:rPr>
          <w:rFonts w:cs="Arial"/>
          <w:b/>
          <w:color w:val="000000" w:themeColor="text1"/>
          <w:sz w:val="28"/>
          <w:szCs w:val="28"/>
          <w:u w:val="single"/>
        </w:rPr>
        <w:lastRenderedPageBreak/>
        <w:t>Bibliography</w:t>
      </w:r>
    </w:p>
    <w:bookmarkEnd w:id="0"/>
    <w:p w:rsidR="00A16FC8" w:rsidRDefault="00A16FC8" w:rsidP="001A644F">
      <w:pPr>
        <w:jc w:val="center"/>
        <w:rPr>
          <w:rFonts w:cs="Arial"/>
          <w:b/>
          <w:sz w:val="28"/>
          <w:szCs w:val="28"/>
          <w:u w:val="single"/>
        </w:rPr>
      </w:pPr>
    </w:p>
    <w:p w:rsidR="00A16FC8" w:rsidRDefault="00A16FC8" w:rsidP="001A644F">
      <w:pPr>
        <w:jc w:val="center"/>
        <w:rPr>
          <w:rFonts w:cs="Arial"/>
          <w:b/>
          <w:sz w:val="28"/>
          <w:szCs w:val="28"/>
          <w:u w:val="single"/>
        </w:rPr>
      </w:pPr>
    </w:p>
    <w:p w:rsidR="00A16FC8" w:rsidRDefault="00643260" w:rsidP="00A16FC8">
      <w:pPr>
        <w:pStyle w:val="ListParagraph"/>
        <w:numPr>
          <w:ilvl w:val="0"/>
          <w:numId w:val="8"/>
        </w:numPr>
        <w:rPr>
          <w:rFonts w:ascii="Arial" w:hAnsi="Arial" w:cs="Arial"/>
          <w:sz w:val="24"/>
          <w:szCs w:val="24"/>
        </w:rPr>
      </w:pPr>
      <w:hyperlink r:id="rId6" w:history="1">
        <w:r w:rsidR="00A16FC8" w:rsidRPr="004306DC">
          <w:rPr>
            <w:rStyle w:val="Hyperlink"/>
            <w:rFonts w:ascii="Arial" w:hAnsi="Arial" w:cs="Arial"/>
            <w:sz w:val="24"/>
            <w:szCs w:val="24"/>
          </w:rPr>
          <w:t>https://www.cipd.co.uk</w:t>
        </w:r>
      </w:hyperlink>
    </w:p>
    <w:p w:rsidR="00A16FC8" w:rsidRDefault="00A16FC8" w:rsidP="00A16FC8">
      <w:pPr>
        <w:pStyle w:val="ListParagraph"/>
        <w:tabs>
          <w:tab w:val="center" w:pos="7339"/>
        </w:tabs>
        <w:rPr>
          <w:rFonts w:ascii="Arial" w:hAnsi="Arial" w:cs="Arial"/>
          <w:sz w:val="24"/>
          <w:szCs w:val="24"/>
        </w:rPr>
      </w:pPr>
      <w:r>
        <w:rPr>
          <w:rFonts w:ascii="Arial" w:hAnsi="Arial" w:cs="Arial"/>
          <w:sz w:val="24"/>
          <w:szCs w:val="24"/>
        </w:rPr>
        <w:t>Pestle analysis factsheet</w:t>
      </w:r>
      <w:r>
        <w:rPr>
          <w:rFonts w:ascii="Arial" w:hAnsi="Arial" w:cs="Arial"/>
          <w:sz w:val="24"/>
          <w:szCs w:val="24"/>
        </w:rPr>
        <w:tab/>
      </w:r>
    </w:p>
    <w:p w:rsidR="00A16FC8" w:rsidRDefault="00A16FC8" w:rsidP="00A16FC8">
      <w:pPr>
        <w:pStyle w:val="ListParagraph"/>
        <w:rPr>
          <w:rFonts w:ascii="Arial" w:hAnsi="Arial" w:cs="Arial"/>
          <w:sz w:val="24"/>
          <w:szCs w:val="24"/>
        </w:rPr>
      </w:pPr>
      <w:r>
        <w:rPr>
          <w:rFonts w:ascii="Arial" w:hAnsi="Arial" w:cs="Arial"/>
          <w:sz w:val="24"/>
          <w:szCs w:val="24"/>
        </w:rPr>
        <w:t>10/11/2020</w:t>
      </w:r>
    </w:p>
    <w:p w:rsidR="00A16FC8" w:rsidRPr="00A16FC8" w:rsidRDefault="00A16FC8" w:rsidP="00A16FC8">
      <w:pPr>
        <w:pStyle w:val="ListParagraph"/>
        <w:rPr>
          <w:rFonts w:ascii="Arial" w:hAnsi="Arial" w:cs="Arial"/>
          <w:sz w:val="24"/>
          <w:szCs w:val="24"/>
        </w:rPr>
      </w:pPr>
    </w:p>
    <w:p w:rsidR="00A16FC8" w:rsidRDefault="00643260" w:rsidP="00A16FC8">
      <w:pPr>
        <w:pStyle w:val="ListParagraph"/>
        <w:numPr>
          <w:ilvl w:val="0"/>
          <w:numId w:val="8"/>
        </w:numPr>
        <w:rPr>
          <w:rFonts w:ascii="Arial" w:hAnsi="Arial" w:cs="Arial"/>
          <w:sz w:val="24"/>
          <w:szCs w:val="24"/>
        </w:rPr>
      </w:pPr>
      <w:hyperlink r:id="rId7" w:history="1">
        <w:r w:rsidR="00A16FC8" w:rsidRPr="004306DC">
          <w:rPr>
            <w:rStyle w:val="Hyperlink"/>
            <w:rFonts w:ascii="Arial" w:hAnsi="Arial" w:cs="Arial"/>
            <w:sz w:val="24"/>
            <w:szCs w:val="24"/>
          </w:rPr>
          <w:t>https://cipd.co.uk</w:t>
        </w:r>
      </w:hyperlink>
    </w:p>
    <w:p w:rsidR="00A16FC8" w:rsidRDefault="00A16FC8" w:rsidP="00A16FC8">
      <w:pPr>
        <w:pStyle w:val="ListParagraph"/>
        <w:rPr>
          <w:rFonts w:ascii="Arial" w:hAnsi="Arial" w:cs="Arial"/>
          <w:sz w:val="24"/>
          <w:szCs w:val="24"/>
        </w:rPr>
      </w:pPr>
      <w:r>
        <w:rPr>
          <w:rFonts w:ascii="Arial" w:hAnsi="Arial" w:cs="Arial"/>
          <w:sz w:val="24"/>
          <w:szCs w:val="24"/>
        </w:rPr>
        <w:t>Strategic Human Resource Management</w:t>
      </w:r>
    </w:p>
    <w:p w:rsidR="00A16FC8" w:rsidRDefault="00A16FC8" w:rsidP="00A16FC8">
      <w:pPr>
        <w:pStyle w:val="ListParagraph"/>
        <w:rPr>
          <w:rFonts w:ascii="Arial" w:hAnsi="Arial" w:cs="Arial"/>
          <w:sz w:val="24"/>
          <w:szCs w:val="24"/>
        </w:rPr>
      </w:pPr>
      <w:r>
        <w:rPr>
          <w:rFonts w:ascii="Arial" w:hAnsi="Arial" w:cs="Arial"/>
          <w:sz w:val="24"/>
          <w:szCs w:val="24"/>
        </w:rPr>
        <w:t>20/02/2020</w:t>
      </w:r>
    </w:p>
    <w:p w:rsidR="00A16FC8" w:rsidRDefault="00A16FC8" w:rsidP="00A16FC8">
      <w:pPr>
        <w:pStyle w:val="ListParagraph"/>
        <w:rPr>
          <w:rFonts w:ascii="Arial" w:hAnsi="Arial" w:cs="Arial"/>
          <w:sz w:val="24"/>
          <w:szCs w:val="24"/>
        </w:rPr>
      </w:pPr>
    </w:p>
    <w:p w:rsidR="00A16FC8" w:rsidRDefault="00643260" w:rsidP="00A16FC8">
      <w:pPr>
        <w:pStyle w:val="ListParagraph"/>
        <w:numPr>
          <w:ilvl w:val="0"/>
          <w:numId w:val="8"/>
        </w:numPr>
        <w:rPr>
          <w:rFonts w:ascii="Arial" w:hAnsi="Arial" w:cs="Arial"/>
          <w:sz w:val="24"/>
          <w:szCs w:val="24"/>
        </w:rPr>
      </w:pPr>
      <w:hyperlink r:id="rId8" w:history="1">
        <w:r w:rsidR="00A16FC8" w:rsidRPr="004306DC">
          <w:rPr>
            <w:rStyle w:val="Hyperlink"/>
            <w:rFonts w:ascii="Arial" w:hAnsi="Arial" w:cs="Arial"/>
            <w:sz w:val="24"/>
            <w:szCs w:val="24"/>
          </w:rPr>
          <w:t>https://www.cipd.co.uk</w:t>
        </w:r>
      </w:hyperlink>
    </w:p>
    <w:p w:rsidR="00A16FC8" w:rsidRDefault="00A16FC8" w:rsidP="00A16FC8">
      <w:pPr>
        <w:pStyle w:val="ListParagraph"/>
        <w:rPr>
          <w:rFonts w:ascii="Arial" w:hAnsi="Arial" w:cs="Arial"/>
          <w:sz w:val="24"/>
          <w:szCs w:val="24"/>
        </w:rPr>
      </w:pPr>
      <w:r>
        <w:rPr>
          <w:rFonts w:ascii="Arial" w:hAnsi="Arial" w:cs="Arial"/>
          <w:sz w:val="24"/>
          <w:szCs w:val="24"/>
        </w:rPr>
        <w:t>Workforce Planning Practice Guide</w:t>
      </w:r>
    </w:p>
    <w:p w:rsidR="00A16FC8" w:rsidRDefault="00A16FC8" w:rsidP="00A16FC8">
      <w:pPr>
        <w:pStyle w:val="ListParagraph"/>
        <w:rPr>
          <w:rFonts w:ascii="Arial" w:hAnsi="Arial" w:cs="Arial"/>
          <w:sz w:val="24"/>
          <w:szCs w:val="24"/>
        </w:rPr>
      </w:pPr>
      <w:r>
        <w:rPr>
          <w:rFonts w:ascii="Arial" w:hAnsi="Arial" w:cs="Arial"/>
          <w:sz w:val="24"/>
          <w:szCs w:val="24"/>
        </w:rPr>
        <w:t>May 2018</w:t>
      </w:r>
    </w:p>
    <w:p w:rsidR="00A16FC8" w:rsidRDefault="00A16FC8" w:rsidP="00A16FC8">
      <w:pPr>
        <w:pStyle w:val="ListParagraph"/>
        <w:rPr>
          <w:rFonts w:ascii="Arial" w:hAnsi="Arial" w:cs="Arial"/>
          <w:sz w:val="24"/>
          <w:szCs w:val="24"/>
        </w:rPr>
      </w:pPr>
    </w:p>
    <w:p w:rsidR="0033342C" w:rsidRDefault="00643260" w:rsidP="0033342C">
      <w:pPr>
        <w:pStyle w:val="ListParagraph"/>
        <w:numPr>
          <w:ilvl w:val="0"/>
          <w:numId w:val="8"/>
        </w:numPr>
        <w:rPr>
          <w:rFonts w:ascii="Arial" w:hAnsi="Arial" w:cs="Arial"/>
          <w:sz w:val="24"/>
          <w:szCs w:val="24"/>
        </w:rPr>
      </w:pPr>
      <w:hyperlink r:id="rId9" w:history="1">
        <w:r w:rsidR="0033342C" w:rsidRPr="004306DC">
          <w:rPr>
            <w:rStyle w:val="Hyperlink"/>
            <w:rFonts w:ascii="Arial" w:hAnsi="Arial" w:cs="Arial"/>
            <w:sz w:val="24"/>
            <w:szCs w:val="24"/>
          </w:rPr>
          <w:t>https://www.employment-studies.co.uk</w:t>
        </w:r>
      </w:hyperlink>
    </w:p>
    <w:p w:rsidR="0033342C" w:rsidRDefault="0033342C" w:rsidP="0033342C">
      <w:pPr>
        <w:pStyle w:val="ListParagraph"/>
        <w:rPr>
          <w:rFonts w:ascii="Arial" w:hAnsi="Arial" w:cs="Arial"/>
          <w:sz w:val="24"/>
          <w:szCs w:val="24"/>
        </w:rPr>
      </w:pPr>
      <w:r>
        <w:rPr>
          <w:rFonts w:ascii="Arial" w:hAnsi="Arial" w:cs="Arial"/>
          <w:sz w:val="24"/>
          <w:szCs w:val="24"/>
        </w:rPr>
        <w:t>IES report – Strategic Human Resource Management ‘Back to the Future?’</w:t>
      </w:r>
    </w:p>
    <w:p w:rsidR="0033342C" w:rsidRDefault="0033342C" w:rsidP="0033342C">
      <w:pPr>
        <w:pStyle w:val="ListParagraph"/>
        <w:rPr>
          <w:rFonts w:ascii="Arial" w:hAnsi="Arial" w:cs="Arial"/>
          <w:sz w:val="24"/>
          <w:szCs w:val="24"/>
        </w:rPr>
      </w:pPr>
      <w:r>
        <w:rPr>
          <w:rFonts w:ascii="Arial" w:hAnsi="Arial" w:cs="Arial"/>
          <w:sz w:val="24"/>
          <w:szCs w:val="24"/>
        </w:rPr>
        <w:t>M Armstrong &amp; D Brown 2019</w:t>
      </w:r>
    </w:p>
    <w:p w:rsidR="0033342C" w:rsidRDefault="0033342C" w:rsidP="0033342C">
      <w:pPr>
        <w:pStyle w:val="ListParagraph"/>
        <w:rPr>
          <w:rFonts w:ascii="Arial" w:hAnsi="Arial" w:cs="Arial"/>
          <w:sz w:val="24"/>
          <w:szCs w:val="24"/>
        </w:rPr>
      </w:pPr>
    </w:p>
    <w:p w:rsidR="0033342C" w:rsidRDefault="00643260" w:rsidP="0033342C">
      <w:pPr>
        <w:pStyle w:val="ListParagraph"/>
        <w:numPr>
          <w:ilvl w:val="0"/>
          <w:numId w:val="8"/>
        </w:numPr>
        <w:rPr>
          <w:rFonts w:ascii="Arial" w:hAnsi="Arial" w:cs="Arial"/>
          <w:sz w:val="24"/>
          <w:szCs w:val="24"/>
        </w:rPr>
      </w:pPr>
      <w:hyperlink r:id="rId10" w:history="1">
        <w:r w:rsidR="0033342C" w:rsidRPr="004306DC">
          <w:rPr>
            <w:rStyle w:val="Hyperlink"/>
            <w:rFonts w:ascii="Arial" w:hAnsi="Arial" w:cs="Arial"/>
            <w:sz w:val="24"/>
            <w:szCs w:val="24"/>
          </w:rPr>
          <w:t>https://www.gov.uk</w:t>
        </w:r>
      </w:hyperlink>
    </w:p>
    <w:p w:rsidR="0033342C" w:rsidRPr="0033342C" w:rsidRDefault="0033342C" w:rsidP="0033342C">
      <w:pPr>
        <w:pStyle w:val="ListParagraph"/>
        <w:rPr>
          <w:rFonts w:ascii="Arial" w:hAnsi="Arial" w:cs="Arial"/>
          <w:sz w:val="24"/>
          <w:szCs w:val="24"/>
        </w:rPr>
      </w:pPr>
      <w:r>
        <w:rPr>
          <w:rFonts w:ascii="Arial" w:hAnsi="Arial" w:cs="Arial"/>
          <w:sz w:val="24"/>
          <w:szCs w:val="24"/>
        </w:rPr>
        <w:t xml:space="preserve">Coronavirus and the l </w:t>
      </w:r>
      <w:proofErr w:type="spellStart"/>
      <w:r>
        <w:rPr>
          <w:rFonts w:ascii="Arial" w:hAnsi="Arial" w:cs="Arial"/>
          <w:sz w:val="24"/>
          <w:szCs w:val="24"/>
        </w:rPr>
        <w:t>HRaw</w:t>
      </w:r>
      <w:proofErr w:type="spellEnd"/>
    </w:p>
    <w:p w:rsidR="0033342C" w:rsidRDefault="0033342C" w:rsidP="0033342C">
      <w:pPr>
        <w:pStyle w:val="ListParagraph"/>
        <w:rPr>
          <w:rFonts w:ascii="Arial" w:hAnsi="Arial" w:cs="Arial"/>
          <w:sz w:val="24"/>
          <w:szCs w:val="24"/>
        </w:rPr>
      </w:pPr>
    </w:p>
    <w:p w:rsidR="0033342C" w:rsidRDefault="00643260" w:rsidP="0033342C">
      <w:pPr>
        <w:pStyle w:val="ListParagraph"/>
        <w:numPr>
          <w:ilvl w:val="0"/>
          <w:numId w:val="8"/>
        </w:numPr>
        <w:rPr>
          <w:rFonts w:ascii="Arial" w:hAnsi="Arial" w:cs="Arial"/>
          <w:sz w:val="24"/>
          <w:szCs w:val="24"/>
        </w:rPr>
      </w:pPr>
      <w:hyperlink r:id="rId11" w:history="1">
        <w:r w:rsidR="0033342C" w:rsidRPr="004306DC">
          <w:rPr>
            <w:rStyle w:val="Hyperlink"/>
            <w:rFonts w:ascii="Arial" w:hAnsi="Arial" w:cs="Arial"/>
            <w:sz w:val="24"/>
            <w:szCs w:val="24"/>
          </w:rPr>
          <w:t>https://www.gov.wales</w:t>
        </w:r>
      </w:hyperlink>
    </w:p>
    <w:p w:rsidR="0033342C" w:rsidRDefault="0033342C" w:rsidP="0033342C">
      <w:pPr>
        <w:pStyle w:val="ListParagraph"/>
        <w:rPr>
          <w:rFonts w:ascii="Arial" w:hAnsi="Arial" w:cs="Arial"/>
          <w:sz w:val="24"/>
          <w:szCs w:val="24"/>
        </w:rPr>
      </w:pPr>
      <w:r>
        <w:rPr>
          <w:rFonts w:ascii="Arial" w:hAnsi="Arial" w:cs="Arial"/>
          <w:sz w:val="24"/>
          <w:szCs w:val="24"/>
        </w:rPr>
        <w:t>How Wales became a world leader in recycling</w:t>
      </w:r>
    </w:p>
    <w:p w:rsidR="0033342C" w:rsidRDefault="0033342C" w:rsidP="0033342C">
      <w:pPr>
        <w:pStyle w:val="ListParagraph"/>
        <w:rPr>
          <w:rFonts w:ascii="Arial" w:hAnsi="Arial" w:cs="Arial"/>
          <w:sz w:val="24"/>
          <w:szCs w:val="24"/>
        </w:rPr>
      </w:pPr>
      <w:r>
        <w:rPr>
          <w:rFonts w:ascii="Arial" w:hAnsi="Arial" w:cs="Arial"/>
          <w:sz w:val="24"/>
          <w:szCs w:val="24"/>
        </w:rPr>
        <w:t>18/03/2020</w:t>
      </w:r>
    </w:p>
    <w:p w:rsidR="0033342C" w:rsidRPr="0033342C" w:rsidRDefault="0033342C" w:rsidP="0033342C">
      <w:pPr>
        <w:pStyle w:val="ListParagraph"/>
        <w:rPr>
          <w:rFonts w:ascii="Arial" w:hAnsi="Arial" w:cs="Arial"/>
          <w:sz w:val="24"/>
          <w:szCs w:val="24"/>
        </w:rPr>
      </w:pPr>
    </w:p>
    <w:p w:rsidR="0033342C" w:rsidRDefault="00643260" w:rsidP="0033342C">
      <w:pPr>
        <w:pStyle w:val="ListParagraph"/>
        <w:numPr>
          <w:ilvl w:val="0"/>
          <w:numId w:val="8"/>
        </w:numPr>
        <w:rPr>
          <w:rFonts w:ascii="Arial" w:hAnsi="Arial" w:cs="Arial"/>
          <w:sz w:val="24"/>
          <w:szCs w:val="24"/>
        </w:rPr>
      </w:pPr>
      <w:hyperlink r:id="rId12" w:history="1">
        <w:r w:rsidR="0033342C" w:rsidRPr="004306DC">
          <w:rPr>
            <w:rStyle w:val="Hyperlink"/>
            <w:rFonts w:ascii="Arial" w:hAnsi="Arial" w:cs="Arial"/>
            <w:sz w:val="24"/>
            <w:szCs w:val="24"/>
          </w:rPr>
          <w:t>https://www.igi-global.com</w:t>
        </w:r>
      </w:hyperlink>
    </w:p>
    <w:p w:rsidR="0033342C" w:rsidRDefault="0033342C" w:rsidP="0033342C">
      <w:pPr>
        <w:pStyle w:val="ListParagraph"/>
        <w:tabs>
          <w:tab w:val="left" w:pos="4304"/>
        </w:tabs>
        <w:rPr>
          <w:rFonts w:ascii="Arial" w:hAnsi="Arial" w:cs="Arial"/>
          <w:sz w:val="24"/>
          <w:szCs w:val="24"/>
        </w:rPr>
      </w:pPr>
      <w:r>
        <w:rPr>
          <w:rFonts w:ascii="Arial" w:hAnsi="Arial" w:cs="Arial"/>
          <w:sz w:val="24"/>
          <w:szCs w:val="24"/>
        </w:rPr>
        <w:t xml:space="preserve">What is resource-based </w:t>
      </w:r>
      <w:proofErr w:type="gramStart"/>
      <w:r>
        <w:rPr>
          <w:rFonts w:ascii="Arial" w:hAnsi="Arial" w:cs="Arial"/>
          <w:sz w:val="24"/>
          <w:szCs w:val="24"/>
        </w:rPr>
        <w:t>view</w:t>
      </w:r>
      <w:proofErr w:type="gramEnd"/>
      <w:r>
        <w:rPr>
          <w:rFonts w:ascii="Arial" w:hAnsi="Arial" w:cs="Arial"/>
          <w:sz w:val="24"/>
          <w:szCs w:val="24"/>
        </w:rPr>
        <w:tab/>
      </w:r>
    </w:p>
    <w:p w:rsidR="0033342C" w:rsidRDefault="0033342C" w:rsidP="0033342C">
      <w:pPr>
        <w:pStyle w:val="ListParagraph"/>
        <w:tabs>
          <w:tab w:val="left" w:pos="4304"/>
        </w:tabs>
        <w:rPr>
          <w:rFonts w:ascii="Arial" w:hAnsi="Arial" w:cs="Arial"/>
          <w:sz w:val="24"/>
          <w:szCs w:val="24"/>
        </w:rPr>
      </w:pPr>
      <w:r>
        <w:rPr>
          <w:rFonts w:ascii="Arial" w:hAnsi="Arial" w:cs="Arial"/>
          <w:sz w:val="24"/>
          <w:szCs w:val="24"/>
        </w:rPr>
        <w:t>Viewed on 15/02/2021</w:t>
      </w:r>
    </w:p>
    <w:p w:rsidR="0033342C" w:rsidRDefault="00643260" w:rsidP="0033342C">
      <w:pPr>
        <w:pStyle w:val="ListParagraph"/>
        <w:numPr>
          <w:ilvl w:val="0"/>
          <w:numId w:val="8"/>
        </w:numPr>
        <w:rPr>
          <w:rFonts w:ascii="Arial" w:hAnsi="Arial" w:cs="Arial"/>
          <w:sz w:val="24"/>
          <w:szCs w:val="24"/>
        </w:rPr>
      </w:pPr>
      <w:hyperlink r:id="rId13" w:history="1">
        <w:r w:rsidR="0033342C" w:rsidRPr="004306DC">
          <w:rPr>
            <w:rStyle w:val="Hyperlink"/>
            <w:rFonts w:ascii="Arial" w:hAnsi="Arial" w:cs="Arial"/>
            <w:sz w:val="24"/>
            <w:szCs w:val="24"/>
          </w:rPr>
          <w:t>https://www.mindtools.com</w:t>
        </w:r>
      </w:hyperlink>
    </w:p>
    <w:p w:rsidR="0033342C" w:rsidRDefault="0033342C" w:rsidP="0033342C">
      <w:pPr>
        <w:pStyle w:val="ListParagraph"/>
        <w:rPr>
          <w:rFonts w:ascii="Arial" w:hAnsi="Arial" w:cs="Arial"/>
          <w:sz w:val="24"/>
          <w:szCs w:val="24"/>
        </w:rPr>
      </w:pPr>
      <w:proofErr w:type="spellStart"/>
      <w:r>
        <w:rPr>
          <w:rFonts w:ascii="Arial" w:hAnsi="Arial" w:cs="Arial"/>
          <w:sz w:val="24"/>
          <w:szCs w:val="24"/>
        </w:rPr>
        <w:t>Mintzbergs</w:t>
      </w:r>
      <w:proofErr w:type="spellEnd"/>
      <w:r>
        <w:rPr>
          <w:rFonts w:ascii="Arial" w:hAnsi="Arial" w:cs="Arial"/>
          <w:sz w:val="24"/>
          <w:szCs w:val="24"/>
        </w:rPr>
        <w:t xml:space="preserve"> 5Ps of strategy – Developing a better strategy</w:t>
      </w:r>
    </w:p>
    <w:p w:rsidR="0033342C" w:rsidRPr="00A16FC8" w:rsidRDefault="0033342C" w:rsidP="0033342C">
      <w:pPr>
        <w:pStyle w:val="ListParagraph"/>
        <w:rPr>
          <w:rFonts w:ascii="Arial" w:hAnsi="Arial" w:cs="Arial"/>
          <w:sz w:val="24"/>
          <w:szCs w:val="24"/>
        </w:rPr>
      </w:pPr>
      <w:r>
        <w:rPr>
          <w:rFonts w:ascii="Arial" w:hAnsi="Arial" w:cs="Arial"/>
          <w:sz w:val="24"/>
          <w:szCs w:val="24"/>
        </w:rPr>
        <w:t>Viewed 17/02/2021</w:t>
      </w:r>
    </w:p>
    <w:p w:rsidR="0033342C" w:rsidRDefault="0033342C" w:rsidP="0033342C">
      <w:pPr>
        <w:pStyle w:val="ListParagraph"/>
        <w:rPr>
          <w:rFonts w:ascii="Arial" w:hAnsi="Arial" w:cs="Arial"/>
          <w:sz w:val="24"/>
          <w:szCs w:val="24"/>
        </w:rPr>
      </w:pPr>
    </w:p>
    <w:p w:rsidR="0033342C" w:rsidRDefault="00643260" w:rsidP="0033342C">
      <w:pPr>
        <w:pStyle w:val="ListParagraph"/>
        <w:numPr>
          <w:ilvl w:val="0"/>
          <w:numId w:val="8"/>
        </w:numPr>
        <w:rPr>
          <w:rFonts w:ascii="Arial" w:hAnsi="Arial" w:cs="Arial"/>
          <w:sz w:val="24"/>
          <w:szCs w:val="24"/>
        </w:rPr>
      </w:pPr>
      <w:hyperlink r:id="rId14" w:history="1">
        <w:r w:rsidR="0033342C" w:rsidRPr="004306DC">
          <w:rPr>
            <w:rStyle w:val="Hyperlink"/>
            <w:rFonts w:ascii="Arial" w:hAnsi="Arial" w:cs="Arial"/>
            <w:sz w:val="24"/>
            <w:szCs w:val="24"/>
          </w:rPr>
          <w:t>https://www.peopledevelopmentmagazine.com</w:t>
        </w:r>
      </w:hyperlink>
    </w:p>
    <w:p w:rsidR="0033342C" w:rsidRDefault="0033342C" w:rsidP="0033342C">
      <w:pPr>
        <w:pStyle w:val="ListParagraph"/>
        <w:rPr>
          <w:rFonts w:ascii="Arial" w:hAnsi="Arial" w:cs="Arial"/>
          <w:sz w:val="24"/>
          <w:szCs w:val="24"/>
        </w:rPr>
      </w:pPr>
      <w:r>
        <w:rPr>
          <w:rFonts w:ascii="Arial" w:hAnsi="Arial" w:cs="Arial"/>
          <w:sz w:val="24"/>
          <w:szCs w:val="24"/>
        </w:rPr>
        <w:t>Organisational Strategy &amp; HR</w:t>
      </w:r>
    </w:p>
    <w:p w:rsidR="0033342C" w:rsidRDefault="0033342C" w:rsidP="0033342C">
      <w:pPr>
        <w:pStyle w:val="ListParagraph"/>
        <w:rPr>
          <w:rFonts w:ascii="Arial" w:hAnsi="Arial" w:cs="Arial"/>
          <w:sz w:val="24"/>
          <w:szCs w:val="24"/>
        </w:rPr>
      </w:pPr>
      <w:proofErr w:type="spellStart"/>
      <w:r>
        <w:rPr>
          <w:rFonts w:ascii="Arial" w:hAnsi="Arial" w:cs="Arial"/>
          <w:sz w:val="24"/>
          <w:szCs w:val="24"/>
        </w:rPr>
        <w:t>Tasneem</w:t>
      </w:r>
      <w:proofErr w:type="spellEnd"/>
      <w:r>
        <w:rPr>
          <w:rFonts w:ascii="Arial" w:hAnsi="Arial" w:cs="Arial"/>
          <w:sz w:val="24"/>
          <w:szCs w:val="24"/>
        </w:rPr>
        <w:t xml:space="preserve"> Hameed 23/09/2016</w:t>
      </w:r>
    </w:p>
    <w:p w:rsidR="0033342C" w:rsidRDefault="0033342C" w:rsidP="0033342C">
      <w:pPr>
        <w:pStyle w:val="ListParagraph"/>
        <w:rPr>
          <w:rFonts w:ascii="Arial" w:hAnsi="Arial" w:cs="Arial"/>
          <w:sz w:val="24"/>
          <w:szCs w:val="24"/>
        </w:rPr>
      </w:pPr>
    </w:p>
    <w:p w:rsidR="0033342C" w:rsidRDefault="00643260" w:rsidP="0033342C">
      <w:pPr>
        <w:pStyle w:val="ListParagraph"/>
        <w:numPr>
          <w:ilvl w:val="0"/>
          <w:numId w:val="8"/>
        </w:numPr>
        <w:rPr>
          <w:rFonts w:ascii="Arial" w:hAnsi="Arial" w:cs="Arial"/>
          <w:sz w:val="24"/>
          <w:szCs w:val="24"/>
        </w:rPr>
      </w:pPr>
      <w:hyperlink r:id="rId15" w:history="1">
        <w:r w:rsidR="0033342C" w:rsidRPr="004306DC">
          <w:rPr>
            <w:rStyle w:val="Hyperlink"/>
            <w:rFonts w:ascii="Arial" w:hAnsi="Arial" w:cs="Arial"/>
            <w:sz w:val="24"/>
            <w:szCs w:val="24"/>
          </w:rPr>
          <w:t>https://smallbusiness.chron.com</w:t>
        </w:r>
      </w:hyperlink>
    </w:p>
    <w:p w:rsidR="0033342C" w:rsidRDefault="0033342C" w:rsidP="0033342C">
      <w:pPr>
        <w:pStyle w:val="ListParagraph"/>
        <w:rPr>
          <w:rFonts w:ascii="Arial" w:hAnsi="Arial" w:cs="Arial"/>
          <w:sz w:val="24"/>
          <w:szCs w:val="24"/>
        </w:rPr>
      </w:pPr>
      <w:r>
        <w:rPr>
          <w:rFonts w:ascii="Arial" w:hAnsi="Arial" w:cs="Arial"/>
          <w:sz w:val="24"/>
          <w:szCs w:val="24"/>
        </w:rPr>
        <w:t>Alignment of Strategies – Small Business</w:t>
      </w:r>
    </w:p>
    <w:p w:rsidR="0033342C" w:rsidRDefault="0033342C" w:rsidP="0033342C">
      <w:pPr>
        <w:pStyle w:val="ListParagraph"/>
        <w:rPr>
          <w:rFonts w:ascii="Arial" w:hAnsi="Arial" w:cs="Arial"/>
          <w:sz w:val="24"/>
          <w:szCs w:val="24"/>
        </w:rPr>
      </w:pPr>
      <w:r>
        <w:rPr>
          <w:rFonts w:ascii="Arial" w:hAnsi="Arial" w:cs="Arial"/>
          <w:sz w:val="24"/>
          <w:szCs w:val="24"/>
        </w:rPr>
        <w:t>Leigh Richards</w:t>
      </w:r>
    </w:p>
    <w:p w:rsidR="0033342C" w:rsidRDefault="0033342C" w:rsidP="0033342C">
      <w:pPr>
        <w:pStyle w:val="ListParagraph"/>
        <w:rPr>
          <w:rFonts w:ascii="Arial" w:hAnsi="Arial" w:cs="Arial"/>
          <w:sz w:val="24"/>
          <w:szCs w:val="24"/>
        </w:rPr>
      </w:pPr>
      <w:r>
        <w:rPr>
          <w:rFonts w:ascii="Arial" w:hAnsi="Arial" w:cs="Arial"/>
          <w:sz w:val="24"/>
          <w:szCs w:val="24"/>
        </w:rPr>
        <w:t>Viewed 15/02/2021</w:t>
      </w:r>
    </w:p>
    <w:p w:rsidR="0033342C" w:rsidRDefault="0033342C" w:rsidP="0033342C">
      <w:pPr>
        <w:pStyle w:val="ListParagraph"/>
        <w:rPr>
          <w:rFonts w:ascii="Arial" w:hAnsi="Arial" w:cs="Arial"/>
          <w:sz w:val="24"/>
          <w:szCs w:val="24"/>
        </w:rPr>
      </w:pPr>
    </w:p>
    <w:p w:rsidR="0033342C" w:rsidRDefault="00643260" w:rsidP="0033342C">
      <w:pPr>
        <w:pStyle w:val="ListParagraph"/>
        <w:numPr>
          <w:ilvl w:val="0"/>
          <w:numId w:val="8"/>
        </w:numPr>
        <w:rPr>
          <w:rFonts w:ascii="Arial" w:hAnsi="Arial" w:cs="Arial"/>
          <w:sz w:val="24"/>
          <w:szCs w:val="24"/>
        </w:rPr>
      </w:pPr>
      <w:hyperlink r:id="rId16" w:history="1">
        <w:r w:rsidR="0033342C" w:rsidRPr="004306DC">
          <w:rPr>
            <w:rStyle w:val="Hyperlink"/>
            <w:rFonts w:ascii="Arial" w:hAnsi="Arial" w:cs="Arial"/>
            <w:sz w:val="24"/>
            <w:szCs w:val="24"/>
          </w:rPr>
          <w:t>https://www2.deloitte.com</w:t>
        </w:r>
      </w:hyperlink>
    </w:p>
    <w:p w:rsidR="0033342C" w:rsidRDefault="0033342C" w:rsidP="0033342C">
      <w:pPr>
        <w:pStyle w:val="ListParagraph"/>
        <w:rPr>
          <w:rFonts w:ascii="Arial" w:hAnsi="Arial" w:cs="Arial"/>
          <w:sz w:val="24"/>
          <w:szCs w:val="24"/>
        </w:rPr>
      </w:pPr>
      <w:r>
        <w:rPr>
          <w:rFonts w:ascii="Arial" w:hAnsi="Arial" w:cs="Arial"/>
          <w:sz w:val="24"/>
          <w:szCs w:val="24"/>
        </w:rPr>
        <w:t>Global business driven HR transformation: The journey continues</w:t>
      </w:r>
    </w:p>
    <w:p w:rsidR="0033342C" w:rsidRDefault="0033342C" w:rsidP="0033342C">
      <w:pPr>
        <w:pStyle w:val="ListParagraph"/>
        <w:rPr>
          <w:rFonts w:ascii="Arial" w:hAnsi="Arial" w:cs="Arial"/>
          <w:sz w:val="24"/>
          <w:szCs w:val="24"/>
        </w:rPr>
      </w:pPr>
      <w:r>
        <w:rPr>
          <w:rFonts w:ascii="Arial" w:hAnsi="Arial" w:cs="Arial"/>
          <w:sz w:val="24"/>
          <w:szCs w:val="24"/>
        </w:rPr>
        <w:t>Viewed 16/02/2021</w:t>
      </w:r>
    </w:p>
    <w:p w:rsidR="0033342C" w:rsidRDefault="0033342C" w:rsidP="0033342C">
      <w:pPr>
        <w:pStyle w:val="ListParagraph"/>
        <w:rPr>
          <w:rFonts w:ascii="Arial" w:hAnsi="Arial" w:cs="Arial"/>
          <w:sz w:val="24"/>
          <w:szCs w:val="24"/>
        </w:rPr>
      </w:pPr>
    </w:p>
    <w:p w:rsidR="0033342C" w:rsidRDefault="00643260" w:rsidP="0033342C">
      <w:pPr>
        <w:pStyle w:val="ListParagraph"/>
        <w:numPr>
          <w:ilvl w:val="0"/>
          <w:numId w:val="8"/>
        </w:numPr>
        <w:rPr>
          <w:rFonts w:ascii="Arial" w:hAnsi="Arial" w:cs="Arial"/>
          <w:sz w:val="24"/>
          <w:szCs w:val="24"/>
        </w:rPr>
      </w:pPr>
      <w:hyperlink r:id="rId17" w:history="1">
        <w:r w:rsidR="0033342C" w:rsidRPr="00DC0692">
          <w:rPr>
            <w:rStyle w:val="Hyperlink"/>
            <w:rFonts w:ascii="Arial" w:hAnsi="Arial" w:cs="Arial"/>
            <w:sz w:val="24"/>
            <w:szCs w:val="24"/>
          </w:rPr>
          <w:t>https://www.venngage.com</w:t>
        </w:r>
      </w:hyperlink>
    </w:p>
    <w:p w:rsidR="0033342C" w:rsidRDefault="0033342C" w:rsidP="0033342C">
      <w:pPr>
        <w:pStyle w:val="ListParagraph"/>
        <w:rPr>
          <w:rFonts w:ascii="Arial" w:hAnsi="Arial" w:cs="Arial"/>
          <w:sz w:val="24"/>
          <w:szCs w:val="24"/>
        </w:rPr>
      </w:pPr>
      <w:r>
        <w:rPr>
          <w:rFonts w:ascii="Arial" w:hAnsi="Arial" w:cs="Arial"/>
          <w:sz w:val="24"/>
          <w:szCs w:val="24"/>
        </w:rPr>
        <w:t>20+ SWOT analysis templates, examples and best practice</w:t>
      </w:r>
    </w:p>
    <w:p w:rsidR="0033342C" w:rsidRDefault="0033342C" w:rsidP="0033342C">
      <w:pPr>
        <w:pStyle w:val="ListParagraph"/>
        <w:rPr>
          <w:rFonts w:ascii="Arial" w:hAnsi="Arial" w:cs="Arial"/>
          <w:sz w:val="24"/>
          <w:szCs w:val="24"/>
        </w:rPr>
      </w:pPr>
      <w:r>
        <w:rPr>
          <w:rFonts w:ascii="Arial" w:hAnsi="Arial" w:cs="Arial"/>
          <w:sz w:val="24"/>
          <w:szCs w:val="24"/>
        </w:rPr>
        <w:t xml:space="preserve">Midori </w:t>
      </w:r>
      <w:proofErr w:type="spellStart"/>
      <w:r>
        <w:rPr>
          <w:rFonts w:ascii="Arial" w:hAnsi="Arial" w:cs="Arial"/>
          <w:sz w:val="24"/>
          <w:szCs w:val="24"/>
        </w:rPr>
        <w:t>Nediger</w:t>
      </w:r>
      <w:proofErr w:type="spellEnd"/>
      <w:r>
        <w:rPr>
          <w:rFonts w:ascii="Arial" w:hAnsi="Arial" w:cs="Arial"/>
          <w:sz w:val="24"/>
          <w:szCs w:val="24"/>
        </w:rPr>
        <w:t xml:space="preserve"> 16/07/2020</w:t>
      </w:r>
    </w:p>
    <w:p w:rsidR="0033342C" w:rsidRDefault="0033342C" w:rsidP="0033342C">
      <w:pPr>
        <w:pStyle w:val="ListParagraph"/>
        <w:rPr>
          <w:rFonts w:ascii="Arial" w:hAnsi="Arial" w:cs="Arial"/>
          <w:sz w:val="24"/>
          <w:szCs w:val="24"/>
        </w:rPr>
      </w:pPr>
    </w:p>
    <w:p w:rsidR="0033342C" w:rsidRDefault="0033342C" w:rsidP="0033342C">
      <w:pPr>
        <w:pStyle w:val="ListParagraph"/>
        <w:numPr>
          <w:ilvl w:val="0"/>
          <w:numId w:val="8"/>
        </w:numPr>
        <w:rPr>
          <w:rFonts w:ascii="Arial" w:hAnsi="Arial" w:cs="Arial"/>
          <w:sz w:val="24"/>
          <w:szCs w:val="24"/>
        </w:rPr>
      </w:pPr>
      <w:r>
        <w:rPr>
          <w:rFonts w:ascii="Arial" w:hAnsi="Arial" w:cs="Arial"/>
          <w:sz w:val="24"/>
          <w:szCs w:val="24"/>
        </w:rPr>
        <w:t>Human Resource Management: People &amp; Organisations 2</w:t>
      </w:r>
      <w:r w:rsidRPr="004F6CC2">
        <w:rPr>
          <w:rFonts w:ascii="Arial" w:hAnsi="Arial" w:cs="Arial"/>
          <w:sz w:val="24"/>
          <w:szCs w:val="24"/>
          <w:vertAlign w:val="superscript"/>
        </w:rPr>
        <w:t>nd</w:t>
      </w:r>
      <w:r>
        <w:rPr>
          <w:rFonts w:ascii="Arial" w:hAnsi="Arial" w:cs="Arial"/>
          <w:sz w:val="24"/>
          <w:szCs w:val="24"/>
        </w:rPr>
        <w:t xml:space="preserve"> edition</w:t>
      </w:r>
    </w:p>
    <w:p w:rsidR="0033342C" w:rsidRDefault="0033342C" w:rsidP="0033342C">
      <w:pPr>
        <w:pStyle w:val="ListParagraph"/>
        <w:rPr>
          <w:rFonts w:ascii="Arial" w:hAnsi="Arial" w:cs="Arial"/>
          <w:sz w:val="24"/>
          <w:szCs w:val="24"/>
        </w:rPr>
      </w:pPr>
      <w:r>
        <w:rPr>
          <w:rFonts w:ascii="Arial" w:hAnsi="Arial" w:cs="Arial"/>
          <w:sz w:val="24"/>
          <w:szCs w:val="24"/>
        </w:rPr>
        <w:t xml:space="preserve">Stephen Taylor &amp; Carol </w:t>
      </w:r>
      <w:proofErr w:type="spellStart"/>
      <w:r>
        <w:rPr>
          <w:rFonts w:ascii="Arial" w:hAnsi="Arial" w:cs="Arial"/>
          <w:sz w:val="24"/>
          <w:szCs w:val="24"/>
        </w:rPr>
        <w:t>Woodhams</w:t>
      </w:r>
      <w:proofErr w:type="spellEnd"/>
      <w:r>
        <w:rPr>
          <w:rFonts w:ascii="Arial" w:hAnsi="Arial" w:cs="Arial"/>
          <w:sz w:val="24"/>
          <w:szCs w:val="24"/>
        </w:rPr>
        <w:t xml:space="preserve"> 2016</w:t>
      </w:r>
    </w:p>
    <w:p w:rsidR="0033342C" w:rsidRDefault="0033342C" w:rsidP="0033342C">
      <w:pPr>
        <w:pStyle w:val="ListParagraph"/>
        <w:rPr>
          <w:rFonts w:ascii="Arial" w:hAnsi="Arial" w:cs="Arial"/>
          <w:sz w:val="24"/>
          <w:szCs w:val="24"/>
        </w:rPr>
      </w:pPr>
      <w:r>
        <w:rPr>
          <w:rFonts w:ascii="Arial" w:hAnsi="Arial" w:cs="Arial"/>
          <w:sz w:val="24"/>
          <w:szCs w:val="24"/>
        </w:rPr>
        <w:t>Chapter 8 – Organisation Design &amp; Organisational Development</w:t>
      </w:r>
    </w:p>
    <w:p w:rsidR="0033342C" w:rsidRDefault="0033342C" w:rsidP="0033342C">
      <w:pPr>
        <w:pStyle w:val="ListParagraph"/>
        <w:rPr>
          <w:rFonts w:ascii="Arial" w:hAnsi="Arial" w:cs="Arial"/>
          <w:sz w:val="24"/>
          <w:szCs w:val="24"/>
        </w:rPr>
      </w:pPr>
      <w:r>
        <w:rPr>
          <w:rFonts w:ascii="Arial" w:hAnsi="Arial" w:cs="Arial"/>
          <w:sz w:val="24"/>
          <w:szCs w:val="24"/>
        </w:rPr>
        <w:t>Claire Roberts</w:t>
      </w:r>
    </w:p>
    <w:p w:rsidR="00A16FC8" w:rsidRDefault="00A16FC8" w:rsidP="00A16FC8">
      <w:pPr>
        <w:rPr>
          <w:rFonts w:cs="Arial"/>
          <w:b/>
          <w:sz w:val="28"/>
          <w:szCs w:val="28"/>
          <w:u w:val="single"/>
        </w:rPr>
      </w:pPr>
    </w:p>
    <w:p w:rsidR="00A16FC8" w:rsidRDefault="00A16FC8" w:rsidP="001A644F">
      <w:pPr>
        <w:jc w:val="center"/>
        <w:rPr>
          <w:rFonts w:cs="Arial"/>
          <w:b/>
          <w:sz w:val="28"/>
          <w:szCs w:val="28"/>
          <w:u w:val="single"/>
        </w:rPr>
      </w:pPr>
    </w:p>
    <w:p w:rsidR="001A644F" w:rsidRDefault="001A644F" w:rsidP="0033342C">
      <w:pPr>
        <w:rPr>
          <w:rFonts w:cs="Arial"/>
          <w:b/>
          <w:sz w:val="28"/>
          <w:szCs w:val="28"/>
          <w:u w:val="single"/>
        </w:rPr>
      </w:pPr>
    </w:p>
    <w:p w:rsidR="0033342C" w:rsidRPr="0033342C" w:rsidRDefault="0033342C" w:rsidP="0033342C">
      <w:pPr>
        <w:rPr>
          <w:rFonts w:cs="Arial"/>
          <w:sz w:val="24"/>
          <w:szCs w:val="24"/>
        </w:rPr>
      </w:pPr>
    </w:p>
    <w:p w:rsidR="001A644F" w:rsidRDefault="001A644F" w:rsidP="001A644F">
      <w:pPr>
        <w:pStyle w:val="ListParagraph"/>
        <w:numPr>
          <w:ilvl w:val="0"/>
          <w:numId w:val="8"/>
        </w:numPr>
        <w:rPr>
          <w:rFonts w:ascii="Arial" w:hAnsi="Arial" w:cs="Arial"/>
          <w:sz w:val="24"/>
          <w:szCs w:val="24"/>
        </w:rPr>
      </w:pPr>
      <w:r>
        <w:rPr>
          <w:rFonts w:ascii="Arial" w:hAnsi="Arial" w:cs="Arial"/>
          <w:sz w:val="24"/>
          <w:szCs w:val="24"/>
        </w:rPr>
        <w:lastRenderedPageBreak/>
        <w:t>Pembrokeshire County Council</w:t>
      </w:r>
    </w:p>
    <w:p w:rsidR="001A644F" w:rsidRDefault="001A644F" w:rsidP="001A644F">
      <w:pPr>
        <w:pStyle w:val="ListParagraph"/>
        <w:rPr>
          <w:rFonts w:ascii="Arial" w:hAnsi="Arial" w:cs="Arial"/>
          <w:sz w:val="24"/>
          <w:szCs w:val="24"/>
        </w:rPr>
      </w:pPr>
      <w:r>
        <w:rPr>
          <w:rFonts w:ascii="Arial" w:hAnsi="Arial" w:cs="Arial"/>
          <w:sz w:val="24"/>
          <w:szCs w:val="24"/>
        </w:rPr>
        <w:t>HR People Strategy Appendix 2019-2021</w:t>
      </w:r>
    </w:p>
    <w:p w:rsidR="001A644F" w:rsidRDefault="001A644F" w:rsidP="001A644F">
      <w:pPr>
        <w:pStyle w:val="ListParagraph"/>
        <w:rPr>
          <w:rFonts w:ascii="Arial" w:hAnsi="Arial" w:cs="Arial"/>
          <w:sz w:val="24"/>
          <w:szCs w:val="24"/>
        </w:rPr>
      </w:pPr>
      <w:r>
        <w:rPr>
          <w:rFonts w:ascii="Arial" w:hAnsi="Arial" w:cs="Arial"/>
          <w:sz w:val="24"/>
          <w:szCs w:val="24"/>
        </w:rPr>
        <w:t>26/03/2019</w:t>
      </w:r>
    </w:p>
    <w:p w:rsidR="001A644F" w:rsidRDefault="001A644F" w:rsidP="001A644F">
      <w:pPr>
        <w:pStyle w:val="ListParagraph"/>
        <w:rPr>
          <w:rFonts w:ascii="Arial" w:hAnsi="Arial" w:cs="Arial"/>
          <w:sz w:val="24"/>
          <w:szCs w:val="24"/>
        </w:rPr>
      </w:pPr>
    </w:p>
    <w:p w:rsidR="001A644F" w:rsidRDefault="001A644F" w:rsidP="001A644F">
      <w:pPr>
        <w:pStyle w:val="ListParagraph"/>
        <w:numPr>
          <w:ilvl w:val="0"/>
          <w:numId w:val="8"/>
        </w:numPr>
        <w:rPr>
          <w:rFonts w:ascii="Arial" w:hAnsi="Arial" w:cs="Arial"/>
          <w:sz w:val="24"/>
          <w:szCs w:val="24"/>
        </w:rPr>
      </w:pPr>
      <w:r>
        <w:rPr>
          <w:rFonts w:ascii="Arial" w:hAnsi="Arial" w:cs="Arial"/>
          <w:sz w:val="24"/>
          <w:szCs w:val="24"/>
        </w:rPr>
        <w:t>Pembrokeshire County Council</w:t>
      </w:r>
    </w:p>
    <w:p w:rsidR="001A644F" w:rsidRDefault="001A644F" w:rsidP="001A644F">
      <w:pPr>
        <w:pStyle w:val="ListParagraph"/>
        <w:rPr>
          <w:rFonts w:ascii="Arial" w:hAnsi="Arial" w:cs="Arial"/>
          <w:sz w:val="24"/>
          <w:szCs w:val="24"/>
        </w:rPr>
      </w:pPr>
      <w:r>
        <w:rPr>
          <w:rFonts w:ascii="Arial" w:hAnsi="Arial" w:cs="Arial"/>
          <w:sz w:val="24"/>
          <w:szCs w:val="24"/>
        </w:rPr>
        <w:t>Strategic Equality Plan 2020 – 2024</w:t>
      </w:r>
    </w:p>
    <w:p w:rsidR="001A644F" w:rsidRDefault="001A644F" w:rsidP="0033342C">
      <w:pPr>
        <w:pStyle w:val="ListParagraph"/>
        <w:rPr>
          <w:rFonts w:ascii="Arial" w:hAnsi="Arial" w:cs="Arial"/>
          <w:sz w:val="24"/>
          <w:szCs w:val="24"/>
        </w:rPr>
      </w:pPr>
      <w:r>
        <w:rPr>
          <w:rFonts w:ascii="Arial" w:hAnsi="Arial" w:cs="Arial"/>
          <w:sz w:val="24"/>
          <w:szCs w:val="24"/>
        </w:rPr>
        <w:t>Appendix 1</w:t>
      </w:r>
    </w:p>
    <w:p w:rsidR="0033342C" w:rsidRPr="0033342C" w:rsidRDefault="0033342C" w:rsidP="0033342C">
      <w:pPr>
        <w:pStyle w:val="ListParagraph"/>
        <w:rPr>
          <w:rFonts w:ascii="Arial" w:hAnsi="Arial" w:cs="Arial"/>
          <w:sz w:val="24"/>
          <w:szCs w:val="24"/>
        </w:rPr>
      </w:pPr>
    </w:p>
    <w:p w:rsidR="001A644F" w:rsidRDefault="001A644F" w:rsidP="001A644F">
      <w:pPr>
        <w:pStyle w:val="ListParagraph"/>
        <w:numPr>
          <w:ilvl w:val="0"/>
          <w:numId w:val="8"/>
        </w:numPr>
        <w:rPr>
          <w:rFonts w:ascii="Arial" w:hAnsi="Arial" w:cs="Arial"/>
          <w:sz w:val="24"/>
          <w:szCs w:val="24"/>
        </w:rPr>
      </w:pPr>
      <w:r>
        <w:rPr>
          <w:rFonts w:ascii="Arial" w:hAnsi="Arial" w:cs="Arial"/>
          <w:sz w:val="24"/>
          <w:szCs w:val="24"/>
        </w:rPr>
        <w:t>Pembrokeshire County Council Policies and Procedures</w:t>
      </w:r>
    </w:p>
    <w:p w:rsidR="001A644F" w:rsidRDefault="001A644F" w:rsidP="001A644F">
      <w:pPr>
        <w:pStyle w:val="ListParagraph"/>
        <w:rPr>
          <w:rFonts w:ascii="Arial" w:hAnsi="Arial" w:cs="Arial"/>
          <w:sz w:val="24"/>
          <w:szCs w:val="24"/>
        </w:rPr>
      </w:pPr>
      <w:r>
        <w:rPr>
          <w:rFonts w:ascii="Arial" w:hAnsi="Arial" w:cs="Arial"/>
          <w:sz w:val="24"/>
          <w:szCs w:val="24"/>
        </w:rPr>
        <w:t>Co-vid 19 and the temporary redeployment of staff</w:t>
      </w:r>
    </w:p>
    <w:p w:rsidR="001A644F" w:rsidRPr="0033342C" w:rsidRDefault="001A644F" w:rsidP="0033342C">
      <w:pPr>
        <w:pStyle w:val="ListParagraph"/>
        <w:rPr>
          <w:rFonts w:ascii="Arial" w:hAnsi="Arial" w:cs="Arial"/>
          <w:sz w:val="24"/>
          <w:szCs w:val="24"/>
        </w:rPr>
      </w:pPr>
      <w:r>
        <w:rPr>
          <w:rFonts w:ascii="Arial" w:hAnsi="Arial" w:cs="Arial"/>
          <w:sz w:val="24"/>
          <w:szCs w:val="24"/>
        </w:rPr>
        <w:t>19/03/2020</w:t>
      </w:r>
    </w:p>
    <w:p w:rsidR="001A644F" w:rsidRDefault="001A644F" w:rsidP="001A644F">
      <w:pPr>
        <w:pStyle w:val="ListParagraph"/>
        <w:rPr>
          <w:rFonts w:ascii="Arial" w:hAnsi="Arial" w:cs="Arial"/>
          <w:sz w:val="24"/>
          <w:szCs w:val="24"/>
        </w:rPr>
      </w:pPr>
    </w:p>
    <w:p w:rsidR="0033342C" w:rsidRDefault="0033342C" w:rsidP="0033342C">
      <w:pPr>
        <w:pStyle w:val="ListParagraph"/>
        <w:numPr>
          <w:ilvl w:val="0"/>
          <w:numId w:val="8"/>
        </w:numPr>
        <w:rPr>
          <w:rFonts w:ascii="Arial" w:hAnsi="Arial" w:cs="Arial"/>
          <w:sz w:val="24"/>
          <w:szCs w:val="24"/>
        </w:rPr>
      </w:pPr>
      <w:r>
        <w:rPr>
          <w:rFonts w:ascii="Arial" w:hAnsi="Arial" w:cs="Arial"/>
          <w:sz w:val="24"/>
          <w:szCs w:val="24"/>
        </w:rPr>
        <w:t>Studying Human Resource Management 2</w:t>
      </w:r>
      <w:r w:rsidRPr="00C74A3C">
        <w:rPr>
          <w:rFonts w:ascii="Arial" w:hAnsi="Arial" w:cs="Arial"/>
          <w:sz w:val="24"/>
          <w:szCs w:val="24"/>
          <w:vertAlign w:val="superscript"/>
        </w:rPr>
        <w:t>nd</w:t>
      </w:r>
      <w:r>
        <w:rPr>
          <w:rFonts w:ascii="Arial" w:hAnsi="Arial" w:cs="Arial"/>
          <w:sz w:val="24"/>
          <w:szCs w:val="24"/>
        </w:rPr>
        <w:t xml:space="preserve"> Edition</w:t>
      </w:r>
    </w:p>
    <w:p w:rsidR="0033342C" w:rsidRDefault="0033342C" w:rsidP="0033342C">
      <w:pPr>
        <w:pStyle w:val="ListParagraph"/>
        <w:rPr>
          <w:rFonts w:ascii="Arial" w:hAnsi="Arial" w:cs="Arial"/>
          <w:sz w:val="24"/>
          <w:szCs w:val="24"/>
        </w:rPr>
      </w:pPr>
      <w:r>
        <w:rPr>
          <w:rFonts w:ascii="Arial" w:hAnsi="Arial" w:cs="Arial"/>
          <w:sz w:val="24"/>
          <w:szCs w:val="24"/>
        </w:rPr>
        <w:t xml:space="preserve">Stephen Taylor &amp; Carol </w:t>
      </w:r>
      <w:proofErr w:type="spellStart"/>
      <w:r>
        <w:rPr>
          <w:rFonts w:ascii="Arial" w:hAnsi="Arial" w:cs="Arial"/>
          <w:sz w:val="24"/>
          <w:szCs w:val="24"/>
        </w:rPr>
        <w:t>Woodhams</w:t>
      </w:r>
      <w:proofErr w:type="spellEnd"/>
      <w:r>
        <w:rPr>
          <w:rFonts w:ascii="Arial" w:hAnsi="Arial" w:cs="Arial"/>
          <w:sz w:val="24"/>
          <w:szCs w:val="24"/>
        </w:rPr>
        <w:t>, 2016</w:t>
      </w:r>
    </w:p>
    <w:p w:rsidR="0033342C" w:rsidRDefault="0033342C" w:rsidP="0033342C">
      <w:pPr>
        <w:pStyle w:val="ListParagraph"/>
        <w:rPr>
          <w:rFonts w:ascii="Arial" w:hAnsi="Arial" w:cs="Arial"/>
          <w:sz w:val="24"/>
          <w:szCs w:val="24"/>
        </w:rPr>
      </w:pPr>
      <w:r>
        <w:rPr>
          <w:rFonts w:ascii="Arial" w:hAnsi="Arial" w:cs="Arial"/>
          <w:sz w:val="24"/>
          <w:szCs w:val="24"/>
        </w:rPr>
        <w:t>Chapter 3 – Business issues and the context of Human Resources</w:t>
      </w:r>
    </w:p>
    <w:p w:rsidR="0033342C" w:rsidRDefault="0033342C" w:rsidP="0033342C">
      <w:pPr>
        <w:pStyle w:val="ListParagraph"/>
        <w:rPr>
          <w:rFonts w:ascii="Arial" w:hAnsi="Arial" w:cs="Arial"/>
          <w:sz w:val="24"/>
          <w:szCs w:val="24"/>
        </w:rPr>
      </w:pPr>
      <w:r>
        <w:rPr>
          <w:rFonts w:ascii="Arial" w:hAnsi="Arial" w:cs="Arial"/>
          <w:sz w:val="24"/>
          <w:szCs w:val="24"/>
        </w:rPr>
        <w:t>Stephen Taylor and Krystal Wilkinson</w:t>
      </w:r>
    </w:p>
    <w:p w:rsidR="001A644F" w:rsidRDefault="001A644F" w:rsidP="001A644F">
      <w:pPr>
        <w:pStyle w:val="ListParagraph"/>
        <w:rPr>
          <w:rFonts w:ascii="Arial" w:hAnsi="Arial" w:cs="Arial"/>
          <w:sz w:val="24"/>
          <w:szCs w:val="24"/>
        </w:rPr>
      </w:pPr>
    </w:p>
    <w:p w:rsidR="001A644F" w:rsidRDefault="001A644F" w:rsidP="001A644F">
      <w:pPr>
        <w:pStyle w:val="ListParagraph"/>
        <w:rPr>
          <w:rFonts w:ascii="Arial" w:hAnsi="Arial" w:cs="Arial"/>
          <w:sz w:val="24"/>
          <w:szCs w:val="24"/>
        </w:rPr>
      </w:pPr>
    </w:p>
    <w:p w:rsidR="001A644F" w:rsidRDefault="001A644F" w:rsidP="001A644F">
      <w:pPr>
        <w:pStyle w:val="ListParagraph"/>
        <w:rPr>
          <w:rFonts w:ascii="Arial" w:hAnsi="Arial" w:cs="Arial"/>
          <w:sz w:val="24"/>
          <w:szCs w:val="24"/>
        </w:rPr>
      </w:pPr>
    </w:p>
    <w:p w:rsidR="001A644F" w:rsidRDefault="001A644F" w:rsidP="001A644F">
      <w:pPr>
        <w:pStyle w:val="ListParagraph"/>
        <w:rPr>
          <w:rFonts w:ascii="Arial" w:hAnsi="Arial" w:cs="Arial"/>
          <w:sz w:val="24"/>
          <w:szCs w:val="24"/>
        </w:rPr>
      </w:pPr>
    </w:p>
    <w:p w:rsidR="001A644F" w:rsidRDefault="001A644F" w:rsidP="001A644F">
      <w:pPr>
        <w:pStyle w:val="ListParagraph"/>
        <w:rPr>
          <w:rFonts w:ascii="Arial" w:hAnsi="Arial" w:cs="Arial"/>
          <w:sz w:val="24"/>
          <w:szCs w:val="24"/>
        </w:rPr>
      </w:pPr>
    </w:p>
    <w:p w:rsidR="001A644F" w:rsidRDefault="001A644F" w:rsidP="001A644F">
      <w:pPr>
        <w:pStyle w:val="ListParagraph"/>
        <w:rPr>
          <w:rFonts w:ascii="Arial" w:hAnsi="Arial" w:cs="Arial"/>
          <w:sz w:val="24"/>
          <w:szCs w:val="24"/>
        </w:rPr>
      </w:pPr>
    </w:p>
    <w:p w:rsidR="001A644F" w:rsidRPr="00C74A3C" w:rsidRDefault="001A644F" w:rsidP="001A644F">
      <w:pPr>
        <w:pStyle w:val="ListParagraph"/>
        <w:rPr>
          <w:rFonts w:ascii="Arial" w:hAnsi="Arial" w:cs="Arial"/>
          <w:sz w:val="24"/>
          <w:szCs w:val="24"/>
        </w:rPr>
      </w:pPr>
    </w:p>
    <w:p w:rsidR="009969FB" w:rsidRDefault="009969FB"/>
    <w:p w:rsidR="00DD413A" w:rsidRDefault="00DD413A"/>
    <w:p w:rsidR="00DD413A" w:rsidRDefault="00DD413A"/>
    <w:p w:rsidR="00DD413A" w:rsidRDefault="00DD413A"/>
    <w:p w:rsidR="00DD413A" w:rsidRDefault="00DD413A"/>
    <w:p w:rsidR="00DD413A" w:rsidRDefault="00DD413A"/>
    <w:p w:rsidR="00DD413A" w:rsidRDefault="00DD413A"/>
    <w:p w:rsidR="00DD413A" w:rsidRPr="00643260" w:rsidRDefault="00DD413A" w:rsidP="00DD413A">
      <w:pPr>
        <w:jc w:val="center"/>
        <w:rPr>
          <w:b/>
          <w:sz w:val="28"/>
          <w:szCs w:val="28"/>
          <w:u w:val="single"/>
        </w:rPr>
      </w:pPr>
      <w:r w:rsidRPr="00643260">
        <w:rPr>
          <w:b/>
          <w:color w:val="000000" w:themeColor="text1"/>
          <w:sz w:val="28"/>
          <w:szCs w:val="28"/>
          <w:u w:val="single"/>
        </w:rPr>
        <w:lastRenderedPageBreak/>
        <w:t>References</w:t>
      </w:r>
    </w:p>
    <w:p w:rsidR="002B5A8E" w:rsidRDefault="002B5A8E" w:rsidP="00DD413A">
      <w:pPr>
        <w:jc w:val="center"/>
        <w:rPr>
          <w:sz w:val="28"/>
          <w:szCs w:val="28"/>
        </w:rPr>
      </w:pPr>
    </w:p>
    <w:p w:rsidR="00DD413A" w:rsidRPr="002B5A8E" w:rsidRDefault="002B5A8E" w:rsidP="002B5A8E">
      <w:pPr>
        <w:pStyle w:val="ListParagraph"/>
        <w:numPr>
          <w:ilvl w:val="0"/>
          <w:numId w:val="8"/>
        </w:numPr>
        <w:rPr>
          <w:sz w:val="28"/>
          <w:szCs w:val="28"/>
        </w:rPr>
      </w:pPr>
      <w:r>
        <w:rPr>
          <w:rFonts w:ascii="Arial" w:hAnsi="Arial" w:cs="Arial"/>
          <w:sz w:val="24"/>
          <w:szCs w:val="24"/>
        </w:rPr>
        <w:t>CIPD</w:t>
      </w:r>
    </w:p>
    <w:p w:rsidR="002B5A8E" w:rsidRDefault="002B5A8E" w:rsidP="002B5A8E">
      <w:pPr>
        <w:pStyle w:val="ListParagraph"/>
        <w:ind w:left="643"/>
        <w:rPr>
          <w:rFonts w:ascii="Arial" w:hAnsi="Arial" w:cs="Arial"/>
          <w:sz w:val="24"/>
          <w:szCs w:val="24"/>
        </w:rPr>
      </w:pPr>
      <w:r>
        <w:rPr>
          <w:rFonts w:ascii="Arial" w:hAnsi="Arial" w:cs="Arial"/>
          <w:sz w:val="24"/>
          <w:szCs w:val="24"/>
        </w:rPr>
        <w:t>Getting started with People Analytics: A Practitioners Guide</w:t>
      </w:r>
    </w:p>
    <w:p w:rsidR="002B5A8E" w:rsidRDefault="002B5A8E" w:rsidP="002B5A8E">
      <w:pPr>
        <w:pStyle w:val="ListParagraph"/>
        <w:ind w:left="643"/>
        <w:rPr>
          <w:rFonts w:ascii="Arial" w:hAnsi="Arial" w:cs="Arial"/>
          <w:sz w:val="24"/>
          <w:szCs w:val="24"/>
        </w:rPr>
      </w:pPr>
      <w:r>
        <w:rPr>
          <w:rFonts w:ascii="Arial" w:hAnsi="Arial" w:cs="Arial"/>
          <w:sz w:val="24"/>
          <w:szCs w:val="24"/>
        </w:rPr>
        <w:t>November 2018</w:t>
      </w:r>
    </w:p>
    <w:p w:rsidR="002B5A8E" w:rsidRDefault="002B5A8E" w:rsidP="002B5A8E">
      <w:pPr>
        <w:pStyle w:val="ListParagraph"/>
        <w:ind w:left="643"/>
        <w:rPr>
          <w:rFonts w:ascii="Arial" w:hAnsi="Arial" w:cs="Arial"/>
          <w:sz w:val="24"/>
          <w:szCs w:val="24"/>
        </w:rPr>
      </w:pPr>
    </w:p>
    <w:p w:rsidR="00643260" w:rsidRPr="00643260" w:rsidRDefault="00643260" w:rsidP="00643260">
      <w:pPr>
        <w:pStyle w:val="ListParagraph"/>
        <w:numPr>
          <w:ilvl w:val="0"/>
          <w:numId w:val="8"/>
        </w:numPr>
        <w:rPr>
          <w:rFonts w:ascii="Arial" w:hAnsi="Arial" w:cs="Arial"/>
          <w:sz w:val="24"/>
          <w:szCs w:val="24"/>
        </w:rPr>
      </w:pPr>
      <w:hyperlink r:id="rId18" w:history="1">
        <w:r w:rsidRPr="004F3932">
          <w:rPr>
            <w:rStyle w:val="Hyperlink"/>
            <w:rFonts w:ascii="Arial" w:hAnsi="Arial" w:cs="Arial"/>
            <w:sz w:val="24"/>
            <w:szCs w:val="24"/>
          </w:rPr>
          <w:t>https://deloitte.com</w:t>
        </w:r>
      </w:hyperlink>
    </w:p>
    <w:p w:rsidR="002B5A8E" w:rsidRDefault="002B5A8E" w:rsidP="002B5A8E">
      <w:pPr>
        <w:pStyle w:val="ListParagraph"/>
        <w:ind w:left="643"/>
        <w:rPr>
          <w:rFonts w:ascii="Arial" w:hAnsi="Arial" w:cs="Arial"/>
          <w:sz w:val="24"/>
          <w:szCs w:val="24"/>
        </w:rPr>
      </w:pPr>
      <w:r>
        <w:rPr>
          <w:rFonts w:ascii="Arial" w:hAnsi="Arial" w:cs="Arial"/>
          <w:sz w:val="24"/>
          <w:szCs w:val="24"/>
        </w:rPr>
        <w:t xml:space="preserve">Preparing tomorrow’s workforce for the Fourth Industrial Revolution </w:t>
      </w:r>
    </w:p>
    <w:p w:rsidR="002B5A8E" w:rsidRDefault="002B5A8E" w:rsidP="002B5A8E">
      <w:pPr>
        <w:pStyle w:val="ListParagraph"/>
        <w:ind w:left="643"/>
        <w:rPr>
          <w:rFonts w:ascii="Arial" w:hAnsi="Arial" w:cs="Arial"/>
          <w:sz w:val="24"/>
          <w:szCs w:val="24"/>
        </w:rPr>
      </w:pPr>
      <w:r>
        <w:rPr>
          <w:rFonts w:ascii="Arial" w:hAnsi="Arial" w:cs="Arial"/>
          <w:sz w:val="24"/>
          <w:szCs w:val="24"/>
        </w:rPr>
        <w:t>2018</w:t>
      </w:r>
    </w:p>
    <w:p w:rsidR="00643260" w:rsidRDefault="00643260" w:rsidP="002B5A8E">
      <w:pPr>
        <w:pStyle w:val="ListParagraph"/>
        <w:ind w:left="643"/>
        <w:rPr>
          <w:rFonts w:ascii="Arial" w:hAnsi="Arial" w:cs="Arial"/>
          <w:sz w:val="24"/>
          <w:szCs w:val="24"/>
        </w:rPr>
      </w:pPr>
    </w:p>
    <w:p w:rsidR="00643260" w:rsidRPr="00643260" w:rsidRDefault="00643260" w:rsidP="00643260">
      <w:pPr>
        <w:pStyle w:val="ListParagraph"/>
        <w:numPr>
          <w:ilvl w:val="0"/>
          <w:numId w:val="8"/>
        </w:numPr>
        <w:rPr>
          <w:rFonts w:ascii="Arial" w:hAnsi="Arial" w:cs="Arial"/>
          <w:sz w:val="24"/>
          <w:szCs w:val="24"/>
        </w:rPr>
      </w:pPr>
      <w:hyperlink r:id="rId19" w:history="1">
        <w:r w:rsidRPr="004F3932">
          <w:rPr>
            <w:rStyle w:val="Hyperlink"/>
            <w:rFonts w:ascii="Arial" w:hAnsi="Arial" w:cs="Arial"/>
            <w:sz w:val="24"/>
            <w:szCs w:val="24"/>
          </w:rPr>
          <w:t>https://deloitte.com</w:t>
        </w:r>
      </w:hyperlink>
    </w:p>
    <w:p w:rsidR="00643260" w:rsidRDefault="00643260" w:rsidP="00643260">
      <w:pPr>
        <w:pStyle w:val="ListParagraph"/>
        <w:ind w:left="643"/>
        <w:rPr>
          <w:rFonts w:ascii="Arial" w:hAnsi="Arial" w:cs="Arial"/>
          <w:sz w:val="24"/>
          <w:szCs w:val="24"/>
        </w:rPr>
      </w:pPr>
      <w:r>
        <w:rPr>
          <w:rFonts w:ascii="Arial" w:hAnsi="Arial" w:cs="Arial"/>
          <w:sz w:val="24"/>
          <w:szCs w:val="24"/>
        </w:rPr>
        <w:t>The Future of work in Government – Navigating a shifting talent landscape</w:t>
      </w:r>
    </w:p>
    <w:p w:rsidR="00643260" w:rsidRDefault="00643260" w:rsidP="00643260">
      <w:pPr>
        <w:pStyle w:val="ListParagraph"/>
        <w:ind w:left="643"/>
        <w:rPr>
          <w:rFonts w:ascii="Arial" w:hAnsi="Arial" w:cs="Arial"/>
          <w:sz w:val="24"/>
          <w:szCs w:val="24"/>
        </w:rPr>
      </w:pPr>
      <w:r>
        <w:rPr>
          <w:rFonts w:ascii="Arial" w:hAnsi="Arial" w:cs="Arial"/>
          <w:sz w:val="24"/>
          <w:szCs w:val="24"/>
        </w:rPr>
        <w:t>2019</w:t>
      </w:r>
    </w:p>
    <w:p w:rsidR="00643260" w:rsidRDefault="00643260" w:rsidP="002B5A8E">
      <w:pPr>
        <w:pStyle w:val="ListParagraph"/>
        <w:ind w:left="643"/>
        <w:rPr>
          <w:rFonts w:ascii="Arial" w:hAnsi="Arial" w:cs="Arial"/>
          <w:sz w:val="24"/>
          <w:szCs w:val="24"/>
        </w:rPr>
      </w:pPr>
    </w:p>
    <w:p w:rsidR="00643260" w:rsidRDefault="00643260" w:rsidP="00643260">
      <w:pPr>
        <w:pStyle w:val="ListParagraph"/>
        <w:numPr>
          <w:ilvl w:val="0"/>
          <w:numId w:val="8"/>
        </w:numPr>
        <w:rPr>
          <w:rFonts w:ascii="Arial" w:hAnsi="Arial" w:cs="Arial"/>
          <w:sz w:val="24"/>
          <w:szCs w:val="24"/>
        </w:rPr>
      </w:pPr>
      <w:r>
        <w:rPr>
          <w:rFonts w:ascii="Arial" w:hAnsi="Arial" w:cs="Arial"/>
          <w:sz w:val="24"/>
          <w:szCs w:val="24"/>
        </w:rPr>
        <w:t>Institute for Employment Studies</w:t>
      </w:r>
    </w:p>
    <w:p w:rsidR="00643260" w:rsidRDefault="00643260" w:rsidP="00643260">
      <w:pPr>
        <w:pStyle w:val="ListParagraph"/>
        <w:ind w:left="643"/>
        <w:rPr>
          <w:rFonts w:ascii="Arial" w:hAnsi="Arial" w:cs="Arial"/>
          <w:sz w:val="24"/>
          <w:szCs w:val="24"/>
        </w:rPr>
      </w:pPr>
      <w:r>
        <w:rPr>
          <w:rFonts w:ascii="Arial" w:hAnsi="Arial" w:cs="Arial"/>
          <w:sz w:val="24"/>
          <w:szCs w:val="24"/>
        </w:rPr>
        <w:t>HR paper – The Impact of Artificial Intelligence on the HR Function</w:t>
      </w:r>
    </w:p>
    <w:p w:rsidR="00643260" w:rsidRDefault="00643260" w:rsidP="00643260">
      <w:pPr>
        <w:pStyle w:val="ListParagraph"/>
        <w:ind w:left="643"/>
        <w:rPr>
          <w:rFonts w:ascii="Arial" w:hAnsi="Arial" w:cs="Arial"/>
          <w:sz w:val="24"/>
          <w:szCs w:val="24"/>
        </w:rPr>
      </w:pPr>
      <w:r>
        <w:rPr>
          <w:rFonts w:ascii="Arial" w:hAnsi="Arial" w:cs="Arial"/>
          <w:sz w:val="24"/>
          <w:szCs w:val="24"/>
        </w:rPr>
        <w:t>Peter Reilly 2018</w:t>
      </w:r>
    </w:p>
    <w:p w:rsidR="002B5A8E" w:rsidRPr="002B5A8E" w:rsidRDefault="002B5A8E" w:rsidP="002B5A8E">
      <w:pPr>
        <w:pStyle w:val="ListParagraph"/>
        <w:ind w:left="643"/>
        <w:rPr>
          <w:sz w:val="28"/>
          <w:szCs w:val="28"/>
        </w:rPr>
      </w:pPr>
      <w:r>
        <w:rPr>
          <w:rFonts w:ascii="Arial" w:hAnsi="Arial" w:cs="Arial"/>
          <w:sz w:val="24"/>
          <w:szCs w:val="24"/>
        </w:rPr>
        <w:t xml:space="preserve"> </w:t>
      </w:r>
    </w:p>
    <w:p w:rsidR="00DD413A" w:rsidRPr="00DD413A" w:rsidRDefault="00DD413A" w:rsidP="00DD413A">
      <w:pPr>
        <w:pStyle w:val="ListParagraph"/>
        <w:numPr>
          <w:ilvl w:val="0"/>
          <w:numId w:val="8"/>
        </w:numPr>
        <w:rPr>
          <w:sz w:val="28"/>
          <w:szCs w:val="28"/>
        </w:rPr>
      </w:pPr>
      <w:r>
        <w:rPr>
          <w:rFonts w:ascii="Arial" w:hAnsi="Arial" w:cs="Arial"/>
          <w:sz w:val="24"/>
          <w:szCs w:val="24"/>
        </w:rPr>
        <w:t>Strategic HR Review</w:t>
      </w:r>
    </w:p>
    <w:p w:rsidR="00DD413A" w:rsidRDefault="002B5A8E" w:rsidP="00DD413A">
      <w:pPr>
        <w:pStyle w:val="ListParagraph"/>
        <w:ind w:left="643"/>
        <w:rPr>
          <w:rFonts w:ascii="Arial" w:hAnsi="Arial" w:cs="Arial"/>
          <w:sz w:val="24"/>
          <w:szCs w:val="24"/>
        </w:rPr>
      </w:pPr>
      <w:r>
        <w:rPr>
          <w:rFonts w:ascii="Arial" w:hAnsi="Arial" w:cs="Arial"/>
          <w:sz w:val="24"/>
          <w:szCs w:val="24"/>
        </w:rPr>
        <w:t>Developing a Human Capital strategy in today’s changing environment: Eight forces shaping HC Strategy</w:t>
      </w:r>
    </w:p>
    <w:p w:rsidR="002B5A8E" w:rsidRDefault="002B5A8E" w:rsidP="00DD413A">
      <w:pPr>
        <w:pStyle w:val="ListParagraph"/>
        <w:ind w:left="643"/>
        <w:rPr>
          <w:rFonts w:ascii="Arial" w:hAnsi="Arial" w:cs="Arial"/>
          <w:sz w:val="24"/>
          <w:szCs w:val="24"/>
        </w:rPr>
      </w:pPr>
      <w:r>
        <w:rPr>
          <w:rFonts w:ascii="Arial" w:hAnsi="Arial" w:cs="Arial"/>
          <w:sz w:val="24"/>
          <w:szCs w:val="24"/>
        </w:rPr>
        <w:t>Jack Phillips and Patti Phillips</w:t>
      </w:r>
    </w:p>
    <w:p w:rsidR="002B5A8E" w:rsidRDefault="002B5A8E" w:rsidP="00DD413A">
      <w:pPr>
        <w:pStyle w:val="ListParagraph"/>
        <w:ind w:left="643"/>
        <w:rPr>
          <w:rFonts w:ascii="Arial" w:hAnsi="Arial" w:cs="Arial"/>
          <w:sz w:val="24"/>
          <w:szCs w:val="24"/>
        </w:rPr>
      </w:pPr>
      <w:r>
        <w:rPr>
          <w:rFonts w:ascii="Arial" w:hAnsi="Arial" w:cs="Arial"/>
          <w:sz w:val="24"/>
          <w:szCs w:val="24"/>
        </w:rPr>
        <w:t>Volume 13, No 3 – 2014</w:t>
      </w:r>
    </w:p>
    <w:p w:rsidR="002B5A8E" w:rsidRDefault="002B5A8E" w:rsidP="00DD413A">
      <w:pPr>
        <w:pStyle w:val="ListParagraph"/>
        <w:ind w:left="643"/>
        <w:rPr>
          <w:rFonts w:ascii="Arial" w:hAnsi="Arial" w:cs="Arial"/>
          <w:sz w:val="24"/>
          <w:szCs w:val="24"/>
        </w:rPr>
      </w:pPr>
    </w:p>
    <w:p w:rsidR="002B5A8E" w:rsidRPr="00DD413A" w:rsidRDefault="002B5A8E" w:rsidP="00643260">
      <w:pPr>
        <w:pStyle w:val="ListParagraph"/>
        <w:ind w:left="643"/>
        <w:rPr>
          <w:sz w:val="28"/>
          <w:szCs w:val="28"/>
        </w:rPr>
      </w:pPr>
    </w:p>
    <w:p w:rsidR="00DD413A" w:rsidRPr="00DD413A" w:rsidRDefault="00DD413A" w:rsidP="00DD413A">
      <w:pPr>
        <w:rPr>
          <w:sz w:val="24"/>
          <w:szCs w:val="24"/>
        </w:rPr>
      </w:pPr>
    </w:p>
    <w:sectPr w:rsidR="00DD413A" w:rsidRPr="00DD413A" w:rsidSect="0019377D">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8A22FC"/>
    <w:multiLevelType w:val="hybridMultilevel"/>
    <w:tmpl w:val="B9A8F37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2E842E53"/>
    <w:multiLevelType w:val="hybridMultilevel"/>
    <w:tmpl w:val="F9ACDE38"/>
    <w:lvl w:ilvl="0" w:tplc="08090001">
      <w:start w:val="1"/>
      <w:numFmt w:val="bullet"/>
      <w:lvlText w:val=""/>
      <w:lvlJc w:val="left"/>
      <w:pPr>
        <w:ind w:left="643"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124344"/>
    <w:multiLevelType w:val="hybridMultilevel"/>
    <w:tmpl w:val="7086482A"/>
    <w:lvl w:ilvl="0" w:tplc="08090001">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cs="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cs="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cs="Courier New" w:hint="default"/>
      </w:rPr>
    </w:lvl>
    <w:lvl w:ilvl="8" w:tplc="08090005" w:tentative="1">
      <w:start w:val="1"/>
      <w:numFmt w:val="bullet"/>
      <w:lvlText w:val=""/>
      <w:lvlJc w:val="left"/>
      <w:pPr>
        <w:ind w:left="6551" w:hanging="360"/>
      </w:pPr>
      <w:rPr>
        <w:rFonts w:ascii="Wingdings" w:hAnsi="Wingdings" w:hint="default"/>
      </w:rPr>
    </w:lvl>
  </w:abstractNum>
  <w:abstractNum w:abstractNumId="3" w15:restartNumberingAfterBreak="0">
    <w:nsid w:val="46D105CF"/>
    <w:multiLevelType w:val="hybridMultilevel"/>
    <w:tmpl w:val="0DD03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351BA0"/>
    <w:multiLevelType w:val="hybridMultilevel"/>
    <w:tmpl w:val="ED4A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120A0B"/>
    <w:multiLevelType w:val="hybridMultilevel"/>
    <w:tmpl w:val="FC946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AF3A32"/>
    <w:multiLevelType w:val="hybridMultilevel"/>
    <w:tmpl w:val="A15E0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F079A4"/>
    <w:multiLevelType w:val="hybridMultilevel"/>
    <w:tmpl w:val="B04E5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0"/>
  </w:num>
  <w:num w:numId="5">
    <w:abstractNumId w:val="3"/>
  </w:num>
  <w:num w:numId="6">
    <w:abstractNumId w:val="7"/>
  </w:num>
  <w:num w:numId="7">
    <w:abstractNumId w:val="6"/>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360C"/>
    <w:rsid w:val="0019377D"/>
    <w:rsid w:val="001A644F"/>
    <w:rsid w:val="002B5A8E"/>
    <w:rsid w:val="0033342C"/>
    <w:rsid w:val="00387DAA"/>
    <w:rsid w:val="004A38BE"/>
    <w:rsid w:val="004C360C"/>
    <w:rsid w:val="00643260"/>
    <w:rsid w:val="009969FB"/>
    <w:rsid w:val="00A16FC8"/>
    <w:rsid w:val="00DD41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9CE400E-1089-4A03-B8A3-1544B3C49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360C"/>
    <w:pPr>
      <w:suppressAutoHyphens/>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360C"/>
    <w:pPr>
      <w:suppressAutoHyphens w:val="0"/>
      <w:spacing w:after="160" w:line="259" w:lineRule="auto"/>
      <w:ind w:left="720"/>
      <w:contextualSpacing/>
    </w:pPr>
    <w:rPr>
      <w:rFonts w:asciiTheme="minorHAnsi" w:eastAsiaTheme="minorHAnsi" w:hAnsiTheme="minorHAnsi" w:cstheme="minorBidi"/>
      <w:color w:val="auto"/>
      <w:lang w:val="en-GB"/>
    </w:rPr>
  </w:style>
  <w:style w:type="character" w:styleId="Hyperlink">
    <w:name w:val="Hyperlink"/>
    <w:basedOn w:val="DefaultParagraphFont"/>
    <w:uiPriority w:val="99"/>
    <w:unhideWhenUsed/>
    <w:rsid w:val="001A644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85815547">
      <w:bodyDiv w:val="1"/>
      <w:marLeft w:val="0"/>
      <w:marRight w:val="0"/>
      <w:marTop w:val="0"/>
      <w:marBottom w:val="0"/>
      <w:divBdr>
        <w:top w:val="none" w:sz="0" w:space="0" w:color="auto"/>
        <w:left w:val="none" w:sz="0" w:space="0" w:color="auto"/>
        <w:bottom w:val="none" w:sz="0" w:space="0" w:color="auto"/>
        <w:right w:val="none" w:sz="0" w:space="0" w:color="auto"/>
      </w:divBdr>
    </w:div>
    <w:div w:id="1316370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 TargetMode="External"/><Relationship Id="rId13" Type="http://schemas.openxmlformats.org/officeDocument/2006/relationships/hyperlink" Target="https://www.mindtools.com" TargetMode="External"/><Relationship Id="rId18" Type="http://schemas.openxmlformats.org/officeDocument/2006/relationships/hyperlink" Target="https://deloitte.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cipd.co.uk" TargetMode="External"/><Relationship Id="rId12" Type="http://schemas.openxmlformats.org/officeDocument/2006/relationships/hyperlink" Target="https://www.igi-global.com" TargetMode="External"/><Relationship Id="rId17" Type="http://schemas.openxmlformats.org/officeDocument/2006/relationships/hyperlink" Target="https://www.venngage.com" TargetMode="External"/><Relationship Id="rId2" Type="http://schemas.openxmlformats.org/officeDocument/2006/relationships/styles" Target="styles.xml"/><Relationship Id="rId16" Type="http://schemas.openxmlformats.org/officeDocument/2006/relationships/hyperlink" Target="https://www2.deloitte.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ipd.co.uk" TargetMode="External"/><Relationship Id="rId11" Type="http://schemas.openxmlformats.org/officeDocument/2006/relationships/hyperlink" Target="https://www.gov.wales" TargetMode="External"/><Relationship Id="rId5" Type="http://schemas.openxmlformats.org/officeDocument/2006/relationships/image" Target="media/image1.jpeg"/><Relationship Id="rId15" Type="http://schemas.openxmlformats.org/officeDocument/2006/relationships/hyperlink" Target="https://smallbusiness.chron.com" TargetMode="External"/><Relationship Id="rId10" Type="http://schemas.openxmlformats.org/officeDocument/2006/relationships/hyperlink" Target="https://www.gov.uk" TargetMode="External"/><Relationship Id="rId19" Type="http://schemas.openxmlformats.org/officeDocument/2006/relationships/hyperlink" Target="https://deloitte.com" TargetMode="External"/><Relationship Id="rId4" Type="http://schemas.openxmlformats.org/officeDocument/2006/relationships/webSettings" Target="webSettings.xml"/><Relationship Id="rId9" Type="http://schemas.openxmlformats.org/officeDocument/2006/relationships/hyperlink" Target="https://www.employment-studies.co.uk" TargetMode="External"/><Relationship Id="rId14" Type="http://schemas.openxmlformats.org/officeDocument/2006/relationships/hyperlink" Target="https://www.peopledevelopmentmagazin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TotalTime>
  <Pages>15</Pages>
  <Words>3363</Words>
  <Characters>19174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22493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Abbott, Sharon</dc:creator>
  <cp:keywords/>
  <dc:description/>
  <cp:lastModifiedBy>Abbott, Sharon</cp:lastModifiedBy>
  <cp:revision>4</cp:revision>
  <dcterms:created xsi:type="dcterms:W3CDTF">2021-02-19T21:09:00Z</dcterms:created>
  <dcterms:modified xsi:type="dcterms:W3CDTF">2021-02-21T10:20:00Z</dcterms:modified>
</cp:coreProperties>
</file>