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4B88BA" w14:textId="77777777" w:rsidR="0035437D" w:rsidRDefault="0035437D">
      <w:pPr>
        <w:pStyle w:val="p1"/>
      </w:pPr>
      <w:r>
        <w:rPr>
          <w:rStyle w:val="s1"/>
        </w:rPr>
        <w:t xml:space="preserve">Criminal </w:t>
      </w:r>
      <w:r>
        <w:rPr>
          <w:rStyle w:val="s2"/>
        </w:rPr>
        <w:t>Law</w:t>
      </w:r>
      <w:r>
        <w:rPr>
          <w:rStyle w:val="s1"/>
        </w:rPr>
        <w:t xml:space="preserve"> - Assignment 1</w:t>
      </w:r>
      <w:r>
        <w:rPr>
          <w:rStyle w:val="apple-converted-space"/>
          <w:rFonts w:ascii=".SFUI-Regular" w:hAnsi=".SFUI-Regular"/>
          <w:u w:val="single"/>
        </w:rPr>
        <w:t> </w:t>
      </w:r>
    </w:p>
    <w:p w14:paraId="70C917D1" w14:textId="77777777" w:rsidR="0035437D" w:rsidRDefault="0035437D">
      <w:pPr>
        <w:pStyle w:val="p1"/>
      </w:pPr>
      <w:r>
        <w:rPr>
          <w:rStyle w:val="s2"/>
        </w:rPr>
        <w:t>Murder is substance to three special cases which cause a crime which and where a person who has lawfully killed another person with some of the sort weapons and this could be a knife or gun etc. If a person can also use a couple of others to kill unlawfully. it is stated in Murder, Oxford University Press; Oxford Dictionary of Idioms, 2020 and Murder - Griffiths, Elly,2022.</w:t>
      </w:r>
      <w:r>
        <w:rPr>
          <w:rStyle w:val="apple-converted-space"/>
          <w:rFonts w:ascii=".SFUI-Regular" w:hAnsi=".SFUI-Regular"/>
        </w:rPr>
        <w:t> </w:t>
      </w:r>
    </w:p>
    <w:p w14:paraId="6DA39B5E" w14:textId="77777777" w:rsidR="0035437D" w:rsidRDefault="0035437D">
      <w:pPr>
        <w:pStyle w:val="p1"/>
      </w:pPr>
      <w:r>
        <w:rPr>
          <w:rStyle w:val="s2"/>
        </w:rPr>
        <w:t>If a person is to blame for murder to killing another person unlawfully, whether not self-defense or defense of an accidental, which provides a universal defense and at the time whether it is serious bodily harm which also means murderous intent. Murderous intent means which means whenever the person has thoughts and feelings towards harming or killing another person. This was also violent and intended can lead to someone's death. If a person also drives a car and causes death, this is threatening driving which has caused careless driving and is identified as a murder.</w:t>
      </w:r>
    </w:p>
    <w:p w14:paraId="388C5B50" w14:textId="77777777" w:rsidR="0035437D" w:rsidRDefault="0035437D">
      <w:pPr>
        <w:pStyle w:val="p1"/>
      </w:pPr>
      <w:r>
        <w:rPr>
          <w:rStyle w:val="s2"/>
        </w:rPr>
        <w:t>There is another criminal law that comes in several forms. One of them is manslaughter, which and where the offense of murder will be reduced because of the reason of scarcity of intent, and the negligence of the prosecution to prove murderous intent. This also takes the edge off to manslaughter by grounds of the lawful partial defenses of answerability or SS control, which applied in sections 52-59, Coroners and Justice Act 2009.</w:t>
      </w:r>
      <w:r>
        <w:rPr>
          <w:rStyle w:val="apple-converted-space"/>
          <w:rFonts w:ascii=".SFUI-Regular" w:hAnsi=".SFUI-Regular"/>
        </w:rPr>
        <w:t> </w:t>
      </w:r>
    </w:p>
    <w:p w14:paraId="7B97D0C5" w14:textId="77777777" w:rsidR="0035437D" w:rsidRDefault="0035437D">
      <w:pPr>
        <w:pStyle w:val="p1"/>
      </w:pPr>
      <w:r>
        <w:rPr>
          <w:rStyle w:val="s2"/>
        </w:rPr>
        <w:t>One of the manslaughters that apply in the murder, is used because of the lack of care that indicates recklessness set aside for the well-being of individual life, which has to appear to be aware of a violation of other people's rights to safety. This also has identified as a breach of that duty of care, whether it is the risk of death and whether it is the direction was gravely negligence to be dilapidated as the serious crime of manslaughter.</w:t>
      </w:r>
    </w:p>
    <w:p w14:paraId="0A310510" w14:textId="77777777" w:rsidR="0035437D" w:rsidRDefault="0035437D">
      <w:pPr>
        <w:pStyle w:val="p1"/>
      </w:pPr>
      <w:r>
        <w:rPr>
          <w:rStyle w:val="s2"/>
        </w:rPr>
        <w:t>The next one would be corporate manslaughter which is committed by a member of the organization whose activities are head of or put straight causes a person's death and amounts to a comprehensive breach of an applicable duty of care owed to the deceased. They also have duties of care under the law of non-performance of duty, such as a responsibility owed to the conglomerate's employees or as citizens of the premises. it states on 10; Oxford University Press; Concise Medical Dictionary, 2020 and Beh, P Sl China: Hong Kong Academy of Medicine; Hong Kong medical journal = Xianggang yi xue za zhi, 2018, Vol.24 (4), p.333-334.</w:t>
      </w:r>
    </w:p>
    <w:p w14:paraId="159BF515" w14:textId="77777777" w:rsidR="0035437D" w:rsidRDefault="0035437D">
      <w:pPr>
        <w:pStyle w:val="p1"/>
      </w:pPr>
      <w:r>
        <w:rPr>
          <w:rStyle w:val="s2"/>
        </w:rPr>
        <w:t>Some cases reacted to manslaughter which was also found unlawful and was common law. This was the intentional act that was identified as lawful at the same time it was been dangerous, as identifying as a sober, reasonable, and responsible person of the executioner's age and gender, would as a matter of course recognized as an act which is likely to cause lamented not serious harm and dangerous with unlawful death.</w:t>
      </w:r>
    </w:p>
    <w:p w14:paraId="1B15D7EF" w14:textId="77777777" w:rsidR="0035437D" w:rsidRDefault="0035437D">
      <w:pPr>
        <w:pStyle w:val="p1"/>
      </w:pPr>
      <w:r>
        <w:rPr>
          <w:rStyle w:val="s2"/>
        </w:rPr>
        <w:lastRenderedPageBreak/>
        <w:t>There have been four cases in the last seven years, that have been identified as infanticide, This is a particular offense or may be found by the jury as a supplementary alternative offense when a woman is held accountable for the murder or manslaughter of her child.</w:t>
      </w:r>
    </w:p>
    <w:p w14:paraId="3009B33B" w14:textId="77777777" w:rsidR="0035437D" w:rsidRDefault="0035437D">
      <w:pPr>
        <w:pStyle w:val="p1"/>
      </w:pPr>
      <w:r>
        <w:rPr>
          <w:rStyle w:val="s2"/>
        </w:rPr>
        <w:t>Bear in mind, that there is an adjournment that is likely to have been due to a homicide offense. A homicide offense is an act in which a person causes the death of another person. Although, pointing out that suicide is not a crime. This will land as an intent and not unlawful killing.</w:t>
      </w:r>
      <w:r>
        <w:rPr>
          <w:rStyle w:val="apple-converted-space"/>
          <w:rFonts w:ascii=".SFUI-Regular" w:hAnsi=".SFUI-Regular"/>
        </w:rPr>
        <w:t> </w:t>
      </w:r>
    </w:p>
    <w:p w14:paraId="7F2DBC3E" w14:textId="77777777" w:rsidR="0035437D" w:rsidRDefault="0035437D">
      <w:pPr>
        <w:pStyle w:val="p1"/>
      </w:pPr>
      <w:r>
        <w:rPr>
          <w:rStyle w:val="s2"/>
        </w:rPr>
        <w:t>As your standard of proof, means that the medical examiner must be sure that the end of unlawful killing is demonstrated on the evidence. But need to make sure that the aforementioned is straightforward to understand, as to be accustomed to English words. The juries should be said and made sure or satisfied beyond within reason doubt. This will need to be approved in the criminal standard and civil standard.</w:t>
      </w:r>
    </w:p>
    <w:p w14:paraId="189B8040" w14:textId="77777777" w:rsidR="0035437D" w:rsidRDefault="0035437D">
      <w:pPr>
        <w:pStyle w:val="p1"/>
      </w:pPr>
      <w:r>
        <w:rPr>
          <w:rStyle w:val="s2"/>
        </w:rPr>
        <w:t>Sanity is the person who conveys the act that led to death and was severely mentally disordered at the time and therefore the predetermined men rea for the defense.</w:t>
      </w:r>
    </w:p>
    <w:p w14:paraId="2093D61E" w14:textId="77777777" w:rsidR="0035437D" w:rsidRDefault="0035437D">
      <w:pPr>
        <w:pStyle w:val="p1"/>
      </w:pPr>
      <w:r>
        <w:rPr>
          <w:rStyle w:val="s2"/>
        </w:rPr>
        <w:t>Most cases come as driving cases and that may or may not end in death. But if this is to murder and if the intent is to kill or cause grievous bodily harm or manslaughter if the intent is to cause some supplemental harm. This is a single charge of murder with manslaughter is a peripheral depending on the determination rather than the lesser used unlawful act manslaughter.</w:t>
      </w:r>
    </w:p>
    <w:p w14:paraId="6289FF95" w14:textId="77777777" w:rsidR="0035437D" w:rsidRDefault="0035437D">
      <w:pPr>
        <w:pStyle w:val="p1"/>
      </w:pPr>
      <w:r>
        <w:rPr>
          <w:rStyle w:val="s2"/>
        </w:rPr>
        <w:t>CJA 2009 is Coroners and Justice Act 2009 is a short format. Mainly this act was to settle the need of dispossessed people at the heart of the medical examiner, to be locally delivered within a structure of national excellence. This will also enable a more methodical system of examination and exploration. In part 7 of the Coroners and Justice Act 2009, the jury requires death must be in one's hand without a jury. Unless the death was a coincidence by disaster, poisoning, or disease. it state on Coroner and justice act 2009, Dogan, RecepLondon, England: SAGE Publications; Punishment &amp; Society, 2013, Vol.15 (5), p.488-514 and Luce, Tom London, England: SAGE Publications; Medicine, science, and the law, 2010, Vol.50 (4), p.171-178.</w:t>
      </w:r>
    </w:p>
    <w:p w14:paraId="631EEA4B" w14:textId="77777777" w:rsidR="0035437D" w:rsidRDefault="0035437D">
      <w:pPr>
        <w:pStyle w:val="p1"/>
      </w:pPr>
      <w:r>
        <w:rPr>
          <w:rStyle w:val="s2"/>
        </w:rPr>
        <w:t>Under section 54 of the Coroners and Justice Act 2009, the individual who caused the death of or has spoilsport may be given a sentence of manslaughter rather than murder. On the condition that the suspected person acts and lacuna in performance or substance a party to the killing follows from their loss of self-control who had a qualifying trigger. The reason that is required to change this is to return to its place the survival definition of the partial defense with a state of the act more modern one or the world. This is important to get to know the person's sex and age with the conventional degree of forbearance and self-</w:t>
      </w:r>
      <w:r>
        <w:rPr>
          <w:rStyle w:val="s2"/>
        </w:rPr>
        <w:lastRenderedPageBreak/>
        <w:t>restraint and to know the situation or reaction in a similar way to prevent this. it also states Cryer, Robert; Mora, Paul David Cambridge, UK: Cambridge University Press; The International and comparative law quarterly, 2010, Vol.59 (3), p.803-813 and Cryer, Robert; Mora, Paul David Cambridge University Press; The International and comparative law quarterly, 2010, Vol.59 (3), p.803-813.</w:t>
      </w:r>
    </w:p>
    <w:p w14:paraId="340F200E" w14:textId="77777777" w:rsidR="0035437D" w:rsidRDefault="0035437D">
      <w:pPr>
        <w:pStyle w:val="p2"/>
      </w:pPr>
    </w:p>
    <w:p w14:paraId="434D86A3" w14:textId="77777777" w:rsidR="0035437D" w:rsidRDefault="0035437D">
      <w:pPr>
        <w:pStyle w:val="p1"/>
      </w:pPr>
      <w:r>
        <w:rPr>
          <w:rStyle w:val="s2"/>
        </w:rPr>
        <w:t>In addition, the provocation that gives rise to and time of the act can cause you to disturb and cast a shadow over the passion to an area which may provide accustomed persons and liable which allow taking action carelessly or without due weighing up or sending back, and from martyrization less punishment.</w:t>
      </w:r>
      <w:r>
        <w:rPr>
          <w:rStyle w:val="apple-converted-space"/>
          <w:rFonts w:ascii=".SFUI-Regular" w:hAnsi=".SFUI-Regular"/>
        </w:rPr>
        <w:t> </w:t>
      </w:r>
    </w:p>
    <w:p w14:paraId="1032F4FB" w14:textId="77777777" w:rsidR="0035437D" w:rsidRDefault="0035437D">
      <w:pPr>
        <w:pStyle w:val="p2"/>
      </w:pPr>
    </w:p>
    <w:p w14:paraId="0DED0BE4" w14:textId="77777777" w:rsidR="0035437D" w:rsidRDefault="0035437D">
      <w:pPr>
        <w:pStyle w:val="p1"/>
      </w:pPr>
      <w:r>
        <w:rPr>
          <w:rStyle w:val="s2"/>
        </w:rPr>
        <w:t>The advantage of the Coroners and Justice Act 2009 is to find out and use the request/directions to satisfy the public death in an excellent format. After this has been investigated properly then the duty to hold scrutinization and whether the jury need present. This is also good to create a new request for urgent systems with be of interest against decisions or persistence of a coroner going to the chief coroner. This will good impact on the route for bereaved people to challenge the coroner's decision. it also states on Furness, Peter London, England: SAGE Publications; Medico-legal journal, 2012, Vol.80 (3), p.86-101.</w:t>
      </w:r>
    </w:p>
    <w:p w14:paraId="59EDE0F9" w14:textId="77777777" w:rsidR="0035437D" w:rsidRDefault="0035437D">
      <w:pPr>
        <w:pStyle w:val="p2"/>
      </w:pPr>
    </w:p>
    <w:p w14:paraId="15DCA4AC" w14:textId="77777777" w:rsidR="0035437D" w:rsidRDefault="0035437D">
      <w:pPr>
        <w:pStyle w:val="p1"/>
      </w:pPr>
      <w:r>
        <w:rPr>
          <w:rStyle w:val="s2"/>
        </w:rPr>
        <w:t>The disadvantage of the Coroners and Justice Act 2009 is that may be a trigger to loss of control and was important. The other negative point is that is divergence of mental functioning explains D's conduct, this will cause a noteworthy contributory factor in carry, D to carry out that conduct. The negative point also is if you are powerless to attend the examination on the date/time condition, you should contact the coroner's office immediately.</w:t>
      </w:r>
    </w:p>
    <w:p w14:paraId="4CA629C2" w14:textId="77777777" w:rsidR="0035437D" w:rsidRDefault="0035437D">
      <w:pPr>
        <w:pStyle w:val="p2"/>
      </w:pPr>
    </w:p>
    <w:p w14:paraId="1D9CD810" w14:textId="77777777" w:rsidR="0035437D" w:rsidRDefault="0035437D">
      <w:pPr>
        <w:pStyle w:val="p1"/>
      </w:pPr>
      <w:r>
        <w:rPr>
          <w:rStyle w:val="s2"/>
        </w:rPr>
        <w:t>Finally, the literature will suggest is to reform in this area by changing the act which makes a change and introducing the advanced choice documents that empower to adjust in moving forward the care, control, and attention they would put forward, the wing of the choice of the nominated person. This act also applies to the whole of Great Britain and mainly to males who were allowed to vote in 1884. The first Reform Act was introduced in 1832 and it oppressed 56 boroughs in England and Wales and lessened another 31 to only MP. It state on Shapiro, Aaron England: Nature Publishing Group; Nature (London), 2017, Vol.541 (7638), p.458-460.</w:t>
      </w:r>
    </w:p>
    <w:p w14:paraId="25199676" w14:textId="77777777" w:rsidR="0035437D" w:rsidRDefault="0035437D">
      <w:pPr>
        <w:pStyle w:val="p2"/>
      </w:pPr>
    </w:p>
    <w:p w14:paraId="61ADECA1" w14:textId="77777777" w:rsidR="0035437D" w:rsidRDefault="0035437D">
      <w:pPr>
        <w:pStyle w:val="p1"/>
      </w:pPr>
      <w:r>
        <w:rPr>
          <w:rStyle w:val="s1"/>
        </w:rPr>
        <w:lastRenderedPageBreak/>
        <w:t>Reference :</w:t>
      </w:r>
    </w:p>
    <w:p w14:paraId="685BCC6E" w14:textId="77777777" w:rsidR="0035437D" w:rsidRDefault="0035437D">
      <w:pPr>
        <w:pStyle w:val="p1"/>
      </w:pPr>
      <w:r>
        <w:rPr>
          <w:rStyle w:val="s2"/>
        </w:rPr>
        <w:t>Murder</w:t>
      </w:r>
    </w:p>
    <w:p w14:paraId="24BE800A" w14:textId="77777777" w:rsidR="0035437D" w:rsidRDefault="0035437D">
      <w:pPr>
        <w:pStyle w:val="p1"/>
      </w:pPr>
      <w:r>
        <w:rPr>
          <w:rStyle w:val="s2"/>
        </w:rPr>
        <w:t>Oxford University Press; Oxford Dictionary of Idioms, 2020</w:t>
      </w:r>
    </w:p>
    <w:p w14:paraId="3B42BE93" w14:textId="77777777" w:rsidR="0035437D" w:rsidRDefault="0035437D">
      <w:pPr>
        <w:pStyle w:val="p1"/>
      </w:pPr>
      <w:r>
        <w:rPr>
          <w:rStyle w:val="s2"/>
        </w:rPr>
        <w:t>Murder - Griffiths, Elly</w:t>
      </w:r>
    </w:p>
    <w:p w14:paraId="0A95D70F" w14:textId="77777777" w:rsidR="0035437D" w:rsidRDefault="0035437D">
      <w:pPr>
        <w:pStyle w:val="p1"/>
      </w:pPr>
      <w:r>
        <w:rPr>
          <w:rStyle w:val="s2"/>
        </w:rPr>
        <w:t>2022</w:t>
      </w:r>
    </w:p>
    <w:p w14:paraId="31682322" w14:textId="77777777" w:rsidR="0035437D" w:rsidRDefault="0035437D">
      <w:pPr>
        <w:pStyle w:val="p1"/>
      </w:pPr>
      <w:r>
        <w:rPr>
          <w:rStyle w:val="s2"/>
        </w:rPr>
        <w:t>Coroner and Justice Act 2009</w:t>
      </w:r>
    </w:p>
    <w:p w14:paraId="03188A2D" w14:textId="77777777" w:rsidR="0035437D" w:rsidRDefault="0035437D">
      <w:pPr>
        <w:pStyle w:val="p1"/>
      </w:pPr>
      <w:r>
        <w:rPr>
          <w:rStyle w:val="s2"/>
        </w:rPr>
        <w:t>Dogan, Recep</w:t>
      </w:r>
    </w:p>
    <w:p w14:paraId="5F798403" w14:textId="77777777" w:rsidR="0035437D" w:rsidRDefault="0035437D">
      <w:pPr>
        <w:pStyle w:val="p1"/>
      </w:pPr>
      <w:r>
        <w:rPr>
          <w:rStyle w:val="s2"/>
        </w:rPr>
        <w:t>London, England: SAGE Publications; Punishment &amp; Society, 2013, Vol.15 (5), p.488-514</w:t>
      </w:r>
    </w:p>
    <w:p w14:paraId="53CA529D" w14:textId="77777777" w:rsidR="0035437D" w:rsidRDefault="0035437D">
      <w:pPr>
        <w:pStyle w:val="p1"/>
      </w:pPr>
      <w:r>
        <w:rPr>
          <w:rStyle w:val="s2"/>
        </w:rPr>
        <w:t>Luce, Tom</w:t>
      </w:r>
    </w:p>
    <w:p w14:paraId="13D0349E" w14:textId="77777777" w:rsidR="0035437D" w:rsidRDefault="0035437D">
      <w:pPr>
        <w:pStyle w:val="p1"/>
      </w:pPr>
      <w:r>
        <w:rPr>
          <w:rStyle w:val="s2"/>
        </w:rPr>
        <w:t>London, England: SAGE Publications; Medicine, science, and the law, 2010, Vol.50 (4), p.171-178</w:t>
      </w:r>
    </w:p>
    <w:p w14:paraId="357F543C" w14:textId="77777777" w:rsidR="0035437D" w:rsidRDefault="0035437D">
      <w:pPr>
        <w:pStyle w:val="p2"/>
      </w:pPr>
    </w:p>
    <w:p w14:paraId="70CF5C88" w14:textId="77777777" w:rsidR="0035437D" w:rsidRDefault="0035437D">
      <w:pPr>
        <w:pStyle w:val="p1"/>
      </w:pPr>
      <w:r>
        <w:rPr>
          <w:rStyle w:val="s2"/>
        </w:rPr>
        <w:t>Cryer, Robert; Mora, Paul David</w:t>
      </w:r>
    </w:p>
    <w:p w14:paraId="5E1DCC55" w14:textId="77777777" w:rsidR="0035437D" w:rsidRDefault="0035437D">
      <w:pPr>
        <w:pStyle w:val="p1"/>
      </w:pPr>
      <w:r>
        <w:rPr>
          <w:rStyle w:val="s2"/>
        </w:rPr>
        <w:t>Cambridge, UK: Cambridge University Press; The International and Comparative Law Quarterly, 2010, Vol.59 (3), p.803-813</w:t>
      </w:r>
    </w:p>
    <w:p w14:paraId="3834CD8B" w14:textId="77777777" w:rsidR="0035437D" w:rsidRDefault="0035437D">
      <w:pPr>
        <w:pStyle w:val="p2"/>
      </w:pPr>
    </w:p>
    <w:p w14:paraId="5CBE2037" w14:textId="77777777" w:rsidR="0035437D" w:rsidRDefault="0035437D">
      <w:pPr>
        <w:pStyle w:val="p1"/>
      </w:pPr>
      <w:r>
        <w:rPr>
          <w:rStyle w:val="s2"/>
        </w:rPr>
        <w:t>Cryer, Robert; Mora, Paul David</w:t>
      </w:r>
    </w:p>
    <w:p w14:paraId="04E6CC34" w14:textId="77777777" w:rsidR="0035437D" w:rsidRDefault="0035437D">
      <w:pPr>
        <w:pStyle w:val="p1"/>
      </w:pPr>
      <w:r>
        <w:rPr>
          <w:rStyle w:val="s2"/>
        </w:rPr>
        <w:t>Cambridge University Press; The International and Comparative Law Quarterly, 2010, Vol.59 (3), p.803-813</w:t>
      </w:r>
    </w:p>
    <w:p w14:paraId="2534A1C9" w14:textId="77777777" w:rsidR="0035437D" w:rsidRDefault="0035437D">
      <w:pPr>
        <w:pStyle w:val="p1"/>
      </w:pPr>
      <w:r>
        <w:rPr>
          <w:rStyle w:val="s2"/>
        </w:rPr>
        <w:t>Furness, Peter</w:t>
      </w:r>
    </w:p>
    <w:p w14:paraId="6F2F6D04" w14:textId="77777777" w:rsidR="0035437D" w:rsidRDefault="0035437D">
      <w:pPr>
        <w:pStyle w:val="p1"/>
      </w:pPr>
      <w:r>
        <w:rPr>
          <w:rStyle w:val="s2"/>
        </w:rPr>
        <w:t>London, England: SAGE Publications; Medico-legal journal, 2012, Vol.80 (3), p.86-101</w:t>
      </w:r>
    </w:p>
    <w:p w14:paraId="097619DC" w14:textId="77777777" w:rsidR="0035437D" w:rsidRDefault="0035437D">
      <w:pPr>
        <w:pStyle w:val="p1"/>
      </w:pPr>
      <w:r>
        <w:rPr>
          <w:rStyle w:val="s2"/>
        </w:rPr>
        <w:t>Reform</w:t>
      </w:r>
      <w:r>
        <w:rPr>
          <w:rStyle w:val="apple-converted-space"/>
          <w:rFonts w:ascii=".SFUI-Regular" w:hAnsi=".SFUI-Regular"/>
        </w:rPr>
        <w:t> </w:t>
      </w:r>
    </w:p>
    <w:p w14:paraId="12CAB383" w14:textId="77777777" w:rsidR="0035437D" w:rsidRDefault="0035437D">
      <w:pPr>
        <w:pStyle w:val="p1"/>
      </w:pPr>
      <w:r>
        <w:rPr>
          <w:rStyle w:val="s2"/>
        </w:rPr>
        <w:t>Shapiro, Aaron</w:t>
      </w:r>
    </w:p>
    <w:p w14:paraId="055570F9" w14:textId="77777777" w:rsidR="0035437D" w:rsidRDefault="0035437D">
      <w:pPr>
        <w:pStyle w:val="p1"/>
      </w:pPr>
      <w:r>
        <w:rPr>
          <w:rStyle w:val="s2"/>
        </w:rPr>
        <w:t>England: Nature Publishing Group; Nature (London), 2017, Vol.541 (7638), p.458-460</w:t>
      </w:r>
    </w:p>
    <w:p w14:paraId="39DBC5C4" w14:textId="77777777" w:rsidR="0035437D" w:rsidRDefault="0035437D">
      <w:pPr>
        <w:pStyle w:val="p2"/>
      </w:pPr>
    </w:p>
    <w:p w14:paraId="3F3ECAB8" w14:textId="77777777" w:rsidR="0035437D" w:rsidRDefault="0035437D">
      <w:pPr>
        <w:pStyle w:val="p1"/>
      </w:pPr>
      <w:r>
        <w:rPr>
          <w:rStyle w:val="s2"/>
        </w:rPr>
        <w:lastRenderedPageBreak/>
        <w:t>manslaughter 10; Oxford University Press; Concise Medical Dictionary, 2020</w:t>
      </w:r>
    </w:p>
    <w:p w14:paraId="66F3B880" w14:textId="77777777" w:rsidR="0035437D" w:rsidRDefault="0035437D">
      <w:pPr>
        <w:pStyle w:val="p1"/>
      </w:pPr>
      <w:r>
        <w:rPr>
          <w:rStyle w:val="s2"/>
        </w:rPr>
        <w:t>Beh, P Sl China: Hong Kong Academy of Medicine; Hong Kong medical journal = Xianggang yi xue za zhi, 2018, Vol.24 (4), p.333-334</w:t>
      </w:r>
    </w:p>
    <w:p w14:paraId="2EFA0787" w14:textId="77777777" w:rsidR="0035437D" w:rsidRDefault="0035437D">
      <w:pPr>
        <w:pStyle w:val="p2"/>
      </w:pPr>
    </w:p>
    <w:p w14:paraId="61E0D08B" w14:textId="77777777" w:rsidR="0035437D" w:rsidRPr="0035437D" w:rsidRDefault="0035437D">
      <w:pPr>
        <w:rPr>
          <w:lang w:val="en-US"/>
        </w:rPr>
      </w:pPr>
    </w:p>
    <w:sectPr w:rsidR="0035437D" w:rsidRPr="003543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Latha">
    <w:panose1 w:val="020B0604020202020204"/>
    <w:charset w:val="00"/>
    <w:family w:val="swiss"/>
    <w:pitch w:val="variable"/>
    <w:sig w:usb0="00100003" w:usb1="00000000" w:usb2="00000000" w:usb3="00000000" w:csb0="00000001"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37D"/>
    <w:rsid w:val="0035437D"/>
  </w:rsids>
  <m:mathPr>
    <m:mathFont m:val="Cambria Math"/>
    <m:brkBin m:val="before"/>
    <m:brkBinSub m:val="--"/>
    <m:smallFrac m:val="0"/>
    <m:dispDef/>
    <m:lMargin m:val="0"/>
    <m:rMargin m:val="0"/>
    <m:defJc m:val="centerGroup"/>
    <m:wrapIndent m:val="1440"/>
    <m:intLim m:val="subSup"/>
    <m:naryLim m:val="undOvr"/>
  </m:mathPr>
  <w:themeFontLang w:val="en-LK" w:bidi="ta-IN"/>
  <w:clrSchemeMapping w:bg1="light1" w:t1="dark1" w:bg2="light2" w:t2="dark2" w:accent1="accent1" w:accent2="accent2" w:accent3="accent3" w:accent4="accent4" w:accent5="accent5" w:accent6="accent6" w:hyperlink="hyperlink" w:followedHyperlink="followedHyperlink"/>
  <w:decimalSymbol w:val="."/>
  <w:listSeparator w:val=","/>
  <w14:docId w14:val="75C64CA3"/>
  <w15:chartTrackingRefBased/>
  <w15:docId w15:val="{3355DB46-0C9E-8344-BC9E-6B28D62F5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LK" w:eastAsia="en-GB" w:bidi="ta-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Lath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35437D"/>
    <w:pPr>
      <w:spacing w:after="255"/>
    </w:pPr>
    <w:rPr>
      <w:rFonts w:ascii=".AppleSystemUIFont" w:hAnsi=".AppleSystemUIFont" w:cs="Times New Roman"/>
      <w:color w:val="000000"/>
      <w:kern w:val="0"/>
      <w:sz w:val="26"/>
      <w:szCs w:val="26"/>
      <w14:ligatures w14:val="none"/>
    </w:rPr>
  </w:style>
  <w:style w:type="paragraph" w:customStyle="1" w:styleId="p2">
    <w:name w:val="p2"/>
    <w:basedOn w:val="Normal"/>
    <w:rsid w:val="0035437D"/>
    <w:pPr>
      <w:spacing w:after="255"/>
    </w:pPr>
    <w:rPr>
      <w:rFonts w:ascii=".AppleSystemUIFont" w:hAnsi=".AppleSystemUIFont" w:cs="Times New Roman"/>
      <w:color w:val="000000"/>
      <w:kern w:val="0"/>
      <w:sz w:val="26"/>
      <w:szCs w:val="26"/>
      <w14:ligatures w14:val="none"/>
    </w:rPr>
  </w:style>
  <w:style w:type="character" w:customStyle="1" w:styleId="s1">
    <w:name w:val="s1"/>
    <w:basedOn w:val="DefaultParagraphFont"/>
    <w:rsid w:val="0035437D"/>
    <w:rPr>
      <w:rFonts w:ascii=".SFUI-Regular" w:hAnsi=".SFUI-Regular" w:hint="default"/>
      <w:b w:val="0"/>
      <w:bCs w:val="0"/>
      <w:i w:val="0"/>
      <w:iCs w:val="0"/>
      <w:sz w:val="26"/>
      <w:szCs w:val="26"/>
      <w:u w:val="single"/>
    </w:rPr>
  </w:style>
  <w:style w:type="character" w:customStyle="1" w:styleId="s2">
    <w:name w:val="s2"/>
    <w:basedOn w:val="DefaultParagraphFont"/>
    <w:rsid w:val="0035437D"/>
    <w:rPr>
      <w:rFonts w:ascii=".SFUI-Regular" w:hAnsi=".SFUI-Regular" w:hint="default"/>
      <w:b w:val="0"/>
      <w:bCs w:val="0"/>
      <w:i w:val="0"/>
      <w:iCs w:val="0"/>
      <w:sz w:val="26"/>
      <w:szCs w:val="26"/>
    </w:rPr>
  </w:style>
  <w:style w:type="character" w:customStyle="1" w:styleId="apple-converted-space">
    <w:name w:val="apple-converted-space"/>
    <w:basedOn w:val="DefaultParagraphFont"/>
    <w:rsid w:val="003543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1383</Words>
  <Characters>7887</Characters>
  <Application>Microsoft Office Word</Application>
  <DocSecurity>0</DocSecurity>
  <Lines>65</Lines>
  <Paragraphs>18</Paragraphs>
  <ScaleCrop>false</ScaleCrop>
  <Company/>
  <LinksUpToDate>false</LinksUpToDate>
  <CharactersWithSpaces>9252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Kunarsah Kananathan (2240735)</dc:creator>
  <cp:keywords/>
  <dc:description/>
  <cp:lastModifiedBy>Kunarsah Kananathan (2240735)</cp:lastModifiedBy>
  <cp:revision>2</cp:revision>
  <dcterms:created xsi:type="dcterms:W3CDTF">2023-11-23T19:26:00Z</dcterms:created>
  <dcterms:modified xsi:type="dcterms:W3CDTF">2023-11-23T19:26:00Z</dcterms:modified>
</cp:coreProperties>
</file>