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Alberto Alessandro Berio</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vertAlign w:val="baseline"/>
                <w:rtl w:val="0"/>
                <w:lang w:val="en-US"/>
                <w14:textOutline>
                  <w14:noFill/>
                </w14:textOutline>
                <w14:textFill>
                  <w14:solidFill>
                    <w14:srgbClr w14:val="000000"/>
                  </w14:solidFill>
                </w14:textFill>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Email: </w:t>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vertAlign w:val="baseline"/>
                <w14:textOutline>
                  <w14:noFill/>
                </w14:textOutline>
                <w14:textFill>
                  <w14:solidFill>
                    <w14:srgbClr w14:val="000000"/>
                  </w14:solidFill>
                </w14:textFill>
              </w:rPr>
              <w:fldChar w:fldCharType="begin" w:fldLock="0"/>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vertAlign w:val="baseline"/>
                <w14:textOutline>
                  <w14:noFill/>
                </w14:textOutline>
                <w14:textFill>
                  <w14:solidFill>
                    <w14:srgbClr w14:val="000000"/>
                  </w14:solidFill>
                </w14:textFill>
              </w:rPr>
              <w:instrText xml:space="preserve"> HYPERLINK "mailto:1907991@students.utwsd.ac.uk"</w:instrText>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vertAlign w:val="baseline"/>
                <w14:textOutline>
                  <w14:noFill/>
                </w14:textOutline>
                <w14:textFill>
                  <w14:solidFill>
                    <w14:srgbClr w14:val="000000"/>
                  </w14:solidFill>
                </w14:textFill>
              </w:rPr>
              <w:fldChar w:fldCharType="separate" w:fldLock="0"/>
            </w:r>
            <w:r>
              <w:rPr>
                <w:rStyle w:val="Hyperlink.0"/>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vertAlign w:val="baseline"/>
                <w:rtl w:val="0"/>
                <w14:textOutline>
                  <w14:noFill/>
                </w14:textOutline>
                <w14:textFill>
                  <w14:solidFill>
                    <w14:srgbClr w14:val="000000"/>
                  </w14:solidFill>
                </w14:textFill>
              </w:rPr>
              <w:t>1907991</w:t>
            </w:r>
            <w:r>
              <w:rPr>
                <w:rStyle w:val="Hyperlink.0"/>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vertAlign w:val="baseline"/>
                <w:rtl w:val="0"/>
                <w:lang w:val="en-US"/>
                <w14:textOutline>
                  <w14:noFill/>
                </w14:textOutline>
                <w14:textFill>
                  <w14:solidFill>
                    <w14:srgbClr w14:val="000000"/>
                  </w14:solidFill>
                </w14:textFill>
              </w:rPr>
              <w:t>@students.utwsd.ac.uk</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14:textOutline>
                  <w14:noFill/>
                </w14:textOutline>
                <w14:textFill>
                  <w14:solidFill>
                    <w14:srgbClr w14:val="000000"/>
                  </w14:solidFill>
                </w14:textFill>
              </w:rPr>
              <w:fldChar w:fldCharType="end" w:fldLock="0"/>
            </w:r>
          </w:p>
        </w:tc>
      </w:tr>
      <w:tr>
        <w:tblPrEx>
          <w:shd w:val="clear" w:color="auto" w:fill="ced7e7"/>
        </w:tblPrEx>
        <w:trPr>
          <w:trHeight w:val="120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HPCA7009</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Skyscapes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Student ID number:</w:t>
            </w:r>
          </w:p>
          <w:p>
            <w:pPr>
              <w:pStyle w:val="Header &amp; Footer"/>
              <w:tabs>
                <w:tab w:val="clear" w:pos="9020"/>
              </w:tabs>
            </w:pPr>
            <w:r>
              <w:rPr>
                <w:rtl w:val="0"/>
                <w:lang w:val="en-US"/>
              </w:rPr>
              <w:t>1907991</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No</w:t>
            </w:r>
          </w:p>
        </w:tc>
      </w:tr>
      <w:tr>
        <w:tblPrEx>
          <w:shd w:val="clear" w:color="auto" w:fill="ced7e7"/>
        </w:tblPrEx>
        <w:trPr>
          <w:trHeight w:val="120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Assignment title:A critical review of a debate over the interpretation of Chankillo, Peru</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March, 23rd, 2020</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tl w:val="0"/>
              </w:rPr>
            </w:pPr>
            <w:r>
              <w:rPr>
                <w:rFonts w:ascii="Arial" w:hAnsi="Arial"/>
                <w:outline w:val="0"/>
                <w:color w:val="000000"/>
                <w:sz w:val="22"/>
                <w:szCs w:val="22"/>
                <w:u w:color="000000"/>
                <w:rtl w:val="0"/>
                <w:lang w:val="en-US"/>
                <w14:textFill>
                  <w14:solidFill>
                    <w14:srgbClr w14:val="000000"/>
                  </w14:solidFill>
                </w14:textFill>
              </w:rPr>
              <w:t>This assignment is for the       1</w:t>
            </w:r>
            <w:r>
              <w:rPr>
                <w:rFonts w:ascii="Arial" w:hAnsi="Arial"/>
                <w:outline w:val="0"/>
                <w:color w:val="000000"/>
                <w:sz w:val="22"/>
                <w:szCs w:val="22"/>
                <w:u w:color="000000"/>
                <w:vertAlign w:val="superscript"/>
                <w:rtl w:val="0"/>
                <w:lang w:val="en-US"/>
                <w14:textFill>
                  <w14:solidFill>
                    <w14:srgbClr w14:val="000000"/>
                  </w14:solidFill>
                </w14:textFill>
              </w:rPr>
              <w:t xml:space="preserve">st </w:t>
            </w:r>
            <w:r>
              <w:rPr>
                <w:rFonts w:ascii="Arial" w:hAnsi="Arial"/>
                <w:outline w:val="0"/>
                <w:color w:val="000000"/>
                <w:sz w:val="22"/>
                <w:szCs w:val="22"/>
                <w:u w:color="000000"/>
                <w:rtl w:val="0"/>
                <w:lang w:val="en-US"/>
                <w14:textFill>
                  <w14:solidFill>
                    <w14:srgbClr w14:val="000000"/>
                  </w14:solidFill>
                </w14:textFill>
              </w:rPr>
              <w:t xml:space="preserve">    2</w:t>
            </w:r>
            <w:r>
              <w:rPr>
                <w:rFonts w:ascii="Arial" w:hAnsi="Arial"/>
                <w:outline w:val="0"/>
                <w:color w:val="000000"/>
                <w:sz w:val="22"/>
                <w:szCs w:val="22"/>
                <w:u w:color="000000"/>
                <w:vertAlign w:val="superscript"/>
                <w:rtl w:val="0"/>
                <w:lang w:val="en-US"/>
                <w14:textFill>
                  <w14:solidFill>
                    <w14:srgbClr w14:val="000000"/>
                  </w14:solidFill>
                </w14:textFill>
              </w:rPr>
              <w:t>nd</w:t>
            </w:r>
            <w:r>
              <w:rPr>
                <w:rFonts w:ascii="Arial" w:hAnsi="Arial"/>
                <w:outline w:val="0"/>
                <w:color w:val="000000"/>
                <w:sz w:val="22"/>
                <w:szCs w:val="22"/>
                <w:u w:color="000000"/>
                <w:rtl w:val="0"/>
                <w:lang w:val="en-US"/>
                <w14:textFill>
                  <w14:solidFill>
                    <w14:srgbClr w14:val="000000"/>
                  </w14:solidFill>
                </w14:textFill>
              </w:rPr>
              <w:t xml:space="preserve">       3</w:t>
            </w:r>
            <w:r>
              <w:rPr>
                <w:rFonts w:ascii="Arial" w:hAnsi="Arial"/>
                <w:outline w:val="0"/>
                <w:color w:val="000000"/>
                <w:sz w:val="22"/>
                <w:szCs w:val="22"/>
                <w:u w:color="000000"/>
                <w:vertAlign w:val="superscript"/>
                <w:rtl w:val="0"/>
                <w:lang w:val="en-US"/>
                <w14:textFill>
                  <w14:solidFill>
                    <w14:srgbClr w14:val="000000"/>
                  </w14:solidFill>
                </w14:textFill>
              </w:rPr>
              <w:t>rd</w:t>
            </w:r>
            <w:r>
              <w:rPr>
                <w:rFonts w:ascii="Arial" w:hAnsi="Arial"/>
                <w:outline w:val="0"/>
                <w:color w:val="000000"/>
                <w:sz w:val="22"/>
                <w:szCs w:val="22"/>
                <w:u w:color="000000"/>
                <w:rtl w:val="0"/>
                <w:lang w:val="en-US"/>
                <w14:textFill>
                  <w14:solidFill>
                    <w14:srgbClr w14:val="000000"/>
                  </w14:solidFill>
                </w14:textFill>
              </w:rPr>
              <w:t xml:space="preserve">        4</w:t>
            </w:r>
            <w:r>
              <w:rPr>
                <w:rFonts w:ascii="Arial" w:hAnsi="Arial"/>
                <w:outline w:val="0"/>
                <w:color w:val="000000"/>
                <w:sz w:val="22"/>
                <w:szCs w:val="22"/>
                <w:u w:color="000000"/>
                <w:vertAlign w:val="superscript"/>
                <w:rtl w:val="0"/>
                <w:lang w:val="en-US"/>
                <w14:textFill>
                  <w14:solidFill>
                    <w14:srgbClr w14:val="000000"/>
                  </w14:solidFill>
                </w14:textFill>
              </w:rPr>
              <w:t>th</w:t>
            </w:r>
            <w:r>
              <w:rPr>
                <w:rFonts w:ascii="Arial" w:hAnsi="Arial"/>
                <w:outline w:val="0"/>
                <w:color w:val="000000"/>
                <w:sz w:val="22"/>
                <w:szCs w:val="22"/>
                <w:u w:color="000000"/>
                <w:rtl w:val="0"/>
                <w:lang w:val="en-US"/>
                <w14:textFill>
                  <w14:solidFill>
                    <w14:srgbClr w14:val="000000"/>
                  </w14:solidFill>
                </w14:textFill>
              </w:rPr>
              <w:t xml:space="preserve">       5</w:t>
            </w:r>
            <w:r>
              <w:rPr>
                <w:rFonts w:ascii="Arial" w:hAnsi="Arial"/>
                <w:outline w:val="0"/>
                <w:color w:val="000000"/>
                <w:sz w:val="22"/>
                <w:szCs w:val="22"/>
                <w:u w:color="000000"/>
                <w:vertAlign w:val="superscript"/>
                <w:rtl w:val="0"/>
                <w:lang w:val="en-US"/>
                <w14:textFill>
                  <w14:solidFill>
                    <w14:srgbClr w14:val="000000"/>
                  </w14:solidFill>
                </w14:textFill>
              </w:rPr>
              <w:t>th</w:t>
            </w:r>
            <w:r>
              <w:rPr>
                <w:rFonts w:ascii="Arial" w:hAnsi="Arial"/>
                <w:outline w:val="0"/>
                <w:color w:val="000000"/>
                <w:sz w:val="22"/>
                <w:szCs w:val="22"/>
                <w:u w:color="000000"/>
                <w:rtl w:val="0"/>
                <w:lang w:val="en-US"/>
                <w14:textFill>
                  <w14:solidFill>
                    <w14:srgbClr w14:val="000000"/>
                  </w14:solidFill>
                </w14:textFill>
              </w:rPr>
              <w:t xml:space="preserve">       6</w:t>
            </w:r>
            <w:r>
              <w:rPr>
                <w:rFonts w:ascii="Arial" w:hAnsi="Arial"/>
                <w:outline w:val="0"/>
                <w:color w:val="000000"/>
                <w:sz w:val="22"/>
                <w:szCs w:val="22"/>
                <w:u w:color="000000"/>
                <w:vertAlign w:val="superscript"/>
                <w:rtl w:val="0"/>
                <w:lang w:val="en-US"/>
                <w14:textFill>
                  <w14:solidFill>
                    <w14:srgbClr w14:val="000000"/>
                  </w14:solidFill>
                </w14:textFill>
              </w:rPr>
              <w:t>th</w:t>
            </w:r>
            <w:r>
              <w:rPr>
                <w:rFonts w:ascii="Arial" w:hAnsi="Arial"/>
                <w:outline w:val="0"/>
                <w:color w:val="000000"/>
                <w:sz w:val="22"/>
                <w:szCs w:val="22"/>
                <w:u w:color="000000"/>
                <w:rtl w:val="0"/>
                <w:lang w:val="en-US"/>
                <w14:textFill>
                  <w14:solidFill>
                    <w14:srgbClr w14:val="000000"/>
                  </w14:solidFill>
                </w14:textFill>
              </w:rPr>
              <w:t xml:space="preserve"> </w:t>
            </w:r>
            <w:r>
              <w:rPr>
                <w:rFonts w:ascii="Arial" w:hAnsi="Arial"/>
                <w:b w:val="1"/>
                <w:bCs w:val="1"/>
                <w:outline w:val="0"/>
                <w:color w:val="000000"/>
                <w:sz w:val="22"/>
                <w:szCs w:val="22"/>
                <w:u w:color="000000"/>
                <w:rtl w:val="0"/>
                <w:lang w:val="en-US"/>
                <w14:textFill>
                  <w14:solidFill>
                    <w14:srgbClr w14:val="000000"/>
                  </w14:solidFill>
                </w14:textFill>
              </w:rPr>
              <w:t xml:space="preserve">   </w:t>
            </w:r>
            <w:r>
              <w:rPr>
                <w:rFonts w:ascii="Arial" w:hAnsi="Arial"/>
                <w:outline w:val="0"/>
                <w:color w:val="000000"/>
                <w:sz w:val="22"/>
                <w:szCs w:val="22"/>
                <w:u w:color="000000"/>
                <w:rtl w:val="0"/>
                <w:lang w:val="en-US"/>
                <w14:textFill>
                  <w14:solidFill>
                    <w14:srgbClr w14:val="000000"/>
                  </w14:solidFill>
                </w14:textFill>
              </w:rPr>
              <w:t>module of the degree</w:t>
            </w:r>
          </w:p>
        </w:tc>
      </w:tr>
      <w:tr>
        <w:tblPrEx>
          <w:shd w:val="clear" w:color="auto" w:fill="ced7e7"/>
        </w:tblPrEx>
        <w:trPr>
          <w:trHeight w:val="155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Fonts w:ascii="Arial" w:cs="Arial" w:hAnsi="Arial" w:eastAsia="Arial"/>
                <w:b w:val="1"/>
                <w:bCs w:val="1"/>
                <w:outline w:val="0"/>
                <w:color w:val="000000"/>
                <w:u w:color="000000"/>
                <w:rtl w:val="0"/>
                <w:lang w:val="en-US"/>
                <w14:textFill>
                  <w14:solidFill>
                    <w14:srgbClr w14:val="000000"/>
                  </w14:solidFill>
                </w14:textFill>
              </w:rPr>
            </w:pPr>
          </w:p>
          <w:p>
            <w:pPr>
              <w:pStyle w:val="Body 2"/>
              <w:spacing w:after="0" w:line="240" w:lineRule="auto"/>
              <w:jc w:val="left"/>
              <w:rPr>
                <w:rFonts w:ascii="Arial" w:cs="Arial" w:hAnsi="Arial" w:eastAsia="Arial"/>
                <w:outline w:val="0"/>
                <w:color w:val="000000"/>
                <w:u w:color="000000"/>
                <w14:textFill>
                  <w14:solidFill>
                    <w14:srgbClr w14:val="000000"/>
                  </w14:solidFill>
                </w14:textFill>
              </w:rPr>
            </w:pPr>
            <w:r>
              <w:rPr>
                <w:rFonts w:ascii="Arial" w:hAnsi="Arial"/>
                <w:b w:val="1"/>
                <w:bCs w:val="1"/>
                <w:outline w:val="0"/>
                <w:color w:val="000000"/>
                <w:u w:color="000000"/>
                <w:rtl w:val="0"/>
                <w:lang w:val="en-US"/>
                <w14:textFill>
                  <w14:solidFill>
                    <w14:srgbClr w14:val="000000"/>
                  </w14:solidFill>
                </w14:textFill>
              </w:rPr>
              <w:t>Assignment Mark</w:t>
            </w: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1</w:t>
            </w:r>
            <w:r>
              <w:rPr>
                <w:rFonts w:ascii="Arial" w:hAnsi="Arial"/>
                <w:outline w:val="0"/>
                <w:color w:val="000000"/>
                <w:sz w:val="20"/>
                <w:szCs w:val="20"/>
                <w:u w:color="000000"/>
                <w:vertAlign w:val="superscript"/>
                <w:rtl w:val="0"/>
                <w:lang w:val="en-US"/>
                <w14:textFill>
                  <w14:solidFill>
                    <w14:srgbClr w14:val="000000"/>
                  </w14:solidFill>
                </w14:textFill>
              </w:rPr>
              <w:t>st</w:t>
            </w:r>
            <w:r>
              <w:rPr>
                <w:rFonts w:ascii="Arial" w:hAnsi="Arial"/>
                <w:outline w:val="0"/>
                <w:color w:val="000000"/>
                <w:sz w:val="20"/>
                <w:szCs w:val="20"/>
                <w:u w:color="000000"/>
                <w:rtl w:val="0"/>
                <w:lang w:val="en-US"/>
                <w14:textFill>
                  <w14:solidFill>
                    <w14:srgbClr w14:val="000000"/>
                  </w14:solidFill>
                </w14:textFill>
              </w:rPr>
              <w:t xml:space="preserve"> Marker</w:t>
            </w:r>
            <w:r>
              <w:rPr>
                <w:rFonts w:ascii="Arial" w:hAnsi="Arial" w:hint="default"/>
                <w:outline w:val="0"/>
                <w:color w:val="000000"/>
                <w:sz w:val="20"/>
                <w:szCs w:val="20"/>
                <w:u w:color="000000"/>
                <w:rtl w:val="0"/>
                <w:lang w:val="en-US"/>
                <w14:textFill>
                  <w14:solidFill>
                    <w14:srgbClr w14:val="000000"/>
                  </w14:solidFill>
                </w14:textFill>
              </w:rPr>
              <w:t>’</w:t>
            </w:r>
            <w:r>
              <w:rPr>
                <w:rFonts w:ascii="Arial" w:hAnsi="Arial"/>
                <w:outline w:val="0"/>
                <w:color w:val="000000"/>
                <w:sz w:val="20"/>
                <w:szCs w:val="20"/>
                <w:u w:color="000000"/>
                <w:rtl w:val="0"/>
                <w:lang w:val="en-US"/>
                <w14:textFill>
                  <w14:solidFill>
                    <w14:srgbClr w14:val="000000"/>
                  </w14:solidFill>
                </w14:textFill>
              </w:rPr>
              <w:t>s Provisional mark</w:t>
              <w:tab/>
            </w: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2</w:t>
            </w:r>
            <w:r>
              <w:rPr>
                <w:rFonts w:ascii="Arial" w:hAnsi="Arial"/>
                <w:outline w:val="0"/>
                <w:color w:val="000000"/>
                <w:sz w:val="20"/>
                <w:szCs w:val="20"/>
                <w:u w:color="000000"/>
                <w:vertAlign w:val="superscript"/>
                <w:rtl w:val="0"/>
                <w:lang w:val="en-US"/>
                <w14:textFill>
                  <w14:solidFill>
                    <w14:srgbClr w14:val="000000"/>
                  </w14:solidFill>
                </w14:textFill>
              </w:rPr>
              <w:t>nd</w:t>
            </w:r>
            <w:r>
              <w:rPr>
                <w:rFonts w:ascii="Arial" w:hAnsi="Arial"/>
                <w:outline w:val="0"/>
                <w:color w:val="000000"/>
                <w:sz w:val="20"/>
                <w:szCs w:val="20"/>
                <w:u w:color="000000"/>
                <w:rtl w:val="0"/>
                <w:lang w:val="en-US"/>
                <w14:textFill>
                  <w14:solidFill>
                    <w14:srgbClr w14:val="000000"/>
                  </w14:solidFill>
                </w14:textFill>
              </w:rPr>
              <w:t xml:space="preserve"> Marker</w:t>
            </w:r>
            <w:r>
              <w:rPr>
                <w:rFonts w:ascii="Arial" w:hAnsi="Arial" w:hint="default"/>
                <w:outline w:val="0"/>
                <w:color w:val="000000"/>
                <w:sz w:val="20"/>
                <w:szCs w:val="20"/>
                <w:u w:color="000000"/>
                <w:rtl w:val="0"/>
                <w:lang w:val="en-US"/>
                <w14:textFill>
                  <w14:solidFill>
                    <w14:srgbClr w14:val="000000"/>
                  </w14:solidFill>
                </w14:textFill>
              </w:rPr>
              <w:t>’</w:t>
            </w:r>
            <w:r>
              <w:rPr>
                <w:rFonts w:ascii="Arial" w:hAnsi="Arial"/>
                <w:outline w:val="0"/>
                <w:color w:val="000000"/>
                <w:sz w:val="20"/>
                <w:szCs w:val="20"/>
                <w:u w:color="000000"/>
                <w:rtl w:val="0"/>
                <w:lang w:val="en-US"/>
                <w14:textFill>
                  <w14:solidFill>
                    <w14:srgbClr w14:val="000000"/>
                  </w14:solidFill>
                </w14:textFill>
              </w:rPr>
              <w:t>s/Moderator</w:t>
            </w:r>
            <w:r>
              <w:rPr>
                <w:rFonts w:ascii="Arial" w:hAnsi="Arial" w:hint="default"/>
                <w:outline w:val="0"/>
                <w:color w:val="000000"/>
                <w:sz w:val="20"/>
                <w:szCs w:val="20"/>
                <w:u w:color="000000"/>
                <w:rtl w:val="0"/>
                <w:lang w:val="en-US"/>
                <w14:textFill>
                  <w14:solidFill>
                    <w14:srgbClr w14:val="000000"/>
                  </w14:solidFill>
                </w14:textFill>
              </w:rPr>
              <w:t>’</w:t>
            </w:r>
            <w:r>
              <w:rPr>
                <w:rFonts w:ascii="Arial" w:hAnsi="Arial"/>
                <w:outline w:val="0"/>
                <w:color w:val="000000"/>
                <w:sz w:val="20"/>
                <w:szCs w:val="20"/>
                <w:u w:color="000000"/>
                <w:rtl w:val="0"/>
                <w:lang w:val="en-US"/>
                <w14:textFill>
                  <w14:solidFill>
                    <w14:srgbClr w14:val="000000"/>
                  </w14:solidFill>
                </w14:textFill>
              </w:rPr>
              <w:t>s provisional mark</w:t>
              <w:tab/>
            </w: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r>
              <w:rPr>
                <w:rFonts w:ascii="Arial" w:hAnsi="Arial"/>
                <w:outline w:val="0"/>
                <w:color w:val="000000"/>
                <w:sz w:val="20"/>
                <w:szCs w:val="20"/>
                <w:u w:color="000000"/>
                <w:rtl w:val="0"/>
                <w:lang w:val="en-US"/>
                <w14:textFill>
                  <w14:solidFill>
                    <w14:srgbClr w14:val="000000"/>
                  </w14:solidFill>
                </w14:textFill>
              </w:rPr>
              <w:t>External Examiner</w:t>
            </w:r>
            <w:r>
              <w:rPr>
                <w:rFonts w:ascii="Arial" w:hAnsi="Arial" w:hint="default"/>
                <w:outline w:val="0"/>
                <w:color w:val="000000"/>
                <w:sz w:val="20"/>
                <w:szCs w:val="20"/>
                <w:u w:color="000000"/>
                <w:rtl w:val="0"/>
                <w:lang w:val="en-US"/>
                <w14:textFill>
                  <w14:solidFill>
                    <w14:srgbClr w14:val="000000"/>
                  </w14:solidFill>
                </w14:textFill>
              </w:rPr>
              <w:t>’</w:t>
            </w:r>
            <w:r>
              <w:rPr>
                <w:rFonts w:ascii="Arial" w:hAnsi="Arial"/>
                <w:outline w:val="0"/>
                <w:color w:val="000000"/>
                <w:sz w:val="20"/>
                <w:szCs w:val="20"/>
                <w:u w:color="000000"/>
                <w:rtl w:val="0"/>
                <w:lang w:val="en-US"/>
                <w14:textFill>
                  <w14:solidFill>
                    <w14:srgbClr w14:val="000000"/>
                  </w14:solidFill>
                </w14:textFill>
              </w:rPr>
              <w:t>s mark (if relevant)</w:t>
              <w:tab/>
            </w:r>
          </w:p>
          <w:p>
            <w:pPr>
              <w:pStyle w:val="Body 2"/>
              <w:bidi w:val="0"/>
              <w:spacing w:after="0" w:line="240" w:lineRule="auto"/>
              <w:ind w:left="0" w:right="0" w:firstLine="0"/>
              <w:jc w:val="left"/>
              <w:rPr>
                <w:rFonts w:ascii="Arial" w:cs="Arial" w:hAnsi="Arial" w:eastAsia="Arial"/>
                <w:outline w:val="0"/>
                <w:color w:val="000000"/>
                <w:sz w:val="20"/>
                <w:szCs w:val="20"/>
                <w:u w:color="000000"/>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b w:val="1"/>
                <w:bCs w:val="1"/>
                <w:outline w:val="0"/>
                <w:color w:val="000000"/>
                <w:sz w:val="20"/>
                <w:szCs w:val="20"/>
                <w:u w:color="000000"/>
                <w:rtl w:val="0"/>
                <w14:textFill>
                  <w14:solidFill>
                    <w14:srgbClr w14:val="000000"/>
                  </w14:solidFill>
                </w14:textFill>
              </w:rPr>
            </w:pPr>
            <w:r>
              <w:rPr>
                <w:rFonts w:ascii="Arial" w:hAnsi="Arial"/>
                <w:b w:val="1"/>
                <w:bCs w:val="1"/>
                <w:outline w:val="0"/>
                <w:color w:val="000000"/>
                <w:sz w:val="20"/>
                <w:szCs w:val="20"/>
                <w:u w:color="000000"/>
                <w:rtl w:val="0"/>
                <w:lang w:val="en-US"/>
                <w14:textFill>
                  <w14:solidFill>
                    <w14:srgbClr w14:val="000000"/>
                  </w14:solidFill>
                </w14:textFill>
              </w:rPr>
              <w:t>Final Mark</w:t>
            </w:r>
          </w:p>
          <w:p>
            <w:pPr>
              <w:pStyle w:val="Body 2"/>
              <w:bidi w:val="0"/>
              <w:spacing w:after="0" w:line="240" w:lineRule="auto"/>
              <w:ind w:left="0" w:right="0" w:firstLine="0"/>
              <w:jc w:val="left"/>
              <w:rPr>
                <w:rFonts w:ascii="Arial" w:cs="Arial" w:hAnsi="Arial" w:eastAsia="Arial"/>
                <w:b w:val="1"/>
                <w:bCs w:val="1"/>
                <w:outline w:val="0"/>
                <w:color w:val="000000"/>
                <w:sz w:val="20"/>
                <w:szCs w:val="20"/>
                <w:u w:color="000000"/>
                <w:rtl w:val="0"/>
                <w14:textFill>
                  <w14:solidFill>
                    <w14:srgbClr w14:val="000000"/>
                  </w14:solidFill>
                </w14:textFill>
              </w:rPr>
            </w:pPr>
            <w:r>
              <w:rPr>
                <w:rFonts w:ascii="Arial" w:cs="Arial" w:hAnsi="Arial" w:eastAsia="Arial"/>
                <w:b w:val="1"/>
                <w:bCs w:val="1"/>
                <w:outline w:val="0"/>
                <w:color w:val="000000"/>
                <w:sz w:val="20"/>
                <w:szCs w:val="20"/>
                <w:u w:color="000000"/>
                <w:rtl w:val="0"/>
                <w14:textFill>
                  <w14:solidFill>
                    <w14:srgbClr w14:val="000000"/>
                  </w14:solidFill>
                </w14:textFill>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Fonts w:ascii="Arial" w:cs="Arial" w:hAnsi="Arial" w:eastAsia="Arial"/>
                <w:b w:val="1"/>
                <w:bCs w:val="1"/>
                <w:outline w:val="0"/>
                <w:color w:val="000000"/>
                <w:sz w:val="22"/>
                <w:szCs w:val="22"/>
                <w:u w:color="000000"/>
                <w:rtl w:val="0"/>
                <w14:textFill>
                  <w14:solidFill>
                    <w14:srgbClr w14:val="000000"/>
                  </w14:solidFill>
                </w14:textFill>
              </w:rPr>
            </w:pPr>
            <w:r>
              <w:rPr>
                <w:rFonts w:ascii="Arial" w:hAnsi="Arial"/>
                <w:b w:val="1"/>
                <w:bCs w:val="1"/>
                <w:outline w:val="0"/>
                <w:color w:val="000000"/>
                <w:sz w:val="22"/>
                <w:szCs w:val="22"/>
                <w:u w:color="000000"/>
                <w:rtl w:val="0"/>
                <w:lang w:val="en-US"/>
                <w14:textFill>
                  <w14:solidFill>
                    <w14:srgbClr w14:val="000000"/>
                  </w14:solidFill>
                </w14:textFill>
              </w:rPr>
              <w:t>External Examiner</w:t>
            </w:r>
            <w:r>
              <w:rPr>
                <w:rFonts w:ascii="Arial" w:hAnsi="Arial" w:hint="default"/>
                <w:b w:val="1"/>
                <w:bCs w:val="1"/>
                <w:outline w:val="0"/>
                <w:color w:val="000000"/>
                <w:sz w:val="22"/>
                <w:szCs w:val="22"/>
                <w:u w:color="000000"/>
                <w:rtl w:val="0"/>
                <w:lang w:val="en-US"/>
                <w14:textFill>
                  <w14:solidFill>
                    <w14:srgbClr w14:val="000000"/>
                  </w14:solidFill>
                </w14:textFill>
              </w:rPr>
              <w:t>’</w:t>
            </w:r>
            <w:r>
              <w:rPr>
                <w:rFonts w:ascii="Arial" w:hAnsi="Arial"/>
                <w:b w:val="1"/>
                <w:bCs w:val="1"/>
                <w:outline w:val="0"/>
                <w:color w:val="000000"/>
                <w:sz w:val="22"/>
                <w:szCs w:val="22"/>
                <w:u w:color="000000"/>
                <w:rtl w:val="0"/>
                <w:lang w:val="en-US"/>
                <w14:textFill>
                  <w14:solidFill>
                    <w14:srgbClr w14:val="000000"/>
                  </w14:solidFill>
                </w14:textFill>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tl w:val="0"/>
              </w:rPr>
            </w:pPr>
            <w:r>
              <w:rPr>
                <w:rFonts w:ascii="Arial" w:hAnsi="Arial"/>
                <w:outline w:val="0"/>
                <w:color w:val="000000"/>
                <w:sz w:val="22"/>
                <w:szCs w:val="22"/>
                <w:u w:color="000000"/>
                <w:rtl w:val="0"/>
                <w:lang w:val="en-US"/>
                <w14:textFill>
                  <w14:solidFill>
                    <w14:srgbClr w14:val="000000"/>
                  </w14:solidFill>
                </w14:textFill>
              </w:rPr>
              <w:t>External Examiner</w:t>
            </w:r>
            <w:r>
              <w:rPr>
                <w:rFonts w:ascii="Arial" w:hAnsi="Arial" w:hint="default"/>
                <w:outline w:val="0"/>
                <w:color w:val="000000"/>
                <w:sz w:val="22"/>
                <w:szCs w:val="22"/>
                <w:u w:color="000000"/>
                <w:rtl w:val="0"/>
                <w:lang w:val="en-US"/>
                <w14:textFill>
                  <w14:solidFill>
                    <w14:srgbClr w14:val="000000"/>
                  </w14:solidFill>
                </w14:textFill>
              </w:rPr>
              <w:t>’</w:t>
            </w:r>
            <w:r>
              <w:rPr>
                <w:rFonts w:ascii="Arial" w:hAnsi="Arial"/>
                <w:outline w:val="0"/>
                <w:color w:val="000000"/>
                <w:sz w:val="22"/>
                <w:szCs w:val="22"/>
                <w:u w:color="000000"/>
                <w:rtl w:val="0"/>
                <w:lang w:val="en-US"/>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tl w:val="0"/>
              </w:rPr>
            </w:pPr>
            <w:r>
              <w:rPr>
                <w:rFonts w:ascii="Arial" w:hAnsi="Arial"/>
                <w:outline w:val="0"/>
                <w:color w:val="000000"/>
                <w:sz w:val="22"/>
                <w:szCs w:val="22"/>
                <w:u w:color="000000"/>
                <w:rtl w:val="0"/>
                <w:lang w:val="en-US"/>
                <w14:textFill>
                  <w14:solidFill>
                    <w14:srgbClr w14:val="000000"/>
                  </w14:solidFill>
                </w14:textFill>
              </w:rPr>
              <w:t>Date:</w:t>
            </w:r>
          </w:p>
        </w:tc>
      </w:tr>
    </w:tbl>
    <w:p>
      <w:pPr>
        <w:pStyle w:val="Default"/>
        <w:keepNext w:val="1"/>
        <w:widowControl w:val="0"/>
        <w:bidi w:val="0"/>
        <w:spacing w:after="0" w:line="240" w:lineRule="auto"/>
        <w:ind w:left="0" w:right="0" w:firstLine="0"/>
        <w:jc w:val="center"/>
        <w:outlineLvl w:val="2"/>
        <w:rPr>
          <w:rFonts w:ascii="Trebuchet MS" w:cs="Trebuchet MS" w:hAnsi="Trebuchet MS" w:eastAsia="Trebuchet MS"/>
          <w:b w:val="1"/>
          <w:bCs w:val="1"/>
          <w:outline w:val="0"/>
          <w:color w:val="000000"/>
          <w:sz w:val="20"/>
          <w:szCs w:val="20"/>
          <w:u w:color="000000"/>
          <w:rtl w:val="0"/>
          <w:lang w:val="en-US"/>
          <w14:textFill>
            <w14:solidFill>
              <w14:srgbClr w14:val="000000"/>
            </w14:solidFill>
          </w14:textFill>
        </w:rPr>
      </w:pPr>
    </w:p>
    <w:p>
      <w:pPr>
        <w:pStyle w:val="Default"/>
        <w:keepNext w:val="1"/>
        <w:widowControl w:val="0"/>
        <w:bidi w:val="0"/>
        <w:spacing w:after="0" w:line="240" w:lineRule="auto"/>
        <w:ind w:left="0" w:right="0" w:firstLine="0"/>
        <w:jc w:val="center"/>
        <w:outlineLvl w:val="2"/>
        <w:rPr>
          <w:rtl w:val="0"/>
        </w:rPr>
      </w:pPr>
      <w:r>
        <w:rPr>
          <w:rFonts w:ascii="Arial Unicode MS" w:cs="Arial Unicode MS" w:hAnsi="Arial Unicode MS" w:eastAsia="Arial Unicode MS"/>
          <w:b w:val="0"/>
          <w:bCs w:val="0"/>
          <w:i w:val="0"/>
          <w:iCs w:val="0"/>
          <w:outline w:val="0"/>
          <w:color w:val="000000"/>
          <w:sz w:val="20"/>
          <w:szCs w:val="20"/>
          <w:u w:color="000000"/>
          <w:rtl w:val="0"/>
          <w:lang w:val="en-US"/>
          <w14:textFill>
            <w14:solidFill>
              <w14:srgbClr w14:val="000000"/>
            </w14:solidFill>
          </w14:textFill>
        </w:rPr>
        <w:br w:type="page"/>
      </w:r>
    </w:p>
    <w:p>
      <w:pPr>
        <w:pStyle w:val="Subtitle"/>
        <w:rPr>
          <w:caps w:val="0"/>
          <w:smallCaps w:val="0"/>
          <w:outline w:val="0"/>
          <w:color w:val="000000"/>
          <w:sz w:val="44"/>
          <w:szCs w:val="44"/>
          <w14:textFill>
            <w14:solidFill>
              <w14:srgbClr w14:val="000000"/>
            </w14:solidFill>
          </w14:textFill>
        </w:rPr>
      </w:pPr>
      <w:r>
        <w:rPr>
          <w:caps w:val="0"/>
          <w:smallCaps w:val="0"/>
          <w:outline w:val="0"/>
          <w:color w:val="000000"/>
          <w:sz w:val="44"/>
          <w:szCs w:val="44"/>
          <w:rtl w:val="0"/>
          <w:lang w:val="en-US"/>
          <w14:textFill>
            <w14:solidFill>
              <w14:srgbClr w14:val="000000"/>
            </w14:solidFill>
          </w14:textFill>
        </w:rPr>
        <w:t xml:space="preserve">A </w:t>
      </w:r>
      <w:r>
        <w:rPr>
          <w:caps w:val="0"/>
          <w:smallCaps w:val="0"/>
          <w:outline w:val="0"/>
          <w:color w:val="000000"/>
          <w:sz w:val="44"/>
          <w:szCs w:val="44"/>
          <w:rtl w:val="0"/>
          <w:lang w:val="en-US"/>
          <w14:textFill>
            <w14:solidFill>
              <w14:srgbClr w14:val="000000"/>
            </w14:solidFill>
          </w14:textFill>
        </w:rPr>
        <w:t xml:space="preserve">critical review of a debate over the interpretation of </w:t>
      </w:r>
      <w:r>
        <w:rPr>
          <w:caps w:val="0"/>
          <w:smallCaps w:val="0"/>
          <w:outline w:val="0"/>
          <w:color w:val="000000"/>
          <w:sz w:val="44"/>
          <w:szCs w:val="44"/>
          <w:rtl w:val="0"/>
          <w:lang w:val="en-US"/>
          <w14:textFill>
            <w14:solidFill>
              <w14:srgbClr w14:val="000000"/>
            </w14:solidFill>
          </w14:textFill>
        </w:rPr>
        <w:t>Chankillo, Peru</w:t>
      </w:r>
    </w:p>
    <w:p>
      <w:pPr>
        <w:pStyle w:val="Subheading"/>
        <w:rPr>
          <w:outline w:val="0"/>
          <w:color w:val="605777"/>
          <w:sz w:val="28"/>
          <w:szCs w:val="28"/>
          <w14:textFill>
            <w14:solidFill>
              <w14:srgbClr w14:val="605878"/>
            </w14:solidFill>
          </w14:textFill>
        </w:rPr>
      </w:pPr>
      <w:r>
        <w:rPr>
          <w:outline w:val="0"/>
          <w:color w:val="605777"/>
          <w:sz w:val="28"/>
          <w:szCs w:val="28"/>
          <w:rtl w:val="0"/>
          <w:lang w:val="en-US"/>
          <w14:textFill>
            <w14:solidFill>
              <w14:srgbClr w14:val="605878"/>
            </w14:solidFill>
          </w14:textFill>
        </w:rPr>
        <w:t>Word Count:</w:t>
      </w:r>
      <w:r>
        <w:rPr>
          <w:outline w:val="0"/>
          <w:color w:val="605777"/>
          <w:sz w:val="28"/>
          <w:szCs w:val="28"/>
          <w:rtl w:val="0"/>
          <w:lang w:val="en-US"/>
          <w14:textFill>
            <w14:solidFill>
              <w14:srgbClr w14:val="605878"/>
            </w14:solidFill>
          </w14:textFill>
        </w:rPr>
        <w:t xml:space="preserve"> 1534</w:t>
      </w:r>
    </w:p>
    <w:p>
      <w:pPr>
        <w:pStyle w:val="Body"/>
        <w:bidi w:val="0"/>
      </w:pPr>
    </w:p>
    <w:p>
      <w:pPr>
        <w:pStyle w:val="Body"/>
        <w:bidi w:val="0"/>
      </w:pPr>
      <w:r>
        <w:rPr>
          <w:rFonts w:cs="Arial Unicode MS" w:eastAsia="Arial Unicode MS"/>
          <w:rtl w:val="0"/>
          <w:lang w:val="en-US"/>
        </w:rPr>
        <w:t xml:space="preserve">This paper critically examines the debate over the function of the archaeological site of Chankillo, Peru, as presented by Ghezzi and Ruggles, , 'The Social and Ritual Context of Horizon Astronomical Observations at Chankillo', </w:t>
      </w:r>
      <w:r>
        <w:rPr>
          <w:rFonts w:cs="Arial Unicode MS" w:eastAsia="Arial Unicode MS"/>
          <w:i w:val="1"/>
          <w:iCs w:val="1"/>
          <w:rtl w:val="0"/>
          <w:lang w:val="en-US"/>
        </w:rPr>
        <w:t>Proceedings of the International Astronomical Union</w:t>
      </w:r>
      <w:r>
        <w:rPr>
          <w:rFonts w:cs="Arial Unicode MS" w:eastAsia="Arial Unicode MS"/>
          <w:rtl w:val="0"/>
          <w:lang w:val="en-US"/>
        </w:rPr>
        <w:t>, 7: (2011) on one side; and John Malville</w:t>
      </w:r>
      <w:r>
        <w:rPr>
          <w:rFonts w:cs="Arial Unicode MS" w:eastAsia="Arial Unicode MS" w:hint="default"/>
          <w:rtl w:val="0"/>
          <w:lang w:val="en-US"/>
        </w:rPr>
        <w:t>’</w:t>
      </w:r>
      <w:r>
        <w:rPr>
          <w:rFonts w:cs="Arial Unicode MS" w:eastAsia="Arial Unicode MS"/>
          <w:rtl w:val="0"/>
          <w:lang w:val="en-US"/>
        </w:rPr>
        <w:t xml:space="preserve">s  'Astronomy and Ceremony at Chankillo: An Andean Perspective', </w:t>
      </w:r>
      <w:r>
        <w:rPr>
          <w:rFonts w:cs="Arial Unicode MS" w:eastAsia="Arial Unicode MS"/>
          <w:i w:val="1"/>
          <w:iCs w:val="1"/>
          <w:rtl w:val="0"/>
          <w:lang w:val="en-US"/>
        </w:rPr>
        <w:t>Proceedings of the International Astronomical Union</w:t>
      </w:r>
      <w:r>
        <w:rPr>
          <w:rFonts w:cs="Arial Unicode MS" w:eastAsia="Arial Unicode MS"/>
          <w:rtl w:val="0"/>
          <w:lang w:val="en-US"/>
        </w:rPr>
        <w:t>, 7: (2011), on the other. The two sides offer differing interpretations on the cultural and archaeoastronomical functions of the Thirteen Towers of Chankillo, Peru, which was occupied from around 500-200BC.</w:t>
      </w:r>
      <w:r>
        <w:rPr>
          <w:rFonts w:ascii="Lora Regular" w:cs="Lora Regular" w:hAnsi="Lora Regular" w:eastAsia="Lora Regular"/>
          <w:b w:val="0"/>
          <w:bCs w:val="0"/>
          <w:i w:val="0"/>
          <w:iCs w:val="0"/>
          <w:vertAlign w:val="superscript"/>
        </w:rPr>
        <w:footnoteReference w:id="1"/>
      </w:r>
      <w:r>
        <w:rPr>
          <w:rFonts w:cs="Arial Unicode MS" w:eastAsia="Arial Unicode MS"/>
          <w:rtl w:val="0"/>
          <w:lang w:val="en-US"/>
        </w:rPr>
        <w:t xml:space="preserve"> Prior to Ghezzi and Ruggles research, the site had been described as a </w:t>
      </w:r>
      <w:r>
        <w:rPr>
          <w:rFonts w:cs="Arial Unicode MS" w:eastAsia="Arial Unicode MS" w:hint="default"/>
          <w:rtl w:val="0"/>
          <w:lang w:val="en-US"/>
        </w:rPr>
        <w:t>‘</w:t>
      </w:r>
      <w:r>
        <w:rPr>
          <w:rFonts w:cs="Arial Unicode MS" w:eastAsia="Arial Unicode MS"/>
          <w:rtl w:val="0"/>
          <w:lang w:val="en-US"/>
        </w:rPr>
        <w:t xml:space="preserve">Chavin period </w:t>
      </w:r>
      <w:r>
        <w:rPr>
          <w:rFonts w:cs="Arial Unicode MS" w:eastAsia="Arial Unicode MS" w:hint="default"/>
          <w:rtl w:val="0"/>
          <w:lang w:val="en-US"/>
        </w:rPr>
        <w:t>“</w:t>
      </w:r>
      <w:r>
        <w:rPr>
          <w:rFonts w:cs="Arial Unicode MS" w:eastAsia="Arial Unicode MS"/>
          <w:rtl w:val="0"/>
          <w:lang w:val="en-US"/>
        </w:rPr>
        <w:t>fortress</w:t>
      </w:r>
      <w:r>
        <w:rPr>
          <w:rFonts w:cs="Arial Unicode MS" w:eastAsia="Arial Unicode MS" w:hint="default"/>
          <w:rtl w:val="0"/>
          <w:lang w:val="en-US"/>
        </w:rPr>
        <w:t>”’</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2"/>
      </w:r>
      <w:r>
        <w:rPr>
          <w:rFonts w:cs="Arial Unicode MS" w:eastAsia="Arial Unicode MS"/>
          <w:rtl w:val="0"/>
          <w:lang w:val="en-US"/>
        </w:rPr>
        <w:t xml:space="preserve"> Ghezzi and Ruggles proposed that the Thirteen Towers functioned as a landscape solar calendar, while Malville largely disagreed.</w:t>
      </w:r>
    </w:p>
    <w:p>
      <w:pPr>
        <w:pStyle w:val="Body"/>
        <w:bidi w:val="0"/>
        <w:rPr>
          <w:shd w:val="clear" w:color="auto" w:fill="ffffff"/>
        </w:rPr>
      </w:pPr>
      <w:r>
        <w:rPr>
          <w:rFonts w:cs="Arial Unicode MS" w:eastAsia="Arial Unicode MS"/>
          <w:rtl w:val="0"/>
          <w:lang w:val="en-US"/>
        </w:rPr>
        <w:t xml:space="preserve">Chankillo, sitting atop of the Casma Valley, appears like an </w:t>
      </w:r>
      <w:r>
        <w:rPr>
          <w:rFonts w:cs="Arial Unicode MS" w:eastAsia="Arial Unicode MS" w:hint="default"/>
          <w:rtl w:val="0"/>
          <w:lang w:val="en-US"/>
        </w:rPr>
        <w:t>“</w:t>
      </w:r>
      <w:r>
        <w:rPr>
          <w:rFonts w:cs="Arial Unicode MS" w:eastAsia="Arial Unicode MS"/>
          <w:rtl w:val="0"/>
          <w:lang w:val="en-US"/>
        </w:rPr>
        <w:t>Old World citadel</w:t>
      </w:r>
      <w:r>
        <w:rPr>
          <w:rFonts w:cs="Arial Unicode MS" w:eastAsia="Arial Unicode MS" w:hint="default"/>
          <w:rtl w:val="0"/>
          <w:lang w:val="en-US"/>
        </w:rPr>
        <w:t>”</w:t>
      </w:r>
      <w:r>
        <w:rPr>
          <w:rFonts w:cs="Arial Unicode MS" w:eastAsia="Arial Unicode MS"/>
          <w:rtl w:val="0"/>
          <w:lang w:val="en-US"/>
        </w:rPr>
        <w:t>, with two inner towers, encircled by three thick perimeter walls, along with defensive bulwarks a possible dry moat, and remains of weapons.</w:t>
      </w:r>
      <w:r>
        <w:rPr>
          <w:rFonts w:ascii="Lora Regular" w:cs="Lora Regular" w:hAnsi="Lora Regular" w:eastAsia="Lora Regular"/>
          <w:b w:val="0"/>
          <w:bCs w:val="0"/>
          <w:i w:val="0"/>
          <w:iCs w:val="0"/>
          <w:vertAlign w:val="superscript"/>
        </w:rPr>
        <w:footnoteReference w:id="3"/>
      </w:r>
      <w:r>
        <w:rPr>
          <w:rFonts w:ascii="Lora Regular" w:cs="Lora Regular" w:hAnsi="Lora Regular" w:eastAsia="Lora Regular"/>
          <w:b w:val="0"/>
          <w:bCs w:val="0"/>
          <w:i w:val="0"/>
          <w:iCs w:val="0"/>
          <w:vertAlign w:val="superscript"/>
        </w:rPr>
        <w:footnoteReference w:id="4"/>
      </w:r>
      <w:r>
        <w:rPr>
          <w:rFonts w:cs="Arial Unicode MS" w:eastAsia="Arial Unicode MS"/>
          <w:rtl w:val="0"/>
          <w:lang w:val="en-US"/>
        </w:rPr>
        <w:t xml:space="preserve"> Neither papers discuss in-depth the original interpretation of the location as a possible fortress with ceremonial uses. D</w:t>
      </w:r>
      <w:r>
        <w:rPr>
          <w:rFonts w:cs="Arial Unicode MS" w:eastAsia="Arial Unicode MS"/>
          <w:rtl w:val="0"/>
          <w:lang w:val="en-US"/>
        </w:rPr>
        <w:t xml:space="preserve">espite the obvious fortress characteristics, archaeologists have questioned the defensibility of a site with multiple doors such as Chankillo. </w:t>
      </w:r>
      <w:r>
        <w:rPr>
          <w:rFonts w:cs="Arial Unicode MS" w:eastAsia="Arial Unicode MS"/>
          <w:rtl w:val="0"/>
          <w:lang w:val="en-US"/>
        </w:rPr>
        <w:t xml:space="preserve">One piece of evidence that has cast doubt on this interpretation are the bar-holds or gate-pins </w:t>
      </w:r>
      <w:r>
        <w:rPr>
          <w:rFonts w:cs="Arial Unicode MS" w:eastAsia="Arial Unicode MS" w:hint="default"/>
          <w:rtl w:val="0"/>
          <w:lang w:val="en-US"/>
        </w:rPr>
        <w:t>‘</w:t>
      </w:r>
      <w:r>
        <w:rPr>
          <w:rFonts w:cs="Arial Unicode MS" w:eastAsia="Arial Unicode MS"/>
          <w:shd w:val="clear" w:color="auto" w:fill="ffffff"/>
          <w:rtl w:val="0"/>
          <w:lang w:val="en-US"/>
        </w:rPr>
        <w:t>which Topic and Topic originally identified as problematic because they are located on the outside</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w:t>
      </w:r>
      <w:r>
        <w:rPr>
          <w:rFonts w:ascii="Lora Regular" w:cs="Lora Regular" w:hAnsi="Lora Regular" w:eastAsia="Lora Regular"/>
          <w:b w:val="0"/>
          <w:bCs w:val="0"/>
          <w:i w:val="0"/>
          <w:iCs w:val="0"/>
          <w:shd w:val="clear" w:color="auto" w:fill="ffffff"/>
          <w:vertAlign w:val="superscript"/>
        </w:rPr>
        <w:footnoteReference w:id="5"/>
      </w:r>
      <w:r>
        <w:rPr>
          <w:rFonts w:cs="Arial Unicode MS" w:eastAsia="Arial Unicode MS"/>
          <w:shd w:val="clear" w:color="auto" w:fill="ffffff"/>
          <w:rtl w:val="0"/>
          <w:lang w:val="en-US"/>
        </w:rPr>
        <w:t xml:space="preserve"> However, it has been argued that the bar-holds may have been a type of defensive construction known as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Crenel shutters</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 xml:space="preserve">, which might indicate that ceremonial sites might have been potential targets for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destruction and conquest</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w:t>
      </w:r>
      <w:r>
        <w:rPr>
          <w:rFonts w:ascii="Lora Regular" w:cs="Lora Regular" w:hAnsi="Lora Regular" w:eastAsia="Lora Regular"/>
          <w:b w:val="0"/>
          <w:bCs w:val="0"/>
          <w:i w:val="0"/>
          <w:iCs w:val="0"/>
          <w:shd w:val="clear" w:color="auto" w:fill="ffffff"/>
          <w:vertAlign w:val="superscript"/>
        </w:rPr>
        <w:footnoteReference w:id="6"/>
      </w:r>
      <w:r>
        <w:rPr>
          <w:rFonts w:cs="Arial Unicode MS" w:eastAsia="Arial Unicode MS"/>
          <w:shd w:val="clear" w:color="auto" w:fill="ffffff"/>
          <w:rtl w:val="0"/>
          <w:lang w:val="en-US"/>
        </w:rPr>
        <w:t xml:space="preserve"> Nonetheless, the ceremonial nature of the location is safely asserted by the material culture discovered on site, as stated by Ghezzi, where panpipes, offerings of spondylus shells, indicated that public feasts occurred with the likely consumption of </w:t>
      </w:r>
      <w:r>
        <w:rPr>
          <w:rFonts w:cs="Arial Unicode MS" w:eastAsia="Arial Unicode MS"/>
          <w:i w:val="1"/>
          <w:iCs w:val="1"/>
          <w:shd w:val="clear" w:color="auto" w:fill="ffffff"/>
          <w:rtl w:val="0"/>
          <w:lang w:val="en-US"/>
        </w:rPr>
        <w:t>chicha</w:t>
      </w:r>
      <w:r>
        <w:rPr>
          <w:rFonts w:cs="Arial Unicode MS" w:eastAsia="Arial Unicode MS"/>
          <w:shd w:val="clear" w:color="auto" w:fill="ffffff"/>
          <w:rtl w:val="0"/>
          <w:lang w:val="en-US"/>
        </w:rPr>
        <w:t xml:space="preserve"> (corn beer).</w:t>
      </w:r>
      <w:r>
        <w:rPr>
          <w:rFonts w:ascii="Lora Regular" w:cs="Lora Regular" w:hAnsi="Lora Regular" w:eastAsia="Lora Regular"/>
          <w:b w:val="0"/>
          <w:bCs w:val="0"/>
          <w:i w:val="0"/>
          <w:iCs w:val="0"/>
          <w:shd w:val="clear" w:color="auto" w:fill="ffffff"/>
          <w:vertAlign w:val="superscript"/>
        </w:rPr>
        <w:footnoteReference w:id="7"/>
      </w:r>
    </w:p>
    <w:p>
      <w:pPr>
        <w:pStyle w:val="Body"/>
        <w:bidi w:val="0"/>
        <w:rPr>
          <w:shd w:val="clear" w:color="auto" w:fill="ffffff"/>
        </w:rPr>
      </w:pPr>
      <w:r>
        <w:rPr>
          <w:rFonts w:cs="Arial Unicode MS" w:eastAsia="Arial Unicode MS"/>
          <w:shd w:val="clear" w:color="auto" w:fill="ffffff"/>
          <w:rtl w:val="0"/>
          <w:lang w:val="en-US"/>
        </w:rPr>
        <w:t xml:space="preserve">The nature of the disagreement between the two papers centers mostly on possible archaeastronomical interpretations of the 13 towers. Ghezzi and Ruggles explain: </w:t>
      </w:r>
    </w:p>
    <w:p>
      <w:pPr>
        <w:pStyle w:val="Quot"/>
        <w:bidi w:val="0"/>
        <w:rPr>
          <w:shd w:val="clear" w:color="auto" w:fill="ffffff"/>
        </w:rPr>
      </w:pPr>
    </w:p>
    <w:p>
      <w:pPr>
        <w:pStyle w:val="Quot"/>
        <w:bidi w:val="0"/>
        <w:ind w:left="720"/>
      </w:pPr>
      <w:r>
        <w:rPr>
          <w:rFonts w:cs="Arial Unicode MS" w:eastAsia="Arial Unicode MS"/>
          <w:rtl w:val="0"/>
          <w:lang w:val="en-US"/>
        </w:rPr>
        <w:t xml:space="preserve">as viewed from an evident observing point to the west, and a plausible observing point to the east, the Thirteen Towers of Chankillo formed an artificial </w:t>
      </w:r>
      <w:r>
        <w:rPr>
          <w:rFonts w:cs="Arial Unicode MS" w:eastAsia="Arial Unicode MS" w:hint="default"/>
          <w:rtl w:val="1"/>
        </w:rPr>
        <w:t>‘</w:t>
      </w:r>
      <w:r>
        <w:rPr>
          <w:rFonts w:cs="Arial Unicode MS" w:eastAsia="Arial Unicode MS"/>
          <w:rtl w:val="0"/>
          <w:lang w:val="en-US"/>
        </w:rPr>
        <w:t>toothed</w:t>
      </w:r>
      <w:r>
        <w:rPr>
          <w:rFonts w:cs="Arial Unicode MS" w:eastAsia="Arial Unicode MS" w:hint="default"/>
          <w:rtl w:val="1"/>
        </w:rPr>
        <w:t xml:space="preserve">’ </w:t>
      </w:r>
      <w:r>
        <w:rPr>
          <w:rFonts w:cs="Arial Unicode MS" w:eastAsia="Arial Unicode MS"/>
          <w:rtl w:val="0"/>
          <w:lang w:val="en-US"/>
        </w:rPr>
        <w:t>horizon that spanned the annual rising and setting arcs of the sun and provided a means to identify each day in the seasonal year by observing the position of sunrise or sunset against them.</w:t>
      </w:r>
      <w:r>
        <w:rPr>
          <w:rFonts w:ascii="Lora Regular" w:cs="Lora Regular" w:hAnsi="Lora Regular" w:eastAsia="Lora Regular"/>
          <w:b w:val="0"/>
          <w:bCs w:val="0"/>
          <w:i w:val="0"/>
          <w:iCs w:val="0"/>
          <w:vertAlign w:val="superscript"/>
        </w:rPr>
        <w:footnoteReference w:id="8"/>
      </w:r>
    </w:p>
    <w:p>
      <w:pPr>
        <w:pStyle w:val="Quot"/>
        <w:bidi w:val="0"/>
        <w:rPr>
          <w:shd w:val="clear" w:color="auto" w:fill="ffffff"/>
        </w:rPr>
      </w:pPr>
    </w:p>
    <w:p>
      <w:pPr>
        <w:pStyle w:val="Post Quote"/>
        <w:bidi w:val="0"/>
        <w:rPr>
          <w:shd w:val="clear" w:color="auto" w:fill="ffffff"/>
        </w:rPr>
      </w:pPr>
      <w:r>
        <w:rPr>
          <w:shd w:val="clear" w:color="auto" w:fill="ffffff"/>
          <w:rtl w:val="0"/>
          <w:lang w:val="en-US"/>
        </w:rPr>
        <w:t xml:space="preserve">According to their analysis, the Thirteen Towers mimic the profile of the distant mountains to the east, which may have served as a </w:t>
      </w:r>
      <w:r>
        <w:rPr>
          <w:shd w:val="clear" w:color="auto" w:fill="ffffff"/>
          <w:rtl w:val="0"/>
          <w:lang w:val="en-US"/>
        </w:rPr>
        <w:t>‘</w:t>
      </w:r>
      <w:r>
        <w:rPr>
          <w:shd w:val="clear" w:color="auto" w:fill="ffffff"/>
          <w:rtl w:val="0"/>
          <w:lang w:val="en-US"/>
        </w:rPr>
        <w:t>precursor and inspiration for the towers</w:t>
      </w:r>
      <w:r>
        <w:rPr>
          <w:shd w:val="clear" w:color="auto" w:fill="ffffff"/>
          <w:rtl w:val="0"/>
          <w:lang w:val="en-US"/>
        </w:rPr>
        <w:t>’</w:t>
      </w:r>
      <w:r>
        <w:rPr>
          <w:shd w:val="clear" w:color="auto" w:fill="ffffff"/>
          <w:rtl w:val="0"/>
          <w:lang w:val="en-US"/>
        </w:rPr>
        <w:t>.</w:t>
      </w:r>
      <w:r>
        <w:rPr>
          <w:rFonts w:ascii="Lora Regular" w:cs="Lora Regular" w:hAnsi="Lora Regular" w:eastAsia="Lora Regular"/>
          <w:b w:val="0"/>
          <w:bCs w:val="0"/>
          <w:i w:val="0"/>
          <w:iCs w:val="0"/>
          <w:shd w:val="clear" w:color="auto" w:fill="ffffff"/>
          <w:vertAlign w:val="superscript"/>
        </w:rPr>
        <w:footnoteReference w:id="9"/>
      </w:r>
      <w:r>
        <w:rPr>
          <w:shd w:val="clear" w:color="auto" w:fill="ffffff"/>
          <w:rtl w:val="0"/>
          <w:lang w:val="en-US"/>
        </w:rPr>
        <w:t xml:space="preserve"> Malville disagrees, and asserts that, </w:t>
      </w:r>
      <w:r>
        <w:rPr>
          <w:shd w:val="clear" w:color="auto" w:fill="ffffff"/>
          <w:rtl w:val="0"/>
          <w:lang w:val="en-US"/>
        </w:rPr>
        <w:t>‘</w:t>
      </w:r>
      <w:r>
        <w:rPr>
          <w:shd w:val="clear" w:color="auto" w:fill="ffffff"/>
          <w:rtl w:val="0"/>
          <w:lang w:val="en-US"/>
        </w:rPr>
        <w:t>If a horizon calendar had been developed using the profiles of the thirteen towers, it appears to have been an unintended consequence of the initial design of the towers.</w:t>
      </w:r>
      <w:r>
        <w:rPr>
          <w:shd w:val="clear" w:color="auto" w:fill="ffffff"/>
          <w:rtl w:val="0"/>
          <w:lang w:val="en-US"/>
        </w:rPr>
        <w:t>’</w:t>
      </w:r>
      <w:r>
        <w:rPr>
          <w:rFonts w:ascii="Lora Regular" w:cs="Lora Regular" w:hAnsi="Lora Regular" w:eastAsia="Lora Regular"/>
          <w:b w:val="0"/>
          <w:bCs w:val="0"/>
          <w:i w:val="0"/>
          <w:iCs w:val="0"/>
          <w:shd w:val="clear" w:color="auto" w:fill="ffffff"/>
          <w:vertAlign w:val="superscript"/>
        </w:rPr>
        <w:footnoteReference w:id="10"/>
      </w:r>
      <w:r>
        <w:rPr>
          <w:shd w:val="clear" w:color="auto" w:fill="ffffff"/>
          <w:rtl w:val="0"/>
          <w:lang w:val="en-US"/>
        </w:rPr>
        <w:t xml:space="preserve"> To him the most important astronomical alignment of the site is its solar axis, aligned to both solstices. </w:t>
      </w:r>
      <w:r>
        <w:rPr>
          <w:rFonts w:ascii="Lora Regular" w:cs="Lora Regular" w:hAnsi="Lora Regular" w:eastAsia="Lora Regular"/>
          <w:b w:val="0"/>
          <w:bCs w:val="0"/>
          <w:i w:val="0"/>
          <w:iCs w:val="0"/>
          <w:shd w:val="clear" w:color="auto" w:fill="ffffff"/>
          <w:vertAlign w:val="superscript"/>
        </w:rPr>
        <w:footnoteReference w:id="11"/>
      </w:r>
      <w:r>
        <w:rPr>
          <w:shd w:val="clear" w:color="auto" w:fill="ffffff"/>
          <w:rtl w:val="0"/>
          <w:lang w:val="en-US"/>
        </w:rPr>
        <w:t xml:space="preserve"> He imagines, without supporting evidence, a hierophanous experience wherein participants in the festivities would reach the top of the highest tower on the June Winter Solstice, and project their shadows onto the spectators of the Eastern plaza. It certainly could have been a beautiful vision to behold, however it remains difficult to support that this was a particularly central function of this entire religious/military complex without more evidence.</w:t>
      </w:r>
    </w:p>
    <w:p>
      <w:pPr>
        <w:pStyle w:val="Body"/>
        <w:bidi w:val="0"/>
        <w:rPr>
          <w:shd w:val="clear" w:color="auto" w:fill="ffffff"/>
        </w:rPr>
      </w:pPr>
      <w:r>
        <w:rPr>
          <w:rFonts w:cs="Arial Unicode MS" w:eastAsia="Arial Unicode MS"/>
          <w:shd w:val="clear" w:color="auto" w:fill="ffffff"/>
          <w:rtl w:val="0"/>
          <w:lang w:val="en-US"/>
        </w:rPr>
        <w:t>Malville also argues that the Thirteen Towers may have symbolized the lunar months, and that in Andean cultures, the moon played a particularly important role, especially in coastal regions, since it determined the tides, whose symbolism is evidenced by the spondylus shells discovered on site.</w:t>
      </w:r>
      <w:r>
        <w:rPr>
          <w:rFonts w:ascii="Lora Regular" w:cs="Lora Regular" w:hAnsi="Lora Regular" w:eastAsia="Lora Regular"/>
          <w:b w:val="0"/>
          <w:bCs w:val="0"/>
          <w:i w:val="0"/>
          <w:iCs w:val="0"/>
          <w:shd w:val="clear" w:color="auto" w:fill="ffffff"/>
          <w:vertAlign w:val="superscript"/>
        </w:rPr>
        <w:footnoteReference w:id="12"/>
      </w:r>
      <w:r>
        <w:rPr>
          <w:rFonts w:cs="Arial Unicode MS" w:eastAsia="Arial Unicode MS"/>
          <w:shd w:val="clear" w:color="auto" w:fill="ffffff"/>
          <w:rtl w:val="0"/>
          <w:lang w:val="en-US"/>
        </w:rPr>
        <w:t xml:space="preserve"> However, a solar nature of the temple seems to be well-supported. According to Ghezzi and Ruggles, similar solstitial axes are found in Caral and Sechin Bajo.</w:t>
      </w:r>
      <w:r>
        <w:rPr>
          <w:rFonts w:ascii="Lora Regular" w:cs="Lora Regular" w:hAnsi="Lora Regular" w:eastAsia="Lora Regular"/>
          <w:b w:val="0"/>
          <w:bCs w:val="0"/>
          <w:i w:val="0"/>
          <w:iCs w:val="0"/>
          <w:shd w:val="clear" w:color="auto" w:fill="ffffff"/>
          <w:vertAlign w:val="superscript"/>
        </w:rPr>
        <w:footnoteReference w:id="13"/>
      </w:r>
      <w:r>
        <w:rPr>
          <w:rFonts w:cs="Arial Unicode MS" w:eastAsia="Arial Unicode MS"/>
          <w:shd w:val="clear" w:color="auto" w:fill="ffffff"/>
          <w:rtl w:val="0"/>
          <w:lang w:val="en-US"/>
        </w:rPr>
        <w:t xml:space="preserve"> Recent discoveries in the Chincha Valley, Peru, reveal platform mounds and linear geoglyphs that similarly mark solstitial alignments as proposed by Ghezzi.</w:t>
      </w:r>
      <w:r>
        <w:rPr>
          <w:rFonts w:ascii="Lora Regular" w:cs="Lora Regular" w:hAnsi="Lora Regular" w:eastAsia="Lora Regular"/>
          <w:b w:val="0"/>
          <w:bCs w:val="0"/>
          <w:i w:val="0"/>
          <w:iCs w:val="0"/>
          <w:shd w:val="clear" w:color="auto" w:fill="ffffff"/>
          <w:vertAlign w:val="superscript"/>
        </w:rPr>
        <w:footnoteReference w:id="14"/>
      </w:r>
      <w:r>
        <w:rPr>
          <w:rFonts w:cs="Arial Unicode MS" w:eastAsia="Arial Unicode MS"/>
          <w:shd w:val="clear" w:color="auto" w:fill="ffffff"/>
          <w:rtl w:val="0"/>
          <w:lang w:val="en-US"/>
        </w:rPr>
        <w:t xml:space="preserve"> An alignment to the June Winter Solstice has also been claimed for the Island of The Sun in the Titicaca basin.</w:t>
      </w:r>
      <w:r>
        <w:rPr>
          <w:rFonts w:ascii="Lora Regular" w:cs="Lora Regular" w:hAnsi="Lora Regular" w:eastAsia="Lora Regular"/>
          <w:b w:val="0"/>
          <w:bCs w:val="0"/>
          <w:i w:val="0"/>
          <w:iCs w:val="0"/>
          <w:shd w:val="clear" w:color="auto" w:fill="ffffff"/>
          <w:vertAlign w:val="superscript"/>
        </w:rPr>
        <w:footnoteReference w:id="15"/>
      </w:r>
      <w:r>
        <w:rPr>
          <w:rFonts w:cs="Arial Unicode MS" w:eastAsia="Arial Unicode MS"/>
          <w:shd w:val="clear" w:color="auto" w:fill="ffffff"/>
          <w:rtl w:val="0"/>
          <w:lang w:val="en-US"/>
        </w:rPr>
        <w:t xml:space="preserve"> Therefore, there is evidence that supports both sides of the arguments as put forward by Ghezzi and Malville.</w:t>
      </w:r>
    </w:p>
    <w:p>
      <w:pPr>
        <w:pStyle w:val="Body"/>
        <w:bidi w:val="0"/>
        <w:rPr>
          <w:shd w:val="clear" w:color="auto" w:fill="ffffff"/>
        </w:rPr>
      </w:pPr>
      <w:r>
        <w:rPr>
          <w:rFonts w:cs="Arial Unicode MS" w:eastAsia="Arial Unicode MS"/>
          <w:shd w:val="clear" w:color="auto" w:fill="ffffff"/>
          <w:rtl w:val="0"/>
          <w:lang w:val="en-US"/>
        </w:rPr>
        <w:t>A particular point of contention between the papers is the Western observatory. Ghezzi</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 xml:space="preserve">s theory rests on the notion that a small partly unexcavated structure to the west of the towers, would have served as the observation point, from which an individual would have aligned the setting sun, at various phases of the year, with the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saw-tooth</w:t>
      </w:r>
      <w:r>
        <w:rPr>
          <w:rFonts w:cs="Arial Unicode MS" w:eastAsia="Arial Unicode MS" w:hint="default"/>
          <w:shd w:val="clear" w:color="auto" w:fill="ffffff"/>
          <w:rtl w:val="0"/>
          <w:lang w:val="en-US"/>
        </w:rPr>
        <w:t xml:space="preserve">’ </w:t>
      </w:r>
      <w:r>
        <w:rPr>
          <w:rFonts w:cs="Arial Unicode MS" w:eastAsia="Arial Unicode MS"/>
          <w:shd w:val="clear" w:color="auto" w:fill="ffffff"/>
          <w:rtl w:val="0"/>
          <w:lang w:val="en-US"/>
        </w:rPr>
        <w:t xml:space="preserve">landscape calendar. Malville disagrees with this view, stating.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The monumental size of the towers is incommensurate with the small observing station proposed by Ghezzi &amp; Ruggles (2007). If the towers had been built for astronomical purposes, it seems likely a similarly monumental observation station would have been built.</w:t>
      </w:r>
      <w:r>
        <w:rPr>
          <w:rFonts w:cs="Arial Unicode MS" w:eastAsia="Arial Unicode MS" w:hint="default"/>
          <w:shd w:val="clear" w:color="auto" w:fill="ffffff"/>
          <w:rtl w:val="0"/>
          <w:lang w:val="en-US"/>
        </w:rPr>
        <w:t xml:space="preserve">’ </w:t>
      </w:r>
      <w:r>
        <w:rPr>
          <w:rFonts w:cs="Arial Unicode MS" w:eastAsia="Arial Unicode MS"/>
          <w:shd w:val="clear" w:color="auto" w:fill="ffffff"/>
          <w:rtl w:val="0"/>
          <w:lang w:val="en-US"/>
        </w:rPr>
        <w:t xml:space="preserve">This appears, </w:t>
      </w:r>
      <w:r>
        <w:rPr>
          <w:rFonts w:cs="Arial Unicode MS" w:eastAsia="Arial Unicode MS"/>
          <w:i w:val="1"/>
          <w:iCs w:val="1"/>
          <w:shd w:val="clear" w:color="auto" w:fill="ffffff"/>
          <w:rtl w:val="0"/>
          <w:lang w:val="en-US"/>
        </w:rPr>
        <w:t>ex facie</w:t>
      </w:r>
      <w:r>
        <w:rPr>
          <w:rFonts w:cs="Arial Unicode MS" w:eastAsia="Arial Unicode MS"/>
          <w:shd w:val="clear" w:color="auto" w:fill="ffffff"/>
          <w:rtl w:val="0"/>
          <w:lang w:val="en-US"/>
        </w:rPr>
        <w:t>, to be a problematic assertion since not much of the structure remains. Consideration should also be given to the fact that this western structure remained outside of the protective walls of the site, perhaps inhibiting a large-scale construction. Any large structure outside would have been an easy target for destruction by invaders, and therefore the dwellers might have decided not to invest energy into an architecturally complex building. More incisively however, is Malville</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 xml:space="preserve">s observation that,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The June solstice sun misses the lowest tower by 7 solar diameters</w:t>
      </w:r>
      <w:r>
        <w:rPr>
          <w:rFonts w:cs="Arial Unicode MS" w:eastAsia="Arial Unicode MS"/>
          <w:shd w:val="clear" w:color="auto" w:fill="ffffff"/>
          <w:rtl w:val="0"/>
          <w:lang w:val="en-US"/>
        </w:rPr>
        <w:t xml:space="preserve">, </w:t>
      </w:r>
      <w:r>
        <w:rPr>
          <w:rFonts w:cs="Arial Unicode MS" w:eastAsia="Arial Unicode MS"/>
          <w:shd w:val="clear" w:color="auto" w:fill="ffffff"/>
          <w:rtl w:val="0"/>
          <w:lang w:val="en-US"/>
        </w:rPr>
        <w:t xml:space="preserve"> which would have been an unacceptable error if the tower had been built originally to mark June solstice</w:t>
      </w:r>
      <w:r>
        <w:rPr>
          <w:rFonts w:cs="Arial Unicode MS" w:eastAsia="Arial Unicode MS"/>
          <w:shd w:val="clear" w:color="auto" w:fill="ffffff"/>
          <w:rtl w:val="0"/>
          <w:lang w:val="en-US"/>
        </w:rPr>
        <w:t>.</w:t>
      </w:r>
      <w:r>
        <w:rPr>
          <w:rFonts w:cs="Arial Unicode MS" w:eastAsia="Arial Unicode MS" w:hint="default"/>
          <w:shd w:val="clear" w:color="auto" w:fill="ffffff"/>
          <w:rtl w:val="0"/>
          <w:lang w:val="en-US"/>
        </w:rPr>
        <w:t xml:space="preserve">’ </w:t>
      </w:r>
      <w:r>
        <w:rPr>
          <w:rFonts w:cs="Arial Unicode MS" w:eastAsia="Arial Unicode MS"/>
          <w:shd w:val="clear" w:color="auto" w:fill="ffffff"/>
          <w:rtl w:val="0"/>
          <w:lang w:val="en-US"/>
        </w:rPr>
        <w:t xml:space="preserve">a point which however does not invalidate the other alignments they proposed. Ruggles addresses this issue in a later paper, when he specifies that the sun does not rise behind Tower 1, but instead from a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hill junction</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w:t>
      </w:r>
      <w:r>
        <w:rPr>
          <w:rFonts w:ascii="Lora Regular" w:cs="Lora Regular" w:hAnsi="Lora Regular" w:eastAsia="Lora Regular"/>
          <w:b w:val="0"/>
          <w:bCs w:val="0"/>
          <w:i w:val="0"/>
          <w:iCs w:val="0"/>
          <w:shd w:val="clear" w:color="auto" w:fill="ffffff"/>
          <w:vertAlign w:val="superscript"/>
        </w:rPr>
        <w:footnoteReference w:id="16"/>
      </w:r>
    </w:p>
    <w:p>
      <w:pPr>
        <w:pStyle w:val="Body"/>
        <w:bidi w:val="0"/>
        <w:rPr>
          <w:shd w:val="clear" w:color="auto" w:fill="ffffff"/>
        </w:rPr>
      </w:pPr>
      <w:r>
        <w:rPr>
          <w:rFonts w:cs="Arial Unicode MS" w:eastAsia="Arial Unicode MS"/>
          <w:shd w:val="clear" w:color="auto" w:fill="ffffff"/>
          <w:rtl w:val="0"/>
          <w:lang w:val="en-US"/>
        </w:rPr>
        <w:t>Malville also discusses another possible flaw in Ghezzi</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 xml:space="preserve">s solar observatory theory. He writes that the even spacing between the towers, preclude them from being considered a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meaningful calendar</w:t>
      </w:r>
      <w:r>
        <w:rPr>
          <w:rFonts w:cs="Arial Unicode MS" w:eastAsia="Arial Unicode MS" w:hint="default"/>
          <w:shd w:val="clear" w:color="auto" w:fill="ffffff"/>
          <w:rtl w:val="0"/>
          <w:lang w:val="en-US"/>
        </w:rPr>
        <w:t xml:space="preserve">’ </w:t>
      </w:r>
      <w:r>
        <w:rPr>
          <w:rFonts w:cs="Arial Unicode MS" w:eastAsia="Arial Unicode MS"/>
          <w:shd w:val="clear" w:color="auto" w:fill="ffffff"/>
          <w:rtl w:val="0"/>
          <w:lang w:val="en-US"/>
        </w:rPr>
        <w:t>since the gap lengths would vary throughout the year, with the largest around the equinoxes.</w:t>
      </w:r>
      <w:r>
        <w:rPr>
          <w:rFonts w:ascii="Lora Regular" w:cs="Lora Regular" w:hAnsi="Lora Regular" w:eastAsia="Lora Regular"/>
          <w:b w:val="0"/>
          <w:bCs w:val="0"/>
          <w:i w:val="0"/>
          <w:iCs w:val="0"/>
          <w:shd w:val="clear" w:color="auto" w:fill="ffffff"/>
          <w:vertAlign w:val="superscript"/>
        </w:rPr>
        <w:footnoteReference w:id="17"/>
      </w:r>
      <w:r>
        <w:rPr>
          <w:rFonts w:cs="Arial Unicode MS" w:eastAsia="Arial Unicode MS"/>
          <w:shd w:val="clear" w:color="auto" w:fill="ffffff"/>
          <w:rtl w:val="0"/>
          <w:lang w:val="en-US"/>
        </w:rPr>
        <w:t xml:space="preserve"> Ghezzi had in fact already addressed this question, admitting that the gaps do not mark even intervals of time. He states,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but can the disposition of the towers nonetheless tell us something about the way the year was divided?</w:t>
      </w:r>
      <w:r>
        <w:rPr>
          <w:rFonts w:cs="Arial Unicode MS" w:eastAsia="Arial Unicode MS" w:hint="default"/>
          <w:shd w:val="clear" w:color="auto" w:fill="ffffff"/>
          <w:rtl w:val="0"/>
          <w:lang w:val="en-US"/>
        </w:rPr>
        <w:t>’</w:t>
      </w:r>
      <w:r>
        <w:rPr>
          <w:rFonts w:ascii="Lora Regular" w:cs="Lora Regular" w:hAnsi="Lora Regular" w:eastAsia="Lora Regular"/>
          <w:b w:val="0"/>
          <w:bCs w:val="0"/>
          <w:i w:val="0"/>
          <w:iCs w:val="0"/>
          <w:shd w:val="clear" w:color="auto" w:fill="ffffff"/>
          <w:vertAlign w:val="superscript"/>
        </w:rPr>
        <w:footnoteReference w:id="18"/>
      </w:r>
      <w:r>
        <w:rPr>
          <w:rFonts w:cs="Arial Unicode MS" w:eastAsia="Arial Unicode MS"/>
          <w:shd w:val="clear" w:color="auto" w:fill="ffffff"/>
          <w:rtl w:val="0"/>
          <w:lang w:val="en-US"/>
        </w:rPr>
        <w:t xml:space="preserve"> Ghezzi, although admitting that the gaps do not provide an accurate representation of time, still questions whether the solar alignments themselves would not be enough to prove that the structures functioned as a solar landscape calendar.</w:t>
      </w:r>
    </w:p>
    <w:p>
      <w:pPr>
        <w:pStyle w:val="Body"/>
        <w:bidi w:val="0"/>
        <w:rPr>
          <w:shd w:val="clear" w:color="auto" w:fill="ffffff"/>
        </w:rPr>
      </w:pPr>
      <w:r>
        <w:rPr>
          <w:rFonts w:cs="Arial Unicode MS" w:eastAsia="Arial Unicode MS"/>
          <w:shd w:val="clear" w:color="auto" w:fill="ffffff"/>
          <w:rtl w:val="0"/>
          <w:lang w:val="en-US"/>
        </w:rPr>
        <w:t>Malville, also criticizes Ghezzi</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 xml:space="preserve">s arbitrate choice of a point to the East of the structures, simply because it provided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a desired view of the sunset over Tower 1</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w:t>
      </w:r>
      <w:r>
        <w:rPr>
          <w:rFonts w:ascii="Lora Regular" w:cs="Lora Regular" w:hAnsi="Lora Regular" w:eastAsia="Lora Regular"/>
          <w:b w:val="0"/>
          <w:bCs w:val="0"/>
          <w:i w:val="0"/>
          <w:iCs w:val="0"/>
          <w:shd w:val="clear" w:color="auto" w:fill="ffffff"/>
          <w:vertAlign w:val="superscript"/>
        </w:rPr>
        <w:footnoteReference w:id="19"/>
      </w:r>
      <w:r>
        <w:rPr>
          <w:rFonts w:cs="Arial Unicode MS" w:eastAsia="Arial Unicode MS"/>
          <w:shd w:val="clear" w:color="auto" w:fill="ffffff"/>
          <w:rtl w:val="0"/>
          <w:lang w:val="en-US"/>
        </w:rPr>
        <w:t xml:space="preserve"> Although Ruggles, counters in a later paper that excavations have revealed a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small isolated building at the requisite spot</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w:t>
      </w:r>
      <w:r>
        <w:rPr>
          <w:rFonts w:ascii="Lora Regular" w:cs="Lora Regular" w:hAnsi="Lora Regular" w:eastAsia="Lora Regular"/>
          <w:b w:val="0"/>
          <w:bCs w:val="0"/>
          <w:i w:val="0"/>
          <w:iCs w:val="0"/>
          <w:shd w:val="clear" w:color="auto" w:fill="ffffff"/>
          <w:vertAlign w:val="superscript"/>
        </w:rPr>
        <w:footnoteReference w:id="20"/>
      </w:r>
      <w:r>
        <w:rPr>
          <w:rFonts w:cs="Arial Unicode MS" w:eastAsia="Arial Unicode MS"/>
          <w:shd w:val="clear" w:color="auto" w:fill="ffffff"/>
          <w:rtl w:val="0"/>
          <w:lang w:val="en-US"/>
        </w:rPr>
        <w:t xml:space="preserve"> This criticism by Malville points to a problem which plagues archaeoastronomy, where in some circumstances a dearth of evidence can be made to fit multiple hypothesis. As Ruggles himself admits, when he quotes Belmonte in stating that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]unique interpretations for undue types of monuments are scientifically untestable.</w:t>
      </w:r>
      <w:r>
        <w:rPr>
          <w:rFonts w:cs="Arial Unicode MS" w:eastAsia="Arial Unicode MS" w:hint="default"/>
          <w:shd w:val="clear" w:color="auto" w:fill="ffffff"/>
          <w:rtl w:val="0"/>
          <w:lang w:val="en-US"/>
        </w:rPr>
        <w:t>’</w:t>
      </w:r>
      <w:r>
        <w:rPr>
          <w:rFonts w:ascii="Lora Regular" w:cs="Lora Regular" w:hAnsi="Lora Regular" w:eastAsia="Lora Regular"/>
          <w:b w:val="0"/>
          <w:bCs w:val="0"/>
          <w:i w:val="0"/>
          <w:iCs w:val="0"/>
          <w:shd w:val="clear" w:color="auto" w:fill="ffffff"/>
          <w:vertAlign w:val="superscript"/>
        </w:rPr>
        <w:footnoteReference w:id="21"/>
      </w:r>
      <w:r>
        <w:rPr>
          <w:rFonts w:cs="Arial Unicode MS" w:eastAsia="Arial Unicode MS"/>
          <w:shd w:val="clear" w:color="auto" w:fill="ffffff"/>
          <w:rtl w:val="0"/>
          <w:lang w:val="en-US"/>
        </w:rPr>
        <w:t xml:space="preserve"> This complicates any conclusions regarding Chankillo, since it is a unique site with a unique interpretation. According to Malville, this Eastern point has its view of towers 12 and 13 blocked, which to Ghezzi is actually a feature, since to him, they were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intentionally blocked</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w:t>
      </w:r>
      <w:r>
        <w:rPr>
          <w:rFonts w:ascii="Lora Regular" w:cs="Lora Regular" w:hAnsi="Lora Regular" w:eastAsia="Lora Regular"/>
          <w:b w:val="0"/>
          <w:bCs w:val="0"/>
          <w:i w:val="0"/>
          <w:iCs w:val="0"/>
          <w:shd w:val="clear" w:color="auto" w:fill="ffffff"/>
          <w:vertAlign w:val="superscript"/>
        </w:rPr>
        <w:footnoteReference w:id="22"/>
      </w:r>
      <w:r>
        <w:rPr>
          <w:rFonts w:cs="Arial Unicode MS" w:eastAsia="Arial Unicode MS"/>
          <w:shd w:val="clear" w:color="auto" w:fill="ffffff"/>
          <w:rtl w:val="0"/>
          <w:lang w:val="en-US"/>
        </w:rPr>
        <w:t xml:space="preserve"> Malville instead interprets the curvature and increasing height of the direction of the final towers on mythological grounds, believing them to represent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shamanic ascent between the terrestrial and solar realm</w:t>
      </w:r>
      <w:r>
        <w:rPr>
          <w:rFonts w:cs="Arial Unicode MS" w:eastAsia="Arial Unicode MS" w:hint="default"/>
          <w:shd w:val="clear" w:color="auto" w:fill="ffffff"/>
          <w:rtl w:val="0"/>
          <w:lang w:val="en-US"/>
        </w:rPr>
        <w:t xml:space="preserve">’ </w:t>
      </w:r>
      <w:r>
        <w:rPr>
          <w:rFonts w:cs="Arial Unicode MS" w:eastAsia="Arial Unicode MS"/>
          <w:shd w:val="clear" w:color="auto" w:fill="ffffff"/>
          <w:rtl w:val="0"/>
          <w:lang w:val="en-US"/>
        </w:rPr>
        <w:t>with little evidence except the topology of the site.</w:t>
      </w:r>
      <w:r>
        <w:rPr>
          <w:rFonts w:ascii="Lora Regular" w:cs="Lora Regular" w:hAnsi="Lora Regular" w:eastAsia="Lora Regular"/>
          <w:b w:val="0"/>
          <w:bCs w:val="0"/>
          <w:i w:val="0"/>
          <w:iCs w:val="0"/>
          <w:shd w:val="clear" w:color="auto" w:fill="ffffff"/>
          <w:vertAlign w:val="superscript"/>
        </w:rPr>
        <w:footnoteReference w:id="23"/>
      </w:r>
      <w:r>
        <w:rPr>
          <w:rFonts w:cs="Arial Unicode MS" w:eastAsia="Arial Unicode MS"/>
          <w:shd w:val="clear" w:color="auto" w:fill="ffffff"/>
          <w:rtl w:val="0"/>
          <w:lang w:val="en-US"/>
        </w:rPr>
        <w:t xml:space="preserve"> De-emphasizing the solstitial alignments, Malville focusses on the possible mythological significance of the site, such as the stairs on the towers, which could represent shamanic journey between the three world as seen in other Andean cultures.</w:t>
      </w:r>
      <w:r>
        <w:rPr>
          <w:rFonts w:ascii="Lora Regular" w:cs="Lora Regular" w:hAnsi="Lora Regular" w:eastAsia="Lora Regular"/>
          <w:b w:val="0"/>
          <w:bCs w:val="0"/>
          <w:i w:val="0"/>
          <w:iCs w:val="0"/>
          <w:shd w:val="clear" w:color="auto" w:fill="ffffff"/>
          <w:vertAlign w:val="superscript"/>
        </w:rPr>
        <w:footnoteReference w:id="24"/>
      </w:r>
      <w:r>
        <w:rPr>
          <w:rFonts w:cs="Arial Unicode MS" w:eastAsia="Arial Unicode MS"/>
          <w:shd w:val="clear" w:color="auto" w:fill="ffffff"/>
          <w:rtl w:val="0"/>
          <w:lang w:val="en-US"/>
        </w:rPr>
        <w:t xml:space="preserve"> He cites Mircea Eliade, who despite being a historian of religion, is not an expert on Andean culture, when he stated that </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Stairways are the routes of ritual ascent.</w:t>
      </w:r>
      <w:r>
        <w:rPr>
          <w:rFonts w:cs="Arial Unicode MS" w:eastAsia="Arial Unicode MS" w:hint="default"/>
          <w:shd w:val="clear" w:color="auto" w:fill="ffffff"/>
          <w:rtl w:val="0"/>
          <w:lang w:val="en-US"/>
        </w:rPr>
        <w:t>’</w:t>
      </w:r>
      <w:r>
        <w:rPr>
          <w:rFonts w:ascii="Lora Regular" w:cs="Lora Regular" w:hAnsi="Lora Regular" w:eastAsia="Lora Regular"/>
          <w:b w:val="0"/>
          <w:bCs w:val="0"/>
          <w:i w:val="0"/>
          <w:iCs w:val="0"/>
          <w:shd w:val="clear" w:color="auto" w:fill="ffffff"/>
          <w:vertAlign w:val="superscript"/>
        </w:rPr>
        <w:footnoteReference w:id="25"/>
      </w:r>
      <w:r>
        <w:rPr>
          <w:rFonts w:cs="Arial Unicode MS" w:eastAsia="Arial Unicode MS"/>
          <w:shd w:val="clear" w:color="auto" w:fill="ffffff"/>
          <w:rtl w:val="0"/>
          <w:lang w:val="en-US"/>
        </w:rPr>
        <w:t xml:space="preserve"> Although the mythological considerations made by Malville are speculative since they rely solely on parallels with other Andean cultures, they can also easily be made to complement the archaeoastronomical hypothesis put forth by Ghezzi and Ruggles since a shamanic transcendence can also be interpreted as a solar journey.</w:t>
      </w:r>
    </w:p>
    <w:p>
      <w:pPr>
        <w:pStyle w:val="Body"/>
        <w:bidi w:val="0"/>
      </w:pPr>
      <w:r>
        <w:rPr>
          <w:rFonts w:cs="Arial Unicode MS" w:eastAsia="Arial Unicode MS"/>
          <w:shd w:val="clear" w:color="auto" w:fill="ffffff"/>
          <w:rtl w:val="0"/>
          <w:lang w:val="en-US"/>
        </w:rPr>
        <w:t xml:space="preserve">Despite claims by </w:t>
      </w:r>
      <w:r>
        <w:rPr>
          <w:rFonts w:cs="Arial Unicode MS" w:eastAsia="Arial Unicode MS"/>
          <w:shd w:val="clear" w:color="auto" w:fill="ffffff"/>
          <w:rtl w:val="0"/>
          <w:lang w:val="pt-PT"/>
        </w:rPr>
        <w:t>PUCP</w:t>
      </w:r>
      <w:r>
        <w:rPr>
          <w:rFonts w:cs="Arial Unicode MS" w:eastAsia="Arial Unicode MS"/>
          <w:shd w:val="clear" w:color="auto" w:fill="ffffff"/>
          <w:rtl w:val="0"/>
          <w:lang w:val="en-US"/>
        </w:rPr>
        <w:t xml:space="preserve"> </w:t>
      </w:r>
      <w:r>
        <w:rPr>
          <w:rFonts w:cs="Arial Unicode MS" w:eastAsia="Arial Unicode MS"/>
          <w:shd w:val="clear" w:color="auto" w:fill="ffffff"/>
          <w:rtl w:val="0"/>
          <w:lang w:val="es-ES_tradnl"/>
        </w:rPr>
        <w:t>archaeologist Luis Jaime Castillo</w:t>
      </w:r>
      <w:r>
        <w:rPr>
          <w:rFonts w:cs="Arial Unicode MS" w:eastAsia="Arial Unicode MS"/>
          <w:shd w:val="clear" w:color="auto" w:fill="ffffff"/>
          <w:rtl w:val="0"/>
          <w:lang w:val="en-US"/>
        </w:rPr>
        <w:t xml:space="preserve">, that Chankillo is an </w:t>
      </w:r>
      <w:r>
        <w:rPr>
          <w:rFonts w:cs="Arial Unicode MS" w:eastAsia="Arial Unicode MS"/>
          <w:shd w:val="clear" w:color="auto" w:fill="ffffff"/>
          <w:rtl w:val="0"/>
          <w:lang w:val="en-US"/>
        </w:rPr>
        <w:t>absolutely clear-cut" example of a</w:t>
      </w:r>
      <w:r>
        <w:rPr>
          <w:rFonts w:cs="Arial Unicode MS" w:eastAsia="Arial Unicode MS"/>
          <w:shd w:val="clear" w:color="auto" w:fill="ffffff"/>
          <w:rtl w:val="0"/>
          <w:lang w:val="en-US"/>
        </w:rPr>
        <w:t xml:space="preserve"> </w:t>
      </w:r>
      <w:r>
        <w:rPr>
          <w:rFonts w:cs="Arial Unicode MS" w:eastAsia="Arial Unicode MS"/>
          <w:shd w:val="clear" w:color="auto" w:fill="ffffff"/>
          <w:rtl w:val="0"/>
        </w:rPr>
        <w:t>l</w:t>
      </w:r>
      <w:r>
        <w:rPr>
          <w:rFonts w:cs="Arial Unicode MS" w:eastAsia="Arial Unicode MS"/>
          <w:shd w:val="clear" w:color="auto" w:fill="ffffff"/>
          <w:rtl w:val="0"/>
          <w:lang w:val="en-US"/>
        </w:rPr>
        <w:t>andscape</w:t>
      </w:r>
      <w:r>
        <w:rPr>
          <w:rFonts w:cs="Arial Unicode MS" w:eastAsia="Arial Unicode MS"/>
          <w:shd w:val="clear" w:color="auto" w:fill="ffffff"/>
          <w:rtl w:val="0"/>
          <w:lang w:val="pt-PT"/>
        </w:rPr>
        <w:t xml:space="preserve"> calendar.</w:t>
      </w:r>
      <w:r>
        <w:rPr>
          <w:rFonts w:ascii="Lora Regular" w:cs="Lora Regular" w:hAnsi="Lora Regular" w:eastAsia="Lora Regular"/>
          <w:b w:val="0"/>
          <w:bCs w:val="0"/>
          <w:i w:val="0"/>
          <w:iCs w:val="0"/>
          <w:shd w:val="clear" w:color="auto" w:fill="ffffff"/>
          <w:vertAlign w:val="superscript"/>
        </w:rPr>
        <w:footnoteReference w:id="26"/>
      </w:r>
      <w:r>
        <w:rPr>
          <w:rFonts w:cs="Arial Unicode MS" w:eastAsia="Arial Unicode MS"/>
          <w:shd w:val="clear" w:color="auto" w:fill="ffffff"/>
          <w:rtl w:val="0"/>
          <w:lang w:val="en-US"/>
        </w:rPr>
        <w:t xml:space="preserve"> Some questions raised by Malville do place some doubts on claims made by Ghezzi and Ruggles. However, not all of their diverging points are mutually exclusive. While the eastern observatory, appears to be more speculative, the western one, despite its small size, seems like a valid discovery made by Ghezzi and Ruggles. Malville</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s argument that the size of the structure does not conform to its relative importance when compared to the Thirteen Towers, ignores the fact that the structure would have been outside of the protective walls of the site, assuming that it was also a fortress as claimed by previous research. Malville</w:t>
      </w:r>
      <w:r>
        <w:rPr>
          <w:rFonts w:cs="Arial Unicode MS" w:eastAsia="Arial Unicode MS" w:hint="default"/>
          <w:shd w:val="clear" w:color="auto" w:fill="ffffff"/>
          <w:rtl w:val="0"/>
          <w:lang w:val="en-US"/>
        </w:rPr>
        <w:t>’</w:t>
      </w:r>
      <w:r>
        <w:rPr>
          <w:rFonts w:cs="Arial Unicode MS" w:eastAsia="Arial Unicode MS"/>
          <w:shd w:val="clear" w:color="auto" w:fill="ffffff"/>
          <w:rtl w:val="0"/>
          <w:lang w:val="en-US"/>
        </w:rPr>
        <w:t>s strongest argument is that the June solstice sun misses the lowest tower, which however does not completely invalidate the other alignments and was countenanced in a later paper by Ruggles. Ultimately, what should be agreed upon is that while the debate about the function and history of Chankillo is hardly settled, more work must be done to understand and preserve this mysterious location before more damage to it is done by encroaching Peruvian companies.</w:t>
      </w:r>
      <w:r>
        <w:rPr>
          <w:rFonts w:ascii="Lora Regular" w:cs="Lora Regular" w:hAnsi="Lora Regular" w:eastAsia="Lora Regular"/>
          <w:b w:val="0"/>
          <w:bCs w:val="0"/>
          <w:i w:val="0"/>
          <w:iCs w:val="0"/>
          <w:shd w:val="clear" w:color="auto" w:fill="ffffff"/>
          <w:vertAlign w:val="superscript"/>
        </w:rPr>
        <w:footnoteReference w:id="27"/>
      </w:r>
      <w:r>
        <w:rPr>
          <w:rFonts w:ascii="Arial Unicode MS" w:cs="Arial Unicode MS" w:hAnsi="Arial Unicode MS" w:eastAsia="Arial Unicode MS"/>
          <w:b w:val="0"/>
          <w:bCs w:val="0"/>
          <w:i w:val="0"/>
          <w:iCs w:val="0"/>
          <w:shd w:val="clear" w:color="auto" w:fill="ffffff"/>
        </w:rPr>
        <w:br w:type="page"/>
      </w:r>
    </w:p>
    <w:p>
      <w:pPr>
        <w:pStyle w:val="Heading 2"/>
        <w:bidi w:val="0"/>
        <w:rPr>
          <w:shd w:val="clear" w:color="auto" w:fill="ffffff"/>
        </w:rPr>
      </w:pPr>
      <w:r>
        <w:rPr>
          <w:shd w:val="clear" w:color="auto" w:fill="ffffff"/>
          <w:rtl w:val="0"/>
          <w:lang w:val="fr-FR"/>
        </w:rPr>
        <w:t>Bibliography</w:t>
      </w:r>
    </w:p>
    <w:p>
      <w:pPr>
        <w:pStyle w:val="Body"/>
        <w:spacing w:after="80" w:line="288" w:lineRule="auto"/>
        <w:ind w:firstLine="0"/>
        <w:rPr>
          <w:outline w:val="0"/>
          <w:color w:val="434343"/>
          <w14:textFill>
            <w14:solidFill>
              <w14:srgbClr w14:val="444444"/>
            </w14:solidFill>
          </w14:textFill>
        </w:rPr>
      </w:pPr>
      <w:r>
        <w:rPr>
          <w:outline w:val="0"/>
          <w:color w:val="434343"/>
          <w:rtl w:val="0"/>
          <w:lang w:val="en-US"/>
          <w14:textFill>
            <w14:solidFill>
              <w14:srgbClr w14:val="444444"/>
            </w14:solidFill>
          </w14:textFill>
        </w:rPr>
        <w:t xml:space="preserve">Arkush, Elizabeth, and Charles Stanish, 'Implications for the Archaeology of Warfare Interpreting Conflict in the Ancient Andes', </w:t>
      </w:r>
      <w:r>
        <w:rPr>
          <w:i w:val="1"/>
          <w:iCs w:val="1"/>
          <w:outline w:val="0"/>
          <w:color w:val="434343"/>
          <w:rtl w:val="0"/>
          <w:lang w:val="en-US"/>
          <w14:textFill>
            <w14:solidFill>
              <w14:srgbClr w14:val="444444"/>
            </w14:solidFill>
          </w14:textFill>
        </w:rPr>
        <w:t>Current Anthropology</w:t>
      </w:r>
      <w:r>
        <w:rPr>
          <w:outline w:val="0"/>
          <w:color w:val="434343"/>
          <w:rtl w:val="0"/>
          <w14:textFill>
            <w14:solidFill>
              <w14:srgbClr w14:val="444444"/>
            </w14:solidFill>
          </w14:textFill>
        </w:rPr>
        <w:t>, 46: (2005), 3-28.</w:t>
      </w:r>
    </w:p>
    <w:p>
      <w:pPr>
        <w:pStyle w:val="Body"/>
        <w:spacing w:after="80" w:line="288" w:lineRule="auto"/>
        <w:ind w:firstLine="0"/>
        <w:rPr>
          <w:outline w:val="0"/>
          <w:color w:val="434343"/>
          <w14:textFill>
            <w14:solidFill>
              <w14:srgbClr w14:val="444444"/>
            </w14:solidFill>
          </w14:textFill>
        </w:rPr>
      </w:pPr>
    </w:p>
    <w:p>
      <w:pPr>
        <w:pStyle w:val="Body"/>
        <w:spacing w:after="80" w:line="288" w:lineRule="auto"/>
        <w:ind w:firstLine="0"/>
        <w:rPr>
          <w:outline w:val="0"/>
          <w:color w:val="434343"/>
          <w14:textFill>
            <w14:solidFill>
              <w14:srgbClr w14:val="444444"/>
            </w14:solidFill>
          </w14:textFill>
        </w:rPr>
      </w:pPr>
      <w:r>
        <w:rPr>
          <w:outline w:val="0"/>
          <w:color w:val="434343"/>
          <w:rtl w:val="0"/>
          <w:lang w:val="en-US"/>
          <w14:textFill>
            <w14:solidFill>
              <w14:srgbClr w14:val="444444"/>
            </w14:solidFill>
          </w14:textFill>
        </w:rPr>
        <w:t xml:space="preserve">Ghezzi, Ivan, and Clive Ruggles, 'The Social and Ritual Context of Horizon Astronomical Observations at Chankillo', </w:t>
      </w:r>
      <w:r>
        <w:rPr>
          <w:i w:val="1"/>
          <w:iCs w:val="1"/>
          <w:outline w:val="0"/>
          <w:color w:val="434343"/>
          <w:rtl w:val="0"/>
          <w:lang w:val="en-US"/>
          <w14:textFill>
            <w14:solidFill>
              <w14:srgbClr w14:val="444444"/>
            </w14:solidFill>
          </w14:textFill>
        </w:rPr>
        <w:t>Proceedings of the International Astronomical Union</w:t>
      </w:r>
      <w:r>
        <w:rPr>
          <w:outline w:val="0"/>
          <w:color w:val="434343"/>
          <w:rtl w:val="0"/>
          <w14:textFill>
            <w14:solidFill>
              <w14:srgbClr w14:val="444444"/>
            </w14:solidFill>
          </w14:textFill>
        </w:rPr>
        <w:t>, 7: (2011).</w:t>
      </w:r>
    </w:p>
    <w:p>
      <w:pPr>
        <w:pStyle w:val="Body"/>
        <w:spacing w:after="80" w:line="288" w:lineRule="auto"/>
        <w:ind w:firstLine="0"/>
        <w:rPr>
          <w:outline w:val="0"/>
          <w:color w:val="434343"/>
          <w14:textFill>
            <w14:solidFill>
              <w14:srgbClr w14:val="444444"/>
            </w14:solidFill>
          </w14:textFill>
        </w:rPr>
      </w:pPr>
    </w:p>
    <w:p>
      <w:pPr>
        <w:pStyle w:val="Body"/>
        <w:spacing w:after="80" w:line="288" w:lineRule="auto"/>
        <w:ind w:firstLine="0"/>
        <w:rPr>
          <w:outline w:val="0"/>
          <w:color w:val="434343"/>
          <w14:textFill>
            <w14:solidFill>
              <w14:srgbClr w14:val="444444"/>
            </w14:solidFill>
          </w14:textFill>
        </w:rPr>
      </w:pPr>
      <w:r>
        <w:rPr>
          <w:outline w:val="0"/>
          <w:color w:val="434343"/>
          <w:rtl w:val="0"/>
          <w:lang w:val="en-US"/>
          <w14:textFill>
            <w14:solidFill>
              <w14:srgbClr w14:val="444444"/>
            </w14:solidFill>
          </w14:textFill>
        </w:rPr>
        <w:t xml:space="preserve">Malville, John, 'Astronomy and Ceremony at Chankillo: An Andean Perspective', </w:t>
      </w:r>
      <w:r>
        <w:rPr>
          <w:i w:val="1"/>
          <w:iCs w:val="1"/>
          <w:outline w:val="0"/>
          <w:color w:val="434343"/>
          <w:rtl w:val="0"/>
          <w:lang w:val="en-US"/>
          <w14:textFill>
            <w14:solidFill>
              <w14:srgbClr w14:val="444444"/>
            </w14:solidFill>
          </w14:textFill>
        </w:rPr>
        <w:t>Proceedings of the International Astronomical Union</w:t>
      </w:r>
      <w:r>
        <w:rPr>
          <w:outline w:val="0"/>
          <w:color w:val="434343"/>
          <w:rtl w:val="0"/>
          <w14:textFill>
            <w14:solidFill>
              <w14:srgbClr w14:val="444444"/>
            </w14:solidFill>
          </w14:textFill>
        </w:rPr>
        <w:t>, 7: (2011).</w:t>
      </w:r>
    </w:p>
    <w:p>
      <w:pPr>
        <w:pStyle w:val="Body"/>
        <w:spacing w:after="80" w:line="288" w:lineRule="auto"/>
        <w:ind w:firstLine="0"/>
        <w:rPr>
          <w:outline w:val="0"/>
          <w:color w:val="434343"/>
          <w14:textFill>
            <w14:solidFill>
              <w14:srgbClr w14:val="444444"/>
            </w14:solidFill>
          </w14:textFill>
        </w:rPr>
      </w:pPr>
    </w:p>
    <w:p>
      <w:pPr>
        <w:pStyle w:val="Body"/>
        <w:spacing w:after="80" w:line="288" w:lineRule="auto"/>
        <w:ind w:firstLine="0"/>
        <w:rPr>
          <w:outline w:val="0"/>
          <w:color w:val="434343"/>
          <w14:textFill>
            <w14:solidFill>
              <w14:srgbClr w14:val="444444"/>
            </w14:solidFill>
          </w14:textFill>
        </w:rPr>
      </w:pPr>
      <w:r>
        <w:rPr>
          <w:outline w:val="0"/>
          <w:color w:val="434343"/>
          <w:rtl w:val="0"/>
          <w:lang w:val="en-US"/>
          <w14:textFill>
            <w14:solidFill>
              <w14:srgbClr w14:val="444444"/>
            </w14:solidFill>
          </w14:textFill>
        </w:rPr>
        <w:t xml:space="preserve">Mann, Charles C., 'Mystery Towers in Peru Are an Ancient Solar Calendar', </w:t>
      </w:r>
      <w:r>
        <w:rPr>
          <w:i w:val="1"/>
          <w:iCs w:val="1"/>
          <w:outline w:val="0"/>
          <w:color w:val="434343"/>
          <w:rtl w:val="0"/>
          <w:lang w:val="en-US"/>
          <w14:textFill>
            <w14:solidFill>
              <w14:srgbClr w14:val="444444"/>
            </w14:solidFill>
          </w14:textFill>
        </w:rPr>
        <w:t>Science</w:t>
      </w:r>
      <w:r>
        <w:rPr>
          <w:outline w:val="0"/>
          <w:color w:val="434343"/>
          <w:rtl w:val="0"/>
          <w14:textFill>
            <w14:solidFill>
              <w14:srgbClr w14:val="444444"/>
            </w14:solidFill>
          </w14:textFill>
        </w:rPr>
        <w:t>, 315: (2007), 1206-07.</w:t>
      </w:r>
    </w:p>
    <w:p>
      <w:pPr>
        <w:pStyle w:val="Body"/>
        <w:spacing w:after="80" w:line="288" w:lineRule="auto"/>
        <w:ind w:firstLine="0"/>
        <w:rPr>
          <w:outline w:val="0"/>
          <w:color w:val="434343"/>
          <w14:textFill>
            <w14:solidFill>
              <w14:srgbClr w14:val="444444"/>
            </w14:solidFill>
          </w14:textFill>
        </w:rPr>
      </w:pPr>
    </w:p>
    <w:p>
      <w:pPr>
        <w:pStyle w:val="Body"/>
        <w:spacing w:after="80" w:line="288" w:lineRule="auto"/>
        <w:ind w:firstLine="0"/>
        <w:rPr>
          <w:outline w:val="0"/>
          <w:color w:val="434343"/>
          <w14:textFill>
            <w14:solidFill>
              <w14:srgbClr w14:val="444444"/>
            </w14:solidFill>
          </w14:textFill>
        </w:rPr>
      </w:pPr>
      <w:r>
        <w:rPr>
          <w:outline w:val="0"/>
          <w:color w:val="434343"/>
          <w:rtl w:val="0"/>
          <w:lang w:val="en-US"/>
          <w14:textFill>
            <w14:solidFill>
              <w14:srgbClr w14:val="444444"/>
            </w14:solidFill>
          </w14:textFill>
        </w:rPr>
        <w:t xml:space="preserve">Matsuzawa, Tsugio, and Izumi Shimada, 'The Formative Site of Las Haldas, Peru: Architecture, Chronology, and Economy', </w:t>
      </w:r>
      <w:r>
        <w:rPr>
          <w:i w:val="1"/>
          <w:iCs w:val="1"/>
          <w:outline w:val="0"/>
          <w:color w:val="434343"/>
          <w:rtl w:val="0"/>
          <w:lang w:val="fr-FR"/>
          <w14:textFill>
            <w14:solidFill>
              <w14:srgbClr w14:val="444444"/>
            </w14:solidFill>
          </w14:textFill>
        </w:rPr>
        <w:t>American Antiquity</w:t>
      </w:r>
      <w:r>
        <w:rPr>
          <w:outline w:val="0"/>
          <w:color w:val="434343"/>
          <w:rtl w:val="0"/>
          <w14:textFill>
            <w14:solidFill>
              <w14:srgbClr w14:val="444444"/>
            </w14:solidFill>
          </w14:textFill>
        </w:rPr>
        <w:t>, 43: (1978), 652-73.</w:t>
      </w:r>
    </w:p>
    <w:p>
      <w:pPr>
        <w:pStyle w:val="Body"/>
        <w:spacing w:after="80" w:line="288" w:lineRule="auto"/>
        <w:ind w:firstLine="0"/>
        <w:rPr>
          <w:outline w:val="0"/>
          <w:color w:val="434343"/>
          <w14:textFill>
            <w14:solidFill>
              <w14:srgbClr w14:val="444444"/>
            </w14:solidFill>
          </w14:textFill>
        </w:rPr>
      </w:pPr>
    </w:p>
    <w:p>
      <w:pPr>
        <w:pStyle w:val="Body"/>
        <w:spacing w:after="80" w:line="288" w:lineRule="auto"/>
        <w:ind w:firstLine="0"/>
        <w:rPr>
          <w:outline w:val="0"/>
          <w:color w:val="434343"/>
          <w14:textFill>
            <w14:solidFill>
              <w14:srgbClr w14:val="444444"/>
            </w14:solidFill>
          </w14:textFill>
        </w:rPr>
      </w:pPr>
      <w:r>
        <w:rPr>
          <w:outline w:val="0"/>
          <w:color w:val="434343"/>
          <w:rtl w:val="0"/>
          <w:lang w:val="en-US"/>
          <w14:textFill>
            <w14:solidFill>
              <w14:srgbClr w14:val="444444"/>
            </w14:solidFill>
          </w14:textFill>
        </w:rPr>
        <w:t xml:space="preserve">Moseley, Michael Edward, </w:t>
      </w:r>
      <w:r>
        <w:rPr>
          <w:outline w:val="0"/>
          <w:color w:val="434343"/>
          <w:rtl w:val="0"/>
          <w:lang w:val="en-US"/>
          <w14:textFill>
            <w14:solidFill>
              <w14:srgbClr w14:val="444444"/>
            </w14:solidFill>
          </w14:textFill>
        </w:rPr>
        <w:t>The Incas and Their Ancestors : The Archaeology of Peru</w:t>
      </w:r>
      <w:r>
        <w:rPr>
          <w:outline w:val="0"/>
          <w:color w:val="434343"/>
          <w:rtl w:val="0"/>
          <w:lang w:val="en-US"/>
          <w14:textFill>
            <w14:solidFill>
              <w14:srgbClr w14:val="444444"/>
            </w14:solidFill>
          </w14:textFill>
        </w:rPr>
        <w:t xml:space="preserve"> (Thames and Hudson: New York, N.Y., 1992).</w:t>
      </w:r>
    </w:p>
    <w:p>
      <w:pPr>
        <w:pStyle w:val="Body"/>
        <w:spacing w:after="80" w:line="288" w:lineRule="auto"/>
        <w:ind w:firstLine="0"/>
        <w:rPr>
          <w:outline w:val="0"/>
          <w:color w:val="434343"/>
          <w14:textFill>
            <w14:solidFill>
              <w14:srgbClr w14:val="444444"/>
            </w14:solidFill>
          </w14:textFill>
        </w:rPr>
      </w:pPr>
    </w:p>
    <w:p>
      <w:pPr>
        <w:pStyle w:val="Body"/>
        <w:spacing w:after="80" w:line="288" w:lineRule="auto"/>
        <w:ind w:firstLine="0"/>
        <w:rPr>
          <w:outline w:val="0"/>
          <w:color w:val="434343"/>
          <w14:textFill>
            <w14:solidFill>
              <w14:srgbClr w14:val="444444"/>
            </w14:solidFill>
          </w14:textFill>
        </w:rPr>
      </w:pPr>
      <w:r>
        <w:rPr>
          <w:outline w:val="0"/>
          <w:color w:val="434343"/>
          <w:rtl w:val="0"/>
          <w:lang w:val="en-US"/>
          <w14:textFill>
            <w14:solidFill>
              <w14:srgbClr w14:val="444444"/>
            </w14:solidFill>
          </w14:textFill>
        </w:rPr>
        <w:t xml:space="preserve">Ruggles, Clive L. N., 'Pushing Back the Frontiers or Still Running around the Same Circles? </w:t>
      </w:r>
      <w:r>
        <w:rPr>
          <w:outline w:val="0"/>
          <w:color w:val="434343"/>
          <w:rtl w:val="1"/>
          <w14:textFill>
            <w14:solidFill>
              <w14:srgbClr w14:val="444444"/>
            </w14:solidFill>
          </w14:textFill>
        </w:rPr>
        <w:t>‘</w:t>
      </w:r>
      <w:r>
        <w:rPr>
          <w:outline w:val="0"/>
          <w:color w:val="434343"/>
          <w:rtl w:val="0"/>
          <w14:textFill>
            <w14:solidFill>
              <w14:srgbClr w14:val="444444"/>
            </w14:solidFill>
          </w14:textFill>
        </w:rPr>
        <w:t>Interpretative Archaeoastronomy</w:t>
      </w:r>
      <w:r>
        <w:rPr>
          <w:outline w:val="0"/>
          <w:color w:val="434343"/>
          <w:rtl w:val="1"/>
          <w14:textFill>
            <w14:solidFill>
              <w14:srgbClr w14:val="444444"/>
            </w14:solidFill>
          </w14:textFill>
        </w:rPr>
        <w:t xml:space="preserve">’ </w:t>
      </w:r>
      <w:r>
        <w:rPr>
          <w:outline w:val="0"/>
          <w:color w:val="434343"/>
          <w:rtl w:val="0"/>
          <w:lang w:val="en-US"/>
          <w14:textFill>
            <w14:solidFill>
              <w14:srgbClr w14:val="444444"/>
            </w14:solidFill>
          </w14:textFill>
        </w:rPr>
        <w:t xml:space="preserve">Thirty Years On', </w:t>
      </w:r>
      <w:r>
        <w:rPr>
          <w:i w:val="1"/>
          <w:iCs w:val="1"/>
          <w:outline w:val="0"/>
          <w:color w:val="434343"/>
          <w:rtl w:val="0"/>
          <w:lang w:val="en-US"/>
          <w14:textFill>
            <w14:solidFill>
              <w14:srgbClr w14:val="444444"/>
            </w14:solidFill>
          </w14:textFill>
        </w:rPr>
        <w:t>Proceedings of the International Astronomical Union</w:t>
      </w:r>
      <w:r>
        <w:rPr>
          <w:outline w:val="0"/>
          <w:color w:val="434343"/>
          <w:rtl w:val="0"/>
          <w14:textFill>
            <w14:solidFill>
              <w14:srgbClr w14:val="444444"/>
            </w14:solidFill>
          </w14:textFill>
        </w:rPr>
        <w:t>, 7: (2011), 1-18.</w:t>
      </w:r>
    </w:p>
    <w:p>
      <w:pPr>
        <w:pStyle w:val="Body"/>
        <w:spacing w:after="80" w:line="288" w:lineRule="auto"/>
        <w:ind w:firstLine="0"/>
        <w:rPr>
          <w:outline w:val="0"/>
          <w:color w:val="434343"/>
          <w14:textFill>
            <w14:solidFill>
              <w14:srgbClr w14:val="444444"/>
            </w14:solidFill>
          </w14:textFill>
        </w:rPr>
      </w:pPr>
    </w:p>
    <w:p>
      <w:pPr>
        <w:pStyle w:val="Body"/>
        <w:spacing w:after="80" w:line="288" w:lineRule="auto"/>
        <w:ind w:firstLine="0"/>
        <w:rPr>
          <w:outline w:val="0"/>
          <w:color w:val="434343"/>
          <w14:textFill>
            <w14:solidFill>
              <w14:srgbClr w14:val="444444"/>
            </w14:solidFill>
          </w14:textFill>
        </w:rPr>
      </w:pPr>
      <w:r>
        <w:rPr>
          <w:outline w:val="0"/>
          <w:color w:val="434343"/>
          <w:rtl w:val="0"/>
          <w:lang w:val="fr-FR"/>
          <w14:textFill>
            <w14:solidFill>
              <w14:srgbClr w14:val="444444"/>
            </w14:solidFill>
          </w14:textFill>
        </w:rPr>
        <w:t>Stanish, Charles, Henry Tantale</w:t>
      </w:r>
      <w:r>
        <w:rPr>
          <w:outline w:val="0"/>
          <w:color w:val="434343"/>
          <w:rtl w:val="0"/>
          <w14:textFill>
            <w14:solidFill>
              <w14:srgbClr w14:val="444444"/>
            </w14:solidFill>
          </w14:textFill>
        </w:rPr>
        <w:t>á</w:t>
      </w:r>
      <w:r>
        <w:rPr>
          <w:outline w:val="0"/>
          <w:color w:val="434343"/>
          <w:rtl w:val="0"/>
          <w:lang w:val="en-US"/>
          <w14:textFill>
            <w14:solidFill>
              <w14:srgbClr w14:val="444444"/>
            </w14:solidFill>
          </w14:textFill>
        </w:rPr>
        <w:t xml:space="preserve">n, Benjamin T. Nigra, and Laura Griffin, 'A 2,300-Year-Old Architectural and Astronomical Complex in the Chincha Valley, Peru', </w:t>
      </w:r>
      <w:r>
        <w:rPr>
          <w:i w:val="1"/>
          <w:iCs w:val="1"/>
          <w:outline w:val="0"/>
          <w:color w:val="434343"/>
          <w:rtl w:val="0"/>
          <w:lang w:val="en-US"/>
          <w14:textFill>
            <w14:solidFill>
              <w14:srgbClr w14:val="444444"/>
            </w14:solidFill>
          </w14:textFill>
        </w:rPr>
        <w:t>Proceedings of the National Academy of Sciences of the United States of America</w:t>
      </w:r>
      <w:r>
        <w:rPr>
          <w:outline w:val="0"/>
          <w:color w:val="434343"/>
          <w:rtl w:val="0"/>
          <w14:textFill>
            <w14:solidFill>
              <w14:srgbClr w14:val="444444"/>
            </w14:solidFill>
          </w14:textFill>
        </w:rPr>
        <w:t>, 111: (2014), 7218-23.</w:t>
      </w:r>
    </w:p>
    <w:p>
      <w:pPr>
        <w:pStyle w:val="Body"/>
        <w:spacing w:after="80" w:line="288" w:lineRule="auto"/>
        <w:ind w:firstLine="0"/>
        <w:rPr>
          <w:outline w:val="0"/>
          <w:color w:val="434343"/>
          <w14:textFill>
            <w14:solidFill>
              <w14:srgbClr w14:val="444444"/>
            </w14:solidFill>
          </w14:textFill>
        </w:rPr>
      </w:pPr>
    </w:p>
    <w:p>
      <w:pPr>
        <w:pStyle w:val="Body"/>
        <w:spacing w:after="80" w:line="288" w:lineRule="auto"/>
        <w:ind w:firstLine="0"/>
        <w:rPr>
          <w:outline w:val="0"/>
          <w:color w:val="434343"/>
          <w14:textFill>
            <w14:solidFill>
              <w14:srgbClr w14:val="444444"/>
            </w14:solidFill>
          </w14:textFill>
        </w:rPr>
      </w:pPr>
      <w:r>
        <w:rPr>
          <w:outline w:val="0"/>
          <w:color w:val="434343"/>
          <w:rtl w:val="0"/>
          <w:lang w:val="en-US"/>
          <w14:textFill>
            <w14:solidFill>
              <w14:srgbClr w14:val="444444"/>
            </w14:solidFill>
          </w14:textFill>
        </w:rPr>
        <w:t>Vega, Margaret Brown, 'Prehispanic Warfare During the Early Horizon and Late Intermediate Period in the Huaura Valley, Per</w:t>
      </w:r>
      <w:r>
        <w:rPr>
          <w:outline w:val="0"/>
          <w:color w:val="434343"/>
          <w:rtl w:val="0"/>
          <w14:textFill>
            <w14:solidFill>
              <w14:srgbClr w14:val="444444"/>
            </w14:solidFill>
          </w14:textFill>
        </w:rPr>
        <w:t>ú</w:t>
      </w:r>
      <w:r>
        <w:rPr>
          <w:outline w:val="0"/>
          <w:color w:val="434343"/>
          <w:rtl w:val="0"/>
          <w:lang w:val="nl-NL"/>
          <w14:textFill>
            <w14:solidFill>
              <w14:srgbClr w14:val="444444"/>
            </w14:solidFill>
          </w14:textFill>
        </w:rPr>
        <w:t xml:space="preserve">', </w:t>
      </w:r>
      <w:r>
        <w:rPr>
          <w:i w:val="1"/>
          <w:iCs w:val="1"/>
          <w:outline w:val="0"/>
          <w:color w:val="434343"/>
          <w:rtl w:val="0"/>
          <w:lang w:val="en-US"/>
          <w14:textFill>
            <w14:solidFill>
              <w14:srgbClr w14:val="444444"/>
            </w14:solidFill>
          </w14:textFill>
        </w:rPr>
        <w:t>Current Anthropology</w:t>
      </w:r>
      <w:r>
        <w:rPr>
          <w:outline w:val="0"/>
          <w:color w:val="434343"/>
          <w:rtl w:val="0"/>
          <w14:textFill>
            <w14:solidFill>
              <w14:srgbClr w14:val="444444"/>
            </w14:solidFill>
          </w14:textFill>
        </w:rPr>
        <w:t>, 50: (2009), 255-66.</w:t>
      </w:r>
    </w:p>
    <w:p>
      <w:pPr>
        <w:pStyle w:val="Body"/>
        <w:spacing w:after="80" w:line="288" w:lineRule="auto"/>
        <w:ind w:firstLine="0"/>
        <w:rPr>
          <w:outline w:val="0"/>
          <w:color w:val="434343"/>
          <w14:textFill>
            <w14:solidFill>
              <w14:srgbClr w14:val="444444"/>
            </w14:solidFill>
          </w14:textFill>
        </w:rPr>
      </w:pPr>
    </w:p>
    <w:p>
      <w:pPr>
        <w:pStyle w:val="Body 2"/>
        <w:bidi w:val="0"/>
      </w:pPr>
      <w:r>
        <w:rPr>
          <w:rtl w:val="0"/>
          <w:lang w:val="es-ES_tradnl"/>
        </w:rPr>
        <w:t>'Empresa Destruye Patrimonio Cultural'. 2011. Accessed February 28, 2020. https://www.connuestroperu.com/actualidad/miscelanea/22705-empresa-destruye-patrimonio-cultural.</w:t>
      </w:r>
    </w:p>
    <w:p>
      <w:pPr>
        <w:pStyle w:val="Body 2"/>
        <w:bidi w:val="0"/>
      </w:pPr>
      <w:r/>
    </w:p>
    <w:sectPr>
      <w:headerReference w:type="default" r:id="rId4"/>
      <w:footerReference w:type="default" r:id="rId5"/>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Lora Regular">
    <w:charset w:val="00"/>
    <w:family w:val="roman"/>
    <w:pitch w:val="default"/>
  </w:font>
  <w:font w:name="Helvetica Neue">
    <w:charset w:val="00"/>
    <w:family w:val="roman"/>
    <w:pitch w:val="default"/>
  </w:font>
  <w:font w:name="Cambria">
    <w:charset w:val="00"/>
    <w:family w:val="roman"/>
    <w:pitch w:val="default"/>
  </w:font>
  <w:font w:name="Calibri">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rPr>
        <w:t xml:space="preserve"> Ivan</w:t>
      </w:r>
      <w:r>
        <w:rPr>
          <w:rFonts w:cs="Arial Unicode MS" w:eastAsia="Arial Unicode MS"/>
          <w:rtl w:val="0"/>
          <w:lang w:val="en-US"/>
        </w:rPr>
        <w:t xml:space="preserve"> </w:t>
      </w:r>
      <w:r>
        <w:rPr>
          <w:rFonts w:cs="Arial Unicode MS" w:eastAsia="Arial Unicode MS"/>
          <w:rtl w:val="0"/>
          <w:lang w:val="en-US"/>
        </w:rPr>
        <w:t xml:space="preserve">Ghezzi and Clive Ruggles, 'The Social and Ritual Context of Horizon Astronomical Observations at Chankillo', </w:t>
      </w:r>
      <w:r>
        <w:rPr>
          <w:rFonts w:cs="Arial Unicode MS" w:eastAsia="Arial Unicode MS"/>
          <w:i w:val="1"/>
          <w:iCs w:val="1"/>
          <w:rtl w:val="0"/>
          <w:lang w:val="en-US"/>
        </w:rPr>
        <w:t>Proceedings of the International Astronomical Union</w:t>
      </w:r>
      <w:r>
        <w:rPr>
          <w:rFonts w:cs="Arial Unicode MS" w:eastAsia="Arial Unicode MS"/>
          <w:rtl w:val="0"/>
        </w:rPr>
        <w:t>, 7: (2011)</w:t>
      </w:r>
      <w:r>
        <w:rPr>
          <w:rFonts w:cs="Arial Unicode MS" w:eastAsia="Arial Unicode MS"/>
          <w:rtl w:val="0"/>
          <w:lang w:val="en-US"/>
        </w:rPr>
        <w:t xml:space="preserve">, p. </w:t>
      </w:r>
      <w:r>
        <w:rPr>
          <w:rFonts w:cs="Arial Unicode MS" w:eastAsia="Arial Unicode MS"/>
          <w:rtl w:val="0"/>
        </w:rPr>
        <w:t>145</w:t>
      </w:r>
    </w:p>
  </w:footnote>
  <w:footnote w:id="2">
    <w:p>
      <w:pPr>
        <w:pStyle w:val="Footnote"/>
        <w:bidi w:val="0"/>
      </w:pPr>
      <w:r>
        <w:rPr>
          <w:vertAlign w:val="superscript"/>
        </w:rPr>
        <w:footnoteRef/>
      </w:r>
      <w:r>
        <w:rPr>
          <w:rFonts w:cs="Arial Unicode MS" w:eastAsia="Arial Unicode MS"/>
          <w:rtl w:val="0"/>
          <w:lang w:val="fr-FR"/>
        </w:rPr>
        <w:t xml:space="preserve"> Tsugio</w:t>
      </w:r>
      <w:r>
        <w:rPr>
          <w:rFonts w:cs="Arial Unicode MS" w:eastAsia="Arial Unicode MS"/>
          <w:rtl w:val="0"/>
          <w:lang w:val="en-US"/>
        </w:rPr>
        <w:t xml:space="preserve"> </w:t>
      </w:r>
      <w:r>
        <w:rPr>
          <w:rFonts w:cs="Arial Unicode MS" w:eastAsia="Arial Unicode MS"/>
          <w:rtl w:val="0"/>
          <w:lang w:val="en-US"/>
        </w:rPr>
        <w:t xml:space="preserve">Matsuzawa and Izumi Shimada, 'The Formative Site of Las Haldas, Peru: Architecture, Chronology, and Economy', </w:t>
      </w:r>
      <w:r>
        <w:rPr>
          <w:rFonts w:cs="Arial Unicode MS" w:eastAsia="Arial Unicode MS"/>
          <w:i w:val="1"/>
          <w:iCs w:val="1"/>
          <w:rtl w:val="0"/>
          <w:lang w:val="fr-FR"/>
        </w:rPr>
        <w:t>American Antiquity</w:t>
      </w:r>
      <w:r>
        <w:rPr>
          <w:rFonts w:cs="Arial Unicode MS" w:eastAsia="Arial Unicode MS"/>
          <w:rtl w:val="0"/>
        </w:rPr>
        <w:t>, 43: (1978)</w:t>
      </w:r>
      <w:r>
        <w:rPr>
          <w:rFonts w:cs="Arial Unicode MS" w:eastAsia="Arial Unicode MS"/>
          <w:rtl w:val="0"/>
          <w:lang w:val="en-US"/>
        </w:rPr>
        <w:t xml:space="preserve">, p. </w:t>
      </w:r>
      <w:r>
        <w:rPr>
          <w:rFonts w:cs="Arial Unicode MS" w:eastAsia="Arial Unicode MS"/>
          <w:rtl w:val="0"/>
        </w:rPr>
        <w:t>669</w:t>
      </w:r>
    </w:p>
  </w:footnote>
  <w:footnote w:id="3">
    <w:p>
      <w:pPr>
        <w:pStyle w:val="Footnote"/>
        <w:bidi w:val="0"/>
      </w:pPr>
      <w:r>
        <w:rPr>
          <w:vertAlign w:val="superscript"/>
        </w:rPr>
        <w:footnoteRef/>
      </w:r>
      <w:r>
        <w:rPr>
          <w:rFonts w:cs="Arial Unicode MS" w:eastAsia="Arial Unicode MS"/>
          <w:rtl w:val="0"/>
          <w:lang w:val="de-DE"/>
        </w:rPr>
        <w:t xml:space="preserve"> Michael Edward</w:t>
      </w:r>
      <w:r>
        <w:rPr>
          <w:rFonts w:cs="Arial Unicode MS" w:eastAsia="Arial Unicode MS"/>
          <w:rtl w:val="0"/>
          <w:lang w:val="en-US"/>
        </w:rPr>
        <w:t xml:space="preserve"> </w:t>
      </w:r>
      <w:r>
        <w:rPr>
          <w:rFonts w:cs="Arial Unicode MS" w:eastAsia="Arial Unicode MS"/>
          <w:rtl w:val="0"/>
        </w:rPr>
        <w:t>Moseley</w:t>
      </w:r>
      <w:r>
        <w:rPr>
          <w:rFonts w:cs="Arial Unicode MS" w:eastAsia="Arial Unicode MS"/>
          <w:rtl w:val="0"/>
          <w:lang w:val="en-US"/>
        </w:rPr>
        <w:t>,</w:t>
      </w:r>
      <w:r>
        <w:rPr>
          <w:rFonts w:cs="Arial Unicode MS" w:eastAsia="Arial Unicode MS"/>
          <w:rtl w:val="0"/>
          <w:lang w:val="en-US"/>
        </w:rPr>
        <w:t xml:space="preserve"> The Incas and Their Ancestors : The Archaeology of Peru (Thames and Hudson: New York, N.Y., 1992)</w:t>
      </w:r>
      <w:r>
        <w:rPr>
          <w:rFonts w:cs="Arial Unicode MS" w:eastAsia="Arial Unicode MS"/>
          <w:rtl w:val="0"/>
          <w:lang w:val="en-US"/>
        </w:rPr>
        <w:t xml:space="preserve">, </w:t>
      </w:r>
      <w:r>
        <w:rPr>
          <w:rFonts w:cs="Arial Unicode MS" w:eastAsia="Arial Unicode MS"/>
          <w:rtl w:val="0"/>
        </w:rPr>
        <w:t>p</w:t>
      </w:r>
      <w:r>
        <w:rPr>
          <w:rFonts w:cs="Arial Unicode MS" w:eastAsia="Arial Unicode MS"/>
          <w:rtl w:val="0"/>
          <w:lang w:val="en-US"/>
        </w:rPr>
        <w:t xml:space="preserve">. </w:t>
      </w:r>
      <w:r>
        <w:rPr>
          <w:rFonts w:cs="Arial Unicode MS" w:eastAsia="Arial Unicode MS"/>
          <w:rtl w:val="0"/>
        </w:rPr>
        <w:t xml:space="preserve">175 </w:t>
      </w:r>
    </w:p>
  </w:footnote>
  <w:footnote w:id="4">
    <w:p>
      <w:pPr>
        <w:pStyle w:val="Footnote"/>
        <w:bidi w:val="0"/>
      </w:pPr>
      <w:r>
        <w:rPr>
          <w:vertAlign w:val="superscript"/>
        </w:rPr>
        <w:footnoteRef/>
      </w:r>
      <w:r>
        <w:rPr>
          <w:rFonts w:cs="Arial Unicode MS" w:eastAsia="Arial Unicode MS"/>
          <w:rtl w:val="0"/>
          <w:lang w:val="it-IT"/>
        </w:rPr>
        <w:t xml:space="preserve"> Margaret</w:t>
      </w:r>
      <w:r>
        <w:rPr>
          <w:rFonts w:cs="Arial Unicode MS" w:eastAsia="Arial Unicode MS"/>
          <w:rtl w:val="0"/>
          <w:lang w:val="en-US"/>
        </w:rPr>
        <w:t xml:space="preserve"> Brown</w:t>
      </w:r>
      <w:r>
        <w:rPr>
          <w:rFonts w:cs="Arial Unicode MS" w:eastAsia="Arial Unicode MS"/>
          <w:rtl w:val="0"/>
          <w:lang w:val="en-US"/>
        </w:rPr>
        <w:t xml:space="preserve"> Vega, 'Prehispanic Warfare During the Early Horizon and Late Intermediate Period in the Huaura Valley, Per</w:t>
      </w:r>
      <w:r>
        <w:rPr>
          <w:rFonts w:cs="Arial Unicode MS" w:eastAsia="Arial Unicode MS" w:hint="default"/>
          <w:rtl w:val="0"/>
          <w:lang w:val="en-US"/>
        </w:rPr>
        <w:t>ú</w:t>
      </w:r>
      <w:r>
        <w:rPr>
          <w:rFonts w:cs="Arial Unicode MS" w:eastAsia="Arial Unicode MS"/>
          <w:rtl w:val="0"/>
          <w:lang w:val="en-US"/>
        </w:rPr>
        <w:t>,</w:t>
      </w:r>
      <w:r>
        <w:rPr>
          <w:rFonts w:cs="Arial Unicode MS" w:eastAsia="Arial Unicode MS"/>
          <w:rtl w:val="0"/>
        </w:rPr>
        <w:t xml:space="preserve"> </w:t>
      </w:r>
      <w:r>
        <w:rPr>
          <w:rFonts w:cs="Arial Unicode MS" w:eastAsia="Arial Unicode MS"/>
          <w:i w:val="1"/>
          <w:iCs w:val="1"/>
          <w:rtl w:val="0"/>
          <w:lang w:val="en-US"/>
        </w:rPr>
        <w:t>Current Anthropology</w:t>
      </w:r>
      <w:r>
        <w:rPr>
          <w:rFonts w:cs="Arial Unicode MS" w:eastAsia="Arial Unicode MS"/>
          <w:rtl w:val="0"/>
        </w:rPr>
        <w:t>, 50: (2009)</w:t>
      </w:r>
      <w:r>
        <w:rPr>
          <w:rFonts w:cs="Arial Unicode MS" w:eastAsia="Arial Unicode MS"/>
          <w:rtl w:val="0"/>
          <w:lang w:val="en-US"/>
        </w:rPr>
        <w:t>, p. 15</w:t>
      </w:r>
    </w:p>
  </w:footnote>
  <w:footnote w:id="5">
    <w:p>
      <w:pPr>
        <w:pStyle w:val="Footnote"/>
        <w:bidi w:val="0"/>
      </w:pPr>
      <w:r>
        <w:rPr>
          <w:vertAlign w:val="superscript"/>
        </w:rPr>
        <w:footnoteRef/>
      </w:r>
      <w:r>
        <w:rPr>
          <w:rFonts w:cs="Arial Unicode MS" w:eastAsia="Arial Unicode MS"/>
          <w:rtl w:val="0"/>
          <w:lang w:val="en-US"/>
        </w:rPr>
        <w:t xml:space="preserve"> Vega, </w:t>
      </w:r>
      <w:r>
        <w:rPr>
          <w:rFonts w:cs="Arial Unicode MS" w:eastAsia="Arial Unicode MS"/>
          <w:i w:val="1"/>
          <w:iCs w:val="1"/>
          <w:rtl w:val="0"/>
          <w:lang w:val="en-US"/>
        </w:rPr>
        <w:t>I</w:t>
      </w:r>
      <w:r>
        <w:rPr>
          <w:rFonts w:cs="Arial Unicode MS" w:eastAsia="Arial Unicode MS"/>
          <w:i w:val="1"/>
          <w:iCs w:val="1"/>
          <w:rtl w:val="0"/>
          <w:lang w:val="it-IT"/>
        </w:rPr>
        <w:t>nterpreting</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p. 21</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Vega, </w:t>
      </w:r>
      <w:r>
        <w:rPr>
          <w:rFonts w:cs="Arial Unicode MS" w:eastAsia="Arial Unicode MS"/>
          <w:i w:val="1"/>
          <w:iCs w:val="1"/>
          <w:rtl w:val="0"/>
          <w:lang w:val="en-US"/>
        </w:rPr>
        <w:t>I</w:t>
      </w:r>
      <w:r>
        <w:rPr>
          <w:rFonts w:cs="Arial Unicode MS" w:eastAsia="Arial Unicode MS"/>
          <w:i w:val="1"/>
          <w:iCs w:val="1"/>
          <w:rtl w:val="0"/>
          <w:lang w:val="it-IT"/>
        </w:rPr>
        <w:t>nterpreting</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p. 21</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Ghezzi, </w:t>
      </w:r>
      <w:r>
        <w:rPr>
          <w:rFonts w:cs="Arial Unicode MS" w:eastAsia="Arial Unicode MS"/>
          <w:i w:val="1"/>
          <w:iCs w:val="1"/>
          <w:rtl w:val="0"/>
          <w:lang w:val="en-US"/>
        </w:rPr>
        <w:t>Social</w:t>
      </w:r>
      <w:r>
        <w:rPr>
          <w:rFonts w:cs="Arial Unicode MS" w:eastAsia="Arial Unicode MS"/>
          <w:rtl w:val="0"/>
          <w:lang w:val="en-US"/>
        </w:rPr>
        <w:t>, p. 151</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Ghezzi, </w:t>
      </w:r>
      <w:r>
        <w:rPr>
          <w:rFonts w:cs="Arial Unicode MS" w:eastAsia="Arial Unicode MS"/>
          <w:i w:val="1"/>
          <w:iCs w:val="1"/>
          <w:rtl w:val="0"/>
          <w:lang w:val="en-US"/>
        </w:rPr>
        <w:t>Social</w:t>
      </w:r>
      <w:r>
        <w:rPr>
          <w:rFonts w:cs="Arial Unicode MS" w:eastAsia="Arial Unicode MS"/>
          <w:rtl w:val="0"/>
          <w:lang w:val="en-US"/>
        </w:rPr>
        <w:t>, p. 144</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Ghezzi, </w:t>
      </w:r>
      <w:r>
        <w:rPr>
          <w:rFonts w:cs="Arial Unicode MS" w:eastAsia="Arial Unicode MS"/>
          <w:i w:val="1"/>
          <w:iCs w:val="1"/>
          <w:rtl w:val="0"/>
          <w:lang w:val="en-US"/>
        </w:rPr>
        <w:t>Social</w:t>
      </w:r>
      <w:r>
        <w:rPr>
          <w:rFonts w:cs="Arial Unicode MS" w:eastAsia="Arial Unicode MS"/>
          <w:rtl w:val="0"/>
          <w:lang w:val="en-US"/>
        </w:rPr>
        <w:t>, p. 150</w:t>
      </w:r>
    </w:p>
  </w:footnote>
  <w:footnote w:id="10">
    <w:p>
      <w:pPr>
        <w:pStyle w:val="Footnote"/>
        <w:bidi w:val="0"/>
      </w:pPr>
      <w:r>
        <w:rPr>
          <w:vertAlign w:val="superscript"/>
        </w:rPr>
        <w:footnoteRef/>
      </w:r>
      <w:r>
        <w:rPr>
          <w:rFonts w:cs="Arial Unicode MS" w:eastAsia="Arial Unicode MS"/>
          <w:rtl w:val="0"/>
          <w:lang w:val="de-DE"/>
        </w:rPr>
        <w:t xml:space="preserve"> John</w:t>
      </w:r>
      <w:r>
        <w:rPr>
          <w:rFonts w:cs="Arial Unicode MS" w:eastAsia="Arial Unicode MS"/>
          <w:rtl w:val="0"/>
          <w:lang w:val="en-US"/>
        </w:rPr>
        <w:t xml:space="preserve"> Malville, 'Astronomy and Ceremony at Chankillo: An Andean Perspective', </w:t>
      </w:r>
      <w:r>
        <w:rPr>
          <w:rFonts w:cs="Arial Unicode MS" w:eastAsia="Arial Unicode MS"/>
          <w:i w:val="1"/>
          <w:iCs w:val="1"/>
          <w:rtl w:val="0"/>
          <w:lang w:val="en-US"/>
        </w:rPr>
        <w:t>Proceedings of the International Astronomical Union</w:t>
      </w:r>
      <w:r>
        <w:rPr>
          <w:rFonts w:cs="Arial Unicode MS" w:eastAsia="Arial Unicode MS"/>
          <w:rtl w:val="0"/>
          <w:lang w:val="en-US"/>
        </w:rPr>
        <w:t>, 7: (2011), p. 154</w:t>
      </w:r>
    </w:p>
  </w:footnote>
  <w:footnote w:id="11">
    <w:p>
      <w:pPr>
        <w:pStyle w:val="Footnote"/>
        <w:bidi w:val="0"/>
      </w:pPr>
      <w:r>
        <w:rPr>
          <w:vertAlign w:val="superscript"/>
        </w:rPr>
        <w:footnoteRef/>
      </w:r>
      <w:r>
        <w:rPr>
          <w:rFonts w:cs="Arial Unicode MS" w:eastAsia="Arial Unicode MS"/>
          <w:rtl w:val="0"/>
          <w:lang w:val="en-US"/>
        </w:rPr>
        <w:t xml:space="preserve"> M</w:t>
      </w:r>
      <w:r>
        <w:rPr>
          <w:rFonts w:cs="Arial Unicode MS" w:eastAsia="Arial Unicode MS"/>
          <w:rtl w:val="0"/>
        </w:rPr>
        <w:t>alville</w:t>
      </w:r>
      <w:r>
        <w:rPr>
          <w:rFonts w:cs="Arial Unicode MS" w:eastAsia="Arial Unicode MS"/>
          <w:rtl w:val="0"/>
          <w:lang w:val="en-US"/>
        </w:rPr>
        <w:t xml:space="preserve">, </w:t>
      </w:r>
      <w:r>
        <w:rPr>
          <w:rFonts w:cs="Arial Unicode MS" w:eastAsia="Arial Unicode MS"/>
          <w:i w:val="1"/>
          <w:iCs w:val="1"/>
          <w:rtl w:val="0"/>
          <w:lang w:val="en-US"/>
        </w:rPr>
        <w:t>Astronomy</w:t>
      </w:r>
      <w:r>
        <w:rPr>
          <w:rFonts w:cs="Arial Unicode MS" w:eastAsia="Arial Unicode MS"/>
          <w:rtl w:val="0"/>
          <w:lang w:val="en-US"/>
        </w:rPr>
        <w:t>, p.</w:t>
      </w:r>
      <w:r>
        <w:rPr>
          <w:rFonts w:cs="Arial Unicode MS" w:eastAsia="Arial Unicode MS"/>
          <w:rtl w:val="0"/>
        </w:rPr>
        <w:t xml:space="preserve"> 154</w:t>
      </w:r>
    </w:p>
  </w:footnote>
  <w:footnote w:id="1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M</w:t>
      </w:r>
      <w:r>
        <w:rPr>
          <w:rFonts w:cs="Arial Unicode MS" w:eastAsia="Arial Unicode MS"/>
          <w:rtl w:val="0"/>
        </w:rPr>
        <w:t>alville</w:t>
      </w:r>
      <w:r>
        <w:rPr>
          <w:rFonts w:cs="Arial Unicode MS" w:eastAsia="Arial Unicode MS"/>
          <w:rtl w:val="0"/>
          <w:lang w:val="en-US"/>
        </w:rPr>
        <w:t xml:space="preserve">, </w:t>
      </w:r>
      <w:r>
        <w:rPr>
          <w:rFonts w:cs="Arial Unicode MS" w:eastAsia="Arial Unicode MS"/>
          <w:i w:val="1"/>
          <w:iCs w:val="1"/>
          <w:rtl w:val="0"/>
          <w:lang w:val="en-US"/>
        </w:rPr>
        <w:t>Astronomy</w:t>
      </w:r>
      <w:r>
        <w:rPr>
          <w:rFonts w:cs="Arial Unicode MS" w:eastAsia="Arial Unicode MS"/>
          <w:rtl w:val="0"/>
          <w:lang w:val="en-US"/>
        </w:rPr>
        <w:t>, p. 155</w:t>
      </w:r>
    </w:p>
  </w:footnote>
  <w:footnote w:id="1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Ghezzi, </w:t>
      </w:r>
      <w:r>
        <w:rPr>
          <w:rFonts w:cs="Arial Unicode MS" w:eastAsia="Arial Unicode MS"/>
          <w:i w:val="1"/>
          <w:iCs w:val="1"/>
          <w:rtl w:val="0"/>
          <w:lang w:val="en-US"/>
        </w:rPr>
        <w:t>Social</w:t>
      </w:r>
      <w:r>
        <w:rPr>
          <w:rFonts w:cs="Arial Unicode MS" w:eastAsia="Arial Unicode MS"/>
          <w:rtl w:val="0"/>
          <w:lang w:val="en-US"/>
        </w:rPr>
        <w:t>, p. 158</w:t>
      </w:r>
    </w:p>
  </w:footnote>
  <w:footnote w:id="14">
    <w:p>
      <w:pPr>
        <w:pStyle w:val="Footnote"/>
        <w:bidi w:val="0"/>
      </w:pPr>
      <w:r>
        <w:rPr>
          <w:vertAlign w:val="superscript"/>
        </w:rPr>
        <w:footnoteRef/>
      </w:r>
      <w:r>
        <w:rPr>
          <w:rFonts w:cs="Arial Unicode MS" w:eastAsia="Arial Unicode MS"/>
          <w:rtl w:val="0"/>
          <w:lang w:val="en-US"/>
        </w:rPr>
        <w:t xml:space="preserve"> Charles </w:t>
      </w:r>
      <w:r>
        <w:rPr>
          <w:rFonts w:cs="Arial Unicode MS" w:eastAsia="Arial Unicode MS"/>
          <w:rtl w:val="0"/>
          <w:lang w:val="en-US"/>
        </w:rPr>
        <w:t>Stanish</w:t>
      </w:r>
      <w:r>
        <w:rPr>
          <w:rFonts w:cs="Arial Unicode MS" w:eastAsia="Arial Unicode MS"/>
          <w:rtl w:val="0"/>
          <w:lang w:val="en-US"/>
        </w:rPr>
        <w:t>, Henry Tantale</w:t>
      </w:r>
      <w:r>
        <w:rPr>
          <w:rFonts w:cs="Arial Unicode MS" w:eastAsia="Arial Unicode MS" w:hint="default"/>
          <w:rtl w:val="0"/>
          <w:lang w:val="en-US"/>
        </w:rPr>
        <w:t>á</w:t>
      </w:r>
      <w:r>
        <w:rPr>
          <w:rFonts w:cs="Arial Unicode MS" w:eastAsia="Arial Unicode MS"/>
          <w:rtl w:val="0"/>
          <w:lang w:val="en-US"/>
        </w:rPr>
        <w:t xml:space="preserve">n, Benjamin T. Nigra, and Laura Griffin, 'A 2,300-Year-Old Architectural and Astronomical Complex in the Chincha Valley, Peru', </w:t>
      </w:r>
      <w:r>
        <w:rPr>
          <w:rFonts w:cs="Arial Unicode MS" w:eastAsia="Arial Unicode MS"/>
          <w:i w:val="1"/>
          <w:iCs w:val="1"/>
          <w:rtl w:val="0"/>
          <w:lang w:val="en-US"/>
        </w:rPr>
        <w:t>Proceedings of the National Academy of Sciences of the United States of America</w:t>
      </w:r>
      <w:r>
        <w:rPr>
          <w:rFonts w:cs="Arial Unicode MS" w:eastAsia="Arial Unicode MS"/>
          <w:rtl w:val="0"/>
          <w:lang w:val="en-US"/>
        </w:rPr>
        <w:t>, 111: (2014), p. 7222</w:t>
      </w:r>
    </w:p>
  </w:footnote>
  <w:footnote w:id="15">
    <w:p>
      <w:pPr>
        <w:pStyle w:val="Footnote"/>
        <w:bidi w:val="0"/>
      </w:pPr>
      <w:r>
        <w:rPr>
          <w:vertAlign w:val="superscript"/>
        </w:rPr>
        <w:footnoteRef/>
      </w:r>
      <w:r>
        <w:rPr>
          <w:rFonts w:cs="Arial Unicode MS" w:eastAsia="Arial Unicode MS"/>
          <w:rtl w:val="0"/>
          <w:lang w:val="en-US"/>
        </w:rPr>
        <w:t xml:space="preserve"> Stanish</w:t>
      </w:r>
      <w:r>
        <w:rPr>
          <w:rFonts w:cs="Arial Unicode MS" w:eastAsia="Arial Unicode MS"/>
          <w:rtl w:val="0"/>
          <w:lang w:val="en-US"/>
        </w:rPr>
        <w:t xml:space="preserve">, </w:t>
      </w:r>
      <w:r>
        <w:rPr>
          <w:rFonts w:cs="Arial Unicode MS" w:eastAsia="Arial Unicode MS"/>
          <w:i w:val="1"/>
          <w:iCs w:val="1"/>
          <w:rtl w:val="0"/>
          <w:lang w:val="en-US"/>
        </w:rPr>
        <w:t>Chincha</w:t>
      </w:r>
      <w:r>
        <w:rPr>
          <w:rFonts w:cs="Arial Unicode MS" w:eastAsia="Arial Unicode MS"/>
          <w:rtl w:val="0"/>
          <w:lang w:val="en-US"/>
        </w:rPr>
        <w:t>, p. 7222</w:t>
      </w:r>
    </w:p>
  </w:footnote>
  <w:footnote w:id="16">
    <w:p>
      <w:pPr>
        <w:pStyle w:val="Footnote"/>
        <w:bidi w:val="0"/>
      </w:pPr>
      <w:r>
        <w:rPr>
          <w:vertAlign w:val="superscript"/>
        </w:rPr>
        <w:footnoteRef/>
      </w:r>
      <w:r>
        <w:rPr>
          <w:rFonts w:cs="Arial Unicode MS" w:eastAsia="Arial Unicode MS"/>
          <w:rtl w:val="0"/>
          <w:lang w:val="en-US"/>
        </w:rPr>
        <w:t xml:space="preserve"> Clive L. N. </w:t>
      </w:r>
      <w:r>
        <w:rPr>
          <w:rFonts w:cs="Arial Unicode MS" w:eastAsia="Arial Unicode MS"/>
          <w:rtl w:val="0"/>
          <w:lang w:val="en-US"/>
        </w:rPr>
        <w:t>Ruggles</w:t>
      </w:r>
      <w:r>
        <w:rPr>
          <w:rFonts w:cs="Arial Unicode MS" w:eastAsia="Arial Unicode MS"/>
          <w:rtl w:val="0"/>
          <w:lang w:val="en-US"/>
        </w:rPr>
        <w:t xml:space="preserve">, 'Pushing Back the Frontiers or Still Running around the Same Circles? </w:t>
      </w:r>
      <w:r>
        <w:rPr>
          <w:rFonts w:cs="Arial Unicode MS" w:eastAsia="Arial Unicode MS" w:hint="default"/>
          <w:rtl w:val="0"/>
          <w:lang w:val="en-US"/>
        </w:rPr>
        <w:t>‘</w:t>
      </w:r>
      <w:r>
        <w:rPr>
          <w:rFonts w:cs="Arial Unicode MS" w:eastAsia="Arial Unicode MS"/>
          <w:rtl w:val="0"/>
          <w:lang w:val="en-US"/>
        </w:rPr>
        <w:t>Interpretative Archaeoastronomy</w:t>
      </w:r>
      <w:r>
        <w:rPr>
          <w:rFonts w:cs="Arial Unicode MS" w:eastAsia="Arial Unicode MS" w:hint="default"/>
          <w:rtl w:val="0"/>
          <w:lang w:val="en-US"/>
        </w:rPr>
        <w:t xml:space="preserve">’ </w:t>
      </w:r>
      <w:r>
        <w:rPr>
          <w:rFonts w:cs="Arial Unicode MS" w:eastAsia="Arial Unicode MS"/>
          <w:rtl w:val="0"/>
          <w:lang w:val="en-US"/>
        </w:rPr>
        <w:t xml:space="preserve">Thirty Years On', </w:t>
      </w:r>
      <w:r>
        <w:rPr>
          <w:rFonts w:cs="Arial Unicode MS" w:eastAsia="Arial Unicode MS"/>
          <w:i w:val="1"/>
          <w:iCs w:val="1"/>
          <w:rtl w:val="0"/>
          <w:lang w:val="en-US"/>
        </w:rPr>
        <w:t>Proceedings of the International Astronomical Union</w:t>
      </w:r>
      <w:r>
        <w:rPr>
          <w:rFonts w:cs="Arial Unicode MS" w:eastAsia="Arial Unicode MS"/>
          <w:rtl w:val="0"/>
          <w:lang w:val="en-US"/>
        </w:rPr>
        <w:t>, 7: (2011), p. 12</w:t>
      </w:r>
    </w:p>
  </w:footnote>
  <w:footnote w:id="1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M</w:t>
      </w:r>
      <w:r>
        <w:rPr>
          <w:rFonts w:cs="Arial Unicode MS" w:eastAsia="Arial Unicode MS"/>
          <w:rtl w:val="0"/>
        </w:rPr>
        <w:t>alville</w:t>
      </w:r>
      <w:r>
        <w:rPr>
          <w:rFonts w:cs="Arial Unicode MS" w:eastAsia="Arial Unicode MS"/>
          <w:rtl w:val="0"/>
          <w:lang w:val="en-US"/>
        </w:rPr>
        <w:t xml:space="preserve">, </w:t>
      </w:r>
      <w:r>
        <w:rPr>
          <w:rFonts w:cs="Arial Unicode MS" w:eastAsia="Arial Unicode MS"/>
          <w:i w:val="1"/>
          <w:iCs w:val="1"/>
          <w:rtl w:val="0"/>
          <w:lang w:val="en-US"/>
        </w:rPr>
        <w:t>Astronomy</w:t>
      </w:r>
      <w:r>
        <w:rPr>
          <w:rFonts w:cs="Arial Unicode MS" w:eastAsia="Arial Unicode MS"/>
          <w:rtl w:val="0"/>
          <w:lang w:val="en-US"/>
        </w:rPr>
        <w:t>, p. 154</w:t>
      </w:r>
    </w:p>
  </w:footnote>
  <w:footnote w:id="1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Ghezzi, </w:t>
      </w:r>
      <w:r>
        <w:rPr>
          <w:rFonts w:cs="Arial Unicode MS" w:eastAsia="Arial Unicode MS"/>
          <w:i w:val="1"/>
          <w:iCs w:val="1"/>
          <w:rtl w:val="0"/>
          <w:lang w:val="en-US"/>
        </w:rPr>
        <w:t>Social</w:t>
      </w:r>
      <w:r>
        <w:rPr>
          <w:rFonts w:cs="Arial Unicode MS" w:eastAsia="Arial Unicode MS"/>
          <w:rtl w:val="0"/>
          <w:lang w:val="en-US"/>
        </w:rPr>
        <w:t>, p. 151</w:t>
      </w:r>
    </w:p>
  </w:footnote>
  <w:footnote w:id="1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M</w:t>
      </w:r>
      <w:r>
        <w:rPr>
          <w:rFonts w:cs="Arial Unicode MS" w:eastAsia="Arial Unicode MS"/>
          <w:rtl w:val="0"/>
        </w:rPr>
        <w:t>alville</w:t>
      </w:r>
      <w:r>
        <w:rPr>
          <w:rFonts w:cs="Arial Unicode MS" w:eastAsia="Arial Unicode MS"/>
          <w:rtl w:val="0"/>
          <w:lang w:val="en-US"/>
        </w:rPr>
        <w:t xml:space="preserve">, </w:t>
      </w:r>
      <w:r>
        <w:rPr>
          <w:rFonts w:cs="Arial Unicode MS" w:eastAsia="Arial Unicode MS"/>
          <w:i w:val="1"/>
          <w:iCs w:val="1"/>
          <w:rtl w:val="0"/>
          <w:lang w:val="en-US"/>
        </w:rPr>
        <w:t>Astronomy</w:t>
      </w:r>
      <w:r>
        <w:rPr>
          <w:rFonts w:cs="Arial Unicode MS" w:eastAsia="Arial Unicode MS"/>
          <w:rtl w:val="0"/>
          <w:lang w:val="en-US"/>
        </w:rPr>
        <w:t>, p. 159</w:t>
      </w:r>
    </w:p>
  </w:footnote>
  <w:footnote w:id="2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Ruggles, </w:t>
      </w:r>
      <w:r>
        <w:rPr>
          <w:rFonts w:cs="Arial Unicode MS" w:eastAsia="Arial Unicode MS"/>
          <w:i w:val="1"/>
          <w:iCs w:val="1"/>
          <w:rtl w:val="0"/>
          <w:lang w:val="en-US"/>
        </w:rPr>
        <w:t>Pushing</w:t>
      </w:r>
      <w:r>
        <w:rPr>
          <w:rFonts w:cs="Arial Unicode MS" w:eastAsia="Arial Unicode MS"/>
          <w:rtl w:val="0"/>
          <w:lang w:val="en-US"/>
        </w:rPr>
        <w:t>, p. 12</w:t>
      </w:r>
    </w:p>
  </w:footnote>
  <w:footnote w:id="2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Ruggles, </w:t>
      </w:r>
      <w:r>
        <w:rPr>
          <w:rFonts w:cs="Arial Unicode MS" w:eastAsia="Arial Unicode MS"/>
          <w:i w:val="1"/>
          <w:iCs w:val="1"/>
          <w:rtl w:val="0"/>
          <w:lang w:val="en-US"/>
        </w:rPr>
        <w:t>Pushing</w:t>
      </w:r>
      <w:r>
        <w:rPr>
          <w:rFonts w:cs="Arial Unicode MS" w:eastAsia="Arial Unicode MS"/>
          <w:rtl w:val="0"/>
          <w:lang w:val="en-US"/>
        </w:rPr>
        <w:t>, p. 10</w:t>
      </w:r>
    </w:p>
  </w:footnote>
  <w:footnote w:id="2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Ghezzi, </w:t>
      </w:r>
      <w:r>
        <w:rPr>
          <w:rFonts w:cs="Arial Unicode MS" w:eastAsia="Arial Unicode MS"/>
          <w:i w:val="1"/>
          <w:iCs w:val="1"/>
          <w:rtl w:val="0"/>
          <w:lang w:val="en-US"/>
        </w:rPr>
        <w:t>Social</w:t>
      </w:r>
      <w:r>
        <w:rPr>
          <w:rFonts w:cs="Arial Unicode MS" w:eastAsia="Arial Unicode MS"/>
          <w:rtl w:val="0"/>
          <w:lang w:val="en-US"/>
        </w:rPr>
        <w:t>, p. 147</w:t>
      </w:r>
    </w:p>
  </w:footnote>
  <w:footnote w:id="2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M</w:t>
      </w:r>
      <w:r>
        <w:rPr>
          <w:rFonts w:cs="Arial Unicode MS" w:eastAsia="Arial Unicode MS"/>
          <w:rtl w:val="0"/>
        </w:rPr>
        <w:t>alville</w:t>
      </w:r>
      <w:r>
        <w:rPr>
          <w:rFonts w:cs="Arial Unicode MS" w:eastAsia="Arial Unicode MS"/>
          <w:rtl w:val="0"/>
          <w:lang w:val="en-US"/>
        </w:rPr>
        <w:t xml:space="preserve">, </w:t>
      </w:r>
      <w:r>
        <w:rPr>
          <w:rFonts w:cs="Arial Unicode MS" w:eastAsia="Arial Unicode MS"/>
          <w:i w:val="1"/>
          <w:iCs w:val="1"/>
          <w:rtl w:val="0"/>
          <w:lang w:val="en-US"/>
        </w:rPr>
        <w:t>Astronomy</w:t>
      </w:r>
      <w:r>
        <w:rPr>
          <w:rFonts w:cs="Arial Unicode MS" w:eastAsia="Arial Unicode MS"/>
          <w:rtl w:val="0"/>
          <w:lang w:val="en-US"/>
        </w:rPr>
        <w:t>, p. 154</w:t>
      </w:r>
    </w:p>
  </w:footnote>
  <w:footnote w:id="2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M</w:t>
      </w:r>
      <w:r>
        <w:rPr>
          <w:rFonts w:cs="Arial Unicode MS" w:eastAsia="Arial Unicode MS"/>
          <w:rtl w:val="0"/>
        </w:rPr>
        <w:t>alville</w:t>
      </w:r>
      <w:r>
        <w:rPr>
          <w:rFonts w:cs="Arial Unicode MS" w:eastAsia="Arial Unicode MS"/>
          <w:rtl w:val="0"/>
          <w:lang w:val="en-US"/>
        </w:rPr>
        <w:t xml:space="preserve">, </w:t>
      </w:r>
      <w:r>
        <w:rPr>
          <w:rFonts w:cs="Arial Unicode MS" w:eastAsia="Arial Unicode MS"/>
          <w:i w:val="1"/>
          <w:iCs w:val="1"/>
          <w:rtl w:val="0"/>
          <w:lang w:val="en-US"/>
        </w:rPr>
        <w:t>Astronomy</w:t>
      </w:r>
      <w:r>
        <w:rPr>
          <w:rFonts w:cs="Arial Unicode MS" w:eastAsia="Arial Unicode MS"/>
          <w:rtl w:val="0"/>
          <w:lang w:val="en-US"/>
        </w:rPr>
        <w:t>, p. 154</w:t>
      </w:r>
    </w:p>
  </w:footnote>
  <w:footnote w:id="25">
    <w:p>
      <w:pPr>
        <w:pStyle w:val="Footnote"/>
        <w:bidi w:val="0"/>
      </w:pPr>
      <w:r>
        <w:rPr>
          <w:vertAlign w:val="superscript"/>
        </w:rPr>
        <w:footnoteRef/>
      </w:r>
      <w:r>
        <w:rPr>
          <w:rFonts w:cs="Arial Unicode MS" w:eastAsia="Arial Unicode MS"/>
          <w:rtl w:val="0"/>
          <w:lang w:val="en-US"/>
        </w:rPr>
        <w:t xml:space="preserve"> M</w:t>
      </w:r>
      <w:r>
        <w:rPr>
          <w:rFonts w:cs="Arial Unicode MS" w:eastAsia="Arial Unicode MS"/>
          <w:rtl w:val="0"/>
        </w:rPr>
        <w:t>alville</w:t>
      </w:r>
      <w:r>
        <w:rPr>
          <w:rFonts w:cs="Arial Unicode MS" w:eastAsia="Arial Unicode MS"/>
          <w:rtl w:val="0"/>
          <w:lang w:val="en-US"/>
        </w:rPr>
        <w:t xml:space="preserve">, </w:t>
      </w:r>
      <w:r>
        <w:rPr>
          <w:rFonts w:cs="Arial Unicode MS" w:eastAsia="Arial Unicode MS"/>
          <w:i w:val="1"/>
          <w:iCs w:val="1"/>
          <w:rtl w:val="0"/>
          <w:lang w:val="en-US"/>
        </w:rPr>
        <w:t>Astronomy</w:t>
      </w:r>
      <w:r>
        <w:rPr>
          <w:rFonts w:cs="Arial Unicode MS" w:eastAsia="Arial Unicode MS"/>
          <w:rtl w:val="0"/>
          <w:lang w:val="en-US"/>
        </w:rPr>
        <w:t>, p. 156</w:t>
      </w:r>
    </w:p>
  </w:footnote>
  <w:footnote w:id="2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Charles C. </w:t>
      </w:r>
      <w:r>
        <w:rPr>
          <w:rFonts w:cs="Arial Unicode MS" w:eastAsia="Arial Unicode MS"/>
          <w:rtl w:val="0"/>
          <w:lang w:val="de-DE"/>
        </w:rPr>
        <w:t>Mann</w:t>
      </w:r>
      <w:r>
        <w:rPr>
          <w:rFonts w:cs="Arial Unicode MS" w:eastAsia="Arial Unicode MS"/>
          <w:rtl w:val="0"/>
          <w:lang w:val="en-US"/>
        </w:rPr>
        <w:t xml:space="preserve">, 'Mystery Towers in Peru Are an Ancient Solar Calendar', </w:t>
      </w:r>
      <w:r>
        <w:rPr>
          <w:rFonts w:cs="Arial Unicode MS" w:eastAsia="Arial Unicode MS"/>
          <w:i w:val="1"/>
          <w:iCs w:val="1"/>
          <w:rtl w:val="0"/>
          <w:lang w:val="en-US"/>
        </w:rPr>
        <w:t>Science</w:t>
      </w:r>
      <w:r>
        <w:rPr>
          <w:rFonts w:cs="Arial Unicode MS" w:eastAsia="Arial Unicode MS"/>
          <w:rtl w:val="0"/>
          <w:lang w:val="en-US"/>
        </w:rPr>
        <w:t>, 315: (2007), p. 1206</w:t>
      </w:r>
    </w:p>
  </w:footnote>
  <w:footnote w:id="27">
    <w:p>
      <w:pPr>
        <w:pStyle w:val="Footnote"/>
        <w:bidi w:val="0"/>
      </w:pPr>
      <w:r>
        <w:rPr>
          <w:vertAlign w:val="superscript"/>
        </w:rPr>
        <w:footnoteRef/>
      </w:r>
      <w:r>
        <w:rPr>
          <w:rFonts w:cs="Arial Unicode MS" w:eastAsia="Arial Unicode MS"/>
          <w:rtl w:val="0"/>
          <w:lang w:val="es-ES_tradnl"/>
        </w:rPr>
        <w:t xml:space="preserve"> 'Empresa Destruye Patrimonio Cultural'. 2011. Accessed February 28, 2020. https://www.connuestroperu.com/actualidad/miscelanea/22705-empresa-destruye-patrimonio-cultural.</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rtl w:val="0"/>
        <w:lang w:val="en-US"/>
      </w:rPr>
      <w:t xml:space="preserve">ALESSANDRO BERIO </w:t>
    </w:r>
    <w:r>
      <w:rPr>
        <w:rtl w:val="0"/>
      </w:rPr>
      <w:t>1907991</w:t>
      <w:tab/>
      <w:tab/>
    </w:r>
    <w:r>
      <w:rPr>
        <w:rtl w:val="0"/>
        <w:lang w:val="en-US"/>
      </w:rPr>
      <w:t xml:space="preserve">Page </w:t>
    </w: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Lora Regular" w:cs="Arial Unicode MS" w:hAnsi="Lora Regular" w:eastAsia="Arial Unicode MS"/>
      <w:b w:val="0"/>
      <w:bCs w:val="0"/>
      <w:i w:val="0"/>
      <w:iCs w:val="0"/>
      <w:caps w:val="1"/>
      <w:strike w:val="0"/>
      <w:dstrike w:val="0"/>
      <w:outline w:val="0"/>
      <w:color w:val="000000"/>
      <w:spacing w:val="0"/>
      <w:kern w:val="0"/>
      <w:position w:val="0"/>
      <w:sz w:val="20"/>
      <w:szCs w:val="20"/>
      <w:u w:val="none"/>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34343"/>
      <w:spacing w:val="0"/>
      <w:kern w:val="0"/>
      <w:position w:val="0"/>
      <w:sz w:val="24"/>
      <w:szCs w:val="24"/>
      <w:u w:val="none"/>
      <w:vertAlign w:val="baseline"/>
      <w14:textOutline>
        <w14:noFill/>
      </w14:textOutline>
      <w14:textFill>
        <w14:solidFill>
          <w14:srgbClr w14:val="444444"/>
        </w14:solidFill>
      </w14:textFill>
    </w:rPr>
  </w:style>
  <w:style w:type="character" w:styleId="Hyperlink.0">
    <w:name w:val="Hyperlink.0"/>
    <w:basedOn w:val="Hyperlink"/>
    <w:next w:val="Hyperlink.0"/>
    <w:rPr>
      <w:u w:val="single"/>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434343"/>
      <w:spacing w:val="0"/>
      <w:kern w:val="0"/>
      <w:position w:val="0"/>
      <w:sz w:val="24"/>
      <w:szCs w:val="24"/>
      <w:u w:val="none"/>
      <w:vertAlign w:val="baseline"/>
      <w:lang w:val="en-US"/>
      <w14:textOutline>
        <w14:noFill/>
      </w14:textOutline>
      <w14:textFill>
        <w14:solidFill>
          <w14:srgbClr w14:val="444444"/>
        </w14:solidFill>
      </w14:textFill>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Lora Regular" w:cs="Arial Unicode MS" w:hAnsi="Lora Regular" w:eastAsia="Arial Unicode MS"/>
      <w:b w:val="0"/>
      <w:bCs w:val="0"/>
      <w:i w:val="0"/>
      <w:iCs w:val="0"/>
      <w:caps w:val="0"/>
      <w:smallCaps w:val="0"/>
      <w:strike w:val="0"/>
      <w:dstrike w:val="0"/>
      <w:outline w:val="0"/>
      <w:color w:val="dc5921"/>
      <w:spacing w:val="6"/>
      <w:kern w:val="0"/>
      <w:position w:val="0"/>
      <w:sz w:val="64"/>
      <w:szCs w:val="64"/>
      <w:u w:val="none"/>
      <w:vertAlign w:val="baseline"/>
      <w:lang w:val="en-US"/>
      <w14:textOutline>
        <w14:noFill/>
      </w14:textOutline>
      <w14:textFill>
        <w14:solidFill>
          <w14:srgbClr w14:val="DC5922"/>
        </w14:solidFill>
      </w14:textFill>
    </w:rPr>
  </w:style>
  <w:style w:type="paragraph" w:styleId="Subheading">
    <w:name w:val="Subheading"/>
    <w:next w:val="Body 2"/>
    <w:pPr>
      <w:keepNext w:val="0"/>
      <w:keepLines w:val="0"/>
      <w:pageBreakBefore w:val="0"/>
      <w:widowControl w:val="1"/>
      <w:shd w:val="clear" w:color="auto" w:fill="auto"/>
      <w:suppressAutoHyphens w:val="0"/>
      <w:bidi w:val="0"/>
      <w:spacing w:before="0" w:after="160" w:line="240" w:lineRule="auto"/>
      <w:ind w:left="0" w:right="0" w:firstLine="0"/>
      <w:jc w:val="center"/>
      <w:outlineLvl w:val="0"/>
    </w:pPr>
    <w:rPr>
      <w:rFonts w:ascii="Lora Regular" w:cs="Arial Unicode MS" w:hAnsi="Lora Regular" w:eastAsia="Arial Unicode MS"/>
      <w:b w:val="0"/>
      <w:bCs w:val="0"/>
      <w:i w:val="0"/>
      <w:iCs w:val="0"/>
      <w:caps w:val="0"/>
      <w:smallCaps w:val="0"/>
      <w:strike w:val="0"/>
      <w:dstrike w:val="0"/>
      <w:outline w:val="0"/>
      <w:color w:val="5b422a"/>
      <w:spacing w:val="0"/>
      <w:kern w:val="0"/>
      <w:position w:val="0"/>
      <w:sz w:val="36"/>
      <w:szCs w:val="36"/>
      <w:u w:val="none"/>
      <w:vertAlign w:val="baseline"/>
      <w:lang w:val="en-US"/>
      <w14:textOutline>
        <w14:noFill/>
      </w14:textOutline>
      <w14:textFill>
        <w14:solidFill>
          <w14:srgbClr w14:val="5C432B"/>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34343"/>
      <w:spacing w:val="0"/>
      <w:kern w:val="0"/>
      <w:position w:val="0"/>
      <w:sz w:val="20"/>
      <w:szCs w:val="20"/>
      <w:u w:val="none"/>
      <w:vertAlign w:val="baseline"/>
      <w14:textOutline>
        <w14:noFill/>
      </w14:textOutline>
      <w14:textFill>
        <w14:solidFill>
          <w14:srgbClr w14:val="444444"/>
        </w14:solidFill>
      </w14:textFill>
    </w:rPr>
  </w:style>
  <w:style w:type="paragraph" w:styleId="Quot">
    <w:name w:val="Quot"/>
    <w:next w:val="Quot"/>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Post Quote">
    <w:name w:val="Post Quote"/>
    <w:next w:val="Post Quote"/>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4"/>
      <w:szCs w:val="24"/>
      <w:u w:val="none"/>
      <w:vertAlign w:val="baseline"/>
      <w:lang w:val="en-US"/>
      <w14:textOutline>
        <w14:noFill/>
      </w14:textOutline>
      <w14:textFill>
        <w14:solidFill>
          <w14:srgbClr w14:val="000000"/>
        </w14:solidFill>
      </w14:textFill>
    </w:rPr>
  </w:style>
  <w:style w:type="paragraph" w:styleId="Heading 2">
    <w:name w:val="Heading 2"/>
    <w:next w:val="Body 2"/>
    <w:pPr>
      <w:keepNext w:val="1"/>
      <w:keepLines w:val="0"/>
      <w:pageBreakBefore w:val="0"/>
      <w:widowControl w:val="1"/>
      <w:shd w:val="clear" w:color="auto" w:fill="auto"/>
      <w:suppressAutoHyphens w:val="0"/>
      <w:bidi w:val="0"/>
      <w:spacing w:before="0" w:after="160" w:line="240" w:lineRule="auto"/>
      <w:ind w:left="0" w:right="0" w:firstLine="0"/>
      <w:jc w:val="center"/>
      <w:outlineLvl w:val="0"/>
    </w:pPr>
    <w:rPr>
      <w:rFonts w:ascii="Lora Regular" w:cs="Arial Unicode MS" w:hAnsi="Lora Regular" w:eastAsia="Arial Unicode MS"/>
      <w:b w:val="0"/>
      <w:bCs w:val="0"/>
      <w:i w:val="0"/>
      <w:iCs w:val="0"/>
      <w:caps w:val="0"/>
      <w:smallCaps w:val="0"/>
      <w:strike w:val="0"/>
      <w:dstrike w:val="0"/>
      <w:outline w:val="0"/>
      <w:color w:val="5a5754"/>
      <w:spacing w:val="0"/>
      <w:kern w:val="0"/>
      <w:position w:val="0"/>
      <w:sz w:val="36"/>
      <w:szCs w:val="36"/>
      <w:u w:val="none"/>
      <w:vertAlign w:val="baseline"/>
      <w:lang w:val="fr-FR"/>
      <w14:textOutline>
        <w14:noFill/>
      </w14:textOutline>
      <w14:textFill>
        <w14:solidFill>
          <w14:srgbClr w14:val="5B5854"/>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Lora Regular"/>
        <a:ea typeface="Lora Regular"/>
        <a:cs typeface="Lora Regular"/>
      </a:majorFont>
      <a:minorFont>
        <a:latin typeface="Lora Bold"/>
        <a:ea typeface="Lora Bold"/>
        <a:cs typeface="Lora 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FFFFFF"/>
            </a:solidFill>
            <a:effectLst/>
            <a:uFillTx/>
            <a:latin typeface="+mj-lt"/>
            <a:ea typeface="+mj-ea"/>
            <a:cs typeface="+mj-cs"/>
            <a:sym typeface="Lora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400"/>
          </a:spcBef>
          <a:spcAft>
            <a:spcPts val="0"/>
          </a:spcAft>
          <a:buClrTx/>
          <a:buSzTx/>
          <a:buFontTx/>
          <a:buNone/>
          <a:tabLst/>
          <a:defRPr b="0" baseline="0" cap="none" i="0" spc="0" strike="noStrike" sz="1200" u="none" kumimoji="0" normalizeH="0">
            <a:ln>
              <a:noFill/>
            </a:ln>
            <a:solidFill>
              <a:srgbClr val="444444"/>
            </a:solidFill>
            <a:effectLst/>
            <a:uFillTx/>
            <a:latin typeface="+mj-lt"/>
            <a:ea typeface="+mj-ea"/>
            <a:cs typeface="+mj-cs"/>
            <a:sym typeface="Lora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