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Human Resource Management</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A Critical Analysis of Employee Engagement at Tencent</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Keyun Chen</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2229979</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24 March 2023</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30"/>
          <w:szCs w:val="30"/>
          <w:lang w:val="en-US" w:eastAsia="zh-CN"/>
        </w:rPr>
      </w:pPr>
    </w:p>
    <w:p>
      <w:pPr>
        <w:tabs>
          <w:tab w:val="left" w:pos="3441"/>
        </w:tabs>
        <w:bidi w:val="0"/>
        <w:ind w:firstLine="3640" w:firstLineChars="1300"/>
        <w:rPr>
          <w:rFonts w:hint="eastAsia" w:asciiTheme="majorBidi" w:hAnsiTheme="majorBidi" w:eastAsiaTheme="minorEastAsia" w:cstheme="majorBidi"/>
          <w:b w:val="0"/>
          <w:bCs w:val="0"/>
          <w:sz w:val="28"/>
          <w:szCs w:val="28"/>
          <w:lang w:eastAsia="zh-CN"/>
        </w:rPr>
      </w:pPr>
      <w:r>
        <w:rPr>
          <w:rFonts w:hint="eastAsia" w:asciiTheme="majorBidi" w:hAnsiTheme="majorBidi" w:cstheme="majorBidi"/>
          <w:b w:val="0"/>
          <w:bCs w:val="0"/>
          <w:sz w:val="28"/>
          <w:szCs w:val="28"/>
          <w:lang w:eastAsia="zh-CN"/>
        </w:rPr>
        <w:t>2387 words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bookmarkStart w:id="0" w:name="_Toc13879"/>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sz w:val="22"/>
          <w:szCs w:val="22"/>
          <w:lang w:val="en-US" w:eastAsia="zh-CN"/>
        </w:rPr>
      </w:pPr>
      <w:bookmarkStart w:id="1" w:name="_Toc31286"/>
      <w:bookmarkStart w:id="26" w:name="_GoBack"/>
      <w:bookmarkEnd w:id="26"/>
      <w:r>
        <w:rPr>
          <w:rFonts w:hint="default" w:ascii="Times New Roman" w:hAnsi="Times New Roman" w:cs="Times New Roman"/>
          <w:b/>
          <w:bCs/>
          <w:sz w:val="22"/>
          <w:szCs w:val="22"/>
          <w:lang w:val="en-US" w:eastAsia="zh-CN"/>
        </w:rPr>
        <w:t>Abstract</w:t>
      </w:r>
      <w:bookmarkEnd w:id="0"/>
      <w:bookmarkEnd w:id="1"/>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Tencent has demonstrated strengths in human resource management, such as offering competitive compensation and benefits, and providing opportunities for career growth and development.However, there are also some weaknesses and challenges facing Tencent's HRM, such as potential issues with employee engagement, motivation, recognition, and development opportunities(xiao ,2020). The company may also need to address concerns regarding communication and transparency practices, as well as employee well-being and work-life balance(jiang,2017). By considering models such as BlessingWhite's Model, Maslow's Hierarchy of Needs Model, and the SHRM model, Tencent can continue to improve its human resource management practices and </w:t>
      </w:r>
      <w:r>
        <w:rPr>
          <w:rFonts w:hint="eastAsia" w:ascii="Times New Roman" w:hAnsi="Times New Roman" w:cs="Times New Roman"/>
          <w:sz w:val="22"/>
          <w:szCs w:val="22"/>
          <w:lang w:val="en-US" w:eastAsia="zh-CN"/>
        </w:rPr>
        <w:t>m</w:t>
      </w:r>
      <w:r>
        <w:rPr>
          <w:rFonts w:hint="default" w:ascii="Times New Roman" w:hAnsi="Times New Roman" w:cs="Times New Roman"/>
          <w:sz w:val="22"/>
          <w:szCs w:val="22"/>
          <w:lang w:val="en-US" w:eastAsia="zh-CN"/>
        </w:rPr>
        <w:t>ake sure that all its employees are fully committed and involved in their work</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lang w:val="en-US" w:eastAsia="zh-CN"/>
        </w:rPr>
        <w:t>motivated, and committed to the company's mission and values.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b/>
          <w:bCs/>
          <w:sz w:val="22"/>
          <w:szCs w:val="22"/>
          <w:lang w:val="en-US" w:eastAsia="zh-CN"/>
        </w:rPr>
        <w:t>Key words</w:t>
      </w:r>
      <w:r>
        <w:rPr>
          <w:rFonts w:hint="eastAsia" w:ascii="Times New Roman" w:hAnsi="Times New Roman" w:cs="Times New Roman"/>
          <w:b/>
          <w:bCs/>
          <w:sz w:val="22"/>
          <w:szCs w:val="22"/>
          <w:lang w:val="en-US" w:eastAsia="zh-CN"/>
        </w:rPr>
        <w:t>：</w:t>
      </w:r>
      <w:r>
        <w:rPr>
          <w:rFonts w:hint="eastAsia" w:ascii="Times New Roman" w:hAnsi="Times New Roman" w:cs="Times New Roman"/>
          <w:sz w:val="22"/>
          <w:szCs w:val="22"/>
          <w:lang w:val="en-US" w:eastAsia="zh-CN"/>
        </w:rPr>
        <w:t>Employee engagement、communication、competitiveness improvement</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pStyle w:val="4"/>
        <w:tabs>
          <w:tab w:val="right" w:leader="dot" w:pos="8306"/>
        </w:tabs>
        <w:rPr>
          <w:rFonts w:hint="default" w:ascii="Times New Roman" w:hAnsi="Times New Roman" w:cs="Times New Roman"/>
          <w:b/>
          <w:bCs/>
          <w:sz w:val="22"/>
          <w:szCs w:val="22"/>
          <w:lang w:val="en-US" w:eastAsia="zh-CN"/>
        </w:rPr>
      </w:pPr>
      <w:r>
        <w:rPr>
          <w:rFonts w:hint="default" w:ascii="Times New Roman" w:hAnsi="Times New Roman" w:cs="Times New Roman"/>
          <w:b/>
          <w:bCs/>
          <w:sz w:val="22"/>
          <w:szCs w:val="22"/>
          <w:lang w:val="en-US" w:eastAsia="zh-CN"/>
        </w:rPr>
        <w:t>Contents</w:t>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TOC \o "1-3" \h \u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_Toc31286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Abstract</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_Toc31286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2</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_Toc17212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Introduction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_Toc17212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4</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_Toc18843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Strengths and weaknesses in Tencent 's HRM</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_Toc18843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5</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_Toc21723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1、BlessingWhite's Model :</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_Toc21723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5</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_Toc20468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eastAsiaTheme="minorEastAsia"/>
          <w:bCs/>
          <w:kern w:val="2"/>
          <w:sz w:val="22"/>
          <w:szCs w:val="22"/>
          <w:lang w:val="en-US" w:eastAsia="zh-CN" w:bidi="ar-SA"/>
        </w:rPr>
        <w:t>2、Maslow Model</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_Toc20468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6</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_Toc24657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kern w:val="2"/>
          <w:sz w:val="22"/>
          <w:szCs w:val="22"/>
          <w:lang w:val="en-US" w:eastAsia="zh-CN" w:bidi="ar-SA"/>
        </w:rPr>
        <w:t>3、the SHRM model</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_Toc24657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9</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_Toc25012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kern w:val="2"/>
          <w:sz w:val="22"/>
          <w:szCs w:val="22"/>
          <w:lang w:val="en-US" w:eastAsia="zh-CN" w:bidi="ar-SA"/>
        </w:rPr>
        <w:t>Recommendation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_Toc25012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10</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_Toc24522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kern w:val="2"/>
          <w:sz w:val="22"/>
          <w:szCs w:val="22"/>
          <w:lang w:val="en-US" w:eastAsia="zh-CN" w:bidi="ar-SA"/>
        </w:rPr>
        <w:t>Recommendation 1</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_Toc24522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11</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_Toc20919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kern w:val="2"/>
          <w:sz w:val="22"/>
          <w:szCs w:val="22"/>
          <w:lang w:val="en-US" w:eastAsia="zh-CN" w:bidi="ar-SA"/>
        </w:rPr>
        <w:t>Recommendation 2</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_Toc20919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12</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_Toc7824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Conclusion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_Toc7824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12</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_Toc23190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References</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_Toc23190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12</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_Toc24450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Appendix</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_Toc24450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15</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_Toc947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Interview outline</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_Toc947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15</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fldChar w:fldCharType="end"/>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bookmarkStart w:id="2" w:name="_Toc6722"/>
      <w:bookmarkStart w:id="3" w:name="_Toc17212"/>
      <w:r>
        <w:rPr>
          <w:rFonts w:hint="default" w:ascii="Times New Roman" w:hAnsi="Times New Roman" w:cs="Times New Roman"/>
          <w:b/>
          <w:bCs/>
          <w:sz w:val="22"/>
          <w:szCs w:val="22"/>
          <w:lang w:val="en-US" w:eastAsia="zh-CN"/>
        </w:rPr>
        <w:t>Introduction</w:t>
      </w:r>
      <w:bookmarkEnd w:id="2"/>
      <w:bookmarkEnd w:id="3"/>
    </w:p>
    <w:p>
      <w:pPr>
        <w:keepNext w:val="0"/>
        <w:keepLines w:val="0"/>
        <w:pageBreakBefore w:val="0"/>
        <w:widowControl w:val="0"/>
        <w:kinsoku/>
        <w:wordWrap/>
        <w:overflowPunct/>
        <w:topLinePunct w:val="0"/>
        <w:autoSpaceDE/>
        <w:autoSpaceDN/>
        <w:bidi w:val="0"/>
        <w:adjustRightInd/>
        <w:snapToGrid/>
        <w:spacing w:line="360" w:lineRule="auto"/>
        <w:ind w:firstLine="448" w:firstLineChars="204"/>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Tencent Holdings Limited, commonly known as Tencent, is a Chinese multinational technology conglomerate founded in 1998. The company is one of the largest internet and AI companies in the world, providing a range of services including social media, gaming, music, e-commerce, and more. Tencent's most popular product is the instant messaging software WeChat, which has over 1 billion monthly active users worldwide. The company is headquartered in Shenzhen, China, and has offices and operations in numerous countries.(Tencent</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lang w:val="en-US" w:eastAsia="zh-CN"/>
        </w:rPr>
        <w:t xml:space="preserve"> 202</w:t>
      </w:r>
      <w:r>
        <w:rPr>
          <w:rFonts w:hint="eastAsia" w:ascii="Times New Roman" w:hAnsi="Times New Roman" w:cs="Times New Roman"/>
          <w:sz w:val="22"/>
          <w:szCs w:val="22"/>
          <w:lang w:val="en-US" w:eastAsia="zh-CN"/>
        </w:rPr>
        <w:t>3</w:t>
      </w:r>
      <w:r>
        <w:rPr>
          <w:rFonts w:hint="default" w:ascii="Times New Roman" w:hAnsi="Times New Roman" w:cs="Times New Roman"/>
          <w:sz w:val="22"/>
          <w:szCs w:val="22"/>
          <w:lang w:val="en-US" w:eastAsia="zh-CN"/>
        </w:rPr>
        <w:t>)</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Being the biggest technology companies globally, Tencent places great emphasis on its human resource management practices. The company is known for offering competitive salaries and benefits packages, as well as opportunities for career growth and development. Tencent's HR department uses a data-driven approach to identify and recruit top talent, and also invests heavily in employee training and development programs. The company also has a strong focus on employee engagement, with regular feedback mechanisms and channels for employees to voice their opinions and concerns.</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Despite Tencent's strong focus on employee engagement, there have been some concerns about employee participation and involvement in decision-making processes(Bai,2018). Some employees have expressed dissatisfaction with the company's communication and transparency practices, and have called for more opportunities to provide feedback and contribute to the company's direction (Melewar,2005) . In response to these concerns, Tencent has launched initiatives such as regular town hall meetings, employee surveys, and online platforms for feedback and communication. The company has also increased its efforts to involve employees in social responsibility and community engagement projects, </w:t>
      </w:r>
      <w:r>
        <w:rPr>
          <w:rFonts w:hint="eastAsia" w:ascii="Times New Roman" w:hAnsi="Times New Roman" w:cs="Times New Roman"/>
          <w:sz w:val="22"/>
          <w:szCs w:val="22"/>
          <w:lang w:val="en-US" w:eastAsia="zh-CN"/>
        </w:rPr>
        <w:t>w</w:t>
      </w:r>
      <w:r>
        <w:rPr>
          <w:rFonts w:hint="default" w:ascii="Times New Roman" w:hAnsi="Times New Roman" w:cs="Times New Roman"/>
          <w:sz w:val="22"/>
          <w:szCs w:val="22"/>
          <w:lang w:val="en-US" w:eastAsia="zh-CN"/>
        </w:rPr>
        <w:t>ith the aim of boosting employee motivation and fostering a greater sense of meaning in their work.(McCown,,2023）.</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bookmarkStart w:id="4" w:name="_Toc18843"/>
      <w:bookmarkStart w:id="5" w:name="_Toc27814"/>
      <w:r>
        <w:rPr>
          <w:rFonts w:hint="default" w:ascii="Times New Roman" w:hAnsi="Times New Roman" w:cs="Times New Roman"/>
          <w:b/>
          <w:bCs/>
          <w:sz w:val="22"/>
          <w:szCs w:val="22"/>
          <w:lang w:val="en-US" w:eastAsia="zh-CN"/>
        </w:rPr>
        <w:t>Strengths and weaknesses in Tencent 's HRM</w:t>
      </w:r>
      <w:bookmarkEnd w:id="4"/>
      <w:bookmarkEnd w:id="5"/>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kern w:val="2"/>
          <w:sz w:val="22"/>
          <w:szCs w:val="22"/>
          <w:lang w:val="en-US" w:eastAsia="zh-CN" w:bidi="ar-SA"/>
        </w:rPr>
        <w:t>Employee engagement refers to the extent to which an employee is emotionally and intellectually invested in their organization's objectives. Engaged employees are driven, committed, and motivated to excel in their work and contribute to their organization's growth and success (Bedarkar, 2014). Numerous studies have demonstrated that employee engagement is linked to better organizational performance, enhanced productivity, improved customer satisfaction, and increased employee well-being. The advantages of employee engagement for organizations include greater productivity, lower turnover rates, higher levels of customer satisfaction, and more innovation. When employees are engaged, they are more likely to remain with their organization, reducing the expenses of recruitment and training. In addition, engaged employees are more creative and willing to take risks, which can lead to greater innovation and originality within the organization.</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kern w:val="2"/>
          <w:sz w:val="22"/>
          <w:szCs w:val="22"/>
          <w:lang w:val="en-US" w:eastAsia="zh-CN" w:bidi="ar-SA"/>
        </w:rPr>
        <w:t>Despite the emphasis on employee engagement at Tencent, there are several weaknesses that need to be addressed. One of the significant weaknesses is the lack of effective communication between managers and employees(Suen , 2022). Employees often feel that their ideas and feedback are not valued or taken seriously, leading to disengagement and decreased productivity. Additionally, Tencent's rigid organizational structure limits employees' opportunities for growth and development, resulting in lower job satisfaction and decreased engagement(Kane, 2017).</w:t>
      </w:r>
    </w:p>
    <w:p>
      <w:pPr>
        <w:keepNext w:val="0"/>
        <w:keepLines w:val="0"/>
        <w:pageBreakBefore w:val="0"/>
        <w:kinsoku/>
        <w:wordWrap/>
        <w:overflowPunct/>
        <w:topLinePunct w:val="0"/>
        <w:autoSpaceDE/>
        <w:autoSpaceDN/>
        <w:bidi w:val="0"/>
        <w:adjustRightInd/>
        <w:snapToGrid/>
        <w:spacing w:line="360" w:lineRule="auto"/>
        <w:ind w:firstLine="442" w:firstLineChars="200"/>
        <w:jc w:val="both"/>
        <w:textAlignment w:val="auto"/>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2" w:firstLineChars="200"/>
        <w:jc w:val="both"/>
        <w:textAlignment w:val="auto"/>
        <w:outlineLvl w:val="1"/>
        <w:rPr>
          <w:rFonts w:hint="default" w:ascii="Times New Roman" w:hAnsi="Times New Roman" w:cs="Times New Roman"/>
          <w:sz w:val="22"/>
          <w:szCs w:val="22"/>
          <w:lang w:val="en-US" w:eastAsia="zh-CN"/>
        </w:rPr>
      </w:pPr>
      <w:bookmarkStart w:id="6" w:name="_Toc28830"/>
      <w:bookmarkStart w:id="7" w:name="_Toc21723"/>
      <w:r>
        <w:rPr>
          <w:rFonts w:hint="default" w:ascii="Times New Roman" w:hAnsi="Times New Roman" w:cs="Times New Roman"/>
          <w:b/>
          <w:bCs/>
          <w:sz w:val="22"/>
          <w:szCs w:val="22"/>
          <w:lang w:val="en-US" w:eastAsia="zh-CN"/>
        </w:rPr>
        <w:t>1、BlessingWhite's Model :</w:t>
      </w:r>
      <w:bookmarkEnd w:id="6"/>
      <w:bookmarkEnd w:id="7"/>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Engagement: This stage is about employees' commitment to the organization and their work. Engaged employees feel connected to the company's mission and values.</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Contribution: This stage is about employees' willingness to go above and beyond their job requirements. Contributing employees are motivated to do their best work and make a difference in the organization.</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Growth: This stage is about employees' desire to develop their skills and knowledge. Growing employees are interested in learning and taking on new challenges.</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Satisfaction: This stage is about employees' overall happiness and well-being. Satisfied employees feel valued and supported by the organization(Markos &amp; Sridevi, 2010).</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eastAsiaTheme="minorEastAsia"/>
          <w:b/>
          <w:bCs/>
          <w:kern w:val="2"/>
          <w:sz w:val="22"/>
          <w:szCs w:val="22"/>
          <w:lang w:val="en-US" w:eastAsia="zh-CN" w:bidi="ar-SA"/>
        </w:rPr>
      </w:pPr>
      <w:r>
        <w:rPr>
          <w:rFonts w:hint="default" w:ascii="Times New Roman" w:hAnsi="Times New Roman" w:cs="Times New Roman"/>
          <w:sz w:val="22"/>
          <w:szCs w:val="22"/>
          <w:lang w:val="en-US" w:eastAsia="zh-CN"/>
        </w:rPr>
        <w:t>In terms of employee engagement, Tencent may have an issue with the engagement stage, as some employees may not feel fully committed to the company's mission and values. In terms of contribution, Tencent may have an issue with employees feeling not motivated to go above and beyond their job requirements. This may impact the company's ability to innovate and stay competitive. In terms of growth, Tencent may have an issue with  not providing sufficient opportunities for employees to develop their skills and knowledge, which could impact employee retention and satisfaction. Finally, in terms of satisfaction, Tencent may have an issue with employee well-being, as some employees may experience high levels of stress or burnout due to the demanding nature of the tech industry. These issues could all impact employee participation and their willingness to be fully engaged in their work.</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kern w:val="2"/>
          <w:sz w:val="22"/>
          <w:szCs w:val="22"/>
          <w:lang w:val="en-US" w:eastAsia="zh-CN" w:bidi="ar-SA"/>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1"/>
        <w:rPr>
          <w:rFonts w:hint="default" w:ascii="Times New Roman" w:hAnsi="Times New Roman" w:cs="Times New Roman" w:eastAsiaTheme="minorEastAsia"/>
          <w:kern w:val="2"/>
          <w:sz w:val="22"/>
          <w:szCs w:val="22"/>
          <w:lang w:val="en-US" w:eastAsia="zh-CN" w:bidi="ar-SA"/>
        </w:rPr>
      </w:pPr>
      <w:bookmarkStart w:id="8" w:name="_Toc30267"/>
      <w:bookmarkStart w:id="9" w:name="_Toc20468"/>
      <w:r>
        <w:rPr>
          <w:rFonts w:hint="default" w:ascii="Times New Roman" w:hAnsi="Times New Roman" w:cs="Times New Roman" w:eastAsiaTheme="minorEastAsia"/>
          <w:b/>
          <w:bCs/>
          <w:kern w:val="2"/>
          <w:sz w:val="22"/>
          <w:szCs w:val="22"/>
          <w:lang w:val="en-US" w:eastAsia="zh-CN" w:bidi="ar-SA"/>
        </w:rPr>
        <w:t>2、Maslow Model</w:t>
      </w:r>
      <w:bookmarkEnd w:id="8"/>
      <w:bookmarkEnd w:id="9"/>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kern w:val="2"/>
          <w:sz w:val="22"/>
          <w:szCs w:val="22"/>
          <w:lang w:val="en-US" w:eastAsia="zh-CN" w:bidi="ar-SA"/>
        </w:rPr>
        <w:t>Maslow's Hierarchy of Needs Model is a theory of human motivation and is based on a five-tier pyramid of needs:Physiological Needs、Safety Needs、Love and Belonging Needs、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kern w:val="2"/>
          <w:sz w:val="22"/>
          <w:szCs w:val="22"/>
          <w:lang w:val="en-US" w:eastAsia="zh-CN" w:bidi="ar-SA"/>
        </w:rPr>
        <w:t xml:space="preserve">Esteem Needs and Self-Actualization Needs(McCall, 2017).    </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sz w:val="22"/>
          <w:szCs w:val="22"/>
          <w:lang w:val="en-US" w:eastAsia="zh-CN"/>
        </w:rPr>
        <w:drawing>
          <wp:inline distT="0" distB="0" distL="114300" distR="114300">
            <wp:extent cx="3235960" cy="2109470"/>
            <wp:effectExtent l="0" t="0" r="2540" b="5080"/>
            <wp:docPr id="1" name="图片 1" descr="0ac42949a3a94c5d564d5577626d4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0ac42949a3a94c5d564d5577626d438"/>
                    <pic:cNvPicPr>
                      <a:picLocks noChangeAspect="1"/>
                    </pic:cNvPicPr>
                  </pic:nvPicPr>
                  <pic:blipFill>
                    <a:blip r:embed="rId5"/>
                    <a:stretch>
                      <a:fillRect/>
                    </a:stretch>
                  </pic:blipFill>
                  <pic:spPr>
                    <a:xfrm>
                      <a:off x="0" y="0"/>
                      <a:ext cx="3235960" cy="2109470"/>
                    </a:xfrm>
                    <a:prstGeom prst="rect">
                      <a:avLst/>
                    </a:prstGeom>
                  </pic:spPr>
                </pic:pic>
              </a:graphicData>
            </a:graphic>
          </wp:inline>
        </w:drawing>
      </w:r>
      <w:r>
        <w:rPr>
          <w:rFonts w:hint="default" w:ascii="Times New Roman" w:hAnsi="Times New Roman" w:cs="Times New Roman"/>
          <w:sz w:val="22"/>
          <w:szCs w:val="22"/>
          <w:lang w:val="en-US" w:eastAsia="zh-CN"/>
        </w:rPr>
        <w:tab/>
      </w:r>
      <w:r>
        <w:rPr>
          <w:rFonts w:hint="default" w:ascii="Times New Roman" w:hAnsi="Times New Roman" w:eastAsia="宋体" w:cs="Times New Roman"/>
          <w:color w:val="000000"/>
          <w:kern w:val="0"/>
          <w:sz w:val="22"/>
          <w:szCs w:val="22"/>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eastAsia="宋体" w:cs="Times New Roman"/>
          <w:color w:val="000000"/>
          <w:kern w:val="0"/>
          <w:sz w:val="22"/>
          <w:szCs w:val="22"/>
          <w:lang w:val="en-US" w:eastAsia="zh-CN" w:bidi="ar"/>
        </w:rPr>
        <w:t>Maslow's hierarchy of needs</w:t>
      </w:r>
      <w:r>
        <w:rPr>
          <w:rFonts w:hint="default" w:ascii="Times New Roman" w:hAnsi="Times New Roman" w:cs="Times New Roman"/>
          <w:kern w:val="2"/>
          <w:sz w:val="22"/>
          <w:szCs w:val="22"/>
          <w:lang w:val="en-US" w:eastAsia="zh-CN" w:bidi="ar-SA"/>
        </w:rPr>
        <w:t>(McLeod, 2007)</w:t>
      </w:r>
    </w:p>
    <w:p>
      <w:pPr>
        <w:bidi w:val="0"/>
        <w:rPr>
          <w:rFonts w:hint="default" w:asciiTheme="minorHAnsi" w:hAnsiTheme="minorHAnsi" w:eastAsiaTheme="minorEastAsia" w:cstheme="minorBidi"/>
          <w:kern w:val="2"/>
          <w:sz w:val="21"/>
          <w:szCs w:val="24"/>
          <w:lang w:val="en-US" w:eastAsia="zh-CN" w:bidi="ar-SA"/>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r>
        <w:rPr>
          <w:rFonts w:hint="eastAsia"/>
          <w:lang w:val="en-US" w:eastAsia="zh-CN"/>
        </w:rPr>
        <w:t xml:space="preserve"> </w:t>
      </w:r>
    </w:p>
    <w:p>
      <w:pPr>
        <w:bidi w:val="0"/>
        <w:rPr>
          <w:rFonts w:hint="default"/>
          <w:lang w:val="en-US" w:eastAsia="zh-CN"/>
        </w:rPr>
      </w:pPr>
    </w:p>
    <w:tbl>
      <w:tblPr>
        <w:tblStyle w:val="8"/>
        <w:tblpPr w:leftFromText="180" w:rightFromText="180" w:vertAnchor="text" w:horzAnchor="page" w:tblpX="2133" w:tblpY="-9330"/>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70"/>
        <w:gridCol w:w="635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70" w:type="dxa"/>
          </w:tcPr>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Physiological Needs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vertAlign w:val="baseline"/>
                <w:lang w:val="en-US" w:eastAsia="zh-CN" w:bidi="ar-SA"/>
              </w:rPr>
            </w:pPr>
          </w:p>
        </w:tc>
        <w:tc>
          <w:tcPr>
            <w:tcW w:w="6352" w:type="dxa"/>
          </w:tcPr>
          <w:p>
            <w:pPr>
              <w:keepNext w:val="0"/>
              <w:keepLines w:val="0"/>
              <w:pageBreakBefore w:val="0"/>
              <w:tabs>
                <w:tab w:val="left" w:pos="1679"/>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vertAlign w:val="baseline"/>
                <w:lang w:val="en-US" w:eastAsia="zh-CN" w:bidi="ar-SA"/>
              </w:rPr>
            </w:pPr>
            <w:r>
              <w:rPr>
                <w:rFonts w:hint="default" w:ascii="Times New Roman" w:hAnsi="Times New Roman" w:cs="Times New Roman"/>
                <w:kern w:val="2"/>
                <w:sz w:val="22"/>
                <w:szCs w:val="22"/>
                <w:lang w:val="en-US" w:eastAsia="zh-CN" w:bidi="ar-SA"/>
              </w:rPr>
              <w:t>Tencent may have an issue with providing a comfortable and safe work environment for its employees, especially for those who work long hours in front of a computer. The lack of ergonomic workstations and insufficient breaks could lead to health issues such as eye strain, back pain, and stress.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70" w:type="dxa"/>
          </w:tcPr>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Safety Needs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vertAlign w:val="baseline"/>
                <w:lang w:val="en-US" w:eastAsia="zh-CN" w:bidi="ar-SA"/>
              </w:rPr>
            </w:pPr>
          </w:p>
        </w:tc>
        <w:tc>
          <w:tcPr>
            <w:tcW w:w="6352" w:type="dxa"/>
          </w:tcPr>
          <w:p>
            <w:pPr>
              <w:keepNext w:val="0"/>
              <w:keepLines w:val="0"/>
              <w:pageBreakBefore w:val="0"/>
              <w:tabs>
                <w:tab w:val="left" w:pos="1679"/>
              </w:tabs>
              <w:kinsoku/>
              <w:wordWrap/>
              <w:overflowPunct/>
              <w:topLinePunct w:val="0"/>
              <w:autoSpaceDE/>
              <w:autoSpaceDN/>
              <w:bidi w:val="0"/>
              <w:adjustRightInd/>
              <w:snapToGrid/>
              <w:spacing w:line="360" w:lineRule="auto"/>
              <w:ind w:firstLine="660" w:firstLineChars="300"/>
              <w:jc w:val="both"/>
              <w:textAlignment w:val="auto"/>
              <w:rPr>
                <w:rFonts w:hint="default" w:ascii="Times New Roman" w:hAnsi="Times New Roman" w:cs="Times New Roman" w:eastAsiaTheme="minorEastAsia"/>
                <w:kern w:val="2"/>
                <w:sz w:val="22"/>
                <w:szCs w:val="22"/>
                <w:vertAlign w:val="baseline"/>
                <w:lang w:val="en-US" w:eastAsia="zh-CN" w:bidi="ar-SA"/>
              </w:rPr>
            </w:pPr>
            <w:r>
              <w:rPr>
                <w:rFonts w:hint="default" w:ascii="Times New Roman" w:hAnsi="Times New Roman" w:cs="Times New Roman"/>
                <w:kern w:val="2"/>
                <w:sz w:val="22"/>
                <w:szCs w:val="22"/>
                <w:lang w:val="en-US" w:eastAsia="zh-CN" w:bidi="ar-SA"/>
              </w:rPr>
              <w:t>Tencent may have an issue with providing job security and stability for its employees, particularly for those in the tech industry where the competition is fierce. This could lead to a sense of insecurity and fear of losing their job, which could impact their performance and engagement.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70" w:type="dxa"/>
          </w:tcPr>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Love</w:t>
            </w:r>
            <w:r>
              <w:rPr>
                <w:rFonts w:hint="eastAsia" w:ascii="Times New Roman" w:hAnsi="Times New Roman" w:cs="Times New Roman"/>
                <w:b/>
                <w:bCs/>
                <w:kern w:val="2"/>
                <w:sz w:val="22"/>
                <w:szCs w:val="22"/>
                <w:lang w:val="en-US" w:eastAsia="zh-CN" w:bidi="ar-SA"/>
              </w:rPr>
              <w:t xml:space="preserve"> </w:t>
            </w:r>
            <w:r>
              <w:rPr>
                <w:rFonts w:hint="default" w:ascii="Times New Roman" w:hAnsi="Times New Roman" w:cs="Times New Roman" w:eastAsiaTheme="minorEastAsia"/>
                <w:b/>
                <w:bCs/>
                <w:kern w:val="2"/>
                <w:sz w:val="22"/>
                <w:szCs w:val="22"/>
                <w:lang w:val="en-US" w:eastAsia="zh-CN" w:bidi="ar-SA"/>
              </w:rPr>
              <w:t>and Belonging Needs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vertAlign w:val="baseline"/>
                <w:lang w:val="en-US" w:eastAsia="zh-CN" w:bidi="ar-SA"/>
              </w:rPr>
            </w:pPr>
          </w:p>
        </w:tc>
        <w:tc>
          <w:tcPr>
            <w:tcW w:w="6352" w:type="dxa"/>
          </w:tcPr>
          <w:p>
            <w:pPr>
              <w:keepNext w:val="0"/>
              <w:keepLines w:val="0"/>
              <w:pageBreakBefore w:val="0"/>
              <w:tabs>
                <w:tab w:val="left" w:pos="1679"/>
              </w:tabs>
              <w:kinsoku/>
              <w:wordWrap/>
              <w:overflowPunct/>
              <w:topLinePunct w:val="0"/>
              <w:autoSpaceDE/>
              <w:autoSpaceDN/>
              <w:bidi w:val="0"/>
              <w:adjustRightInd/>
              <w:snapToGrid/>
              <w:spacing w:line="360" w:lineRule="auto"/>
              <w:ind w:firstLine="660" w:firstLineChars="300"/>
              <w:jc w:val="both"/>
              <w:textAlignment w:val="auto"/>
              <w:rPr>
                <w:rFonts w:hint="default" w:ascii="Times New Roman" w:hAnsi="Times New Roman" w:cs="Times New Roman" w:eastAsiaTheme="minorEastAsia"/>
                <w:kern w:val="2"/>
                <w:sz w:val="22"/>
                <w:szCs w:val="22"/>
                <w:vertAlign w:val="baseline"/>
                <w:lang w:val="en-US" w:eastAsia="zh-CN" w:bidi="ar-SA"/>
              </w:rPr>
            </w:pPr>
            <w:r>
              <w:rPr>
                <w:rFonts w:hint="default" w:ascii="Times New Roman" w:hAnsi="Times New Roman" w:cs="Times New Roman"/>
                <w:kern w:val="2"/>
                <w:sz w:val="22"/>
                <w:szCs w:val="22"/>
                <w:lang w:val="en-US" w:eastAsia="zh-CN" w:bidi="ar-SA"/>
              </w:rPr>
              <w:t xml:space="preserve"> Tencent may have an issue with fostering a sense of community and social interaction among its employees. The company culture may be focused solely on work and productivity, and may not provide enough opportunities for employees to connect with one another, build relationships, and create a sense of belonging.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70" w:type="dxa"/>
          </w:tcPr>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Esteem Needs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vertAlign w:val="baseline"/>
                <w:lang w:val="en-US" w:eastAsia="zh-CN" w:bidi="ar-SA"/>
              </w:rPr>
            </w:pPr>
          </w:p>
        </w:tc>
        <w:tc>
          <w:tcPr>
            <w:tcW w:w="6352" w:type="dxa"/>
          </w:tcPr>
          <w:p>
            <w:pPr>
              <w:keepNext w:val="0"/>
              <w:keepLines w:val="0"/>
              <w:pageBreakBefore w:val="0"/>
              <w:tabs>
                <w:tab w:val="left" w:pos="1679"/>
              </w:tabs>
              <w:kinsoku/>
              <w:wordWrap/>
              <w:overflowPunct/>
              <w:topLinePunct w:val="0"/>
              <w:autoSpaceDE/>
              <w:autoSpaceDN/>
              <w:bidi w:val="0"/>
              <w:adjustRightInd/>
              <w:snapToGrid/>
              <w:spacing w:line="360" w:lineRule="auto"/>
              <w:ind w:firstLine="660" w:firstLineChars="300"/>
              <w:jc w:val="both"/>
              <w:textAlignment w:val="auto"/>
              <w:rPr>
                <w:rFonts w:hint="default" w:ascii="Times New Roman" w:hAnsi="Times New Roman" w:cs="Times New Roman" w:eastAsiaTheme="minorEastAsia"/>
                <w:kern w:val="2"/>
                <w:sz w:val="22"/>
                <w:szCs w:val="22"/>
                <w:vertAlign w:val="baseline"/>
                <w:lang w:val="en-US" w:eastAsia="zh-CN" w:bidi="ar-SA"/>
              </w:rPr>
            </w:pPr>
            <w:r>
              <w:rPr>
                <w:rFonts w:hint="default" w:ascii="Times New Roman" w:hAnsi="Times New Roman" w:cs="Times New Roman"/>
                <w:kern w:val="2"/>
                <w:sz w:val="22"/>
                <w:szCs w:val="22"/>
                <w:lang w:val="en-US" w:eastAsia="zh-CN" w:bidi="ar-SA"/>
              </w:rPr>
              <w:t>Tencent may have an issue with recognizing and rewarding employees' achievements and contributions. A lack of recognition and appreciation could lead to a decrease in employee morale, engagement, and motivation(Moro, 2021).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70" w:type="dxa"/>
          </w:tcPr>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Self-Actualization Needs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vertAlign w:val="baseline"/>
                <w:lang w:val="en-US" w:eastAsia="zh-CN" w:bidi="ar-SA"/>
              </w:rPr>
            </w:pPr>
          </w:p>
        </w:tc>
        <w:tc>
          <w:tcPr>
            <w:tcW w:w="6352" w:type="dxa"/>
          </w:tcPr>
          <w:p>
            <w:pPr>
              <w:keepNext w:val="0"/>
              <w:keepLines w:val="0"/>
              <w:pageBreakBefore w:val="0"/>
              <w:tabs>
                <w:tab w:val="left" w:pos="1679"/>
              </w:tabs>
              <w:kinsoku/>
              <w:wordWrap/>
              <w:overflowPunct/>
              <w:topLinePunct w:val="0"/>
              <w:autoSpaceDE/>
              <w:autoSpaceDN/>
              <w:bidi w:val="0"/>
              <w:adjustRightInd/>
              <w:snapToGrid/>
              <w:spacing w:line="360" w:lineRule="auto"/>
              <w:ind w:firstLine="660" w:firstLineChars="300"/>
              <w:jc w:val="both"/>
              <w:textAlignment w:val="auto"/>
              <w:rPr>
                <w:rFonts w:hint="default" w:ascii="Times New Roman" w:hAnsi="Times New Roman" w:cs="Times New Roman" w:eastAsiaTheme="minorEastAsia"/>
                <w:kern w:val="2"/>
                <w:sz w:val="22"/>
                <w:szCs w:val="22"/>
                <w:vertAlign w:val="baseline"/>
                <w:lang w:val="en-US" w:eastAsia="zh-CN" w:bidi="ar-SA"/>
              </w:rPr>
            </w:pPr>
            <w:r>
              <w:rPr>
                <w:rFonts w:hint="default" w:ascii="Times New Roman" w:hAnsi="Times New Roman" w:cs="Times New Roman"/>
                <w:kern w:val="2"/>
                <w:sz w:val="22"/>
                <w:szCs w:val="22"/>
                <w:lang w:val="en-US" w:eastAsia="zh-CN" w:bidi="ar-SA"/>
              </w:rPr>
              <w:t>Tencent may have an issue with providing opportunities for personal growth and development for its employees. The company may not prioritize employee training and development programs, which could lead to a lack of skills, knowledge, and advancement opportunities for employees.</w:t>
            </w:r>
          </w:p>
        </w:tc>
      </w:tr>
    </w:tbl>
    <w:p>
      <w:pPr>
        <w:keepNext w:val="0"/>
        <w:keepLines w:val="0"/>
        <w:pageBreakBefore w:val="0"/>
        <w:kinsoku/>
        <w:wordWrap/>
        <w:overflowPunct/>
        <w:topLinePunct w:val="0"/>
        <w:autoSpaceDE/>
        <w:autoSpaceDN/>
        <w:bidi w:val="0"/>
        <w:adjustRightInd/>
        <w:snapToGrid/>
        <w:spacing w:line="360" w:lineRule="auto"/>
        <w:ind w:firstLine="660" w:firstLineChars="300"/>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kern w:val="2"/>
          <w:sz w:val="22"/>
          <w:szCs w:val="22"/>
          <w:lang w:val="en-US" w:eastAsia="zh-CN" w:bidi="ar-SA"/>
        </w:rPr>
        <w:t>In conclusion, by considering Maslow's Hierarchy of Needs Model, Tencent's human resource management may have issues in providing a safe and comfortable work environment, job security, social interaction, recognition, and development opportunities for its employees. These issues could impact employee participation and their willingness to be fully engaged in their work.</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p>
    <w:p>
      <w:pPr>
        <w:keepNext w:val="0"/>
        <w:keepLines w:val="0"/>
        <w:pageBreakBefore w:val="0"/>
        <w:numPr>
          <w:ilvl w:val="0"/>
          <w:numId w:val="0"/>
        </w:numPr>
        <w:kinsoku/>
        <w:wordWrap/>
        <w:overflowPunct/>
        <w:topLinePunct w:val="0"/>
        <w:autoSpaceDE/>
        <w:autoSpaceDN/>
        <w:bidi w:val="0"/>
        <w:adjustRightInd/>
        <w:snapToGrid/>
        <w:spacing w:line="360" w:lineRule="auto"/>
        <w:jc w:val="both"/>
        <w:textAlignment w:val="auto"/>
        <w:outlineLvl w:val="1"/>
        <w:rPr>
          <w:rFonts w:hint="default" w:ascii="Times New Roman" w:hAnsi="Times New Roman" w:cs="Times New Roman"/>
          <w:b/>
          <w:bCs/>
          <w:kern w:val="2"/>
          <w:sz w:val="22"/>
          <w:szCs w:val="22"/>
          <w:lang w:val="en-US" w:eastAsia="zh-CN" w:bidi="ar-SA"/>
        </w:rPr>
      </w:pPr>
      <w:bookmarkStart w:id="10" w:name="_Toc26631"/>
      <w:bookmarkStart w:id="11" w:name="_Toc24657"/>
      <w:r>
        <w:rPr>
          <w:rFonts w:hint="default" w:ascii="Times New Roman" w:hAnsi="Times New Roman" w:cs="Times New Roman"/>
          <w:b/>
          <w:bCs/>
          <w:kern w:val="2"/>
          <w:sz w:val="22"/>
          <w:szCs w:val="22"/>
          <w:lang w:val="en-US" w:eastAsia="zh-CN" w:bidi="ar-SA"/>
        </w:rPr>
        <w:t>3、the SHRM model</w:t>
      </w:r>
      <w:bookmarkEnd w:id="10"/>
      <w:bookmarkEnd w:id="11"/>
      <w:r>
        <w:rPr>
          <w:rFonts w:hint="default" w:ascii="Times New Roman" w:hAnsi="Times New Roman" w:cs="Times New Roman"/>
          <w:b/>
          <w:bCs/>
          <w:kern w:val="2"/>
          <w:sz w:val="22"/>
          <w:szCs w:val="22"/>
          <w:lang w:val="en-US" w:eastAsia="zh-CN" w:bidi="ar-SA"/>
        </w:rPr>
        <w:t xml:space="preserve"> </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kern w:val="2"/>
          <w:sz w:val="22"/>
          <w:szCs w:val="22"/>
          <w:lang w:val="en-US" w:eastAsia="zh-CN" w:bidi="ar-SA"/>
        </w:rPr>
        <w:t>The Strategic Human Resource Management (SHRM) model is a framework that highlights the crucial role of human resource management in an organization's success. It asserts that effective management of people is essential for achieving organizational goals and gaining a competitive edge in the market (Waiganjo, 2012). The SHRM model proposes that organizations should align their human resource strategies with their overall business objectives to be successful. This involves identifying the key competencies necessary for success, creating strategies to attract and retain employees with those competencies, and fostering a supportive work environment that enables employees to perform optimally. Additionally, the SHRM model stresses the importance of continuous assessment and improvement. Organizations should regularly evaluate their human resource strategies and make necessary adjustments to remain competitive (Waiganjo, 2012).</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kern w:val="2"/>
          <w:sz w:val="22"/>
          <w:szCs w:val="22"/>
          <w:lang w:val="en-US" w:eastAsia="zh-CN" w:bidi="ar-SA"/>
        </w:rPr>
        <w:t>However, there are some current situations of low participation of Tencent employees, and the analysis of the reasons may be：High employee turnover: Inadequate employee engagement or job satisfaction can increase the likelihood of employee turnover. High employee turnover can be a sign of low engagement levels；Lack of employee input: If employees are not given opportunities to provide feedback or participate in decision-making processes, they may feel disconnected from the company's mission and goals. This can lead to decreased motivation and engagement levels；Poor communication: If communication between management and employees is unclear or ineffective, it can lead to misunderstandings and a lack of clarity about roles, responsibilities, and expectations. This can negatively impact employee engagement；Limited career growth opportunities: If employees do not see opportunities for career advancement or development within the company, they may become disengaged and seek opportunities elsewhere.（This study adopts semi structured and unstructured in-depth interview methods with strong theoretical guidance and good flexibility. The main interviewees are Tencent senior human resource managers, senior employees in business departments, etc. In this study, two interviews were conducted with Tencent, including employees from the human resources management department, middle and senior managementManagers, business teams, etc. 10 people/time. Most of the interviewees are employees who have worked at Tencent for more than 5 years and have experienced changes in the organizational structure of Tencent's human resources management.）</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kern w:val="2"/>
          <w:sz w:val="22"/>
          <w:szCs w:val="22"/>
          <w:lang w:val="en-US" w:eastAsia="zh-CN" w:bidi="ar-SA"/>
        </w:rPr>
        <w:t>According to the previous question, the main issue facing Tencent's human resource management is related to the low level of employee engagement. Using the SHRM (Strategic Human Resource Management) model, we can analyze the problem and suggest potential solutions.</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kern w:val="2"/>
          <w:sz w:val="22"/>
          <w:szCs w:val="22"/>
          <w:lang w:val="en-US" w:eastAsia="zh-CN" w:bidi="ar-SA"/>
        </w:rPr>
        <w:t>The SHRM model comprises four essential elements: analyzing the external environment, developing strategies, implementing strategies, and monitoring and adjusting strategies as needed. We will focus on the strategy implementation component, as this is where the employee engagement issue is most relevant(Boxall, 1996).</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kern w:val="2"/>
          <w:sz w:val="22"/>
          <w:szCs w:val="22"/>
          <w:lang w:val="en-US" w:eastAsia="zh-CN" w:bidi="ar-SA"/>
        </w:rPr>
        <w:t>One potential reason for the low level of employee engagement at Tencent could be a lack of effective communication and feedback mechanisms. To address this issue, Tencent could implement more regular and structured feedback processes, such as performance reviews, employee surveys, and suggestion boxes. By actively seeking and responding to employee feedback, Tencent can demonstrate that it values and respects its employees, which could help to boost engagement.Investing in employee training and development is another viable option. By offering employees the chance to acquire new skills and progress in their careers,Tencent can increase employee satisfaction and engagement. Additionally, Tencent could consider implementing a rewards and recognition program to incentivize and recognize high-performing employees.Overall, by implementing these strategies, Tencent can increase employee engagement and improve its human resource management practices(Bamberger, 2014).</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sz w:val="22"/>
          <w:szCs w:val="22"/>
          <w:lang w:val="en-US" w:eastAsia="zh-CN"/>
        </w:rPr>
      </w:pPr>
      <w:bookmarkStart w:id="12" w:name="_Toc25012"/>
      <w:bookmarkStart w:id="13" w:name="_Toc9511"/>
      <w:r>
        <w:rPr>
          <w:rFonts w:hint="default" w:ascii="Times New Roman" w:hAnsi="Times New Roman" w:cs="Times New Roman"/>
          <w:b/>
          <w:bCs/>
          <w:kern w:val="2"/>
          <w:sz w:val="22"/>
          <w:szCs w:val="22"/>
          <w:lang w:val="en-US" w:eastAsia="zh-CN" w:bidi="ar-SA"/>
        </w:rPr>
        <w:t>Recommendation</w:t>
      </w:r>
      <w:bookmarkEnd w:id="12"/>
      <w:bookmarkEnd w:id="13"/>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kern w:val="2"/>
          <w:sz w:val="22"/>
          <w:szCs w:val="22"/>
          <w:lang w:val="en-US" w:eastAsia="zh-CN" w:bidi="ar-SA"/>
        </w:rPr>
        <w:t>Weak employee engagement at Tencent has several negative outcomes, including decreased productivity, increased turnover rates, and reduced innovation. Disengaged employees are more likely to leave their organization, leading to higher recruitment and training costs. Additionally, low employee engagement can lead to reduced productivity and lower quality work, resulting in decreased customer satisfaction and ultimately impacting Tencent's bottom line.</w:t>
      </w:r>
      <w:r>
        <w:rPr>
          <w:rFonts w:hint="default" w:ascii="Times New Roman" w:hAnsi="Times New Roman" w:cs="Times New Roman" w:eastAsiaTheme="minorEastAsia"/>
          <w:kern w:val="2"/>
          <w:sz w:val="22"/>
          <w:szCs w:val="22"/>
          <w:lang w:val="en-US" w:eastAsia="zh-CN" w:bidi="ar-SA"/>
        </w:rPr>
        <w:t>Feasible Recommendations for Improving Employee Engagement at Tencent:To improve employee engagement at Tencent, the organization must focus on improving communication channels between managers and employees. This can be achieved through regular feedback sessions, town hall meetings, and employee engagement surveys. Additionally, Tencent should consider implementing a more flexible organizational structure that encourages employees' growth and development. This can include providing opportunities for job rotation, cross-functional training, and mentorship programs(Peter,2019).</w:t>
      </w:r>
    </w:p>
    <w:p>
      <w:pPr>
        <w:keepNext w:val="0"/>
        <w:keepLines w:val="0"/>
        <w:pageBreakBefore w:val="0"/>
        <w:kinsoku/>
        <w:wordWrap/>
        <w:overflowPunct/>
        <w:topLinePunct w:val="0"/>
        <w:autoSpaceDE/>
        <w:autoSpaceDN/>
        <w:bidi w:val="0"/>
        <w:adjustRightInd/>
        <w:snapToGrid/>
        <w:spacing w:line="360" w:lineRule="auto"/>
        <w:jc w:val="both"/>
        <w:textAlignment w:val="auto"/>
        <w:outlineLvl w:val="1"/>
        <w:rPr>
          <w:rFonts w:hint="default" w:ascii="Times New Roman" w:hAnsi="Times New Roman" w:cs="Times New Roman" w:eastAsiaTheme="minorEastAsia"/>
          <w:kern w:val="2"/>
          <w:sz w:val="22"/>
          <w:szCs w:val="22"/>
          <w:lang w:val="en-US" w:eastAsia="zh-CN" w:bidi="ar-SA"/>
        </w:rPr>
      </w:pPr>
      <w:bookmarkStart w:id="14" w:name="_Toc9962"/>
      <w:bookmarkStart w:id="15" w:name="_Toc24522"/>
      <w:r>
        <w:rPr>
          <w:rFonts w:hint="default" w:ascii="Times New Roman" w:hAnsi="Times New Roman" w:cs="Times New Roman"/>
          <w:b/>
          <w:bCs/>
          <w:kern w:val="2"/>
          <w:sz w:val="22"/>
          <w:szCs w:val="22"/>
          <w:lang w:val="en-US" w:eastAsia="zh-CN" w:bidi="ar-SA"/>
        </w:rPr>
        <w:t>Recommendation 1:</w:t>
      </w:r>
      <w:bookmarkEnd w:id="14"/>
      <w:bookmarkEnd w:id="15"/>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Improving communication channels: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Regular feedback meetings:</w:t>
      </w:r>
      <w:r>
        <w:rPr>
          <w:rFonts w:hint="default" w:ascii="Times New Roman" w:hAnsi="Times New Roman" w:cs="Times New Roman" w:eastAsiaTheme="minorEastAsia"/>
          <w:kern w:val="2"/>
          <w:sz w:val="22"/>
          <w:szCs w:val="22"/>
          <w:lang w:val="en-US" w:eastAsia="zh-CN" w:bidi="ar-SA"/>
        </w:rPr>
        <w:t xml:space="preserve"> Regular individual feedback and performance evaluation meetings with employees to discuss their strengths and areas for improvement, and to provide guidance and support to help them achieve their career goals.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Town Hall Meetings:</w:t>
      </w:r>
      <w:r>
        <w:rPr>
          <w:rFonts w:hint="default" w:ascii="Times New Roman" w:hAnsi="Times New Roman" w:cs="Times New Roman" w:eastAsiaTheme="minorEastAsia"/>
          <w:kern w:val="2"/>
          <w:sz w:val="22"/>
          <w:szCs w:val="22"/>
          <w:lang w:val="en-US" w:eastAsia="zh-CN" w:bidi="ar-SA"/>
        </w:rPr>
        <w:t xml:space="preserve"> Quarterly or semi-annual large meetings are held for employees to communicate and share with executives the latest company strategies and achievements. This not only improves employees' understanding of the company, but also provides opportunities for employees to perform while enhancing the connection between employees and the company(Morgan, 2014).</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 xml:space="preserve">Employee engagement surveys: </w:t>
      </w:r>
      <w:r>
        <w:rPr>
          <w:rFonts w:hint="default" w:ascii="Times New Roman" w:hAnsi="Times New Roman" w:cs="Times New Roman" w:eastAsiaTheme="minorEastAsia"/>
          <w:kern w:val="2"/>
          <w:sz w:val="22"/>
          <w:szCs w:val="22"/>
          <w:lang w:val="en-US" w:eastAsia="zh-CN" w:bidi="ar-SA"/>
        </w:rPr>
        <w:t>Conduct regular employee engagement surveys to assess employee satisfaction with their jobs and loyalty to the company, and collect employee feedback so the company can respond and improve in a timely manner.</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kern w:val="2"/>
          <w:sz w:val="22"/>
          <w:szCs w:val="22"/>
          <w:lang w:val="en-US" w:eastAsia="zh-CN" w:bidi="ar-SA"/>
        </w:rPr>
        <w:t>Provide opportunities: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 xml:space="preserve">Job Rotation: </w:t>
      </w:r>
      <w:r>
        <w:rPr>
          <w:rFonts w:hint="default" w:ascii="Times New Roman" w:hAnsi="Times New Roman" w:cs="Times New Roman" w:eastAsiaTheme="minorEastAsia"/>
          <w:kern w:val="2"/>
          <w:sz w:val="22"/>
          <w:szCs w:val="22"/>
          <w:lang w:val="en-US" w:eastAsia="zh-CN" w:bidi="ar-SA"/>
        </w:rPr>
        <w:t>Provide employees with the opportunity to rotate jobs between different teams and business units to expand their skills and knowledge and enhance their adaptability and leadership skills(Campion, 1994).</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Cross-functional training:</w:t>
      </w:r>
      <w:r>
        <w:rPr>
          <w:rFonts w:hint="default" w:ascii="Times New Roman" w:hAnsi="Times New Roman" w:cs="Times New Roman" w:eastAsiaTheme="minorEastAsia"/>
          <w:kern w:val="2"/>
          <w:sz w:val="22"/>
          <w:szCs w:val="22"/>
          <w:lang w:val="en-US" w:eastAsia="zh-CN" w:bidi="ar-SA"/>
        </w:rPr>
        <w:t xml:space="preserve"> Provide cross-functional training programs to expose employees to the operations and business of other parts of the company, as well as to expand their skills and knowledge to help them better respond to the needs and challenges of the company.</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Mentorship program:</w:t>
      </w:r>
      <w:r>
        <w:rPr>
          <w:rFonts w:hint="default" w:ascii="Times New Roman" w:hAnsi="Times New Roman" w:cs="Times New Roman" w:eastAsiaTheme="minorEastAsia"/>
          <w:kern w:val="2"/>
          <w:sz w:val="22"/>
          <w:szCs w:val="22"/>
          <w:lang w:val="en-US" w:eastAsia="zh-CN" w:bidi="ar-SA"/>
        </w:rPr>
        <w:t xml:space="preserve"> Establish a mentorship program for employees to work with experienced mentors from which they can receive guidance and advice to accelerate their career development and enhance their sense of belonging and loyalty.</w:t>
      </w:r>
    </w:p>
    <w:p>
      <w:pPr>
        <w:keepNext w:val="0"/>
        <w:keepLines w:val="0"/>
        <w:pageBreakBefore w:val="0"/>
        <w:kinsoku/>
        <w:wordWrap/>
        <w:overflowPunct/>
        <w:topLinePunct w:val="0"/>
        <w:autoSpaceDE/>
        <w:autoSpaceDN/>
        <w:bidi w:val="0"/>
        <w:adjustRightInd/>
        <w:snapToGrid/>
        <w:spacing w:line="360" w:lineRule="auto"/>
        <w:jc w:val="both"/>
        <w:textAlignment w:val="auto"/>
        <w:outlineLvl w:val="1"/>
        <w:rPr>
          <w:rFonts w:hint="default" w:ascii="Times New Roman" w:hAnsi="Times New Roman" w:cs="Times New Roman" w:eastAsiaTheme="minorEastAsia"/>
          <w:kern w:val="2"/>
          <w:sz w:val="22"/>
          <w:szCs w:val="22"/>
          <w:lang w:val="en-US" w:eastAsia="zh-CN" w:bidi="ar-SA"/>
        </w:rPr>
      </w:pPr>
      <w:bookmarkStart w:id="16" w:name="_Toc25642"/>
      <w:bookmarkStart w:id="17" w:name="_Toc20919"/>
      <w:r>
        <w:rPr>
          <w:rFonts w:hint="default" w:ascii="Times New Roman" w:hAnsi="Times New Roman" w:cs="Times New Roman"/>
          <w:b/>
          <w:bCs/>
          <w:kern w:val="2"/>
          <w:sz w:val="22"/>
          <w:szCs w:val="22"/>
          <w:lang w:val="en-US" w:eastAsia="zh-CN" w:bidi="ar-SA"/>
        </w:rPr>
        <w:t>Recommendation 2:</w:t>
      </w:r>
      <w:bookmarkEnd w:id="16"/>
      <w:bookmarkEnd w:id="17"/>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kern w:val="2"/>
          <w:sz w:val="22"/>
          <w:szCs w:val="22"/>
          <w:lang w:val="en-US" w:eastAsia="zh-CN" w:bidi="ar-SA"/>
        </w:rPr>
        <w:t>Tencent also has the problem of career crisis and career anxiety at the age of 35, which is one of the main reasons causing low employee engagement and no sense of belonging. To solve the above problems there are the following suggestions: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 xml:space="preserve">Provide career planning and training opportunities for employees: </w:t>
      </w:r>
      <w:r>
        <w:rPr>
          <w:rFonts w:hint="default" w:ascii="Times New Roman" w:hAnsi="Times New Roman" w:cs="Times New Roman" w:eastAsiaTheme="minorEastAsia"/>
          <w:kern w:val="2"/>
          <w:sz w:val="22"/>
          <w:szCs w:val="22"/>
          <w:lang w:val="en-US" w:eastAsia="zh-CN" w:bidi="ar-SA"/>
        </w:rPr>
        <w:t>The company can develop career planning and training programs based on employees' personal interests and career development needs to help employees improve their skills and knowledge, and enhance their competitiveness and career development prospects.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Provide diversified promotion opportunities:</w:t>
      </w:r>
      <w:r>
        <w:rPr>
          <w:rFonts w:hint="default" w:ascii="Times New Roman" w:hAnsi="Times New Roman" w:cs="Times New Roman" w:eastAsiaTheme="minorEastAsia"/>
          <w:kern w:val="2"/>
          <w:sz w:val="22"/>
          <w:szCs w:val="22"/>
          <w:lang w:val="en-US" w:eastAsia="zh-CN" w:bidi="ar-SA"/>
        </w:rPr>
        <w:t xml:space="preserve"> The company can provide different promotion channels and positions so that employees can have more choices and opportunities and feel that their dedication and efforts can be recognized and rewarded</w:t>
      </w:r>
      <w:r>
        <w:rPr>
          <w:rFonts w:hint="default" w:ascii="Times New Roman" w:hAnsi="Times New Roman" w:cs="Times New Roman"/>
          <w:kern w:val="2"/>
          <w:sz w:val="22"/>
          <w:szCs w:val="22"/>
          <w:lang w:val="en-US" w:eastAsia="zh-CN" w:bidi="ar-SA"/>
        </w:rPr>
        <w:t>(</w:t>
      </w:r>
      <w:r>
        <w:rPr>
          <w:rFonts w:hint="default" w:ascii="Times New Roman" w:hAnsi="Times New Roman" w:cs="Times New Roman" w:eastAsiaTheme="minorEastAsia"/>
          <w:kern w:val="2"/>
          <w:sz w:val="22"/>
          <w:szCs w:val="22"/>
          <w:lang w:val="en-US" w:eastAsia="zh-CN" w:bidi="ar-SA"/>
        </w:rPr>
        <w:t>Mainiero&amp;Sullivan</w:t>
      </w:r>
      <w:r>
        <w:rPr>
          <w:rFonts w:hint="default" w:ascii="Times New Roman" w:hAnsi="Times New Roman" w:cs="Times New Roman"/>
          <w:kern w:val="2"/>
          <w:sz w:val="22"/>
          <w:szCs w:val="22"/>
          <w:lang w:val="en-US" w:eastAsia="zh-CN" w:bidi="ar-SA"/>
        </w:rPr>
        <w:t>,</w:t>
      </w:r>
      <w:r>
        <w:rPr>
          <w:rFonts w:hint="default" w:ascii="Times New Roman" w:hAnsi="Times New Roman" w:cs="Times New Roman" w:eastAsiaTheme="minorEastAsia"/>
          <w:kern w:val="2"/>
          <w:sz w:val="22"/>
          <w:szCs w:val="22"/>
          <w:lang w:val="en-US" w:eastAsia="zh-CN" w:bidi="ar-SA"/>
        </w:rPr>
        <w:t>2006).</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 xml:space="preserve">Introduce flexible working methods: </w:t>
      </w:r>
      <w:r>
        <w:rPr>
          <w:rFonts w:hint="default" w:ascii="Times New Roman" w:hAnsi="Times New Roman" w:cs="Times New Roman" w:eastAsiaTheme="minorEastAsia"/>
          <w:kern w:val="2"/>
          <w:sz w:val="22"/>
          <w:szCs w:val="22"/>
          <w:lang w:val="en-US" w:eastAsia="zh-CN" w:bidi="ar-SA"/>
        </w:rPr>
        <w:t>Companies can adopt flexible working methods, such as flexible working hours and remote work, to allow employees to better balance work and life and reduce occupational stress and anxiety(Kelliher &amp; Anderson, 2010).</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Establish a sound welfare system:</w:t>
      </w:r>
      <w:r>
        <w:rPr>
          <w:rFonts w:hint="default" w:ascii="Times New Roman" w:hAnsi="Times New Roman" w:cs="Times New Roman" w:eastAsiaTheme="minorEastAsia"/>
          <w:kern w:val="2"/>
          <w:sz w:val="22"/>
          <w:szCs w:val="22"/>
          <w:lang w:val="en-US" w:eastAsia="zh-CN" w:bidi="ar-SA"/>
        </w:rPr>
        <w:t xml:space="preserve"> The company can establish a sound welfare system, including medical insurance, pension insurance, children's education, etc., so that employees can feel the company's care and support.</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bookmarkStart w:id="18" w:name="_Toc7824"/>
      <w:bookmarkStart w:id="19" w:name="_Toc23298"/>
      <w:r>
        <w:rPr>
          <w:rFonts w:hint="default" w:ascii="Times New Roman" w:hAnsi="Times New Roman" w:cs="Times New Roman"/>
          <w:b/>
          <w:bCs/>
          <w:sz w:val="22"/>
          <w:szCs w:val="22"/>
          <w:lang w:val="en-US" w:eastAsia="zh-CN"/>
        </w:rPr>
        <w:t>Conclusion:</w:t>
      </w:r>
      <w:bookmarkEnd w:id="18"/>
      <w:bookmarkEnd w:id="19"/>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Based on the analysis of Tencent's human resource management practices, it can be concluded that the company has several strengths, including a data-driven approach to recruitment, investment in employee training and development. However, there are also several weaknesses that need to be addressed, including a lack of effective communication, limited opportunities for growth and development, and potential issues with employee well-being</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lang w:val="en-US" w:eastAsia="zh-CN"/>
        </w:rPr>
        <w:t>Grant</w:t>
      </w:r>
      <w:r>
        <w:rPr>
          <w:rFonts w:hint="eastAsia" w:ascii="Times New Roman" w:hAnsi="Times New Roman" w:cs="Times New Roman"/>
          <w:sz w:val="22"/>
          <w:szCs w:val="22"/>
          <w:lang w:val="en-US" w:eastAsia="zh-CN"/>
        </w:rPr>
        <w:t>,2013)</w:t>
      </w:r>
      <w:r>
        <w:rPr>
          <w:rFonts w:hint="default" w:ascii="Times New Roman" w:hAnsi="Times New Roman" w:cs="Times New Roman"/>
          <w:sz w:val="22"/>
          <w:szCs w:val="22"/>
          <w:lang w:val="en-US" w:eastAsia="zh-CN"/>
        </w:rPr>
        <w:t>.Using the BlessingWhite Model of employee engagement, it was found that Tencent may have issues with the engagement stage, as some employees may not feel fully committed to the company's mission and values. Additionally, the company may have issues with contribution and growth stages, where employees may not be motivated to go above and beyond their job requirements and may not have sufficient opportunities to develop their skills and knowledge.Using Maslow's Hierarchy of Needs Model, it was found that Tencent may have issues with providing a comfortable and safe work environment, job security and stability, fostering a sense of community and social interaction, and recognizing and rewarding employees' achievements and contributions.To address these weaknesses, Tencent should consider improving communication channels between managers and employees, providing more opportunities for growth and development, promoting a positive and supportive company culture that fosters a sense of community, and recognizing and rewarding employees' contributions and achievements</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lang w:val="en-US" w:eastAsia="zh-CN"/>
        </w:rPr>
        <w:t>Steve</w:t>
      </w:r>
      <w:r>
        <w:rPr>
          <w:rFonts w:hint="eastAsia" w:ascii="Times New Roman" w:hAnsi="Times New Roman" w:cs="Times New Roman"/>
          <w:sz w:val="22"/>
          <w:szCs w:val="22"/>
          <w:lang w:val="en-US" w:eastAsia="zh-CN"/>
        </w:rPr>
        <w:t>,2011)</w:t>
      </w:r>
      <w:r>
        <w:rPr>
          <w:rFonts w:hint="default" w:ascii="Times New Roman" w:hAnsi="Times New Roman" w:cs="Times New Roman"/>
          <w:sz w:val="22"/>
          <w:szCs w:val="22"/>
          <w:lang w:val="en-US" w:eastAsia="zh-CN"/>
        </w:rPr>
        <w:t>.</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bookmarkStart w:id="20" w:name="_Toc23190"/>
      <w:bookmarkStart w:id="21" w:name="_Toc18464"/>
      <w:r>
        <w:rPr>
          <w:rFonts w:hint="default" w:ascii="Times New Roman" w:hAnsi="Times New Roman" w:cs="Times New Roman"/>
          <w:b/>
          <w:bCs/>
          <w:sz w:val="22"/>
          <w:szCs w:val="22"/>
          <w:lang w:val="en-US" w:eastAsia="zh-CN"/>
        </w:rPr>
        <w:t>References</w:t>
      </w:r>
      <w:bookmarkEnd w:id="20"/>
      <w:bookmarkEnd w:id="21"/>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highlight w:val="none"/>
          <w:shd w:val="clear" w:fill="FFFFFF"/>
        </w:rPr>
      </w:pPr>
      <w:r>
        <w:rPr>
          <w:rFonts w:hint="default" w:ascii="Times New Roman" w:hAnsi="Times New Roman" w:eastAsia="宋体" w:cs="Times New Roman"/>
          <w:i w:val="0"/>
          <w:iCs w:val="0"/>
          <w:caps w:val="0"/>
          <w:color w:val="222222"/>
          <w:spacing w:val="0"/>
          <w:sz w:val="22"/>
          <w:szCs w:val="22"/>
          <w:highlight w:val="none"/>
          <w:shd w:val="clear" w:fill="FFFFFF"/>
        </w:rPr>
        <w:t xml:space="preserve">Tencent. (n.d.). Tencent website. Retrieved from </w:t>
      </w:r>
      <w:r>
        <w:rPr>
          <w:rFonts w:hint="default" w:ascii="Times New Roman" w:hAnsi="Times New Roman" w:eastAsia="宋体" w:cs="Times New Roman"/>
          <w:i w:val="0"/>
          <w:iCs w:val="0"/>
          <w:caps w:val="0"/>
          <w:color w:val="222222"/>
          <w:spacing w:val="0"/>
          <w:sz w:val="22"/>
          <w:szCs w:val="22"/>
          <w:highlight w:val="none"/>
          <w:shd w:val="clear" w:fill="FFFFFF"/>
        </w:rPr>
        <w:fldChar w:fldCharType="begin"/>
      </w:r>
      <w:r>
        <w:rPr>
          <w:rFonts w:hint="default" w:ascii="Times New Roman" w:hAnsi="Times New Roman" w:eastAsia="宋体" w:cs="Times New Roman"/>
          <w:i w:val="0"/>
          <w:iCs w:val="0"/>
          <w:caps w:val="0"/>
          <w:color w:val="222222"/>
          <w:spacing w:val="0"/>
          <w:sz w:val="22"/>
          <w:szCs w:val="22"/>
          <w:highlight w:val="none"/>
          <w:shd w:val="clear" w:fill="FFFFFF"/>
        </w:rPr>
        <w:instrText xml:space="preserve"> HYPERLINK "https://www.tencent.com/" \t "https://chat.openai.com/_new" </w:instrText>
      </w:r>
      <w:r>
        <w:rPr>
          <w:rFonts w:hint="default" w:ascii="Times New Roman" w:hAnsi="Times New Roman" w:eastAsia="宋体" w:cs="Times New Roman"/>
          <w:i w:val="0"/>
          <w:iCs w:val="0"/>
          <w:caps w:val="0"/>
          <w:color w:val="222222"/>
          <w:spacing w:val="0"/>
          <w:sz w:val="22"/>
          <w:szCs w:val="22"/>
          <w:highlight w:val="none"/>
          <w:shd w:val="clear" w:fill="FFFFFF"/>
        </w:rPr>
        <w:fldChar w:fldCharType="separate"/>
      </w:r>
      <w:r>
        <w:rPr>
          <w:rFonts w:hint="default" w:ascii="Times New Roman" w:hAnsi="Times New Roman" w:eastAsia="宋体" w:cs="Times New Roman"/>
          <w:i w:val="0"/>
          <w:iCs w:val="0"/>
          <w:caps w:val="0"/>
          <w:color w:val="222222"/>
          <w:spacing w:val="0"/>
          <w:sz w:val="22"/>
          <w:szCs w:val="22"/>
          <w:highlight w:val="none"/>
          <w:shd w:val="clear" w:fill="FFFFFF"/>
        </w:rPr>
        <w:t>https://www.tencent.com/</w:t>
      </w:r>
      <w:r>
        <w:rPr>
          <w:rFonts w:hint="default" w:ascii="Times New Roman" w:hAnsi="Times New Roman" w:eastAsia="宋体" w:cs="Times New Roman"/>
          <w:i w:val="0"/>
          <w:iCs w:val="0"/>
          <w:caps w:val="0"/>
          <w:color w:val="222222"/>
          <w:spacing w:val="0"/>
          <w:sz w:val="22"/>
          <w:szCs w:val="22"/>
          <w:highlight w:val="none"/>
          <w:shd w:val="clear" w:fill="FFFFFF"/>
        </w:rPr>
        <w:fldChar w:fldCharType="end"/>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highlight w:val="none"/>
          <w:shd w:val="clear" w:fill="FFFFFF"/>
        </w:rPr>
        <w:t>Attridge, M. (2009). Measuring and managing employee work engagement: A review of the research and business literature. Journal of workplace behavioral health, 24(4), 383-398.</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Bai, J.&amp; Liu, J. (2018). A study on the influence of career growth on work engagement among new generation employees. Open Journal of Business and Management, 6(02), 300.</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Bamberger, P. A., Biron, M., &amp; Boon, C. (2014). Human resource strategy: Formulation, implementation, and impact. Routledge.</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Bedarkar, M., &amp; Pandita, D. (2014). A study on the drivers of employee engagement impacting employee performance. Procedia-Social and Behavioral Sciences, 133, 106-115.</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Boxall, P. (1996). The strategic HRM debate and the resource‐based view of the firm. </w:t>
      </w:r>
      <w:r>
        <w:rPr>
          <w:rFonts w:hint="default" w:ascii="Times New Roman" w:hAnsi="Times New Roman" w:eastAsia="宋体" w:cs="Times New Roman"/>
          <w:i/>
          <w:iCs/>
          <w:caps w:val="0"/>
          <w:color w:val="222222"/>
          <w:spacing w:val="0"/>
          <w:sz w:val="22"/>
          <w:szCs w:val="22"/>
          <w:shd w:val="clear" w:fill="FFFFFF"/>
        </w:rPr>
        <w:t>Human resource management journal</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6</w:t>
      </w:r>
      <w:r>
        <w:rPr>
          <w:rFonts w:hint="default" w:ascii="Times New Roman" w:hAnsi="Times New Roman" w:eastAsia="宋体" w:cs="Times New Roman"/>
          <w:i w:val="0"/>
          <w:iCs w:val="0"/>
          <w:caps w:val="0"/>
          <w:color w:val="222222"/>
          <w:spacing w:val="0"/>
          <w:sz w:val="22"/>
          <w:szCs w:val="22"/>
          <w:shd w:val="clear" w:fill="FFFFFF"/>
        </w:rPr>
        <w:t>(3), 59-75.</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Campion, M. A., Cheraskin, L., &amp; Stevens, M. J. (1994). Career-related antecedents and outcomes of job rotation. Academy of management journal, 37(6), 1518-1542.</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Ericksen, J., &amp; Dyer, L. (2005). Toward a strategic human resource management model of high reliability organization performance. The international journal of human resource management, 16(6), 907-928.</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Henry, A. (2021). Understanding strategic management. Oxford University Press.</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Hitt, M. A.</w:t>
      </w:r>
      <w:r>
        <w:rPr>
          <w:rFonts w:ascii="Times New Roman" w:hAnsi="Times New Roman" w:cs="Times New Roman"/>
          <w:i/>
          <w:iCs/>
          <w:sz w:val="24"/>
        </w:rPr>
        <w:t>et al.</w:t>
      </w:r>
      <w:r>
        <w:rPr>
          <w:rFonts w:hint="default" w:ascii="Times New Roman" w:hAnsi="Times New Roman" w:eastAsia="宋体" w:cs="Times New Roman"/>
          <w:i w:val="0"/>
          <w:iCs w:val="0"/>
          <w:caps w:val="0"/>
          <w:color w:val="222222"/>
          <w:spacing w:val="0"/>
          <w:sz w:val="22"/>
          <w:szCs w:val="22"/>
          <w:shd w:val="clear" w:fill="FFFFFF"/>
        </w:rPr>
        <w:t xml:space="preserve"> (2016). Strategic management: Concepts and cases: Competitiveness and globalization. Cengage Learning.</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Jiang, H., &amp; Men, R. L. (2017). Creating an engaged workforce: The impact of authentic leadership, transparent organizational communication, and work-life enrichment. </w:t>
      </w:r>
      <w:r>
        <w:rPr>
          <w:rFonts w:hint="default" w:ascii="Times New Roman" w:hAnsi="Times New Roman" w:eastAsia="宋体" w:cs="Times New Roman"/>
          <w:i/>
          <w:iCs/>
          <w:caps w:val="0"/>
          <w:color w:val="222222"/>
          <w:spacing w:val="0"/>
          <w:sz w:val="22"/>
          <w:szCs w:val="22"/>
          <w:shd w:val="clear" w:fill="FFFFFF"/>
        </w:rPr>
        <w:t>Communication research</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44</w:t>
      </w:r>
      <w:r>
        <w:rPr>
          <w:rFonts w:hint="default" w:ascii="Times New Roman" w:hAnsi="Times New Roman" w:eastAsia="宋体" w:cs="Times New Roman"/>
          <w:i w:val="0"/>
          <w:iCs w:val="0"/>
          <w:caps w:val="0"/>
          <w:color w:val="222222"/>
          <w:spacing w:val="0"/>
          <w:sz w:val="22"/>
          <w:szCs w:val="22"/>
          <w:shd w:val="clear" w:fill="FFFFFF"/>
        </w:rPr>
        <w:t>(2), 225-243.</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Kane, G. C. (2017). The evolutionary implications of social media for organizational knowledge management. Information and organization, 27(1), 37-46.</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Kelliher, C., &amp; Anderson, D. (2010). Doing more with less? Flexible working practices and the intensification of work. Human relations, 63(1), 83-106.</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Lengnick-Hall, M. L.</w:t>
      </w:r>
      <w:r>
        <w:rPr>
          <w:rFonts w:ascii="Times New Roman" w:hAnsi="Times New Roman" w:cs="Times New Roman"/>
          <w:i/>
          <w:iCs/>
          <w:sz w:val="24"/>
        </w:rPr>
        <w:t>et al.</w:t>
      </w:r>
      <w:r>
        <w:rPr>
          <w:rFonts w:hint="default" w:ascii="Times New Roman" w:hAnsi="Times New Roman" w:eastAsia="宋体" w:cs="Times New Roman"/>
          <w:i w:val="0"/>
          <w:iCs w:val="0"/>
          <w:caps w:val="0"/>
          <w:color w:val="222222"/>
          <w:spacing w:val="0"/>
          <w:sz w:val="22"/>
          <w:szCs w:val="22"/>
          <w:shd w:val="clear" w:fill="FFFFFF"/>
        </w:rPr>
        <w:t xml:space="preserve"> (2009). Strategic human resource management: The evolution of the field. Human resource management review, 19(2), 64-85.</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Mainiero, L. A., &amp; Sullivan, S. E. (2006). The opt out revolt: Whe people are leaving companies to create kaleidoscope careers. Davies-Black Publishing.</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Markos, S., &amp; Sridevi, M. S. (2010). Employee engagement: The key to improving performance. International journal of business and management, 5(12), 89.</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McCall, D. (2017). An Exploration of the Experiences of African American Male Teachers Who Left the Profession: Framed with Maslow's Hierarchy of Needs. Lamar University-Beaumont.</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McCown, N</w:t>
      </w:r>
      <w:r>
        <w:rPr>
          <w:rFonts w:ascii="Times New Roman" w:hAnsi="Times New Roman" w:cs="Times New Roman"/>
          <w:i/>
          <w:iCs/>
          <w:sz w:val="24"/>
        </w:rPr>
        <w:t>et al.</w:t>
      </w:r>
      <w:r>
        <w:rPr>
          <w:rFonts w:hint="default" w:ascii="Times New Roman" w:hAnsi="Times New Roman" w:eastAsia="宋体" w:cs="Times New Roman"/>
          <w:i w:val="0"/>
          <w:iCs w:val="0"/>
          <w:caps w:val="0"/>
          <w:color w:val="222222"/>
          <w:spacing w:val="0"/>
          <w:sz w:val="22"/>
          <w:szCs w:val="22"/>
          <w:shd w:val="clear" w:fill="FFFFFF"/>
        </w:rPr>
        <w:t xml:space="preserve"> (2023). Internal Communication and Employee Engagement: A Case Study Approach. Taylor &amp; Francis.</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Melewar,T.C.</w:t>
      </w:r>
      <w:r>
        <w:rPr>
          <w:rFonts w:ascii="Times New Roman" w:hAnsi="Times New Roman" w:cs="Times New Roman"/>
          <w:i/>
          <w:iCs/>
          <w:sz w:val="24"/>
        </w:rPr>
        <w:t>et</w:t>
      </w:r>
      <w:r>
        <w:rPr>
          <w:rFonts w:hint="eastAsia" w:ascii="Times New Roman" w:hAnsi="Times New Roman" w:cs="Times New Roman"/>
          <w:i/>
          <w:iCs/>
          <w:sz w:val="24"/>
          <w:lang w:val="en-US" w:eastAsia="zh-CN"/>
        </w:rPr>
        <w:t xml:space="preserve"> </w:t>
      </w:r>
      <w:r>
        <w:rPr>
          <w:rFonts w:ascii="Times New Roman" w:hAnsi="Times New Roman" w:cs="Times New Roman"/>
          <w:i/>
          <w:iCs/>
          <w:sz w:val="24"/>
        </w:rPr>
        <w:t>al.</w:t>
      </w:r>
      <w:r>
        <w:rPr>
          <w:rFonts w:hint="default" w:ascii="Times New Roman" w:hAnsi="Times New Roman" w:eastAsia="宋体" w:cs="Times New Roman"/>
          <w:i w:val="0"/>
          <w:iCs w:val="0"/>
          <w:caps w:val="0"/>
          <w:color w:val="222222"/>
          <w:spacing w:val="0"/>
          <w:sz w:val="22"/>
          <w:szCs w:val="22"/>
          <w:shd w:val="clear" w:fill="FFFFFF"/>
        </w:rPr>
        <w:t xml:space="preserve"> (2005). Corporate identity: concept, components and contribution. </w:t>
      </w:r>
      <w:r>
        <w:rPr>
          <w:rFonts w:hint="default" w:ascii="Times New Roman" w:hAnsi="Times New Roman" w:eastAsia="宋体" w:cs="Times New Roman"/>
          <w:i/>
          <w:iCs/>
          <w:caps w:val="0"/>
          <w:color w:val="222222"/>
          <w:spacing w:val="0"/>
          <w:sz w:val="22"/>
          <w:szCs w:val="22"/>
          <w:shd w:val="clear" w:fill="FFFFFF"/>
        </w:rPr>
        <w:t>Journal of General Management</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31</w:t>
      </w:r>
      <w:r>
        <w:rPr>
          <w:rFonts w:hint="default" w:ascii="Times New Roman" w:hAnsi="Times New Roman" w:eastAsia="宋体" w:cs="Times New Roman"/>
          <w:i w:val="0"/>
          <w:iCs w:val="0"/>
          <w:caps w:val="0"/>
          <w:color w:val="222222"/>
          <w:spacing w:val="0"/>
          <w:sz w:val="22"/>
          <w:szCs w:val="22"/>
          <w:shd w:val="clear" w:fill="FFFFFF"/>
        </w:rPr>
        <w:t>(1), 59-81.</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Morgan, J. (2014). The future of work: Attract new talent, build better leaders, and create a competitive organization. John Wiley &amp; Sons.</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Moro, S.,</w:t>
      </w:r>
      <w:r>
        <w:rPr>
          <w:rFonts w:ascii="Times New Roman" w:hAnsi="Times New Roman" w:cs="Times New Roman"/>
          <w:i/>
          <w:iCs/>
          <w:sz w:val="24"/>
        </w:rPr>
        <w:t>et al.</w:t>
      </w:r>
      <w:r>
        <w:rPr>
          <w:rFonts w:hint="default" w:ascii="Times New Roman" w:hAnsi="Times New Roman" w:eastAsia="宋体" w:cs="Times New Roman"/>
          <w:i w:val="0"/>
          <w:iCs w:val="0"/>
          <w:caps w:val="0"/>
          <w:color w:val="222222"/>
          <w:spacing w:val="0"/>
          <w:sz w:val="22"/>
          <w:szCs w:val="22"/>
          <w:shd w:val="clear" w:fill="FFFFFF"/>
        </w:rPr>
        <w:t xml:space="preserve"> (2021). What drives job satisfaction in IT companies?. International Journal of Productivity and Performance Management, 70(2), 391-407.</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Napitupulu, B. E. P. (2020). What Makes Tencent Becomes A Successful Business? A Case Study</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Peter, L.</w:t>
      </w:r>
      <w:r>
        <w:rPr>
          <w:rFonts w:ascii="Times New Roman" w:hAnsi="Times New Roman" w:cs="Times New Roman"/>
          <w:i/>
          <w:iCs/>
          <w:sz w:val="24"/>
        </w:rPr>
        <w:t>et al.</w:t>
      </w:r>
      <w:r>
        <w:rPr>
          <w:rFonts w:hint="default" w:ascii="Times New Roman" w:hAnsi="Times New Roman" w:eastAsia="宋体" w:cs="Times New Roman"/>
          <w:i w:val="0"/>
          <w:iCs w:val="0"/>
          <w:caps w:val="0"/>
          <w:color w:val="222222"/>
          <w:spacing w:val="0"/>
          <w:sz w:val="22"/>
          <w:szCs w:val="22"/>
          <w:shd w:val="clear" w:fill="FFFFFF"/>
        </w:rPr>
        <w:t xml:space="preserve"> (2019). Collaboration Between Corporations and Startups: The Startup-Collaboration-Model.</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Waiganjo, E. W., Mukulu, E., &amp; Kahiri, J. (2012). Relationship between strategic human resource management and firm performance of Kenya’s corporate organizations. </w:t>
      </w:r>
      <w:r>
        <w:rPr>
          <w:rFonts w:hint="default" w:ascii="Times New Roman" w:hAnsi="Times New Roman" w:eastAsia="宋体" w:cs="Times New Roman"/>
          <w:i/>
          <w:iCs/>
          <w:caps w:val="0"/>
          <w:color w:val="222222"/>
          <w:spacing w:val="0"/>
          <w:sz w:val="22"/>
          <w:szCs w:val="22"/>
          <w:shd w:val="clear" w:fill="FFFFFF"/>
        </w:rPr>
        <w:t>International Journal of Humanities and Social Science</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2</w:t>
      </w:r>
      <w:r>
        <w:rPr>
          <w:rFonts w:hint="default" w:ascii="Times New Roman" w:hAnsi="Times New Roman" w:eastAsia="宋体" w:cs="Times New Roman"/>
          <w:i w:val="0"/>
          <w:iCs w:val="0"/>
          <w:caps w:val="0"/>
          <w:color w:val="222222"/>
          <w:spacing w:val="0"/>
          <w:sz w:val="22"/>
          <w:szCs w:val="22"/>
          <w:shd w:val="clear" w:fill="FFFFFF"/>
        </w:rPr>
        <w:t>(10), 62-70.</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cs="Times New Roman"/>
          <w:b/>
          <w:bCs/>
          <w:sz w:val="22"/>
          <w:szCs w:val="22"/>
          <w:lang w:val="en-US" w:eastAsia="zh-CN"/>
        </w:rPr>
      </w:pPr>
      <w:r>
        <w:rPr>
          <w:rFonts w:hint="default" w:ascii="Times New Roman" w:hAnsi="Times New Roman" w:eastAsia="宋体" w:cs="Times New Roman"/>
          <w:i w:val="0"/>
          <w:iCs w:val="0"/>
          <w:caps w:val="0"/>
          <w:color w:val="222222"/>
          <w:spacing w:val="0"/>
          <w:sz w:val="22"/>
          <w:szCs w:val="22"/>
          <w:shd w:val="clear" w:fill="FFFFFF"/>
        </w:rPr>
        <w:t>Suen, T. Y.</w:t>
      </w:r>
      <w:r>
        <w:rPr>
          <w:rFonts w:ascii="Times New Roman" w:hAnsi="Times New Roman" w:cs="Times New Roman"/>
          <w:i/>
          <w:iCs/>
          <w:sz w:val="24"/>
        </w:rPr>
        <w:t>et al.</w:t>
      </w:r>
      <w:r>
        <w:rPr>
          <w:rFonts w:hint="default" w:ascii="Times New Roman" w:hAnsi="Times New Roman" w:eastAsia="宋体" w:cs="Times New Roman"/>
          <w:i w:val="0"/>
          <w:iCs w:val="0"/>
          <w:caps w:val="0"/>
          <w:color w:val="222222"/>
          <w:spacing w:val="0"/>
          <w:sz w:val="22"/>
          <w:szCs w:val="22"/>
          <w:shd w:val="clear" w:fill="FFFFFF"/>
        </w:rPr>
        <w:t xml:space="preserve"> (2022). Effects of intrinsic and extrinsic motivational factors on employee participation in internal crowdsourcing initiatives in China. </w:t>
      </w:r>
      <w:r>
        <w:rPr>
          <w:rFonts w:hint="default" w:ascii="Times New Roman" w:hAnsi="Times New Roman" w:eastAsia="宋体" w:cs="Times New Roman"/>
          <w:i/>
          <w:iCs/>
          <w:caps w:val="0"/>
          <w:color w:val="222222"/>
          <w:spacing w:val="0"/>
          <w:sz w:val="22"/>
          <w:szCs w:val="22"/>
          <w:shd w:val="clear" w:fill="FFFFFF"/>
        </w:rPr>
        <w:t>Sustainability</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14</w:t>
      </w:r>
      <w:r>
        <w:rPr>
          <w:rFonts w:hint="default" w:ascii="Times New Roman" w:hAnsi="Times New Roman" w:eastAsia="宋体" w:cs="Times New Roman"/>
          <w:i w:val="0"/>
          <w:iCs w:val="0"/>
          <w:caps w:val="0"/>
          <w:color w:val="222222"/>
          <w:spacing w:val="0"/>
          <w:sz w:val="22"/>
          <w:szCs w:val="22"/>
          <w:shd w:val="clear" w:fill="FFFFFF"/>
        </w:rPr>
        <w:t>(14), 8878.</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cs="Times New Roman"/>
          <w:b/>
          <w:bCs/>
          <w:sz w:val="22"/>
          <w:szCs w:val="22"/>
          <w:lang w:val="en-US" w:eastAsia="zh-CN"/>
        </w:rPr>
      </w:pPr>
      <w:r>
        <w:rPr>
          <w:rFonts w:hint="default" w:ascii="Times New Roman" w:hAnsi="Times New Roman" w:eastAsia="宋体" w:cs="Times New Roman"/>
          <w:i w:val="0"/>
          <w:iCs w:val="0"/>
          <w:caps w:val="0"/>
          <w:color w:val="222222"/>
          <w:spacing w:val="0"/>
          <w:sz w:val="22"/>
          <w:szCs w:val="22"/>
          <w:shd w:val="clear" w:fill="FFFFFF"/>
        </w:rPr>
        <w:t xml:space="preserve">Xiao, M., </w:t>
      </w:r>
      <w:r>
        <w:rPr>
          <w:rFonts w:ascii="Times New Roman" w:hAnsi="Times New Roman" w:cs="Times New Roman"/>
          <w:i/>
          <w:iCs/>
          <w:sz w:val="24"/>
        </w:rPr>
        <w:t>et al.</w:t>
      </w:r>
      <w:r>
        <w:rPr>
          <w:rFonts w:hint="default" w:ascii="Times New Roman" w:hAnsi="Times New Roman" w:eastAsia="宋体" w:cs="Times New Roman"/>
          <w:i w:val="0"/>
          <w:iCs w:val="0"/>
          <w:caps w:val="0"/>
          <w:color w:val="222222"/>
          <w:spacing w:val="0"/>
          <w:sz w:val="22"/>
          <w:szCs w:val="22"/>
          <w:shd w:val="clear" w:fill="FFFFFF"/>
        </w:rPr>
        <w:t>(2020). To what extent is corporate social responsibility part of human resource management in the Chinese context? A review of literature and future research directions. </w:t>
      </w:r>
      <w:r>
        <w:rPr>
          <w:rFonts w:hint="default" w:ascii="Times New Roman" w:hAnsi="Times New Roman" w:eastAsia="宋体" w:cs="Times New Roman"/>
          <w:i/>
          <w:iCs/>
          <w:caps w:val="0"/>
          <w:color w:val="222222"/>
          <w:spacing w:val="0"/>
          <w:sz w:val="22"/>
          <w:szCs w:val="22"/>
          <w:shd w:val="clear" w:fill="FFFFFF"/>
        </w:rPr>
        <w:t>Human Resource Management Review</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30</w:t>
      </w:r>
      <w:r>
        <w:rPr>
          <w:rFonts w:hint="default" w:ascii="Times New Roman" w:hAnsi="Times New Roman" w:eastAsia="宋体" w:cs="Times New Roman"/>
          <w:i w:val="0"/>
          <w:iCs w:val="0"/>
          <w:caps w:val="0"/>
          <w:color w:val="222222"/>
          <w:spacing w:val="0"/>
          <w:sz w:val="22"/>
          <w:szCs w:val="22"/>
          <w:shd w:val="clear" w:fill="FFFFFF"/>
        </w:rPr>
        <w:t>(4), 100726.</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bookmarkStart w:id="22" w:name="_Toc13187"/>
      <w:bookmarkStart w:id="23" w:name="_Toc24450"/>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r>
        <w:rPr>
          <w:rFonts w:hint="default" w:ascii="Times New Roman" w:hAnsi="Times New Roman" w:cs="Times New Roman"/>
          <w:b/>
          <w:bCs/>
          <w:sz w:val="22"/>
          <w:szCs w:val="22"/>
          <w:lang w:val="en-US" w:eastAsia="zh-CN"/>
        </w:rPr>
        <w:t>Appendix</w:t>
      </w:r>
      <w:bookmarkEnd w:id="22"/>
      <w:bookmarkEnd w:id="23"/>
      <w:r>
        <w:rPr>
          <w:rFonts w:hint="default" w:ascii="Times New Roman" w:hAnsi="Times New Roman" w:cs="Times New Roman"/>
          <w:b/>
          <w:bCs/>
          <w:sz w:val="22"/>
          <w:szCs w:val="22"/>
          <w:lang w:val="en-US" w:eastAsia="zh-CN"/>
        </w:rPr>
        <w:t xml:space="preserve"> </w:t>
      </w: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bookmarkStart w:id="24" w:name="_Toc8722"/>
      <w:bookmarkStart w:id="25" w:name="_Toc947"/>
      <w:r>
        <w:rPr>
          <w:rFonts w:hint="default" w:ascii="Times New Roman" w:hAnsi="Times New Roman" w:cs="Times New Roman"/>
          <w:b/>
          <w:bCs/>
          <w:sz w:val="22"/>
          <w:szCs w:val="22"/>
          <w:lang w:val="en-US" w:eastAsia="zh-CN"/>
        </w:rPr>
        <w:t>Interview outline</w:t>
      </w:r>
      <w:bookmarkEnd w:id="24"/>
      <w:bookmarkEnd w:id="25"/>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2"/>
          <w:szCs w:val="22"/>
          <w:lang w:val="en-US" w:eastAsia="zh-CN"/>
        </w:rPr>
      </w:pPr>
      <w:r>
        <w:rPr>
          <w:rFonts w:hint="default" w:ascii="Times New Roman" w:hAnsi="Times New Roman" w:cs="Times New Roman"/>
          <w:b/>
          <w:bCs/>
          <w:sz w:val="22"/>
          <w:szCs w:val="22"/>
          <w:lang w:val="en-US" w:eastAsia="zh-CN"/>
        </w:rPr>
        <w:t xml:space="preserve">Interview Topic: Employees' views on Tencent's existing HR system and the level ofparticipation  Interview content: </w:t>
      </w:r>
    </w:p>
    <w:p>
      <w:pPr>
        <w:keepNext w:val="0"/>
        <w:keepLines w:val="0"/>
        <w:pageBreakBefore w:val="0"/>
        <w:numPr>
          <w:ilvl w:val="0"/>
          <w:numId w:val="2"/>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Please tell us your general understanding of Tencent's human resources management? </w:t>
      </w:r>
    </w:p>
    <w:p>
      <w:pPr>
        <w:keepNext w:val="0"/>
        <w:keepLines w:val="0"/>
        <w:pageBreakBefore w:val="0"/>
        <w:numPr>
          <w:ilvl w:val="0"/>
          <w:numId w:val="2"/>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What kind of training do you think Tencent has for the development and growth of its employees? </w:t>
      </w:r>
    </w:p>
    <w:p>
      <w:pPr>
        <w:keepNext w:val="0"/>
        <w:keepLines w:val="0"/>
        <w:pageBreakBefore w:val="0"/>
        <w:numPr>
          <w:ilvl w:val="0"/>
          <w:numId w:val="2"/>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What qualities do you think Tencent values most in its requirements for talents? Are they the same for different businesses?  </w:t>
      </w:r>
    </w:p>
    <w:p>
      <w:pPr>
        <w:keepNext w:val="0"/>
        <w:keepLines w:val="0"/>
        <w:pageBreakBefore w:val="0"/>
        <w:numPr>
          <w:ilvl w:val="0"/>
          <w:numId w:val="2"/>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How do you think you participate and contribute in your work? </w:t>
      </w:r>
    </w:p>
    <w:p>
      <w:pPr>
        <w:keepNext w:val="0"/>
        <w:keepLines w:val="0"/>
        <w:pageBreakBefore w:val="0"/>
        <w:numPr>
          <w:ilvl w:val="0"/>
          <w:numId w:val="2"/>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What communication methods do you think Tencent has and how much does it affect your daily work?  </w:t>
      </w:r>
    </w:p>
    <w:p>
      <w:pPr>
        <w:keepNext w:val="0"/>
        <w:keepLines w:val="0"/>
        <w:pageBreakBefore w:val="0"/>
        <w:numPr>
          <w:ilvl w:val="0"/>
          <w:numId w:val="2"/>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What do you think are the main reasons that make you less involved at work? </w:t>
      </w:r>
    </w:p>
    <w:p>
      <w:pPr>
        <w:keepNext w:val="0"/>
        <w:keepLines w:val="0"/>
        <w:pageBreakBefore w:val="0"/>
        <w:numPr>
          <w:ilvl w:val="0"/>
          <w:numId w:val="2"/>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When the business has demand for HR, how does HR provide help? </w:t>
      </w:r>
    </w:p>
    <w:p>
      <w:pPr>
        <w:keepNext w:val="0"/>
        <w:keepLines w:val="0"/>
        <w:pageBreakBefore w:val="0"/>
        <w:numPr>
          <w:ilvl w:val="0"/>
          <w:numId w:val="2"/>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What other opinions or suggestions do you have for the company's HR management?</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058471D"/>
    <w:multiLevelType w:val="singleLevel"/>
    <w:tmpl w:val="9058471D"/>
    <w:lvl w:ilvl="0" w:tentative="0">
      <w:start w:val="1"/>
      <w:numFmt w:val="decimal"/>
      <w:suff w:val="space"/>
      <w:lvlText w:val="%1."/>
      <w:lvlJc w:val="left"/>
      <w:pPr>
        <w:ind w:left="105" w:leftChars="0" w:firstLine="0" w:firstLineChars="0"/>
      </w:pPr>
    </w:lvl>
  </w:abstractNum>
  <w:abstractNum w:abstractNumId="1">
    <w:nsid w:val="96E6C717"/>
    <w:multiLevelType w:val="singleLevel"/>
    <w:tmpl w:val="96E6C717"/>
    <w:lvl w:ilvl="0" w:tentative="0">
      <w:start w:val="1"/>
      <w:numFmt w:val="decimal"/>
      <w:lvlText w:val="%1."/>
      <w:lvlJc w:val="left"/>
      <w:pPr>
        <w:ind w:left="425" w:hanging="425"/>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jJkODQ5MTdiZGYyY2Q3ZTE4MzEzOTk3MjE4OTY5YTcifQ=="/>
  </w:docVars>
  <w:rsids>
    <w:rsidRoot w:val="00000000"/>
    <w:rsid w:val="00292767"/>
    <w:rsid w:val="002E512F"/>
    <w:rsid w:val="007E567F"/>
    <w:rsid w:val="00A879DA"/>
    <w:rsid w:val="00E57BE0"/>
    <w:rsid w:val="015A44F0"/>
    <w:rsid w:val="015E4AD6"/>
    <w:rsid w:val="01657C13"/>
    <w:rsid w:val="017701AF"/>
    <w:rsid w:val="01960264"/>
    <w:rsid w:val="01B73CF6"/>
    <w:rsid w:val="01EC537E"/>
    <w:rsid w:val="023254F5"/>
    <w:rsid w:val="02CC0A05"/>
    <w:rsid w:val="02DF281B"/>
    <w:rsid w:val="03181C9A"/>
    <w:rsid w:val="0325169B"/>
    <w:rsid w:val="03724E42"/>
    <w:rsid w:val="041F2E1B"/>
    <w:rsid w:val="042350E1"/>
    <w:rsid w:val="04856039"/>
    <w:rsid w:val="04B40AC2"/>
    <w:rsid w:val="052D229B"/>
    <w:rsid w:val="053D7C71"/>
    <w:rsid w:val="054D69D3"/>
    <w:rsid w:val="05B80C59"/>
    <w:rsid w:val="07F67821"/>
    <w:rsid w:val="08656662"/>
    <w:rsid w:val="08EB2893"/>
    <w:rsid w:val="09015098"/>
    <w:rsid w:val="09681660"/>
    <w:rsid w:val="09757460"/>
    <w:rsid w:val="097D4CD3"/>
    <w:rsid w:val="099A4D6D"/>
    <w:rsid w:val="0A2C23B4"/>
    <w:rsid w:val="0A71219B"/>
    <w:rsid w:val="0A900998"/>
    <w:rsid w:val="0AC57A3F"/>
    <w:rsid w:val="0AEC7B1C"/>
    <w:rsid w:val="0B7F088C"/>
    <w:rsid w:val="0BF73B5D"/>
    <w:rsid w:val="0C27534D"/>
    <w:rsid w:val="0C4A6B41"/>
    <w:rsid w:val="0CAD07EE"/>
    <w:rsid w:val="0D2D374E"/>
    <w:rsid w:val="0D9164D0"/>
    <w:rsid w:val="0DB42CE2"/>
    <w:rsid w:val="0DCF6A20"/>
    <w:rsid w:val="0E247C0F"/>
    <w:rsid w:val="0E3B277A"/>
    <w:rsid w:val="0E5471E3"/>
    <w:rsid w:val="0E632035"/>
    <w:rsid w:val="0E8C3A5F"/>
    <w:rsid w:val="0F3155D8"/>
    <w:rsid w:val="0F8B4CE8"/>
    <w:rsid w:val="0FA17166"/>
    <w:rsid w:val="101B6E73"/>
    <w:rsid w:val="101C3B92"/>
    <w:rsid w:val="107616CB"/>
    <w:rsid w:val="11052156"/>
    <w:rsid w:val="118D7048"/>
    <w:rsid w:val="11902A8A"/>
    <w:rsid w:val="11C64C74"/>
    <w:rsid w:val="123A29F6"/>
    <w:rsid w:val="12530553"/>
    <w:rsid w:val="12863F52"/>
    <w:rsid w:val="12E806A4"/>
    <w:rsid w:val="12F4294B"/>
    <w:rsid w:val="12F50D4A"/>
    <w:rsid w:val="131A64FE"/>
    <w:rsid w:val="1343009C"/>
    <w:rsid w:val="1409038E"/>
    <w:rsid w:val="14874BA2"/>
    <w:rsid w:val="14E14F7C"/>
    <w:rsid w:val="15197F4F"/>
    <w:rsid w:val="159A18FC"/>
    <w:rsid w:val="15A25B9D"/>
    <w:rsid w:val="15FE08AB"/>
    <w:rsid w:val="16490ED6"/>
    <w:rsid w:val="17581AEC"/>
    <w:rsid w:val="17A53A5E"/>
    <w:rsid w:val="17B96AD8"/>
    <w:rsid w:val="1861143C"/>
    <w:rsid w:val="18F521AF"/>
    <w:rsid w:val="191076B1"/>
    <w:rsid w:val="1925024E"/>
    <w:rsid w:val="19283A9C"/>
    <w:rsid w:val="193B7916"/>
    <w:rsid w:val="19AB618B"/>
    <w:rsid w:val="19CC0F60"/>
    <w:rsid w:val="19D72D50"/>
    <w:rsid w:val="19E204C7"/>
    <w:rsid w:val="1A057D8D"/>
    <w:rsid w:val="1A8567D8"/>
    <w:rsid w:val="1B0B13D3"/>
    <w:rsid w:val="1B6C5721"/>
    <w:rsid w:val="1B6E1D7B"/>
    <w:rsid w:val="1BF63E31"/>
    <w:rsid w:val="1C411353"/>
    <w:rsid w:val="1C65122C"/>
    <w:rsid w:val="1C8828B3"/>
    <w:rsid w:val="1D151F38"/>
    <w:rsid w:val="1D2B3667"/>
    <w:rsid w:val="1D3D2E59"/>
    <w:rsid w:val="1DA0069D"/>
    <w:rsid w:val="1E917E41"/>
    <w:rsid w:val="1EBA56AD"/>
    <w:rsid w:val="1EDE49BF"/>
    <w:rsid w:val="1F7F7DCC"/>
    <w:rsid w:val="1FEA3B82"/>
    <w:rsid w:val="1FF348E3"/>
    <w:rsid w:val="20084521"/>
    <w:rsid w:val="2059439C"/>
    <w:rsid w:val="209D2ACD"/>
    <w:rsid w:val="211F46B2"/>
    <w:rsid w:val="21C14629"/>
    <w:rsid w:val="21CF0FEE"/>
    <w:rsid w:val="220459B9"/>
    <w:rsid w:val="220C76C7"/>
    <w:rsid w:val="221A1EFC"/>
    <w:rsid w:val="2222415F"/>
    <w:rsid w:val="224D283B"/>
    <w:rsid w:val="22F866E1"/>
    <w:rsid w:val="234E729A"/>
    <w:rsid w:val="2361109A"/>
    <w:rsid w:val="241412F8"/>
    <w:rsid w:val="244B1947"/>
    <w:rsid w:val="248F4E23"/>
    <w:rsid w:val="24A06BF0"/>
    <w:rsid w:val="24A26114"/>
    <w:rsid w:val="24C32F6E"/>
    <w:rsid w:val="24D71C58"/>
    <w:rsid w:val="25011583"/>
    <w:rsid w:val="25B974F6"/>
    <w:rsid w:val="25D25173"/>
    <w:rsid w:val="2633464D"/>
    <w:rsid w:val="26734C14"/>
    <w:rsid w:val="2682413B"/>
    <w:rsid w:val="2691725A"/>
    <w:rsid w:val="26C3141B"/>
    <w:rsid w:val="27396123"/>
    <w:rsid w:val="27454D70"/>
    <w:rsid w:val="27504D7B"/>
    <w:rsid w:val="279041CB"/>
    <w:rsid w:val="27A96254"/>
    <w:rsid w:val="27CA3DE8"/>
    <w:rsid w:val="2806221B"/>
    <w:rsid w:val="280F17D3"/>
    <w:rsid w:val="288F26C5"/>
    <w:rsid w:val="28C02C4A"/>
    <w:rsid w:val="29114058"/>
    <w:rsid w:val="2930421E"/>
    <w:rsid w:val="293F2A9A"/>
    <w:rsid w:val="29882EF8"/>
    <w:rsid w:val="29993857"/>
    <w:rsid w:val="29C56BF1"/>
    <w:rsid w:val="29FA689B"/>
    <w:rsid w:val="2A517FB3"/>
    <w:rsid w:val="2A7A2C26"/>
    <w:rsid w:val="2A7D2326"/>
    <w:rsid w:val="2AAD03A2"/>
    <w:rsid w:val="2B7F799F"/>
    <w:rsid w:val="2B9609D4"/>
    <w:rsid w:val="2BAF3B19"/>
    <w:rsid w:val="2BB24F51"/>
    <w:rsid w:val="2BE60F5B"/>
    <w:rsid w:val="2C72720D"/>
    <w:rsid w:val="2C8046D6"/>
    <w:rsid w:val="2C82086A"/>
    <w:rsid w:val="2C901738"/>
    <w:rsid w:val="2C9215CF"/>
    <w:rsid w:val="2D2B4EB1"/>
    <w:rsid w:val="2D2C7125"/>
    <w:rsid w:val="2D511872"/>
    <w:rsid w:val="2D92328E"/>
    <w:rsid w:val="2DB80DA5"/>
    <w:rsid w:val="2DBD2C5A"/>
    <w:rsid w:val="2DF7665A"/>
    <w:rsid w:val="2DF93D25"/>
    <w:rsid w:val="2E5158E4"/>
    <w:rsid w:val="2E6972FC"/>
    <w:rsid w:val="2E9E347E"/>
    <w:rsid w:val="2F033D63"/>
    <w:rsid w:val="2F340AA1"/>
    <w:rsid w:val="2F3473D4"/>
    <w:rsid w:val="2F7B222C"/>
    <w:rsid w:val="30222901"/>
    <w:rsid w:val="303A6AB7"/>
    <w:rsid w:val="30865446"/>
    <w:rsid w:val="30A6777C"/>
    <w:rsid w:val="30F93F38"/>
    <w:rsid w:val="31826B09"/>
    <w:rsid w:val="31C75C99"/>
    <w:rsid w:val="32743175"/>
    <w:rsid w:val="328C47A1"/>
    <w:rsid w:val="3302255B"/>
    <w:rsid w:val="332D3AB9"/>
    <w:rsid w:val="335F00B6"/>
    <w:rsid w:val="33641F23"/>
    <w:rsid w:val="345E2BF2"/>
    <w:rsid w:val="34AF746B"/>
    <w:rsid w:val="34B8747E"/>
    <w:rsid w:val="34F85C61"/>
    <w:rsid w:val="3502656A"/>
    <w:rsid w:val="35690D78"/>
    <w:rsid w:val="35840AB9"/>
    <w:rsid w:val="35D13367"/>
    <w:rsid w:val="363472A7"/>
    <w:rsid w:val="3641554E"/>
    <w:rsid w:val="364156A8"/>
    <w:rsid w:val="369405FC"/>
    <w:rsid w:val="36BE1376"/>
    <w:rsid w:val="372C6329"/>
    <w:rsid w:val="37677539"/>
    <w:rsid w:val="378842E6"/>
    <w:rsid w:val="379D5E78"/>
    <w:rsid w:val="38F14DC4"/>
    <w:rsid w:val="38F85D0F"/>
    <w:rsid w:val="39300EC5"/>
    <w:rsid w:val="39704B22"/>
    <w:rsid w:val="397F7028"/>
    <w:rsid w:val="39DE08F2"/>
    <w:rsid w:val="3A7206CF"/>
    <w:rsid w:val="3A882316"/>
    <w:rsid w:val="3A90665A"/>
    <w:rsid w:val="3B6B4562"/>
    <w:rsid w:val="3BC444EA"/>
    <w:rsid w:val="3C3976F6"/>
    <w:rsid w:val="3C896075"/>
    <w:rsid w:val="3D22462E"/>
    <w:rsid w:val="3DA26A97"/>
    <w:rsid w:val="3DE5463A"/>
    <w:rsid w:val="3DF20324"/>
    <w:rsid w:val="3E5A667E"/>
    <w:rsid w:val="3E8C5BDD"/>
    <w:rsid w:val="3F177A97"/>
    <w:rsid w:val="3F2C68BE"/>
    <w:rsid w:val="3FBE4F64"/>
    <w:rsid w:val="3FFB0BEF"/>
    <w:rsid w:val="40C60231"/>
    <w:rsid w:val="41101133"/>
    <w:rsid w:val="41D60DAD"/>
    <w:rsid w:val="427D2CBF"/>
    <w:rsid w:val="42921D61"/>
    <w:rsid w:val="42D00828"/>
    <w:rsid w:val="42E303BC"/>
    <w:rsid w:val="43323263"/>
    <w:rsid w:val="43B15B58"/>
    <w:rsid w:val="43BA3657"/>
    <w:rsid w:val="444B03BD"/>
    <w:rsid w:val="44A16E73"/>
    <w:rsid w:val="457A3B09"/>
    <w:rsid w:val="45972853"/>
    <w:rsid w:val="45C21C6B"/>
    <w:rsid w:val="461D2149"/>
    <w:rsid w:val="465166DD"/>
    <w:rsid w:val="46647A66"/>
    <w:rsid w:val="46CA0FCA"/>
    <w:rsid w:val="46F97D6A"/>
    <w:rsid w:val="47283B21"/>
    <w:rsid w:val="474632B2"/>
    <w:rsid w:val="47646A3F"/>
    <w:rsid w:val="48AE4FC8"/>
    <w:rsid w:val="48B06F92"/>
    <w:rsid w:val="48F74973"/>
    <w:rsid w:val="496F02B6"/>
    <w:rsid w:val="49E76427"/>
    <w:rsid w:val="4A192915"/>
    <w:rsid w:val="4A2A2330"/>
    <w:rsid w:val="4AB3555F"/>
    <w:rsid w:val="4B0912CD"/>
    <w:rsid w:val="4B916B24"/>
    <w:rsid w:val="4B9506C1"/>
    <w:rsid w:val="4BC02CAB"/>
    <w:rsid w:val="4C06511B"/>
    <w:rsid w:val="4C4865CF"/>
    <w:rsid w:val="4C586A84"/>
    <w:rsid w:val="4C620180"/>
    <w:rsid w:val="4CAA1A0D"/>
    <w:rsid w:val="4CE0596C"/>
    <w:rsid w:val="4CEF5BAF"/>
    <w:rsid w:val="4D512F11"/>
    <w:rsid w:val="4F1B031F"/>
    <w:rsid w:val="4F343D4D"/>
    <w:rsid w:val="4F540874"/>
    <w:rsid w:val="4FC52472"/>
    <w:rsid w:val="4FCF3630"/>
    <w:rsid w:val="4FD71AC6"/>
    <w:rsid w:val="500F184D"/>
    <w:rsid w:val="503433BF"/>
    <w:rsid w:val="504306EC"/>
    <w:rsid w:val="5052092F"/>
    <w:rsid w:val="51157E67"/>
    <w:rsid w:val="515F5F9C"/>
    <w:rsid w:val="51894824"/>
    <w:rsid w:val="51B20719"/>
    <w:rsid w:val="51BB7C44"/>
    <w:rsid w:val="521F4740"/>
    <w:rsid w:val="52A54971"/>
    <w:rsid w:val="53AC21BD"/>
    <w:rsid w:val="53BE4E22"/>
    <w:rsid w:val="53EE58FB"/>
    <w:rsid w:val="548F1C1A"/>
    <w:rsid w:val="54957705"/>
    <w:rsid w:val="54B1092A"/>
    <w:rsid w:val="54E24523"/>
    <w:rsid w:val="550A4741"/>
    <w:rsid w:val="56D563C5"/>
    <w:rsid w:val="58016707"/>
    <w:rsid w:val="58393C95"/>
    <w:rsid w:val="584E16BE"/>
    <w:rsid w:val="588D356A"/>
    <w:rsid w:val="58B74903"/>
    <w:rsid w:val="58BA7D8A"/>
    <w:rsid w:val="59FA45B4"/>
    <w:rsid w:val="5A2D5E25"/>
    <w:rsid w:val="5B1155F5"/>
    <w:rsid w:val="5B960E71"/>
    <w:rsid w:val="5C6735EF"/>
    <w:rsid w:val="5C7F2AAC"/>
    <w:rsid w:val="5CC001D9"/>
    <w:rsid w:val="5CFB1FC5"/>
    <w:rsid w:val="5D3A3F9A"/>
    <w:rsid w:val="5DE81553"/>
    <w:rsid w:val="5E0A45F7"/>
    <w:rsid w:val="5E3E6F89"/>
    <w:rsid w:val="5E5D4214"/>
    <w:rsid w:val="5E745F14"/>
    <w:rsid w:val="5EB073E3"/>
    <w:rsid w:val="5EB74058"/>
    <w:rsid w:val="5ECE136B"/>
    <w:rsid w:val="5FD815EA"/>
    <w:rsid w:val="5FF4555F"/>
    <w:rsid w:val="60092372"/>
    <w:rsid w:val="60885CA7"/>
    <w:rsid w:val="60A32AE1"/>
    <w:rsid w:val="61613EC7"/>
    <w:rsid w:val="61686204"/>
    <w:rsid w:val="61C85FA4"/>
    <w:rsid w:val="61D50A26"/>
    <w:rsid w:val="61FC5A18"/>
    <w:rsid w:val="62546789"/>
    <w:rsid w:val="62C5306D"/>
    <w:rsid w:val="62CF45B5"/>
    <w:rsid w:val="62D34D28"/>
    <w:rsid w:val="631A7DDA"/>
    <w:rsid w:val="63365E8E"/>
    <w:rsid w:val="635F0938"/>
    <w:rsid w:val="6382453B"/>
    <w:rsid w:val="642330A7"/>
    <w:rsid w:val="645C36D2"/>
    <w:rsid w:val="648B38BE"/>
    <w:rsid w:val="64E370D3"/>
    <w:rsid w:val="65992475"/>
    <w:rsid w:val="65F577BE"/>
    <w:rsid w:val="66AE3716"/>
    <w:rsid w:val="66EB28C1"/>
    <w:rsid w:val="66F534D1"/>
    <w:rsid w:val="670A68A7"/>
    <w:rsid w:val="671F4304"/>
    <w:rsid w:val="675E0A14"/>
    <w:rsid w:val="67717A51"/>
    <w:rsid w:val="67AB66A9"/>
    <w:rsid w:val="67C779FD"/>
    <w:rsid w:val="68320923"/>
    <w:rsid w:val="68374063"/>
    <w:rsid w:val="68C47CE2"/>
    <w:rsid w:val="68CF4DBB"/>
    <w:rsid w:val="68E46A69"/>
    <w:rsid w:val="69865489"/>
    <w:rsid w:val="69965B9C"/>
    <w:rsid w:val="69B31FE7"/>
    <w:rsid w:val="69C669BB"/>
    <w:rsid w:val="69F96393"/>
    <w:rsid w:val="69FE47E4"/>
    <w:rsid w:val="6A6E544E"/>
    <w:rsid w:val="6ADB1710"/>
    <w:rsid w:val="6AFE57D1"/>
    <w:rsid w:val="6B2F1B41"/>
    <w:rsid w:val="6B685053"/>
    <w:rsid w:val="6B8B410F"/>
    <w:rsid w:val="6BA90B88"/>
    <w:rsid w:val="6BC71D79"/>
    <w:rsid w:val="6BF76C60"/>
    <w:rsid w:val="6C3C2733"/>
    <w:rsid w:val="6C902F58"/>
    <w:rsid w:val="6CA9685B"/>
    <w:rsid w:val="6CB71DEE"/>
    <w:rsid w:val="6DC31959"/>
    <w:rsid w:val="6E2A7758"/>
    <w:rsid w:val="6E2B1CF6"/>
    <w:rsid w:val="6E4A6D96"/>
    <w:rsid w:val="6E6F0955"/>
    <w:rsid w:val="6E843B83"/>
    <w:rsid w:val="6E921CDD"/>
    <w:rsid w:val="6F154AB9"/>
    <w:rsid w:val="6F5E4058"/>
    <w:rsid w:val="70275539"/>
    <w:rsid w:val="706B5DEC"/>
    <w:rsid w:val="707149AA"/>
    <w:rsid w:val="70C52E18"/>
    <w:rsid w:val="71A63482"/>
    <w:rsid w:val="71AC153F"/>
    <w:rsid w:val="71C150B8"/>
    <w:rsid w:val="71E35433"/>
    <w:rsid w:val="720803EC"/>
    <w:rsid w:val="722143C6"/>
    <w:rsid w:val="72634B29"/>
    <w:rsid w:val="726B172D"/>
    <w:rsid w:val="726D4E54"/>
    <w:rsid w:val="72A72CE0"/>
    <w:rsid w:val="72C02631"/>
    <w:rsid w:val="73547DB1"/>
    <w:rsid w:val="735A34D3"/>
    <w:rsid w:val="73C61E7F"/>
    <w:rsid w:val="746A1E3C"/>
    <w:rsid w:val="74BC0363"/>
    <w:rsid w:val="74C95CDE"/>
    <w:rsid w:val="75622B13"/>
    <w:rsid w:val="756C77F7"/>
    <w:rsid w:val="757D5F8D"/>
    <w:rsid w:val="75DE6508"/>
    <w:rsid w:val="75DF2FED"/>
    <w:rsid w:val="76C21ADD"/>
    <w:rsid w:val="770927C2"/>
    <w:rsid w:val="7735129F"/>
    <w:rsid w:val="77CA22B5"/>
    <w:rsid w:val="78DD498A"/>
    <w:rsid w:val="79216E36"/>
    <w:rsid w:val="792C4040"/>
    <w:rsid w:val="79B0209F"/>
    <w:rsid w:val="79B82596"/>
    <w:rsid w:val="79C00962"/>
    <w:rsid w:val="7A76260D"/>
    <w:rsid w:val="7A7D6BCC"/>
    <w:rsid w:val="7A8C4EE4"/>
    <w:rsid w:val="7AA8721A"/>
    <w:rsid w:val="7B455324"/>
    <w:rsid w:val="7B5774D2"/>
    <w:rsid w:val="7B933764"/>
    <w:rsid w:val="7B9652C4"/>
    <w:rsid w:val="7B9A4DB4"/>
    <w:rsid w:val="7BE0170B"/>
    <w:rsid w:val="7BE20509"/>
    <w:rsid w:val="7BEC2911"/>
    <w:rsid w:val="7C0D1A2A"/>
    <w:rsid w:val="7C170394"/>
    <w:rsid w:val="7CAD0B17"/>
    <w:rsid w:val="7DA30EEF"/>
    <w:rsid w:val="7DDB602A"/>
    <w:rsid w:val="7E354ADD"/>
    <w:rsid w:val="7E662627"/>
    <w:rsid w:val="7E957AB5"/>
    <w:rsid w:val="7F213FA3"/>
    <w:rsid w:val="7F21759B"/>
    <w:rsid w:val="7F515B34"/>
    <w:rsid w:val="7F8C710A"/>
    <w:rsid w:val="7FC91A8D"/>
    <w:rsid w:val="7FD42200"/>
    <w:rsid w:val="7FD540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9">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toc 1"/>
    <w:basedOn w:val="1"/>
    <w:next w:val="1"/>
    <w:qFormat/>
    <w:uiPriority w:val="0"/>
  </w:style>
  <w:style w:type="paragraph" w:styleId="5">
    <w:name w:val="toc 2"/>
    <w:basedOn w:val="1"/>
    <w:next w:val="1"/>
    <w:qFormat/>
    <w:uiPriority w:val="0"/>
    <w:pPr>
      <w:ind w:left="420" w:leftChars="200"/>
    </w:p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 w:type="table" w:styleId="8">
    <w:name w:val="Table Grid"/>
    <w:basedOn w:val="7"/>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Hyperlink"/>
    <w:basedOn w:val="9"/>
    <w:qFormat/>
    <w:uiPriority w:val="0"/>
    <w:rPr>
      <w:color w:val="0000FF"/>
      <w:u w:val="single"/>
    </w:rPr>
  </w:style>
  <w:style w:type="paragraph" w:customStyle="1" w:styleId="11">
    <w:name w:val="_Style 4"/>
    <w:basedOn w:val="1"/>
    <w:next w:val="1"/>
    <w:qFormat/>
    <w:uiPriority w:val="0"/>
    <w:pPr>
      <w:pBdr>
        <w:bottom w:val="single" w:color="auto" w:sz="6" w:space="1"/>
      </w:pBdr>
      <w:jc w:val="center"/>
    </w:pPr>
    <w:rPr>
      <w:rFonts w:ascii="Arial" w:eastAsia="宋体"/>
      <w:vanish/>
      <w:sz w:val="16"/>
    </w:rPr>
  </w:style>
  <w:style w:type="paragraph" w:customStyle="1" w:styleId="12">
    <w:name w:val="_Style 5"/>
    <w:basedOn w:val="1"/>
    <w:next w:val="1"/>
    <w:qFormat/>
    <w:uiPriority w:val="0"/>
    <w:pPr>
      <w:pBdr>
        <w:top w:val="single" w:color="auto" w:sz="6" w:space="1"/>
      </w:pBdr>
      <w:jc w:val="center"/>
    </w:pPr>
    <w:rPr>
      <w:rFonts w:ascii="Arial" w:eastAsia="宋体"/>
      <w:vanish/>
      <w:sz w:val="16"/>
    </w:rPr>
  </w:style>
  <w:style w:type="paragraph" w:styleId="13">
    <w:name w:val="No Spacing"/>
    <w:qFormat/>
    <w:uiPriority w:val="1"/>
    <w:rPr>
      <w:rFonts w:ascii="Arial" w:hAnsi="Arial" w:eastAsia="Times New Roman" w:cs="Times New Roman"/>
      <w:sz w:val="24"/>
      <w:lang w:val="en-GB" w:eastAsia="en-GB" w:bidi="ar-SA"/>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15</Pages>
  <Words>3251</Words>
  <Characters>19873</Characters>
  <Lines>0</Lines>
  <Paragraphs>0</Paragraphs>
  <TotalTime>0</TotalTime>
  <ScaleCrop>false</ScaleCrop>
  <LinksUpToDate>false</LinksUpToDate>
  <CharactersWithSpaces>22997</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2023-01-27T02:16:00Z</dcterms:created>
  <dc:creator>Administrator</dc:creator>
  <cp:lastModifiedBy>Ꮩ࿆Ꭵ࿆Ꮲ࿆-joe</cp:lastModifiedBy>
  <dcterms:modified xsi:type="dcterms:W3CDTF">2023-03-26T11:51:46Z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2C8D983F3F344BA7842E0A5087421574</vt:lpwstr>
  </property>
</Properties>
</file>