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6632A" w14:textId="77777777" w:rsidR="00912343" w:rsidRDefault="00000000">
      <w:pPr>
        <w:pStyle w:val="NormalWeb"/>
        <w:ind w:left="-180" w:right="-334"/>
      </w:pPr>
      <w:r>
        <w:rPr>
          <w:noProof/>
        </w:rPr>
        <w:drawing>
          <wp:inline distT="0" distB="0" distL="0" distR="0" wp14:anchorId="2DB561AB" wp14:editId="22709B17">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0CD70745" w14:textId="77777777" w:rsidR="00912343" w:rsidRDefault="00912343">
      <w:pPr>
        <w:pStyle w:val="NormalWeb"/>
        <w:ind w:left="-180" w:right="-334"/>
      </w:pPr>
    </w:p>
    <w:p w14:paraId="303EA0B5" w14:textId="77777777" w:rsidR="00912343" w:rsidRDefault="00912343">
      <w:pPr>
        <w:pStyle w:val="NormalWeb"/>
        <w:ind w:left="-180" w:right="-334"/>
      </w:pPr>
    </w:p>
    <w:p w14:paraId="6DA813E5" w14:textId="77777777" w:rsidR="00912343" w:rsidRDefault="00000000">
      <w:pPr>
        <w:pStyle w:val="NormalWeb"/>
        <w:ind w:left="-180" w:right="-334"/>
        <w:jc w:val="center"/>
      </w:pPr>
      <w:r>
        <w:rPr>
          <w:rFonts w:ascii="Arial" w:hAnsi="Arial"/>
          <w:b/>
          <w:sz w:val="28"/>
          <w:szCs w:val="28"/>
        </w:rPr>
        <w:t xml:space="preserve">Postgraduate/Distance Learning </w:t>
      </w:r>
    </w:p>
    <w:p w14:paraId="641037B8" w14:textId="77777777" w:rsidR="00912343" w:rsidRDefault="00000000">
      <w:pPr>
        <w:pStyle w:val="NormalWeb"/>
        <w:ind w:left="-180" w:right="-334"/>
        <w:jc w:val="center"/>
        <w:rPr>
          <w:rFonts w:ascii="Arial" w:hAnsi="Arial"/>
          <w:b/>
          <w:sz w:val="28"/>
          <w:szCs w:val="28"/>
        </w:rPr>
      </w:pPr>
      <w:r>
        <w:rPr>
          <w:rFonts w:ascii="Arial" w:hAnsi="Arial"/>
          <w:b/>
          <w:sz w:val="28"/>
          <w:szCs w:val="28"/>
        </w:rPr>
        <w:t>Assignment coversheet &amp; feedback form</w:t>
      </w:r>
    </w:p>
    <w:p w14:paraId="5D366DAD" w14:textId="77777777" w:rsidR="00912343" w:rsidRDefault="00912343">
      <w:pPr>
        <w:rPr>
          <w:rFonts w:ascii="Arial" w:hAnsi="Arial"/>
          <w:sz w:val="28"/>
          <w:szCs w:val="28"/>
        </w:rPr>
      </w:pPr>
    </w:p>
    <w:p w14:paraId="0C1A6BE7" w14:textId="77777777" w:rsidR="00912343" w:rsidRDefault="00000000">
      <w:pPr>
        <w:pStyle w:val="Heading3"/>
        <w:jc w:val="center"/>
      </w:pPr>
      <w:r>
        <w:t xml:space="preserve">THIS SHEET MUST BE THE FIRST PAGE OF THE ASSIGNMENT YOU ARE </w:t>
      </w:r>
      <w:proofErr w:type="gramStart"/>
      <w:r>
        <w:t>SUBMITTING  (</w:t>
      </w:r>
      <w:proofErr w:type="gramEnd"/>
      <w:r>
        <w:t>DO NOT SEND AS A SEPARATE FILE)</w:t>
      </w:r>
    </w:p>
    <w:p w14:paraId="6CAA3F87" w14:textId="77777777" w:rsidR="00912343" w:rsidRDefault="00912343">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912343" w14:paraId="6519AB16" w14:textId="77777777">
        <w:trPr>
          <w:trHeight w:val="614"/>
        </w:trPr>
        <w:tc>
          <w:tcPr>
            <w:tcW w:w="8856" w:type="dxa"/>
            <w:gridSpan w:val="5"/>
          </w:tcPr>
          <w:p w14:paraId="5A540A3D" w14:textId="77777777" w:rsidR="00912343" w:rsidRDefault="00000000">
            <w:pPr>
              <w:pStyle w:val="NormalWeb"/>
              <w:ind w:right="34"/>
            </w:pPr>
            <w:r>
              <w:rPr>
                <w:rFonts w:ascii="Arial" w:hAnsi="Arial"/>
                <w:b/>
                <w:sz w:val="22"/>
                <w:szCs w:val="22"/>
              </w:rPr>
              <w:t>For completion by the student</w:t>
            </w:r>
            <w:r>
              <w:rPr>
                <w:rFonts w:ascii="Arial" w:hAnsi="Arial"/>
                <w:sz w:val="22"/>
                <w:szCs w:val="22"/>
              </w:rPr>
              <w:t>:</w:t>
            </w:r>
          </w:p>
        </w:tc>
      </w:tr>
      <w:tr w:rsidR="00912343" w14:paraId="4E9C714F" w14:textId="77777777">
        <w:trPr>
          <w:trHeight w:val="718"/>
        </w:trPr>
        <w:tc>
          <w:tcPr>
            <w:tcW w:w="8856" w:type="dxa"/>
            <w:gridSpan w:val="5"/>
          </w:tcPr>
          <w:p w14:paraId="24C55E89" w14:textId="601C6832" w:rsidR="00912343" w:rsidRDefault="00000000">
            <w:pPr>
              <w:pStyle w:val="NormalWeb"/>
              <w:ind w:right="34"/>
              <w:rPr>
                <w:rFonts w:ascii="Arial" w:hAnsi="Arial"/>
                <w:sz w:val="22"/>
                <w:szCs w:val="22"/>
              </w:rPr>
            </w:pPr>
            <w:r>
              <w:rPr>
                <w:rFonts w:ascii="Arial" w:hAnsi="Arial"/>
                <w:sz w:val="22"/>
                <w:szCs w:val="22"/>
              </w:rPr>
              <w:t>Student Name:</w:t>
            </w:r>
            <w:r w:rsidR="00FD6934">
              <w:rPr>
                <w:rFonts w:ascii="Arial" w:hAnsi="Arial"/>
                <w:sz w:val="22"/>
                <w:szCs w:val="22"/>
              </w:rPr>
              <w:t xml:space="preserve"> Melissa Re</w:t>
            </w:r>
          </w:p>
          <w:p w14:paraId="42C864B1" w14:textId="77777777" w:rsidR="00912343" w:rsidRDefault="00912343">
            <w:pPr>
              <w:pStyle w:val="NormalWeb"/>
              <w:ind w:right="34"/>
              <w:rPr>
                <w:rFonts w:ascii="Arial" w:hAnsi="Arial"/>
                <w:sz w:val="22"/>
                <w:szCs w:val="22"/>
              </w:rPr>
            </w:pPr>
          </w:p>
          <w:p w14:paraId="1CCBB99D" w14:textId="4F8E22D4" w:rsidR="00912343" w:rsidRDefault="00000000">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FD6934" w:rsidRPr="00AE2650">
              <w:rPr>
                <w:rFonts w:ascii="Arial" w:hAnsi="Arial"/>
                <w:sz w:val="22"/>
                <w:szCs w:val="22"/>
              </w:rPr>
              <w:t>2113125@student.uwtsd.ac.uk</w:t>
            </w:r>
          </w:p>
        </w:tc>
      </w:tr>
      <w:tr w:rsidR="00912343" w14:paraId="6DD3926B" w14:textId="77777777">
        <w:trPr>
          <w:trHeight w:val="849"/>
        </w:trPr>
        <w:tc>
          <w:tcPr>
            <w:tcW w:w="4788" w:type="dxa"/>
          </w:tcPr>
          <w:p w14:paraId="62B3C328" w14:textId="6D2F00D2" w:rsidR="00912343" w:rsidRDefault="00000000">
            <w:pPr>
              <w:pStyle w:val="NormalWeb"/>
              <w:ind w:right="34"/>
              <w:rPr>
                <w:rFonts w:ascii="Arial" w:hAnsi="Arial"/>
                <w:sz w:val="22"/>
                <w:szCs w:val="22"/>
              </w:rPr>
            </w:pPr>
            <w:r>
              <w:rPr>
                <w:rFonts w:ascii="Arial" w:hAnsi="Arial"/>
                <w:sz w:val="22"/>
                <w:szCs w:val="22"/>
              </w:rPr>
              <w:t>Module code:</w:t>
            </w:r>
            <w:r w:rsidR="00FD6934">
              <w:rPr>
                <w:rFonts w:ascii="Arial" w:hAnsi="Arial"/>
                <w:sz w:val="22"/>
                <w:szCs w:val="22"/>
              </w:rPr>
              <w:t xml:space="preserve"> </w:t>
            </w:r>
            <w:r w:rsidR="00FD6934">
              <w:rPr>
                <w:rFonts w:ascii="Arial" w:hAnsi="Arial"/>
                <w:sz w:val="22"/>
                <w:szCs w:val="22"/>
              </w:rPr>
              <w:t>HPCA7028</w:t>
            </w:r>
          </w:p>
          <w:p w14:paraId="2552BF1B" w14:textId="77777777" w:rsidR="00912343" w:rsidRDefault="00912343">
            <w:pPr>
              <w:pStyle w:val="NormalWeb"/>
              <w:ind w:right="34"/>
              <w:rPr>
                <w:rFonts w:ascii="Arial" w:hAnsi="Arial"/>
                <w:sz w:val="22"/>
                <w:szCs w:val="22"/>
              </w:rPr>
            </w:pPr>
          </w:p>
          <w:p w14:paraId="727A4606" w14:textId="7CF1F30E" w:rsidR="00912343" w:rsidRDefault="00000000">
            <w:pPr>
              <w:pStyle w:val="NormalWeb"/>
              <w:ind w:right="34"/>
              <w:rPr>
                <w:rFonts w:ascii="Arial" w:hAnsi="Arial"/>
                <w:sz w:val="22"/>
                <w:szCs w:val="22"/>
              </w:rPr>
            </w:pPr>
            <w:r>
              <w:rPr>
                <w:rFonts w:ascii="Arial" w:hAnsi="Arial"/>
                <w:sz w:val="22"/>
                <w:szCs w:val="22"/>
              </w:rPr>
              <w:t>Module title:</w:t>
            </w:r>
            <w:r w:rsidR="00FD6934">
              <w:rPr>
                <w:rFonts w:ascii="Arial" w:hAnsi="Arial"/>
                <w:sz w:val="22"/>
                <w:szCs w:val="22"/>
              </w:rPr>
              <w:t xml:space="preserve"> Sacred Skies</w:t>
            </w:r>
          </w:p>
          <w:p w14:paraId="57DD3E80" w14:textId="77777777" w:rsidR="00912343" w:rsidRDefault="00912343">
            <w:pPr>
              <w:pStyle w:val="NormalWeb"/>
              <w:ind w:right="34"/>
              <w:rPr>
                <w:rFonts w:ascii="Arial" w:hAnsi="Arial"/>
                <w:sz w:val="22"/>
                <w:szCs w:val="22"/>
              </w:rPr>
            </w:pPr>
          </w:p>
          <w:p w14:paraId="5DB3AB1C" w14:textId="77777777" w:rsidR="00912343" w:rsidRDefault="00912343">
            <w:pPr>
              <w:pStyle w:val="NormalWeb"/>
              <w:ind w:right="34"/>
            </w:pPr>
          </w:p>
        </w:tc>
        <w:tc>
          <w:tcPr>
            <w:tcW w:w="2266" w:type="dxa"/>
            <w:gridSpan w:val="3"/>
          </w:tcPr>
          <w:p w14:paraId="1BF1FA2D" w14:textId="77777777" w:rsidR="00912343" w:rsidRDefault="00000000">
            <w:pPr>
              <w:pStyle w:val="NormalWeb"/>
              <w:ind w:right="34"/>
              <w:rPr>
                <w:rFonts w:ascii="Arial" w:hAnsi="Arial"/>
                <w:sz w:val="22"/>
                <w:szCs w:val="22"/>
              </w:rPr>
            </w:pPr>
            <w:r>
              <w:rPr>
                <w:rFonts w:ascii="Arial" w:hAnsi="Arial"/>
                <w:sz w:val="22"/>
                <w:szCs w:val="22"/>
              </w:rPr>
              <w:t>Student ID number:</w:t>
            </w:r>
          </w:p>
          <w:p w14:paraId="50B83F9E" w14:textId="2D175BCD" w:rsidR="00FD6934" w:rsidRDefault="00FD6934">
            <w:pPr>
              <w:pStyle w:val="NormalWeb"/>
              <w:ind w:right="34"/>
            </w:pPr>
            <w:r w:rsidRPr="00AE2650">
              <w:rPr>
                <w:rFonts w:ascii="Arial" w:hAnsi="Arial" w:cs="Arial"/>
                <w:color w:val="424242"/>
                <w:sz w:val="22"/>
                <w:szCs w:val="22"/>
                <w:shd w:val="clear" w:color="auto" w:fill="FFFFFF"/>
              </w:rPr>
              <w:t>2113125</w:t>
            </w:r>
          </w:p>
        </w:tc>
        <w:tc>
          <w:tcPr>
            <w:tcW w:w="1802" w:type="dxa"/>
          </w:tcPr>
          <w:p w14:paraId="476D6032" w14:textId="77777777" w:rsidR="00912343" w:rsidRDefault="00000000">
            <w:pPr>
              <w:pStyle w:val="NormalWeb"/>
              <w:ind w:right="34"/>
            </w:pPr>
            <w:r>
              <w:rPr>
                <w:rFonts w:ascii="Arial" w:hAnsi="Arial"/>
                <w:sz w:val="22"/>
                <w:szCs w:val="22"/>
              </w:rPr>
              <w:t>Educational support needs:</w:t>
            </w:r>
          </w:p>
          <w:p w14:paraId="34B339B4" w14:textId="77777777" w:rsidR="00912343" w:rsidRDefault="00000000">
            <w:pPr>
              <w:pStyle w:val="NormalWeb"/>
              <w:ind w:right="34"/>
              <w:rPr>
                <w:rFonts w:ascii="Arial" w:hAnsi="Arial"/>
                <w:sz w:val="22"/>
                <w:szCs w:val="22"/>
              </w:rPr>
            </w:pPr>
            <w:r>
              <w:rPr>
                <w:rFonts w:ascii="Arial" w:hAnsi="Arial"/>
                <w:sz w:val="22"/>
                <w:szCs w:val="22"/>
              </w:rPr>
              <w:t>Yes/No</w:t>
            </w:r>
          </w:p>
          <w:p w14:paraId="4A104929" w14:textId="176D567C" w:rsidR="00FD6934" w:rsidRDefault="00FD6934">
            <w:pPr>
              <w:pStyle w:val="NormalWeb"/>
              <w:ind w:right="34"/>
            </w:pPr>
            <w:r>
              <w:rPr>
                <w:rFonts w:ascii="Arial" w:hAnsi="Arial"/>
              </w:rPr>
              <w:t>No</w:t>
            </w:r>
          </w:p>
        </w:tc>
      </w:tr>
      <w:tr w:rsidR="00912343" w14:paraId="1996D41F" w14:textId="77777777">
        <w:trPr>
          <w:trHeight w:val="1139"/>
        </w:trPr>
        <w:tc>
          <w:tcPr>
            <w:tcW w:w="8856" w:type="dxa"/>
            <w:gridSpan w:val="5"/>
          </w:tcPr>
          <w:p w14:paraId="68A4FB9E" w14:textId="0DE1DE6A" w:rsidR="00912343" w:rsidRDefault="00000000">
            <w:pPr>
              <w:pStyle w:val="NormalWeb"/>
              <w:ind w:right="34"/>
            </w:pPr>
            <w:r>
              <w:rPr>
                <w:rFonts w:ascii="Arial" w:hAnsi="Arial"/>
                <w:sz w:val="22"/>
                <w:szCs w:val="22"/>
              </w:rPr>
              <w:t>Assignment title:</w:t>
            </w:r>
            <w:r w:rsidR="00FD6934">
              <w:rPr>
                <w:rFonts w:ascii="Arial" w:hAnsi="Arial"/>
                <w:sz w:val="22"/>
                <w:szCs w:val="22"/>
              </w:rPr>
              <w:t xml:space="preserve"> </w:t>
            </w:r>
            <w:r w:rsidR="00FD6934" w:rsidRPr="00FD6934">
              <w:rPr>
                <w:rFonts w:ascii="Arial" w:hAnsi="Arial"/>
                <w:sz w:val="22"/>
                <w:szCs w:val="22"/>
              </w:rPr>
              <w:t>A Critical Examination of the Sky in Relation to Material Culture</w:t>
            </w:r>
          </w:p>
          <w:p w14:paraId="1C55DA35" w14:textId="77777777" w:rsidR="00912343" w:rsidRDefault="00912343">
            <w:pPr>
              <w:pStyle w:val="NormalWeb"/>
              <w:ind w:right="34"/>
              <w:rPr>
                <w:rFonts w:ascii="Arial" w:hAnsi="Arial"/>
                <w:sz w:val="22"/>
                <w:szCs w:val="22"/>
              </w:rPr>
            </w:pPr>
          </w:p>
          <w:p w14:paraId="24A0D5C2" w14:textId="77777777" w:rsidR="00912343" w:rsidRDefault="00912343">
            <w:pPr>
              <w:pStyle w:val="NormalWeb"/>
              <w:ind w:right="34"/>
              <w:rPr>
                <w:rFonts w:ascii="Arial" w:hAnsi="Arial"/>
                <w:sz w:val="22"/>
                <w:szCs w:val="22"/>
              </w:rPr>
            </w:pPr>
          </w:p>
          <w:p w14:paraId="49353749" w14:textId="77777777" w:rsidR="00912343" w:rsidRDefault="00000000">
            <w:pPr>
              <w:pStyle w:val="NormalWeb"/>
              <w:ind w:right="34"/>
            </w:pPr>
            <w:r>
              <w:rPr>
                <w:rFonts w:ascii="Arial" w:hAnsi="Arial"/>
                <w:sz w:val="22"/>
                <w:szCs w:val="22"/>
              </w:rPr>
              <w:t>Assignment due date:</w:t>
            </w:r>
          </w:p>
        </w:tc>
      </w:tr>
      <w:tr w:rsidR="00912343" w14:paraId="24BDEA92" w14:textId="77777777">
        <w:trPr>
          <w:trHeight w:val="978"/>
        </w:trPr>
        <w:tc>
          <w:tcPr>
            <w:tcW w:w="8856" w:type="dxa"/>
            <w:gridSpan w:val="5"/>
            <w:tcBorders>
              <w:bottom w:val="single" w:sz="4" w:space="0" w:color="000000"/>
            </w:tcBorders>
          </w:tcPr>
          <w:p w14:paraId="4A54729E" w14:textId="7A57D694" w:rsidR="00912343" w:rsidRDefault="00FD6934">
            <w:r>
              <w:rPr>
                <w:rFonts w:ascii="Arial" w:hAnsi="Arial"/>
                <w:noProof/>
                <w:sz w:val="22"/>
                <w:szCs w:val="22"/>
              </w:rPr>
              <mc:AlternateContent>
                <mc:Choice Requires="wpi">
                  <w:drawing>
                    <wp:anchor distT="0" distB="0" distL="114300" distR="114300" simplePos="0" relativeHeight="251659264" behindDoc="0" locked="0" layoutInCell="1" allowOverlap="1" wp14:anchorId="16CFF543" wp14:editId="5C395E20">
                      <wp:simplePos x="0" y="0"/>
                      <wp:positionH relativeFrom="column">
                        <wp:posOffset>2263914</wp:posOffset>
                      </wp:positionH>
                      <wp:positionV relativeFrom="paragraph">
                        <wp:posOffset>-128152</wp:posOffset>
                      </wp:positionV>
                      <wp:extent cx="312120" cy="302040"/>
                      <wp:effectExtent l="38100" t="38100" r="31115" b="28575"/>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w14:cNvContentPartPr>
                            </w14:nvContentPartPr>
                            <w14:xfrm>
                              <a:off x="0" y="0"/>
                              <a:ext cx="312120" cy="302040"/>
                            </w14:xfrm>
                          </w14:contentPart>
                        </a:graphicData>
                      </a:graphic>
                    </wp:anchor>
                  </w:drawing>
                </mc:Choice>
                <mc:Fallback>
                  <w:pict>
                    <v:shapetype w14:anchorId="5DE7A8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77.55pt;margin-top:-10.8pt;width:26pt;height:25.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">
                      <v:imagedata r:id="rId9" o:title=""/>
                      <o:lock v:ext="edit" rotation="t" aspectratio="f"/>
                    </v:shape>
                  </w:pict>
                </mc:Fallback>
              </mc:AlternateContent>
            </w:r>
            <w:r w:rsidR="00000000">
              <w:rPr>
                <w:rFonts w:ascii="Arial" w:hAnsi="Arial"/>
                <w:sz w:val="22"/>
                <w:szCs w:val="22"/>
              </w:rPr>
              <w:t>This assignment is for the       1</w:t>
            </w:r>
            <w:r w:rsidR="00000000">
              <w:rPr>
                <w:rFonts w:ascii="Arial" w:hAnsi="Arial"/>
                <w:sz w:val="22"/>
                <w:szCs w:val="22"/>
                <w:vertAlign w:val="superscript"/>
              </w:rPr>
              <w:t xml:space="preserve">st </w:t>
            </w:r>
            <w:r w:rsidR="00000000">
              <w:rPr>
                <w:rFonts w:ascii="Arial" w:hAnsi="Arial"/>
                <w:sz w:val="22"/>
                <w:szCs w:val="22"/>
              </w:rPr>
              <w:t xml:space="preserve">    2</w:t>
            </w:r>
            <w:r w:rsidR="00000000">
              <w:rPr>
                <w:rFonts w:ascii="Arial" w:hAnsi="Arial"/>
                <w:sz w:val="22"/>
                <w:szCs w:val="22"/>
                <w:vertAlign w:val="superscript"/>
              </w:rPr>
              <w:t>nd</w:t>
            </w:r>
            <w:r w:rsidR="00000000">
              <w:rPr>
                <w:rFonts w:ascii="Arial" w:hAnsi="Arial"/>
                <w:sz w:val="22"/>
                <w:szCs w:val="22"/>
              </w:rPr>
              <w:t xml:space="preserve">       3</w:t>
            </w:r>
            <w:r w:rsidR="00000000">
              <w:rPr>
                <w:rFonts w:ascii="Arial" w:hAnsi="Arial"/>
                <w:sz w:val="22"/>
                <w:szCs w:val="22"/>
                <w:vertAlign w:val="superscript"/>
              </w:rPr>
              <w:t>rd</w:t>
            </w:r>
            <w:r w:rsidR="00000000">
              <w:rPr>
                <w:rFonts w:ascii="Arial" w:hAnsi="Arial"/>
                <w:sz w:val="22"/>
                <w:szCs w:val="22"/>
              </w:rPr>
              <w:t xml:space="preserve">        4</w:t>
            </w:r>
            <w:r w:rsidR="00000000">
              <w:rPr>
                <w:rFonts w:ascii="Arial" w:hAnsi="Arial"/>
                <w:sz w:val="22"/>
                <w:szCs w:val="22"/>
                <w:vertAlign w:val="superscript"/>
              </w:rPr>
              <w:t>th</w:t>
            </w:r>
            <w:r w:rsidR="00000000">
              <w:rPr>
                <w:rFonts w:ascii="Arial" w:hAnsi="Arial"/>
                <w:sz w:val="22"/>
                <w:szCs w:val="22"/>
              </w:rPr>
              <w:t xml:space="preserve">       5</w:t>
            </w:r>
            <w:r w:rsidR="00000000">
              <w:rPr>
                <w:rFonts w:ascii="Arial" w:hAnsi="Arial"/>
                <w:sz w:val="22"/>
                <w:szCs w:val="22"/>
                <w:vertAlign w:val="superscript"/>
              </w:rPr>
              <w:t>th</w:t>
            </w:r>
            <w:r w:rsidR="00000000">
              <w:rPr>
                <w:rFonts w:ascii="Arial" w:hAnsi="Arial"/>
                <w:sz w:val="22"/>
                <w:szCs w:val="22"/>
              </w:rPr>
              <w:t xml:space="preserve">       6</w:t>
            </w:r>
            <w:r w:rsidR="00000000">
              <w:rPr>
                <w:rFonts w:ascii="Arial" w:hAnsi="Arial"/>
                <w:sz w:val="22"/>
                <w:szCs w:val="22"/>
                <w:vertAlign w:val="superscript"/>
              </w:rPr>
              <w:t>th</w:t>
            </w:r>
            <w:r w:rsidR="00000000">
              <w:rPr>
                <w:rFonts w:ascii="Arial" w:hAnsi="Arial"/>
                <w:sz w:val="22"/>
                <w:szCs w:val="22"/>
              </w:rPr>
              <w:t xml:space="preserve"> </w:t>
            </w:r>
            <w:r w:rsidR="00000000">
              <w:rPr>
                <w:rFonts w:ascii="Arial" w:hAnsi="Arial"/>
                <w:b/>
                <w:sz w:val="22"/>
                <w:szCs w:val="22"/>
              </w:rPr>
              <w:t xml:space="preserve">   </w:t>
            </w:r>
            <w:r w:rsidR="00000000">
              <w:rPr>
                <w:rFonts w:ascii="Arial" w:hAnsi="Arial"/>
                <w:sz w:val="22"/>
                <w:szCs w:val="22"/>
              </w:rPr>
              <w:t>module of the degree</w:t>
            </w:r>
          </w:p>
        </w:tc>
      </w:tr>
      <w:tr w:rsidR="00912343" w14:paraId="2745D3F5" w14:textId="77777777">
        <w:trPr>
          <w:trHeight w:val="978"/>
        </w:trPr>
        <w:tc>
          <w:tcPr>
            <w:tcW w:w="8856" w:type="dxa"/>
            <w:gridSpan w:val="5"/>
            <w:shd w:val="clear" w:color="auto" w:fill="D9D9D9"/>
          </w:tcPr>
          <w:p w14:paraId="24DCAE58" w14:textId="77777777" w:rsidR="00912343" w:rsidRDefault="00000000">
            <w:pPr>
              <w:pStyle w:val="NormalWeb"/>
              <w:ind w:right="34"/>
            </w:pPr>
            <w:r>
              <w:rPr>
                <w:rFonts w:ascii="Arial" w:hAnsi="Arial"/>
                <w:sz w:val="22"/>
                <w:szCs w:val="22"/>
              </w:rPr>
              <w:t>I confirm that this is my original work and that I have adhered to the University policy on plagiarism.</w:t>
            </w:r>
          </w:p>
          <w:p w14:paraId="41192E80" w14:textId="0389FB89" w:rsidR="00912343" w:rsidRDefault="00000000">
            <w:pPr>
              <w:pStyle w:val="NormalWeb"/>
              <w:ind w:right="34"/>
              <w:rPr>
                <w:rFonts w:ascii="Arial" w:hAnsi="Arial"/>
                <w:sz w:val="22"/>
                <w:szCs w:val="22"/>
              </w:rPr>
            </w:pPr>
            <w:r>
              <w:rPr>
                <w:rFonts w:ascii="Arial" w:hAnsi="Arial"/>
                <w:sz w:val="22"/>
                <w:szCs w:val="22"/>
              </w:rPr>
              <w:t>Signed ………………</w:t>
            </w:r>
            <w:r w:rsidR="00FD6934">
              <w:rPr>
                <w:rFonts w:ascii="Arial" w:hAnsi="Arial"/>
                <w:sz w:val="22"/>
                <w:szCs w:val="22"/>
              </w:rPr>
              <w:t>Melissa Re</w:t>
            </w:r>
            <w:r>
              <w:rPr>
                <w:rFonts w:ascii="Arial" w:hAnsi="Arial"/>
                <w:sz w:val="22"/>
                <w:szCs w:val="22"/>
              </w:rPr>
              <w:t>……………………………………………</w:t>
            </w:r>
          </w:p>
          <w:p w14:paraId="7E19B7BE" w14:textId="77777777" w:rsidR="00912343" w:rsidRDefault="00000000">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t>□</w:t>
            </w:r>
          </w:p>
          <w:p w14:paraId="3BAAECA9" w14:textId="77777777" w:rsidR="00912343" w:rsidRDefault="00000000">
            <w:pPr>
              <w:pStyle w:val="NormalWeb"/>
              <w:ind w:right="34"/>
            </w:pPr>
            <w:r>
              <w:rPr>
                <w:rFonts w:ascii="Calibri" w:hAnsi="Calibri"/>
                <w:b/>
                <w:sz w:val="24"/>
                <w:szCs w:val="24"/>
              </w:rPr>
              <w:t>(as a substitute for your signature) to confirm that you agree to the above declaration.</w:t>
            </w:r>
          </w:p>
        </w:tc>
      </w:tr>
      <w:tr w:rsidR="00912343" w14:paraId="25D0EF6D" w14:textId="77777777">
        <w:trPr>
          <w:trHeight w:val="3972"/>
        </w:trPr>
        <w:tc>
          <w:tcPr>
            <w:tcW w:w="8856" w:type="dxa"/>
            <w:gridSpan w:val="5"/>
          </w:tcPr>
          <w:p w14:paraId="3CE11933" w14:textId="77777777" w:rsidR="00912343" w:rsidRDefault="00912343">
            <w:pPr>
              <w:rPr>
                <w:rFonts w:ascii="Arial" w:hAnsi="Arial"/>
                <w:b/>
              </w:rPr>
            </w:pPr>
          </w:p>
          <w:p w14:paraId="22908009" w14:textId="77777777" w:rsidR="00912343" w:rsidRDefault="00000000">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912343" w14:paraId="404E633D" w14:textId="77777777">
              <w:tc>
                <w:tcPr>
                  <w:tcW w:w="6970" w:type="dxa"/>
                </w:tcPr>
                <w:p w14:paraId="1C8CB030" w14:textId="77777777" w:rsidR="00912343" w:rsidRDefault="00912343">
                  <w:pPr>
                    <w:rPr>
                      <w:rFonts w:ascii="Arial" w:hAnsi="Arial"/>
                      <w:sz w:val="20"/>
                      <w:szCs w:val="20"/>
                    </w:rPr>
                  </w:pPr>
                </w:p>
                <w:p w14:paraId="5C4FEFE3" w14:textId="77777777" w:rsidR="00912343" w:rsidRDefault="00000000">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01B2B820" w14:textId="77777777" w:rsidR="00912343" w:rsidRDefault="00912343">
                  <w:pPr>
                    <w:rPr>
                      <w:rFonts w:ascii="Arial" w:hAnsi="Arial"/>
                      <w:sz w:val="20"/>
                      <w:szCs w:val="20"/>
                    </w:rPr>
                  </w:pPr>
                </w:p>
              </w:tc>
            </w:tr>
            <w:tr w:rsidR="00912343" w14:paraId="75CE2735" w14:textId="77777777">
              <w:tc>
                <w:tcPr>
                  <w:tcW w:w="6970" w:type="dxa"/>
                </w:tcPr>
                <w:p w14:paraId="1A41FD2C" w14:textId="77777777" w:rsidR="00912343" w:rsidRDefault="00912343">
                  <w:pPr>
                    <w:rPr>
                      <w:rFonts w:ascii="Arial" w:hAnsi="Arial"/>
                      <w:sz w:val="20"/>
                      <w:szCs w:val="20"/>
                    </w:rPr>
                  </w:pPr>
                </w:p>
                <w:p w14:paraId="709A3B93" w14:textId="77777777" w:rsidR="00912343" w:rsidRDefault="00000000">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67EC7840" w14:textId="77777777" w:rsidR="00912343" w:rsidRDefault="00912343">
                  <w:pPr>
                    <w:rPr>
                      <w:rFonts w:ascii="Arial" w:hAnsi="Arial"/>
                      <w:sz w:val="20"/>
                      <w:szCs w:val="20"/>
                    </w:rPr>
                  </w:pPr>
                </w:p>
              </w:tc>
            </w:tr>
            <w:tr w:rsidR="00912343" w14:paraId="72243946" w14:textId="77777777">
              <w:tc>
                <w:tcPr>
                  <w:tcW w:w="6970" w:type="dxa"/>
                </w:tcPr>
                <w:p w14:paraId="00C3150B" w14:textId="77777777" w:rsidR="00912343" w:rsidRDefault="00912343">
                  <w:pPr>
                    <w:rPr>
                      <w:rFonts w:ascii="Arial" w:hAnsi="Arial"/>
                      <w:sz w:val="20"/>
                      <w:szCs w:val="20"/>
                    </w:rPr>
                  </w:pPr>
                </w:p>
                <w:p w14:paraId="570AF2FA" w14:textId="77777777" w:rsidR="00912343" w:rsidRDefault="00000000">
                  <w:pPr>
                    <w:rPr>
                      <w:rFonts w:ascii="Arial" w:hAnsi="Arial"/>
                      <w:sz w:val="20"/>
                      <w:szCs w:val="20"/>
                    </w:rPr>
                  </w:pPr>
                  <w:r>
                    <w:rPr>
                      <w:rFonts w:ascii="Arial" w:hAnsi="Arial"/>
                      <w:sz w:val="20"/>
                      <w:szCs w:val="20"/>
                    </w:rPr>
                    <w:t>External Examiner’s mark (if relevant)</w:t>
                  </w:r>
                </w:p>
              </w:tc>
              <w:tc>
                <w:tcPr>
                  <w:tcW w:w="1660" w:type="dxa"/>
                </w:tcPr>
                <w:p w14:paraId="5A185290" w14:textId="77777777" w:rsidR="00912343" w:rsidRDefault="00912343">
                  <w:pPr>
                    <w:rPr>
                      <w:rFonts w:ascii="Arial" w:hAnsi="Arial"/>
                      <w:sz w:val="20"/>
                      <w:szCs w:val="20"/>
                    </w:rPr>
                  </w:pPr>
                </w:p>
              </w:tc>
            </w:tr>
            <w:tr w:rsidR="00912343" w14:paraId="63333ACC" w14:textId="77777777">
              <w:tc>
                <w:tcPr>
                  <w:tcW w:w="6970" w:type="dxa"/>
                </w:tcPr>
                <w:p w14:paraId="72B61FE6" w14:textId="77777777" w:rsidR="00912343" w:rsidRDefault="00912343">
                  <w:pPr>
                    <w:rPr>
                      <w:rFonts w:ascii="Arial" w:hAnsi="Arial"/>
                      <w:sz w:val="20"/>
                      <w:szCs w:val="20"/>
                    </w:rPr>
                  </w:pPr>
                </w:p>
                <w:p w14:paraId="4FF2A2EE" w14:textId="77777777" w:rsidR="00912343" w:rsidRDefault="00000000">
                  <w:r>
                    <w:rPr>
                      <w:rFonts w:ascii="Arial" w:hAnsi="Arial"/>
                      <w:b/>
                      <w:sz w:val="20"/>
                      <w:szCs w:val="20"/>
                    </w:rPr>
                    <w:t>Final Mark</w:t>
                  </w:r>
                </w:p>
                <w:p w14:paraId="2A615F5A" w14:textId="77777777" w:rsidR="00912343" w:rsidRDefault="00912343">
                  <w:pPr>
                    <w:rPr>
                      <w:rFonts w:ascii="Arial" w:hAnsi="Arial"/>
                      <w:sz w:val="20"/>
                      <w:szCs w:val="20"/>
                    </w:rPr>
                  </w:pPr>
                </w:p>
              </w:tc>
              <w:tc>
                <w:tcPr>
                  <w:tcW w:w="1660" w:type="dxa"/>
                </w:tcPr>
                <w:p w14:paraId="7493BFD5" w14:textId="77777777" w:rsidR="00912343" w:rsidRDefault="00912343">
                  <w:pPr>
                    <w:rPr>
                      <w:rFonts w:ascii="Arial" w:hAnsi="Arial"/>
                      <w:sz w:val="20"/>
                      <w:szCs w:val="20"/>
                    </w:rPr>
                  </w:pPr>
                </w:p>
              </w:tc>
            </w:tr>
          </w:tbl>
          <w:p w14:paraId="3F639E05" w14:textId="77777777" w:rsidR="00912343" w:rsidRDefault="00912343">
            <w:pPr>
              <w:pStyle w:val="NormalWeb"/>
              <w:ind w:left="142" w:right="34"/>
              <w:rPr>
                <w:rFonts w:ascii="Arial" w:hAnsi="Arial"/>
                <w:b/>
                <w:sz w:val="22"/>
                <w:szCs w:val="22"/>
              </w:rPr>
            </w:pPr>
          </w:p>
          <w:p w14:paraId="6BB1ED98" w14:textId="77777777" w:rsidR="00912343" w:rsidRDefault="00000000">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23F4E0DF" w14:textId="77777777" w:rsidR="00912343" w:rsidRDefault="00912343">
            <w:pPr>
              <w:pStyle w:val="NormalWeb"/>
              <w:rPr>
                <w:rFonts w:ascii="Arial" w:hAnsi="Arial"/>
                <w:b/>
                <w:sz w:val="22"/>
                <w:szCs w:val="22"/>
              </w:rPr>
            </w:pPr>
          </w:p>
          <w:p w14:paraId="0463A036" w14:textId="77777777" w:rsidR="00912343" w:rsidRDefault="00912343">
            <w:pPr>
              <w:pStyle w:val="NormalWeb"/>
              <w:rPr>
                <w:rFonts w:ascii="Arial" w:hAnsi="Arial"/>
                <w:b/>
                <w:sz w:val="22"/>
                <w:szCs w:val="22"/>
              </w:rPr>
            </w:pPr>
          </w:p>
          <w:p w14:paraId="7D05D8E2" w14:textId="77777777" w:rsidR="00912343" w:rsidRDefault="00000000">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645E48D1" w14:textId="77777777" w:rsidR="00912343" w:rsidRDefault="00912343">
            <w:pPr>
              <w:pStyle w:val="NormalWeb"/>
              <w:rPr>
                <w:rFonts w:ascii="Arial" w:hAnsi="Arial"/>
                <w:b/>
                <w:sz w:val="22"/>
                <w:szCs w:val="22"/>
              </w:rPr>
            </w:pPr>
          </w:p>
          <w:p w14:paraId="101C575D" w14:textId="77777777" w:rsidR="00912343" w:rsidRDefault="00912343">
            <w:pPr>
              <w:pStyle w:val="NormalWeb"/>
              <w:rPr>
                <w:rFonts w:ascii="Arial" w:hAnsi="Arial"/>
                <w:b/>
                <w:sz w:val="22"/>
                <w:szCs w:val="22"/>
              </w:rPr>
            </w:pPr>
          </w:p>
          <w:p w14:paraId="2A5051AB" w14:textId="77777777" w:rsidR="00912343" w:rsidRDefault="00000000">
            <w:pPr>
              <w:pStyle w:val="NormalWeb"/>
            </w:pPr>
            <w:r>
              <w:rPr>
                <w:rFonts w:ascii="Arial" w:hAnsi="Arial"/>
                <w:b/>
                <w:sz w:val="22"/>
                <w:szCs w:val="22"/>
              </w:rPr>
              <w:lastRenderedPageBreak/>
              <w:t xml:space="preserve">For completion by Marker </w:t>
            </w:r>
            <w:proofErr w:type="gramStart"/>
            <w:r>
              <w:rPr>
                <w:rFonts w:ascii="Arial" w:hAnsi="Arial"/>
                <w:b/>
                <w:sz w:val="22"/>
                <w:szCs w:val="22"/>
              </w:rPr>
              <w:t>1 :</w:t>
            </w:r>
            <w:proofErr w:type="gramEnd"/>
          </w:p>
          <w:p w14:paraId="6659E084" w14:textId="77777777" w:rsidR="00912343" w:rsidRDefault="00000000">
            <w:pPr>
              <w:pStyle w:val="NormalWeb"/>
              <w:rPr>
                <w:rFonts w:ascii="Arial" w:hAnsi="Arial"/>
                <w:sz w:val="22"/>
                <w:szCs w:val="22"/>
              </w:rPr>
            </w:pPr>
            <w:r>
              <w:rPr>
                <w:rFonts w:ascii="Arial" w:hAnsi="Arial"/>
                <w:sz w:val="22"/>
                <w:szCs w:val="22"/>
              </w:rPr>
              <w:t>Comments:</w:t>
            </w:r>
          </w:p>
          <w:p w14:paraId="2107082A" w14:textId="77777777" w:rsidR="00912343" w:rsidRDefault="00912343">
            <w:pPr>
              <w:pStyle w:val="NormalWeb"/>
            </w:pPr>
          </w:p>
        </w:tc>
      </w:tr>
      <w:tr w:rsidR="00912343" w14:paraId="430CF4CB" w14:textId="77777777">
        <w:trPr>
          <w:trHeight w:val="492"/>
        </w:trPr>
        <w:tc>
          <w:tcPr>
            <w:tcW w:w="6768" w:type="dxa"/>
            <w:gridSpan w:val="3"/>
          </w:tcPr>
          <w:p w14:paraId="5B7DFCF7" w14:textId="77777777" w:rsidR="00912343" w:rsidRDefault="00000000">
            <w:pPr>
              <w:pStyle w:val="NormalWeb"/>
              <w:ind w:left="142" w:right="34"/>
            </w:pPr>
            <w:r>
              <w:rPr>
                <w:rFonts w:ascii="Arial" w:hAnsi="Arial"/>
                <w:sz w:val="22"/>
                <w:szCs w:val="22"/>
              </w:rPr>
              <w:lastRenderedPageBreak/>
              <w:t>Marker’s signature:</w:t>
            </w:r>
          </w:p>
        </w:tc>
        <w:tc>
          <w:tcPr>
            <w:tcW w:w="2088" w:type="dxa"/>
            <w:gridSpan w:val="2"/>
          </w:tcPr>
          <w:p w14:paraId="0B5E7DCE" w14:textId="77777777" w:rsidR="00912343" w:rsidRDefault="00000000">
            <w:pPr>
              <w:pStyle w:val="NormalWeb"/>
              <w:ind w:left="142" w:right="34"/>
            </w:pPr>
            <w:r>
              <w:rPr>
                <w:rFonts w:ascii="Arial" w:hAnsi="Arial"/>
                <w:sz w:val="22"/>
                <w:szCs w:val="22"/>
              </w:rPr>
              <w:t>Date:</w:t>
            </w:r>
          </w:p>
        </w:tc>
      </w:tr>
      <w:tr w:rsidR="00912343" w14:paraId="513AB6CF" w14:textId="77777777">
        <w:tc>
          <w:tcPr>
            <w:tcW w:w="8856" w:type="dxa"/>
            <w:gridSpan w:val="5"/>
          </w:tcPr>
          <w:p w14:paraId="6317E8FC" w14:textId="77777777" w:rsidR="00912343" w:rsidRDefault="00912343">
            <w:pPr>
              <w:pStyle w:val="NormalWeb"/>
              <w:ind w:right="-334"/>
              <w:rPr>
                <w:rFonts w:ascii="Arial" w:hAnsi="Arial"/>
                <w:i/>
                <w:sz w:val="22"/>
                <w:szCs w:val="22"/>
              </w:rPr>
            </w:pPr>
          </w:p>
          <w:p w14:paraId="2751F233" w14:textId="77777777" w:rsidR="00912343" w:rsidRDefault="00000000">
            <w:pPr>
              <w:pStyle w:val="NormalWeb"/>
              <w:ind w:right="-334"/>
            </w:pPr>
            <w:r>
              <w:rPr>
                <w:rFonts w:ascii="Arial" w:hAnsi="Arial"/>
                <w:b/>
                <w:sz w:val="22"/>
                <w:szCs w:val="22"/>
              </w:rPr>
              <w:t>For completion by Marker 2/Moderator:</w:t>
            </w:r>
          </w:p>
          <w:p w14:paraId="0DC56286" w14:textId="77777777" w:rsidR="00912343" w:rsidRDefault="00912343">
            <w:pPr>
              <w:pStyle w:val="NormalWeb"/>
              <w:ind w:right="-334"/>
              <w:rPr>
                <w:rFonts w:ascii="Arial" w:hAnsi="Arial"/>
                <w:b/>
                <w:sz w:val="22"/>
                <w:szCs w:val="22"/>
              </w:rPr>
            </w:pPr>
          </w:p>
          <w:p w14:paraId="686179E8" w14:textId="77777777" w:rsidR="00912343" w:rsidRDefault="00000000">
            <w:pPr>
              <w:pStyle w:val="NormalWeb"/>
              <w:ind w:right="-334"/>
            </w:pPr>
            <w:r>
              <w:rPr>
                <w:rFonts w:ascii="Arial" w:hAnsi="Arial"/>
                <w:sz w:val="22"/>
                <w:szCs w:val="22"/>
              </w:rPr>
              <w:t>Comments:</w:t>
            </w:r>
          </w:p>
          <w:p w14:paraId="7E8EA134" w14:textId="77777777" w:rsidR="00912343" w:rsidRDefault="00912343">
            <w:pPr>
              <w:pStyle w:val="NormalWeb"/>
              <w:ind w:right="-334"/>
              <w:rPr>
                <w:rFonts w:ascii="Arial" w:hAnsi="Arial"/>
                <w:sz w:val="22"/>
                <w:szCs w:val="22"/>
              </w:rPr>
            </w:pPr>
          </w:p>
          <w:p w14:paraId="40CB459F" w14:textId="77777777" w:rsidR="00912343" w:rsidRDefault="00912343">
            <w:pPr>
              <w:pStyle w:val="NormalWeb"/>
              <w:ind w:right="-334"/>
              <w:rPr>
                <w:rFonts w:ascii="Arial" w:hAnsi="Arial"/>
                <w:sz w:val="22"/>
                <w:szCs w:val="22"/>
              </w:rPr>
            </w:pPr>
          </w:p>
        </w:tc>
      </w:tr>
      <w:tr w:rsidR="00912343" w14:paraId="4B28AF85" w14:textId="77777777">
        <w:trPr>
          <w:trHeight w:val="720"/>
        </w:trPr>
        <w:tc>
          <w:tcPr>
            <w:tcW w:w="5211" w:type="dxa"/>
            <w:gridSpan w:val="2"/>
          </w:tcPr>
          <w:p w14:paraId="5483F911" w14:textId="77777777" w:rsidR="00912343" w:rsidRDefault="00000000">
            <w:pPr>
              <w:pStyle w:val="NormalWeb"/>
              <w:ind w:right="-334"/>
            </w:pPr>
            <w:r>
              <w:rPr>
                <w:rFonts w:ascii="Arial" w:hAnsi="Arial"/>
                <w:sz w:val="22"/>
                <w:szCs w:val="22"/>
              </w:rPr>
              <w:t>Marker’s Signature:</w:t>
            </w:r>
          </w:p>
        </w:tc>
        <w:tc>
          <w:tcPr>
            <w:tcW w:w="3645" w:type="dxa"/>
            <w:gridSpan w:val="3"/>
          </w:tcPr>
          <w:p w14:paraId="65F6E128" w14:textId="77777777" w:rsidR="00912343" w:rsidRDefault="00000000">
            <w:pPr>
              <w:pStyle w:val="NormalWeb"/>
              <w:ind w:right="-334"/>
            </w:pPr>
            <w:r>
              <w:rPr>
                <w:rFonts w:ascii="Arial" w:hAnsi="Arial"/>
                <w:sz w:val="22"/>
                <w:szCs w:val="22"/>
              </w:rPr>
              <w:t>Date:</w:t>
            </w:r>
          </w:p>
        </w:tc>
      </w:tr>
      <w:tr w:rsidR="00912343" w14:paraId="1300B560" w14:textId="77777777">
        <w:trPr>
          <w:trHeight w:val="720"/>
        </w:trPr>
        <w:tc>
          <w:tcPr>
            <w:tcW w:w="8856" w:type="dxa"/>
            <w:gridSpan w:val="5"/>
          </w:tcPr>
          <w:p w14:paraId="72E2620C" w14:textId="77777777" w:rsidR="00912343" w:rsidRDefault="00000000">
            <w:r>
              <w:rPr>
                <w:rFonts w:ascii="Arial" w:hAnsi="Arial"/>
                <w:b/>
                <w:sz w:val="22"/>
                <w:szCs w:val="22"/>
              </w:rPr>
              <w:t>External Examiner’s comments (if relevant)</w:t>
            </w:r>
          </w:p>
          <w:p w14:paraId="71D8534D" w14:textId="77777777" w:rsidR="00912343" w:rsidRDefault="00912343">
            <w:pPr>
              <w:pStyle w:val="NormalWeb"/>
              <w:ind w:right="-334"/>
              <w:rPr>
                <w:rFonts w:ascii="Arial" w:hAnsi="Arial"/>
                <w:sz w:val="22"/>
                <w:szCs w:val="22"/>
              </w:rPr>
            </w:pPr>
          </w:p>
        </w:tc>
      </w:tr>
      <w:tr w:rsidR="00912343" w14:paraId="0AAACEBA" w14:textId="77777777">
        <w:trPr>
          <w:trHeight w:val="720"/>
        </w:trPr>
        <w:tc>
          <w:tcPr>
            <w:tcW w:w="5211" w:type="dxa"/>
            <w:gridSpan w:val="2"/>
          </w:tcPr>
          <w:p w14:paraId="1D3AD5DB" w14:textId="77777777" w:rsidR="00912343" w:rsidRDefault="00000000">
            <w:r>
              <w:rPr>
                <w:rFonts w:ascii="Arial" w:hAnsi="Arial"/>
                <w:sz w:val="22"/>
                <w:szCs w:val="22"/>
              </w:rPr>
              <w:t>External Examiner’s Signature:</w:t>
            </w:r>
          </w:p>
        </w:tc>
        <w:tc>
          <w:tcPr>
            <w:tcW w:w="3645" w:type="dxa"/>
            <w:gridSpan w:val="3"/>
          </w:tcPr>
          <w:p w14:paraId="752AEBF3" w14:textId="77777777" w:rsidR="00912343" w:rsidRDefault="00000000">
            <w:r>
              <w:rPr>
                <w:rFonts w:ascii="Arial" w:hAnsi="Arial"/>
                <w:sz w:val="22"/>
                <w:szCs w:val="22"/>
              </w:rPr>
              <w:t>Date:</w:t>
            </w:r>
          </w:p>
        </w:tc>
      </w:tr>
    </w:tbl>
    <w:p w14:paraId="4EAA6947" w14:textId="77777777" w:rsidR="001352B7" w:rsidRDefault="001352B7">
      <w:pPr>
        <w:pStyle w:val="NormalWeb"/>
        <w:ind w:right="-334"/>
        <w:rPr>
          <w:rFonts w:ascii="Times New Roman" w:hAnsi="Times New Roman"/>
          <w:sz w:val="22"/>
          <w:szCs w:val="22"/>
        </w:rPr>
      </w:pPr>
    </w:p>
    <w:p w14:paraId="5ABDA4D0" w14:textId="77777777" w:rsidR="001352B7" w:rsidRDefault="001352B7">
      <w:pPr>
        <w:pStyle w:val="NormalWeb"/>
        <w:ind w:right="-334"/>
        <w:rPr>
          <w:rFonts w:ascii="Times New Roman" w:hAnsi="Times New Roman"/>
          <w:sz w:val="22"/>
          <w:szCs w:val="22"/>
        </w:rPr>
      </w:pPr>
    </w:p>
    <w:p w14:paraId="23472E42" w14:textId="77777777" w:rsidR="001352B7" w:rsidRDefault="001352B7">
      <w:pPr>
        <w:pStyle w:val="NormalWeb"/>
        <w:ind w:right="-334"/>
        <w:rPr>
          <w:rFonts w:ascii="Times New Roman" w:hAnsi="Times New Roman"/>
          <w:sz w:val="22"/>
          <w:szCs w:val="22"/>
        </w:rPr>
      </w:pPr>
    </w:p>
    <w:p w14:paraId="63C63110" w14:textId="77777777" w:rsidR="001352B7" w:rsidRDefault="001352B7">
      <w:pPr>
        <w:pStyle w:val="NormalWeb"/>
        <w:ind w:right="-334"/>
        <w:rPr>
          <w:rFonts w:ascii="Times New Roman" w:hAnsi="Times New Roman"/>
          <w:sz w:val="22"/>
          <w:szCs w:val="22"/>
        </w:rPr>
      </w:pPr>
    </w:p>
    <w:p w14:paraId="6CE41C8B" w14:textId="77777777" w:rsidR="001352B7" w:rsidRDefault="001352B7">
      <w:pPr>
        <w:pStyle w:val="NormalWeb"/>
        <w:ind w:right="-334"/>
        <w:rPr>
          <w:rFonts w:ascii="Times New Roman" w:hAnsi="Times New Roman"/>
          <w:sz w:val="22"/>
          <w:szCs w:val="22"/>
        </w:rPr>
      </w:pPr>
    </w:p>
    <w:p w14:paraId="4337983F" w14:textId="77777777" w:rsidR="001352B7" w:rsidRDefault="001352B7">
      <w:pPr>
        <w:pStyle w:val="NormalWeb"/>
        <w:ind w:right="-334"/>
        <w:rPr>
          <w:rFonts w:ascii="Times New Roman" w:hAnsi="Times New Roman"/>
          <w:sz w:val="22"/>
          <w:szCs w:val="22"/>
        </w:rPr>
      </w:pPr>
    </w:p>
    <w:p w14:paraId="7AABD048" w14:textId="77777777" w:rsidR="001352B7" w:rsidRDefault="001352B7">
      <w:pPr>
        <w:pStyle w:val="NormalWeb"/>
        <w:ind w:right="-334"/>
        <w:rPr>
          <w:rFonts w:ascii="Times New Roman" w:hAnsi="Times New Roman"/>
          <w:sz w:val="22"/>
          <w:szCs w:val="22"/>
        </w:rPr>
      </w:pPr>
    </w:p>
    <w:p w14:paraId="5536E179" w14:textId="77777777" w:rsidR="001352B7" w:rsidRDefault="001352B7">
      <w:pPr>
        <w:pStyle w:val="NormalWeb"/>
        <w:ind w:right="-334"/>
        <w:rPr>
          <w:rFonts w:ascii="Times New Roman" w:hAnsi="Times New Roman"/>
          <w:sz w:val="22"/>
          <w:szCs w:val="22"/>
        </w:rPr>
      </w:pPr>
    </w:p>
    <w:p w14:paraId="5D3235A1" w14:textId="77777777" w:rsidR="001352B7" w:rsidRDefault="001352B7">
      <w:pPr>
        <w:pStyle w:val="NormalWeb"/>
        <w:ind w:right="-334"/>
        <w:rPr>
          <w:rFonts w:ascii="Times New Roman" w:hAnsi="Times New Roman"/>
          <w:sz w:val="22"/>
          <w:szCs w:val="22"/>
        </w:rPr>
      </w:pPr>
    </w:p>
    <w:p w14:paraId="3EE8A367" w14:textId="77777777" w:rsidR="001352B7" w:rsidRDefault="001352B7">
      <w:pPr>
        <w:pStyle w:val="NormalWeb"/>
        <w:ind w:right="-334"/>
        <w:rPr>
          <w:rFonts w:ascii="Times New Roman" w:hAnsi="Times New Roman"/>
          <w:sz w:val="22"/>
          <w:szCs w:val="22"/>
        </w:rPr>
      </w:pPr>
    </w:p>
    <w:p w14:paraId="669FF343" w14:textId="77777777" w:rsidR="001352B7" w:rsidRDefault="001352B7">
      <w:pPr>
        <w:pStyle w:val="NormalWeb"/>
        <w:ind w:right="-334"/>
        <w:rPr>
          <w:rFonts w:ascii="Times New Roman" w:hAnsi="Times New Roman"/>
          <w:sz w:val="22"/>
          <w:szCs w:val="22"/>
        </w:rPr>
      </w:pPr>
    </w:p>
    <w:p w14:paraId="529D6E53" w14:textId="77777777" w:rsidR="001352B7" w:rsidRDefault="001352B7">
      <w:pPr>
        <w:pStyle w:val="NormalWeb"/>
        <w:ind w:right="-334"/>
        <w:rPr>
          <w:rFonts w:ascii="Times New Roman" w:hAnsi="Times New Roman"/>
          <w:sz w:val="22"/>
          <w:szCs w:val="22"/>
        </w:rPr>
      </w:pPr>
    </w:p>
    <w:p w14:paraId="612EA0BB" w14:textId="77777777" w:rsidR="001352B7" w:rsidRDefault="001352B7">
      <w:pPr>
        <w:pStyle w:val="NormalWeb"/>
        <w:ind w:right="-334"/>
        <w:rPr>
          <w:rFonts w:ascii="Times New Roman" w:hAnsi="Times New Roman"/>
          <w:sz w:val="22"/>
          <w:szCs w:val="22"/>
        </w:rPr>
      </w:pPr>
    </w:p>
    <w:p w14:paraId="291A6414" w14:textId="77777777" w:rsidR="001352B7" w:rsidRDefault="001352B7">
      <w:pPr>
        <w:pStyle w:val="NormalWeb"/>
        <w:ind w:right="-334"/>
        <w:rPr>
          <w:rFonts w:ascii="Times New Roman" w:hAnsi="Times New Roman"/>
          <w:sz w:val="22"/>
          <w:szCs w:val="22"/>
        </w:rPr>
      </w:pPr>
    </w:p>
    <w:p w14:paraId="25F1895D" w14:textId="77777777" w:rsidR="001352B7" w:rsidRDefault="001352B7">
      <w:pPr>
        <w:pStyle w:val="NormalWeb"/>
        <w:ind w:right="-334"/>
        <w:rPr>
          <w:rFonts w:ascii="Times New Roman" w:hAnsi="Times New Roman"/>
          <w:sz w:val="22"/>
          <w:szCs w:val="22"/>
        </w:rPr>
      </w:pPr>
    </w:p>
    <w:p w14:paraId="3F9C7786" w14:textId="77777777" w:rsidR="001352B7" w:rsidRDefault="001352B7">
      <w:pPr>
        <w:pStyle w:val="NormalWeb"/>
        <w:ind w:right="-334"/>
        <w:rPr>
          <w:rFonts w:ascii="Times New Roman" w:hAnsi="Times New Roman"/>
          <w:sz w:val="22"/>
          <w:szCs w:val="22"/>
        </w:rPr>
      </w:pPr>
    </w:p>
    <w:p w14:paraId="185362AA" w14:textId="77777777" w:rsidR="001352B7" w:rsidRDefault="001352B7">
      <w:pPr>
        <w:pStyle w:val="NormalWeb"/>
        <w:ind w:right="-334"/>
        <w:rPr>
          <w:rFonts w:ascii="Times New Roman" w:hAnsi="Times New Roman"/>
          <w:sz w:val="22"/>
          <w:szCs w:val="22"/>
        </w:rPr>
      </w:pPr>
    </w:p>
    <w:p w14:paraId="69C496D8" w14:textId="77777777" w:rsidR="001352B7" w:rsidRDefault="001352B7">
      <w:pPr>
        <w:pStyle w:val="NormalWeb"/>
        <w:ind w:right="-334"/>
        <w:rPr>
          <w:rFonts w:ascii="Times New Roman" w:hAnsi="Times New Roman"/>
          <w:sz w:val="22"/>
          <w:szCs w:val="22"/>
        </w:rPr>
      </w:pPr>
    </w:p>
    <w:p w14:paraId="4E90C573" w14:textId="77777777" w:rsidR="001352B7" w:rsidRDefault="001352B7">
      <w:pPr>
        <w:pStyle w:val="NormalWeb"/>
        <w:ind w:right="-334"/>
        <w:rPr>
          <w:rFonts w:ascii="Times New Roman" w:hAnsi="Times New Roman"/>
          <w:sz w:val="22"/>
          <w:szCs w:val="22"/>
        </w:rPr>
      </w:pPr>
    </w:p>
    <w:p w14:paraId="78A7C8EE" w14:textId="77777777" w:rsidR="001352B7" w:rsidRDefault="001352B7">
      <w:pPr>
        <w:pStyle w:val="NormalWeb"/>
        <w:ind w:right="-334"/>
        <w:rPr>
          <w:rFonts w:ascii="Times New Roman" w:hAnsi="Times New Roman"/>
          <w:sz w:val="22"/>
          <w:szCs w:val="22"/>
        </w:rPr>
      </w:pPr>
    </w:p>
    <w:p w14:paraId="04DEF341" w14:textId="77777777" w:rsidR="001352B7" w:rsidRDefault="001352B7">
      <w:pPr>
        <w:pStyle w:val="NormalWeb"/>
        <w:ind w:right="-334"/>
        <w:rPr>
          <w:rFonts w:ascii="Times New Roman" w:hAnsi="Times New Roman"/>
          <w:sz w:val="22"/>
          <w:szCs w:val="22"/>
        </w:rPr>
      </w:pPr>
    </w:p>
    <w:p w14:paraId="7FBC042C" w14:textId="77777777" w:rsidR="001352B7" w:rsidRDefault="001352B7">
      <w:pPr>
        <w:pStyle w:val="NormalWeb"/>
        <w:ind w:right="-334"/>
        <w:rPr>
          <w:rFonts w:ascii="Times New Roman" w:hAnsi="Times New Roman"/>
          <w:sz w:val="22"/>
          <w:szCs w:val="22"/>
        </w:rPr>
      </w:pPr>
    </w:p>
    <w:p w14:paraId="6DF0EF38" w14:textId="77777777" w:rsidR="001352B7" w:rsidRDefault="001352B7">
      <w:pPr>
        <w:pStyle w:val="NormalWeb"/>
        <w:ind w:right="-334"/>
        <w:rPr>
          <w:rFonts w:ascii="Times New Roman" w:hAnsi="Times New Roman"/>
          <w:sz w:val="22"/>
          <w:szCs w:val="22"/>
        </w:rPr>
      </w:pPr>
    </w:p>
    <w:p w14:paraId="1F72693C" w14:textId="77777777" w:rsidR="001352B7" w:rsidRDefault="001352B7">
      <w:pPr>
        <w:pStyle w:val="NormalWeb"/>
        <w:ind w:right="-334"/>
        <w:rPr>
          <w:rFonts w:ascii="Times New Roman" w:hAnsi="Times New Roman"/>
          <w:sz w:val="22"/>
          <w:szCs w:val="22"/>
        </w:rPr>
      </w:pPr>
    </w:p>
    <w:p w14:paraId="3231B883" w14:textId="77777777" w:rsidR="00F06B61" w:rsidRPr="00AE4E74" w:rsidRDefault="00F06B61" w:rsidP="00F06B61">
      <w:pPr>
        <w:jc w:val="center"/>
        <w:rPr>
          <w:b/>
          <w:bCs/>
          <w:sz w:val="22"/>
          <w:szCs w:val="22"/>
        </w:rPr>
      </w:pPr>
      <w:r w:rsidRPr="00AE4E74">
        <w:rPr>
          <w:b/>
          <w:bCs/>
          <w:sz w:val="22"/>
          <w:szCs w:val="22"/>
        </w:rPr>
        <w:lastRenderedPageBreak/>
        <w:t>A Critical Examination of the Sky in Relation to Material Culture</w:t>
      </w:r>
    </w:p>
    <w:p w14:paraId="38804D5C" w14:textId="77777777" w:rsidR="00F06B61" w:rsidRDefault="00F06B61" w:rsidP="00F06B61">
      <w:pPr>
        <w:jc w:val="center"/>
        <w:rPr>
          <w:sz w:val="22"/>
          <w:szCs w:val="22"/>
        </w:rPr>
      </w:pPr>
    </w:p>
    <w:p w14:paraId="2D249F1C" w14:textId="77777777" w:rsidR="00F06B61" w:rsidRPr="00AE4E74" w:rsidRDefault="00F06B61" w:rsidP="00F06B61">
      <w:pPr>
        <w:jc w:val="center"/>
        <w:rPr>
          <w:b/>
          <w:bCs/>
          <w:i/>
          <w:iCs/>
          <w:sz w:val="22"/>
          <w:szCs w:val="22"/>
        </w:rPr>
      </w:pPr>
      <w:r w:rsidRPr="00AE4E74">
        <w:rPr>
          <w:b/>
          <w:bCs/>
          <w:i/>
          <w:iCs/>
          <w:sz w:val="22"/>
          <w:szCs w:val="22"/>
        </w:rPr>
        <w:t>A</w:t>
      </w:r>
      <w:r>
        <w:rPr>
          <w:b/>
          <w:bCs/>
          <w:i/>
          <w:iCs/>
          <w:sz w:val="22"/>
          <w:szCs w:val="22"/>
        </w:rPr>
        <w:t xml:space="preserve">n Analysis </w:t>
      </w:r>
      <w:r w:rsidRPr="00AE4E74">
        <w:rPr>
          <w:b/>
          <w:bCs/>
          <w:i/>
          <w:iCs/>
          <w:sz w:val="22"/>
          <w:szCs w:val="22"/>
        </w:rPr>
        <w:t xml:space="preserve">of </w:t>
      </w:r>
      <w:r>
        <w:rPr>
          <w:b/>
          <w:bCs/>
          <w:i/>
          <w:iCs/>
          <w:sz w:val="22"/>
          <w:szCs w:val="22"/>
        </w:rPr>
        <w:t xml:space="preserve">Tarot Card </w:t>
      </w:r>
      <w:r w:rsidRPr="00AE4E74">
        <w:rPr>
          <w:b/>
          <w:bCs/>
          <w:i/>
          <w:iCs/>
          <w:sz w:val="22"/>
          <w:szCs w:val="22"/>
        </w:rPr>
        <w:t xml:space="preserve">Sky </w:t>
      </w:r>
      <w:r>
        <w:rPr>
          <w:b/>
          <w:bCs/>
          <w:i/>
          <w:iCs/>
          <w:sz w:val="22"/>
          <w:szCs w:val="22"/>
        </w:rPr>
        <w:t>Representations</w:t>
      </w:r>
      <w:r w:rsidRPr="00AE4E74">
        <w:rPr>
          <w:b/>
          <w:bCs/>
          <w:i/>
          <w:iCs/>
          <w:sz w:val="22"/>
          <w:szCs w:val="22"/>
        </w:rPr>
        <w:t xml:space="preserve"> </w:t>
      </w:r>
      <w:r>
        <w:rPr>
          <w:b/>
          <w:bCs/>
          <w:i/>
          <w:iCs/>
          <w:sz w:val="22"/>
          <w:szCs w:val="22"/>
        </w:rPr>
        <w:t>in Relation to their Divinatory Significance within Esoteric Culture</w:t>
      </w:r>
    </w:p>
    <w:p w14:paraId="70F8C318" w14:textId="77777777" w:rsidR="00F06B61" w:rsidRPr="00AE4E74" w:rsidRDefault="00F06B61" w:rsidP="00F06B61">
      <w:pPr>
        <w:jc w:val="center"/>
        <w:rPr>
          <w:sz w:val="22"/>
          <w:szCs w:val="22"/>
        </w:rPr>
      </w:pPr>
    </w:p>
    <w:p w14:paraId="12616C54" w14:textId="77777777" w:rsidR="00F06B61" w:rsidRDefault="00F06B61" w:rsidP="00F06B61">
      <w:pPr>
        <w:jc w:val="center"/>
        <w:rPr>
          <w:b/>
          <w:bCs/>
          <w:sz w:val="22"/>
          <w:szCs w:val="22"/>
        </w:rPr>
      </w:pPr>
      <w:r>
        <w:rPr>
          <w:b/>
          <w:bCs/>
          <w:sz w:val="22"/>
          <w:szCs w:val="22"/>
        </w:rPr>
        <w:t>Introduction</w:t>
      </w:r>
    </w:p>
    <w:p w14:paraId="3E8588B0" w14:textId="77777777" w:rsidR="00F06B61" w:rsidRDefault="00F06B61" w:rsidP="00F06B61">
      <w:pPr>
        <w:jc w:val="center"/>
        <w:rPr>
          <w:b/>
          <w:bCs/>
          <w:sz w:val="22"/>
          <w:szCs w:val="22"/>
        </w:rPr>
      </w:pPr>
    </w:p>
    <w:p w14:paraId="23D9AE4B" w14:textId="77777777" w:rsidR="00F06B61" w:rsidRDefault="00F06B61" w:rsidP="00F06B61">
      <w:pPr>
        <w:ind w:firstLine="720"/>
        <w:rPr>
          <w:sz w:val="22"/>
          <w:szCs w:val="22"/>
        </w:rPr>
      </w:pPr>
      <w:r w:rsidRPr="005061F9">
        <w:rPr>
          <w:sz w:val="22"/>
          <w:szCs w:val="22"/>
        </w:rPr>
        <w:t xml:space="preserve">This essay will critically examine </w:t>
      </w:r>
      <w:r>
        <w:rPr>
          <w:sz w:val="22"/>
          <w:szCs w:val="22"/>
        </w:rPr>
        <w:t xml:space="preserve">sky </w:t>
      </w:r>
      <w:r w:rsidRPr="005061F9">
        <w:rPr>
          <w:sz w:val="22"/>
          <w:szCs w:val="22"/>
        </w:rPr>
        <w:t xml:space="preserve">representations within Pamela Coleman Smith’s tarot card illustrations for the Raider White Smith tarot deck, </w:t>
      </w:r>
      <w:r>
        <w:rPr>
          <w:sz w:val="22"/>
          <w:szCs w:val="22"/>
        </w:rPr>
        <w:t xml:space="preserve">along with alternate versions of the chosen cards, </w:t>
      </w:r>
      <w:r w:rsidRPr="005061F9">
        <w:rPr>
          <w:sz w:val="22"/>
          <w:szCs w:val="22"/>
        </w:rPr>
        <w:t xml:space="preserve">with a particular focus on the </w:t>
      </w:r>
      <w:r>
        <w:rPr>
          <w:sz w:val="22"/>
          <w:szCs w:val="22"/>
        </w:rPr>
        <w:t>interpretation</w:t>
      </w:r>
      <w:r w:rsidRPr="005061F9">
        <w:rPr>
          <w:sz w:val="22"/>
          <w:szCs w:val="22"/>
        </w:rPr>
        <w:t xml:space="preserve"> of sky </w:t>
      </w:r>
      <w:r>
        <w:rPr>
          <w:sz w:val="22"/>
          <w:szCs w:val="22"/>
        </w:rPr>
        <w:t>renderings</w:t>
      </w:r>
      <w:r w:rsidRPr="005061F9">
        <w:rPr>
          <w:sz w:val="22"/>
          <w:szCs w:val="22"/>
        </w:rPr>
        <w:t xml:space="preserve"> </w:t>
      </w:r>
      <w:r>
        <w:rPr>
          <w:sz w:val="22"/>
          <w:szCs w:val="22"/>
        </w:rPr>
        <w:t>in relation to occult knowledge embedded within the tarot’s imagery, as reputed within esoteric culture.</w:t>
      </w:r>
      <w:r>
        <w:rPr>
          <w:rStyle w:val="FootnoteReference"/>
          <w:sz w:val="22"/>
          <w:szCs w:val="22"/>
        </w:rPr>
        <w:footnoteReference w:id="1"/>
      </w:r>
      <w:r w:rsidRPr="005061F9">
        <w:rPr>
          <w:sz w:val="22"/>
          <w:szCs w:val="22"/>
        </w:rPr>
        <w:t xml:space="preserve"> </w:t>
      </w:r>
      <w:r>
        <w:rPr>
          <w:sz w:val="22"/>
          <w:szCs w:val="22"/>
        </w:rPr>
        <w:t xml:space="preserve">Esoteric culture is described </w:t>
      </w:r>
      <w:r>
        <w:rPr>
          <w:color w:val="000000"/>
          <w:spacing w:val="-5"/>
          <w:sz w:val="22"/>
          <w:szCs w:val="22"/>
        </w:rPr>
        <w:t xml:space="preserve">by </w:t>
      </w:r>
      <w:r w:rsidRPr="00863EE0">
        <w:rPr>
          <w:sz w:val="22"/>
          <w:szCs w:val="22"/>
        </w:rPr>
        <w:t>Danny L. Jorgensen and Lin Jorgensen</w:t>
      </w:r>
      <w:r>
        <w:rPr>
          <w:sz w:val="22"/>
          <w:szCs w:val="22"/>
        </w:rPr>
        <w:t xml:space="preserve"> as, ‘</w:t>
      </w:r>
      <w:r w:rsidRPr="00863EE0">
        <w:rPr>
          <w:sz w:val="22"/>
          <w:szCs w:val="22"/>
        </w:rPr>
        <w:t>the antithesis of socially legitimate designs for thinking, feeling, and doing</w:t>
      </w:r>
      <w:r>
        <w:rPr>
          <w:sz w:val="22"/>
          <w:szCs w:val="22"/>
        </w:rPr>
        <w:t>,’ with the revolutionary potential to herald</w:t>
      </w:r>
      <w:r w:rsidRPr="00863EE0">
        <w:rPr>
          <w:sz w:val="22"/>
          <w:szCs w:val="22"/>
        </w:rPr>
        <w:t xml:space="preserve"> </w:t>
      </w:r>
      <w:r>
        <w:rPr>
          <w:sz w:val="22"/>
          <w:szCs w:val="22"/>
        </w:rPr>
        <w:t>‘</w:t>
      </w:r>
      <w:r w:rsidRPr="00863EE0">
        <w:rPr>
          <w:sz w:val="22"/>
          <w:szCs w:val="22"/>
        </w:rPr>
        <w:t>a new cultural paradigm</w:t>
      </w:r>
      <w:r>
        <w:rPr>
          <w:sz w:val="22"/>
          <w:szCs w:val="22"/>
        </w:rPr>
        <w:t>,’</w:t>
      </w:r>
      <w:r w:rsidRPr="00863EE0">
        <w:rPr>
          <w:rStyle w:val="FootnoteReference"/>
          <w:sz w:val="22"/>
          <w:szCs w:val="22"/>
        </w:rPr>
        <w:footnoteReference w:id="2"/>
      </w:r>
      <w:r>
        <w:rPr>
          <w:sz w:val="22"/>
          <w:szCs w:val="22"/>
        </w:rPr>
        <w:t xml:space="preserve"> and this interrelationship between intimations of cultural change and the selected sky imagery will be a particular focus for this essay. The t</w:t>
      </w:r>
      <w:r w:rsidRPr="00AE4E74">
        <w:rPr>
          <w:sz w:val="22"/>
          <w:szCs w:val="22"/>
        </w:rPr>
        <w:t>arot</w:t>
      </w:r>
      <w:r>
        <w:rPr>
          <w:sz w:val="22"/>
          <w:szCs w:val="22"/>
        </w:rPr>
        <w:t xml:space="preserve"> is a card deck primarily used for </w:t>
      </w:r>
      <w:r w:rsidRPr="002D045C">
        <w:rPr>
          <w:sz w:val="22"/>
          <w:szCs w:val="22"/>
        </w:rPr>
        <w:t>divination</w:t>
      </w:r>
      <w:r>
        <w:rPr>
          <w:sz w:val="22"/>
          <w:szCs w:val="22"/>
        </w:rPr>
        <w:t>, defined as: ‘1. the act of...foreseeing or foretelling future events; 2. an indication of what is future or secret...prediction.’</w:t>
      </w:r>
      <w:r>
        <w:rPr>
          <w:rStyle w:val="FootnoteReference"/>
          <w:sz w:val="22"/>
          <w:szCs w:val="22"/>
        </w:rPr>
        <w:footnoteReference w:id="3"/>
      </w:r>
      <w:r>
        <w:rPr>
          <w:sz w:val="22"/>
          <w:szCs w:val="22"/>
        </w:rPr>
        <w:t xml:space="preserve"> Despite its prevalent divinatory applications, the standard tarot deck is comprised of 78 cards with similarity to modern playing cards and shares a common origin with the activities of gambling and game playing.</w:t>
      </w:r>
      <w:r>
        <w:rPr>
          <w:rStyle w:val="FootnoteReference"/>
          <w:sz w:val="22"/>
          <w:szCs w:val="22"/>
        </w:rPr>
        <w:footnoteReference w:id="4"/>
      </w:r>
      <w:r>
        <w:rPr>
          <w:sz w:val="22"/>
          <w:szCs w:val="22"/>
        </w:rPr>
        <w:t xml:space="preserve"> The tarot also encompasses an uninterrupted tradition of use dating back to at least the fifteenth century.</w:t>
      </w:r>
      <w:r>
        <w:rPr>
          <w:rStyle w:val="FootnoteReference"/>
          <w:sz w:val="22"/>
          <w:szCs w:val="22"/>
        </w:rPr>
        <w:footnoteReference w:id="5"/>
      </w:r>
      <w:r>
        <w:rPr>
          <w:sz w:val="22"/>
          <w:szCs w:val="22"/>
        </w:rPr>
        <w:t xml:space="preserve"> The two cards</w:t>
      </w:r>
      <w:r w:rsidRPr="005061F9">
        <w:rPr>
          <w:sz w:val="22"/>
          <w:szCs w:val="22"/>
        </w:rPr>
        <w:t xml:space="preserve"> chosen for analysis</w:t>
      </w:r>
      <w:r>
        <w:rPr>
          <w:sz w:val="22"/>
          <w:szCs w:val="22"/>
        </w:rPr>
        <w:t xml:space="preserve"> are</w:t>
      </w:r>
      <w:r w:rsidRPr="005061F9">
        <w:rPr>
          <w:sz w:val="22"/>
          <w:szCs w:val="22"/>
        </w:rPr>
        <w:t xml:space="preserve"> </w:t>
      </w:r>
      <w:r w:rsidRPr="00921DA4">
        <w:rPr>
          <w:i/>
          <w:iCs/>
          <w:sz w:val="22"/>
          <w:szCs w:val="22"/>
        </w:rPr>
        <w:t>The Tower</w:t>
      </w:r>
      <w:r>
        <w:rPr>
          <w:rStyle w:val="FootnoteReference"/>
          <w:sz w:val="22"/>
          <w:szCs w:val="22"/>
        </w:rPr>
        <w:footnoteReference w:id="6"/>
      </w:r>
      <w:r>
        <w:rPr>
          <w:sz w:val="22"/>
          <w:szCs w:val="22"/>
        </w:rPr>
        <w:t xml:space="preserve"> (Fig. 1) </w:t>
      </w:r>
      <w:r w:rsidRPr="00E74120">
        <w:rPr>
          <w:sz w:val="22"/>
          <w:szCs w:val="22"/>
        </w:rPr>
        <w:t xml:space="preserve">and </w:t>
      </w:r>
      <w:r w:rsidRPr="00D41F6F">
        <w:rPr>
          <w:i/>
          <w:iCs/>
          <w:sz w:val="22"/>
          <w:szCs w:val="22"/>
          <w:lang w:eastAsia="en-US"/>
        </w:rPr>
        <w:t>The Star</w:t>
      </w:r>
      <w:r>
        <w:rPr>
          <w:rStyle w:val="FootnoteReference"/>
          <w:i/>
          <w:iCs/>
          <w:sz w:val="22"/>
          <w:szCs w:val="22"/>
          <w:lang w:eastAsia="en-US"/>
        </w:rPr>
        <w:footnoteReference w:id="7"/>
      </w:r>
      <w:r>
        <w:rPr>
          <w:sz w:val="22"/>
          <w:szCs w:val="22"/>
          <w:lang w:eastAsia="en-US"/>
        </w:rPr>
        <w:t xml:space="preserve"> (Fig. 5)</w:t>
      </w:r>
      <w:r w:rsidRPr="00E74120">
        <w:rPr>
          <w:sz w:val="22"/>
          <w:szCs w:val="22"/>
        </w:rPr>
        <w:t>, due to their divergent depictions of the sky as tumultuous and serene respectively</w:t>
      </w:r>
      <w:r>
        <w:rPr>
          <w:sz w:val="22"/>
          <w:szCs w:val="22"/>
        </w:rPr>
        <w:t>, and in exploration of the</w:t>
      </w:r>
      <w:r w:rsidRPr="00E74120">
        <w:rPr>
          <w:sz w:val="22"/>
          <w:szCs w:val="22"/>
        </w:rPr>
        <w:t xml:space="preserve"> p</w:t>
      </w:r>
      <w:r>
        <w:rPr>
          <w:sz w:val="22"/>
          <w:szCs w:val="22"/>
        </w:rPr>
        <w:t>otential</w:t>
      </w:r>
      <w:r w:rsidRPr="00E74120">
        <w:rPr>
          <w:sz w:val="22"/>
          <w:szCs w:val="22"/>
        </w:rPr>
        <w:t xml:space="preserve"> occult messages embedded within their disparate imagery, </w:t>
      </w:r>
      <w:r>
        <w:rPr>
          <w:sz w:val="22"/>
          <w:szCs w:val="22"/>
        </w:rPr>
        <w:t>in an</w:t>
      </w:r>
      <w:r w:rsidRPr="00E74120">
        <w:rPr>
          <w:sz w:val="22"/>
          <w:szCs w:val="22"/>
        </w:rPr>
        <w:t xml:space="preserve"> attempt to elucidate the inherently varied nature of the sky as a symbol and its </w:t>
      </w:r>
      <w:r>
        <w:rPr>
          <w:sz w:val="22"/>
          <w:szCs w:val="22"/>
        </w:rPr>
        <w:t>purported capacity</w:t>
      </w:r>
      <w:r w:rsidRPr="00E74120">
        <w:rPr>
          <w:sz w:val="22"/>
          <w:szCs w:val="22"/>
        </w:rPr>
        <w:t xml:space="preserve"> for visual transmission of arcane wisdom. These cards have </w:t>
      </w:r>
      <w:r>
        <w:rPr>
          <w:sz w:val="22"/>
          <w:szCs w:val="22"/>
        </w:rPr>
        <w:t xml:space="preserve">also </w:t>
      </w:r>
      <w:r w:rsidRPr="00E74120">
        <w:rPr>
          <w:sz w:val="22"/>
          <w:szCs w:val="22"/>
        </w:rPr>
        <w:t xml:space="preserve">been selected to </w:t>
      </w:r>
      <w:r>
        <w:rPr>
          <w:sz w:val="22"/>
          <w:szCs w:val="22"/>
        </w:rPr>
        <w:t>symbolically</w:t>
      </w:r>
      <w:r w:rsidRPr="00E74120">
        <w:rPr>
          <w:sz w:val="22"/>
          <w:szCs w:val="22"/>
        </w:rPr>
        <w:t xml:space="preserve"> </w:t>
      </w:r>
      <w:r>
        <w:rPr>
          <w:sz w:val="22"/>
          <w:szCs w:val="22"/>
        </w:rPr>
        <w:t>enumerate</w:t>
      </w:r>
      <w:r w:rsidRPr="00E74120">
        <w:rPr>
          <w:sz w:val="22"/>
          <w:szCs w:val="22"/>
        </w:rPr>
        <w:t xml:space="preserve"> the </w:t>
      </w:r>
      <w:r>
        <w:rPr>
          <w:sz w:val="22"/>
          <w:szCs w:val="22"/>
        </w:rPr>
        <w:t xml:space="preserve">interconnection between the </w:t>
      </w:r>
      <w:r w:rsidRPr="00E74120">
        <w:rPr>
          <w:sz w:val="22"/>
          <w:szCs w:val="22"/>
        </w:rPr>
        <w:t xml:space="preserve">sky and </w:t>
      </w:r>
      <w:r>
        <w:rPr>
          <w:sz w:val="22"/>
          <w:szCs w:val="22"/>
        </w:rPr>
        <w:t xml:space="preserve">the </w:t>
      </w:r>
      <w:r w:rsidRPr="00E74120">
        <w:rPr>
          <w:sz w:val="22"/>
          <w:szCs w:val="22"/>
        </w:rPr>
        <w:t>cyclical, earth process</w:t>
      </w:r>
      <w:r>
        <w:rPr>
          <w:sz w:val="22"/>
          <w:szCs w:val="22"/>
        </w:rPr>
        <w:t>es</w:t>
      </w:r>
      <w:r w:rsidRPr="00E74120">
        <w:rPr>
          <w:sz w:val="22"/>
          <w:szCs w:val="22"/>
        </w:rPr>
        <w:t xml:space="preserve"> of the birth and death of </w:t>
      </w:r>
      <w:r>
        <w:rPr>
          <w:sz w:val="22"/>
          <w:szCs w:val="22"/>
        </w:rPr>
        <w:t xml:space="preserve">organic </w:t>
      </w:r>
      <w:r w:rsidRPr="00E74120">
        <w:rPr>
          <w:sz w:val="22"/>
          <w:szCs w:val="22"/>
        </w:rPr>
        <w:t xml:space="preserve">life, a cycle </w:t>
      </w:r>
      <w:r>
        <w:rPr>
          <w:sz w:val="22"/>
          <w:szCs w:val="22"/>
        </w:rPr>
        <w:t>that</w:t>
      </w:r>
      <w:r w:rsidRPr="00E74120">
        <w:rPr>
          <w:sz w:val="22"/>
          <w:szCs w:val="22"/>
        </w:rPr>
        <w:t xml:space="preserve"> has likewise been </w:t>
      </w:r>
      <w:r>
        <w:rPr>
          <w:sz w:val="22"/>
          <w:szCs w:val="22"/>
        </w:rPr>
        <w:t xml:space="preserve">theoretically </w:t>
      </w:r>
      <w:r w:rsidRPr="00E74120">
        <w:rPr>
          <w:sz w:val="22"/>
          <w:szCs w:val="22"/>
        </w:rPr>
        <w:t>connected to occult knowledge</w:t>
      </w:r>
      <w:r w:rsidRPr="00E74120">
        <w:rPr>
          <w:rStyle w:val="FootnoteReference"/>
          <w:sz w:val="22"/>
          <w:szCs w:val="22"/>
        </w:rPr>
        <w:footnoteReference w:id="8"/>
      </w:r>
      <w:r w:rsidRPr="00E74120">
        <w:rPr>
          <w:sz w:val="22"/>
          <w:szCs w:val="22"/>
        </w:rPr>
        <w:t xml:space="preserve"> and to mystery cults.</w:t>
      </w:r>
      <w:r w:rsidRPr="00E74120">
        <w:rPr>
          <w:rStyle w:val="FootnoteReference"/>
          <w:sz w:val="22"/>
          <w:szCs w:val="22"/>
        </w:rPr>
        <w:footnoteReference w:id="9"/>
      </w:r>
      <w:r w:rsidRPr="00E74120">
        <w:rPr>
          <w:sz w:val="22"/>
          <w:szCs w:val="22"/>
        </w:rPr>
        <w:t xml:space="preserve"> </w:t>
      </w:r>
      <w:r>
        <w:rPr>
          <w:sz w:val="22"/>
          <w:szCs w:val="22"/>
        </w:rPr>
        <w:t>Sky representations</w:t>
      </w:r>
      <w:r w:rsidRPr="005061F9">
        <w:rPr>
          <w:sz w:val="22"/>
          <w:szCs w:val="22"/>
        </w:rPr>
        <w:t xml:space="preserve"> as portending events characteristic of the death</w:t>
      </w:r>
      <w:r>
        <w:rPr>
          <w:sz w:val="22"/>
          <w:szCs w:val="22"/>
        </w:rPr>
        <w:t xml:space="preserve"> phase</w:t>
      </w:r>
      <w:r w:rsidRPr="005061F9">
        <w:rPr>
          <w:sz w:val="22"/>
          <w:szCs w:val="22"/>
        </w:rPr>
        <w:t xml:space="preserve"> will be contrasted with </w:t>
      </w:r>
      <w:r>
        <w:rPr>
          <w:sz w:val="22"/>
          <w:szCs w:val="22"/>
        </w:rPr>
        <w:t xml:space="preserve">sky renderings </w:t>
      </w:r>
      <w:r w:rsidRPr="005061F9">
        <w:rPr>
          <w:sz w:val="22"/>
          <w:szCs w:val="22"/>
        </w:rPr>
        <w:t xml:space="preserve">in relation to </w:t>
      </w:r>
      <w:r>
        <w:rPr>
          <w:sz w:val="22"/>
          <w:szCs w:val="22"/>
        </w:rPr>
        <w:t xml:space="preserve">the </w:t>
      </w:r>
      <w:r w:rsidRPr="005061F9">
        <w:rPr>
          <w:sz w:val="22"/>
          <w:szCs w:val="22"/>
        </w:rPr>
        <w:t>birth</w:t>
      </w:r>
      <w:r>
        <w:rPr>
          <w:sz w:val="22"/>
          <w:szCs w:val="22"/>
        </w:rPr>
        <w:t xml:space="preserve"> stage</w:t>
      </w:r>
      <w:r w:rsidRPr="005061F9">
        <w:rPr>
          <w:sz w:val="22"/>
          <w:szCs w:val="22"/>
        </w:rPr>
        <w:t xml:space="preserve">. </w:t>
      </w:r>
      <w:r>
        <w:rPr>
          <w:sz w:val="22"/>
          <w:szCs w:val="22"/>
        </w:rPr>
        <w:t xml:space="preserve">The intersection between non-dualistic interpretations, divinatory significances, and occult knowledge will be examined, and the analysis will be furthered by reverse-ordering the stages of birth and death, positioning </w:t>
      </w:r>
      <w:r w:rsidRPr="002D045C">
        <w:rPr>
          <w:i/>
          <w:iCs/>
          <w:sz w:val="22"/>
          <w:szCs w:val="22"/>
        </w:rPr>
        <w:t>The Tower</w:t>
      </w:r>
      <w:r>
        <w:rPr>
          <w:sz w:val="22"/>
          <w:szCs w:val="22"/>
        </w:rPr>
        <w:t xml:space="preserve"> </w:t>
      </w:r>
      <w:r w:rsidRPr="002D045C">
        <w:rPr>
          <w:i/>
          <w:iCs/>
          <w:sz w:val="22"/>
          <w:szCs w:val="22"/>
        </w:rPr>
        <w:t xml:space="preserve">as </w:t>
      </w:r>
      <w:r>
        <w:rPr>
          <w:i/>
          <w:iCs/>
          <w:sz w:val="22"/>
          <w:szCs w:val="22"/>
        </w:rPr>
        <w:t>D</w:t>
      </w:r>
      <w:r w:rsidRPr="002D045C">
        <w:rPr>
          <w:i/>
          <w:iCs/>
          <w:sz w:val="22"/>
          <w:szCs w:val="22"/>
        </w:rPr>
        <w:t>eath</w:t>
      </w:r>
      <w:r>
        <w:rPr>
          <w:sz w:val="22"/>
          <w:szCs w:val="22"/>
        </w:rPr>
        <w:t xml:space="preserve"> first in the chronological alignment with the birth stage and </w:t>
      </w:r>
      <w:r w:rsidRPr="002D045C">
        <w:rPr>
          <w:i/>
          <w:iCs/>
          <w:sz w:val="22"/>
          <w:szCs w:val="22"/>
        </w:rPr>
        <w:t>The Star</w:t>
      </w:r>
      <w:r>
        <w:rPr>
          <w:sz w:val="22"/>
          <w:szCs w:val="22"/>
        </w:rPr>
        <w:t xml:space="preserve"> </w:t>
      </w:r>
      <w:r w:rsidRPr="002D045C">
        <w:rPr>
          <w:i/>
          <w:iCs/>
          <w:sz w:val="22"/>
          <w:szCs w:val="22"/>
        </w:rPr>
        <w:t>as Birth</w:t>
      </w:r>
      <w:r>
        <w:rPr>
          <w:sz w:val="22"/>
          <w:szCs w:val="22"/>
        </w:rPr>
        <w:t xml:space="preserve"> last in sequence with the death stage, in order to ascertain whether non-dualism and ideological orientation towards paradox are necessary preconditions for the attainment of occult knowledge, as esoteric theorists have proclaimed.</w:t>
      </w:r>
      <w:r>
        <w:rPr>
          <w:rStyle w:val="FootnoteReference"/>
          <w:sz w:val="22"/>
          <w:szCs w:val="22"/>
        </w:rPr>
        <w:footnoteReference w:id="10"/>
      </w:r>
      <w:r>
        <w:rPr>
          <w:sz w:val="22"/>
          <w:szCs w:val="22"/>
        </w:rPr>
        <w:t xml:space="preserve"> </w:t>
      </w:r>
    </w:p>
    <w:p w14:paraId="71002B5D" w14:textId="77777777" w:rsidR="00F06B61" w:rsidRDefault="00F06B61" w:rsidP="00F06B61">
      <w:pPr>
        <w:ind w:firstLine="720"/>
        <w:rPr>
          <w:b/>
          <w:bCs/>
          <w:sz w:val="22"/>
          <w:szCs w:val="22"/>
        </w:rPr>
      </w:pPr>
    </w:p>
    <w:p w14:paraId="2E8C90DD" w14:textId="77777777" w:rsidR="00F06B61" w:rsidRPr="00AE4E74" w:rsidRDefault="00F06B61" w:rsidP="00F06B61">
      <w:pPr>
        <w:jc w:val="center"/>
        <w:rPr>
          <w:b/>
          <w:bCs/>
          <w:sz w:val="22"/>
          <w:szCs w:val="22"/>
        </w:rPr>
      </w:pPr>
      <w:r w:rsidRPr="00AE4E74">
        <w:rPr>
          <w:b/>
          <w:bCs/>
          <w:sz w:val="22"/>
          <w:szCs w:val="22"/>
        </w:rPr>
        <w:t xml:space="preserve">A Brief </w:t>
      </w:r>
      <w:r>
        <w:rPr>
          <w:b/>
          <w:bCs/>
          <w:sz w:val="22"/>
          <w:szCs w:val="22"/>
        </w:rPr>
        <w:t>Overview</w:t>
      </w:r>
      <w:r w:rsidRPr="00AE4E74">
        <w:rPr>
          <w:b/>
          <w:bCs/>
          <w:sz w:val="22"/>
          <w:szCs w:val="22"/>
        </w:rPr>
        <w:t xml:space="preserve"> of the Tarot</w:t>
      </w:r>
    </w:p>
    <w:p w14:paraId="619E2E59" w14:textId="77777777" w:rsidR="00F06B61" w:rsidRPr="00AE4E74" w:rsidRDefault="00F06B61" w:rsidP="00F06B61">
      <w:pPr>
        <w:jc w:val="center"/>
        <w:rPr>
          <w:sz w:val="22"/>
          <w:szCs w:val="22"/>
        </w:rPr>
      </w:pPr>
    </w:p>
    <w:p w14:paraId="0C64F1CA" w14:textId="77777777" w:rsidR="00F06B61" w:rsidRDefault="00F06B61" w:rsidP="00F06B61">
      <w:pPr>
        <w:ind w:firstLine="720"/>
        <w:rPr>
          <w:sz w:val="22"/>
          <w:szCs w:val="22"/>
        </w:rPr>
      </w:pPr>
      <w:r>
        <w:rPr>
          <w:sz w:val="22"/>
          <w:szCs w:val="22"/>
        </w:rPr>
        <w:lastRenderedPageBreak/>
        <w:t>The tarot’s origins have been much disputed,</w:t>
      </w:r>
      <w:r>
        <w:rPr>
          <w:rStyle w:val="FootnoteReference"/>
          <w:sz w:val="22"/>
          <w:szCs w:val="22"/>
        </w:rPr>
        <w:footnoteReference w:id="11"/>
      </w:r>
      <w:r>
        <w:rPr>
          <w:sz w:val="22"/>
          <w:szCs w:val="22"/>
        </w:rPr>
        <w:t xml:space="preserve"> initially believed to have originated in fourteenth century France but now commonly attributed to fifteenth century Italy,</w:t>
      </w:r>
      <w:r>
        <w:rPr>
          <w:rStyle w:val="FootnoteReference"/>
          <w:sz w:val="22"/>
          <w:szCs w:val="22"/>
        </w:rPr>
        <w:footnoteReference w:id="12"/>
      </w:r>
      <w:r>
        <w:rPr>
          <w:sz w:val="22"/>
          <w:szCs w:val="22"/>
        </w:rPr>
        <w:t xml:space="preserve"> with the first decks commissioned by Italian aristocracy.</w:t>
      </w:r>
      <w:r>
        <w:rPr>
          <w:rStyle w:val="FootnoteReference"/>
          <w:sz w:val="22"/>
          <w:szCs w:val="22"/>
        </w:rPr>
        <w:footnoteReference w:id="13"/>
      </w:r>
      <w:r>
        <w:rPr>
          <w:sz w:val="22"/>
          <w:szCs w:val="22"/>
        </w:rPr>
        <w:t xml:space="preserve"> Regarding the tarot’s use for divination, Sosteric demonstrates that ‘established references’ for the tarot ‘as a fortune-telling tool’ did not emerge until the mid-eighteenth century,</w:t>
      </w:r>
      <w:r>
        <w:rPr>
          <w:rStyle w:val="FootnoteReference"/>
          <w:sz w:val="22"/>
          <w:szCs w:val="22"/>
        </w:rPr>
        <w:footnoteReference w:id="14"/>
      </w:r>
      <w:r>
        <w:rPr>
          <w:sz w:val="22"/>
          <w:szCs w:val="22"/>
        </w:rPr>
        <w:t xml:space="preserve"> and Juliette Wood connects the origins of an esoteric usage of the cards to ‘the French occult revival’ occurring in the late eighteenth century.</w:t>
      </w:r>
      <w:r>
        <w:rPr>
          <w:rStyle w:val="FootnoteReference"/>
          <w:sz w:val="22"/>
          <w:szCs w:val="22"/>
        </w:rPr>
        <w:footnoteReference w:id="15"/>
      </w:r>
      <w:r>
        <w:rPr>
          <w:sz w:val="22"/>
          <w:szCs w:val="22"/>
        </w:rPr>
        <w:t xml:space="preserve"> Despite the endurance of the tarot for over six centuries,</w:t>
      </w:r>
      <w:r>
        <w:rPr>
          <w:rStyle w:val="FootnoteReference"/>
          <w:sz w:val="22"/>
          <w:szCs w:val="22"/>
        </w:rPr>
        <w:footnoteReference w:id="16"/>
      </w:r>
      <w:r>
        <w:rPr>
          <w:sz w:val="22"/>
          <w:szCs w:val="22"/>
        </w:rPr>
        <w:t xml:space="preserve"> Sosteric identifies a significant lacuna within sociological research of them,</w:t>
      </w:r>
      <w:r>
        <w:rPr>
          <w:rStyle w:val="FootnoteReference"/>
          <w:sz w:val="22"/>
          <w:szCs w:val="22"/>
        </w:rPr>
        <w:footnoteReference w:id="17"/>
      </w:r>
      <w:r>
        <w:rPr>
          <w:sz w:val="22"/>
          <w:szCs w:val="22"/>
        </w:rPr>
        <w:t xml:space="preserve"> asserts a ‘dismissive’ attitude towards the cards and occult studies within the field of sociology,</w:t>
      </w:r>
      <w:r>
        <w:rPr>
          <w:rStyle w:val="FootnoteReference"/>
          <w:sz w:val="22"/>
          <w:szCs w:val="22"/>
        </w:rPr>
        <w:footnoteReference w:id="18"/>
      </w:r>
      <w:r>
        <w:rPr>
          <w:sz w:val="22"/>
          <w:szCs w:val="22"/>
        </w:rPr>
        <w:t xml:space="preserve"> and attributes this sociological depreciation in part to Durkheimian influences.</w:t>
      </w:r>
      <w:r>
        <w:rPr>
          <w:rStyle w:val="FootnoteReference"/>
          <w:sz w:val="22"/>
          <w:szCs w:val="22"/>
        </w:rPr>
        <w:footnoteReference w:id="19"/>
      </w:r>
      <w:r>
        <w:rPr>
          <w:sz w:val="22"/>
          <w:szCs w:val="22"/>
        </w:rPr>
        <w:t xml:space="preserve"> Relatedly, Victoria Lee Erikson contextualises the Durkheimian perspective within patriarchal culture, links this perspective to the creation of denigratory sacred/profane dichotomizations by men, and argues that men construed the category ‘magic’ as opposite and inferior to ‘religion’ to exclude women and to ‘describe what they were not.’</w:t>
      </w:r>
      <w:r>
        <w:rPr>
          <w:rStyle w:val="FootnoteReference"/>
          <w:sz w:val="22"/>
          <w:szCs w:val="22"/>
        </w:rPr>
        <w:footnoteReference w:id="20"/>
      </w:r>
      <w:r>
        <w:rPr>
          <w:sz w:val="22"/>
          <w:szCs w:val="22"/>
        </w:rPr>
        <w:t xml:space="preserve"> Likewise, Nancy Jay connects dichotomized thinking to Durkheimian influence, patriarchal culture, sexism, and change-resistance, and maintains that ‘abandoning’ dichotomized thinking is ‘associated with striving for change</w:t>
      </w:r>
      <w:r>
        <w:rPr>
          <w:color w:val="000000"/>
          <w:spacing w:val="-5"/>
          <w:sz w:val="22"/>
          <w:szCs w:val="22"/>
        </w:rPr>
        <w:t>.’</w:t>
      </w:r>
      <w:r>
        <w:rPr>
          <w:rStyle w:val="FootnoteReference"/>
          <w:sz w:val="22"/>
          <w:szCs w:val="22"/>
        </w:rPr>
        <w:footnoteReference w:id="21"/>
      </w:r>
      <w:r>
        <w:rPr>
          <w:color w:val="000000"/>
          <w:spacing w:val="-5"/>
          <w:sz w:val="22"/>
          <w:szCs w:val="22"/>
        </w:rPr>
        <w:t xml:space="preserve"> Considering Jorgensen and Jorgensen’s description of esoteric culture as</w:t>
      </w:r>
      <w:r>
        <w:rPr>
          <w:sz w:val="22"/>
          <w:szCs w:val="22"/>
        </w:rPr>
        <w:t xml:space="preserve"> the ‘antithesis’ of the prevailing social order, with the potential to usher in paradigmatic cultural change,</w:t>
      </w:r>
      <w:r w:rsidRPr="00863EE0">
        <w:rPr>
          <w:rStyle w:val="FootnoteReference"/>
          <w:sz w:val="22"/>
          <w:szCs w:val="22"/>
        </w:rPr>
        <w:footnoteReference w:id="22"/>
      </w:r>
      <w:r>
        <w:rPr>
          <w:sz w:val="22"/>
          <w:szCs w:val="22"/>
        </w:rPr>
        <w:t xml:space="preserve"> deductions as to the specific nature of the new cultural paradigm represented by the tarot can be intimated within the perspectives of occultists Arthur Edward Waite and Crowley,</w:t>
      </w:r>
      <w:r>
        <w:rPr>
          <w:rStyle w:val="FootnoteReference"/>
          <w:sz w:val="22"/>
          <w:szCs w:val="22"/>
        </w:rPr>
        <w:footnoteReference w:id="23"/>
      </w:r>
      <w:r>
        <w:rPr>
          <w:sz w:val="22"/>
          <w:szCs w:val="22"/>
        </w:rPr>
        <w:t xml:space="preserve"> who present the tarot as a route to spiritual independence and personal autonomy. Specifically, Waite asserts the possibility of individual mystical experience through tarot use,</w:t>
      </w:r>
      <w:r w:rsidRPr="003A531D">
        <w:rPr>
          <w:rStyle w:val="FootnoteReference"/>
          <w:color w:val="000000"/>
          <w:spacing w:val="-5"/>
          <w:sz w:val="22"/>
          <w:szCs w:val="22"/>
        </w:rPr>
        <w:footnoteReference w:id="24"/>
      </w:r>
      <w:r>
        <w:rPr>
          <w:sz w:val="22"/>
          <w:szCs w:val="22"/>
        </w:rPr>
        <w:t xml:space="preserve"> and considers tarot ‘a channel for the transmission of a secret tradition.’</w:t>
      </w:r>
      <w:r>
        <w:rPr>
          <w:rStyle w:val="FootnoteReference"/>
          <w:sz w:val="22"/>
          <w:szCs w:val="22"/>
        </w:rPr>
        <w:footnoteReference w:id="25"/>
      </w:r>
      <w:r>
        <w:rPr>
          <w:sz w:val="22"/>
          <w:szCs w:val="22"/>
        </w:rPr>
        <w:t xml:space="preserve"> Likewise, Crowley implies the possibility of self-initiation into esoteric knowledge through the tarot.</w:t>
      </w:r>
      <w:r w:rsidRPr="003A531D">
        <w:rPr>
          <w:rStyle w:val="FootnoteReference"/>
          <w:color w:val="000000"/>
          <w:spacing w:val="-5"/>
          <w:sz w:val="22"/>
          <w:szCs w:val="22"/>
        </w:rPr>
        <w:footnoteReference w:id="26"/>
      </w:r>
      <w:r>
        <w:rPr>
          <w:sz w:val="22"/>
          <w:szCs w:val="22"/>
        </w:rPr>
        <w:t xml:space="preserve"> Both authors relegate the tarot to a personal and unmediated system of occult knowledge acquired directly through a process of self-study and experiential learning. Consequently, the interrelationship between potential cultural destabilization through tarot use, dynamics of change, and sky representations within the tarot will be explored within this essay.</w:t>
      </w:r>
    </w:p>
    <w:p w14:paraId="179C839D" w14:textId="77777777" w:rsidR="00F06B61" w:rsidRDefault="00F06B61" w:rsidP="00F06B61">
      <w:pPr>
        <w:ind w:firstLine="720"/>
        <w:rPr>
          <w:sz w:val="22"/>
          <w:szCs w:val="22"/>
        </w:rPr>
      </w:pPr>
    </w:p>
    <w:p w14:paraId="6A71DE79" w14:textId="77777777" w:rsidR="00F06B61" w:rsidRPr="00F77423" w:rsidRDefault="00F06B61" w:rsidP="00F06B61">
      <w:pPr>
        <w:ind w:firstLine="720"/>
        <w:jc w:val="center"/>
        <w:rPr>
          <w:rFonts w:eastAsiaTheme="minorHAnsi"/>
          <w:b/>
          <w:bCs/>
          <w:i/>
          <w:iCs/>
          <w:sz w:val="22"/>
          <w:szCs w:val="22"/>
          <w:lang w:eastAsia="en-US"/>
        </w:rPr>
      </w:pPr>
      <w:r>
        <w:rPr>
          <w:b/>
          <w:bCs/>
          <w:i/>
          <w:iCs/>
          <w:sz w:val="22"/>
          <w:szCs w:val="22"/>
        </w:rPr>
        <w:t>The</w:t>
      </w:r>
      <w:r w:rsidRPr="00F77423">
        <w:rPr>
          <w:b/>
          <w:bCs/>
          <w:i/>
          <w:iCs/>
          <w:sz w:val="22"/>
          <w:szCs w:val="22"/>
        </w:rPr>
        <w:t xml:space="preserve"> Tarot in Relation to </w:t>
      </w:r>
      <w:r>
        <w:rPr>
          <w:b/>
          <w:bCs/>
          <w:i/>
          <w:iCs/>
          <w:sz w:val="22"/>
          <w:szCs w:val="22"/>
        </w:rPr>
        <w:t>the Sky</w:t>
      </w:r>
    </w:p>
    <w:p w14:paraId="2D70A9E4" w14:textId="77777777" w:rsidR="00F06B61" w:rsidRDefault="00F06B61" w:rsidP="00F06B61">
      <w:pPr>
        <w:ind w:firstLine="720"/>
        <w:rPr>
          <w:sz w:val="22"/>
          <w:szCs w:val="22"/>
        </w:rPr>
      </w:pPr>
    </w:p>
    <w:p w14:paraId="563252D0" w14:textId="77777777" w:rsidR="00F06B61" w:rsidRDefault="00F06B61" w:rsidP="00F06B61">
      <w:pPr>
        <w:ind w:firstLine="720"/>
        <w:rPr>
          <w:sz w:val="22"/>
          <w:szCs w:val="22"/>
        </w:rPr>
      </w:pPr>
      <w:r>
        <w:rPr>
          <w:sz w:val="22"/>
          <w:szCs w:val="22"/>
        </w:rPr>
        <w:t>Significantly, the tarot deck is divided into two distinct categories; the first is comprised of fifty-six cards known as the ‘minor cards, minor arcana, or suit cards,’</w:t>
      </w:r>
      <w:r>
        <w:rPr>
          <w:rStyle w:val="FootnoteReference"/>
          <w:sz w:val="22"/>
          <w:szCs w:val="22"/>
        </w:rPr>
        <w:footnoteReference w:id="27"/>
      </w:r>
      <w:r>
        <w:rPr>
          <w:sz w:val="22"/>
          <w:szCs w:val="22"/>
        </w:rPr>
        <w:t xml:space="preserve"> and the second contains the remaining twenty-two cards known as the major arcana or trump cards,</w:t>
      </w:r>
      <w:r>
        <w:rPr>
          <w:rStyle w:val="FootnoteReference"/>
          <w:sz w:val="22"/>
          <w:szCs w:val="22"/>
        </w:rPr>
        <w:footnoteReference w:id="28"/>
      </w:r>
      <w:r>
        <w:rPr>
          <w:sz w:val="22"/>
          <w:szCs w:val="22"/>
        </w:rPr>
        <w:t xml:space="preserve"> or the ‘keys or secrets.’</w:t>
      </w:r>
      <w:r>
        <w:rPr>
          <w:rStyle w:val="FootnoteReference"/>
          <w:sz w:val="22"/>
          <w:szCs w:val="22"/>
        </w:rPr>
        <w:footnoteReference w:id="29"/>
      </w:r>
      <w:r>
        <w:rPr>
          <w:sz w:val="22"/>
          <w:szCs w:val="22"/>
        </w:rPr>
        <w:t xml:space="preserve"> Throughout the eighteenth and nineteenth centuries, occult writers claimed the tarot </w:t>
      </w:r>
      <w:r>
        <w:rPr>
          <w:sz w:val="22"/>
          <w:szCs w:val="22"/>
        </w:rPr>
        <w:lastRenderedPageBreak/>
        <w:t>was derived from Egyptian hieroglyphics,</w:t>
      </w:r>
      <w:r>
        <w:rPr>
          <w:rStyle w:val="FootnoteReference"/>
          <w:sz w:val="22"/>
          <w:szCs w:val="22"/>
        </w:rPr>
        <w:footnoteReference w:id="30"/>
      </w:r>
      <w:r>
        <w:rPr>
          <w:sz w:val="22"/>
          <w:szCs w:val="22"/>
        </w:rPr>
        <w:t xml:space="preserve"> and according to Crowley in the twentieth century, the major arcana contain twenty-two cards in deliberate accordance with the number of letters in the Hebrew alphabet.</w:t>
      </w:r>
      <w:r>
        <w:rPr>
          <w:rStyle w:val="FootnoteReference"/>
          <w:sz w:val="22"/>
          <w:szCs w:val="22"/>
        </w:rPr>
        <w:footnoteReference w:id="31"/>
      </w:r>
      <w:r>
        <w:rPr>
          <w:sz w:val="22"/>
          <w:szCs w:val="22"/>
        </w:rPr>
        <w:t xml:space="preserve"> He additionally links these Hebrew letters to nature and sky correspondences, by denoting three ‘Mother’ letters to correspond with the elements, seven ‘Double Letters’ to represent the planets, and twelve ‘Single Letters’ to align with the zodiac, revealing a symbolic connection between the tarot’s major arcana cards and the sky.</w:t>
      </w:r>
      <w:r>
        <w:rPr>
          <w:rStyle w:val="FootnoteReference"/>
          <w:sz w:val="22"/>
          <w:szCs w:val="22"/>
        </w:rPr>
        <w:footnoteReference w:id="32"/>
      </w:r>
      <w:r>
        <w:rPr>
          <w:sz w:val="22"/>
          <w:szCs w:val="22"/>
        </w:rPr>
        <w:t xml:space="preserve"> Crowley additionally describes the major arcana as ‘a Key to magical formulae,’</w:t>
      </w:r>
      <w:r>
        <w:rPr>
          <w:rStyle w:val="FootnoteReference"/>
          <w:sz w:val="22"/>
          <w:szCs w:val="22"/>
        </w:rPr>
        <w:footnoteReference w:id="33"/>
      </w:r>
      <w:r>
        <w:rPr>
          <w:sz w:val="22"/>
          <w:szCs w:val="22"/>
        </w:rPr>
        <w:t xml:space="preserve"> rendering the sequence with particular significance for attaining occult knowledge.</w:t>
      </w:r>
      <w:r>
        <w:rPr>
          <w:rStyle w:val="FootnoteReference"/>
          <w:sz w:val="22"/>
          <w:szCs w:val="22"/>
        </w:rPr>
        <w:footnoteReference w:id="34"/>
      </w:r>
      <w:r>
        <w:rPr>
          <w:sz w:val="22"/>
          <w:szCs w:val="22"/>
        </w:rPr>
        <w:t xml:space="preserve"> Furthermore, the major arcana cards are typically sub-divided into three groups containing seven cards in ascending numerical order, which Coralee Grebe describes as organized with the following symbolism: </w:t>
      </w:r>
    </w:p>
    <w:p w14:paraId="639FDE3C" w14:textId="77777777" w:rsidR="00F06B61" w:rsidRDefault="00F06B61" w:rsidP="00F06B61">
      <w:pPr>
        <w:rPr>
          <w:sz w:val="22"/>
          <w:szCs w:val="22"/>
        </w:rPr>
      </w:pPr>
    </w:p>
    <w:p w14:paraId="071D9A7D" w14:textId="77777777" w:rsidR="00F06B61" w:rsidRDefault="00F06B61" w:rsidP="00F06B61">
      <w:pPr>
        <w:ind w:left="720"/>
        <w:rPr>
          <w:sz w:val="22"/>
          <w:szCs w:val="22"/>
        </w:rPr>
      </w:pPr>
      <w:r>
        <w:rPr>
          <w:sz w:val="22"/>
          <w:szCs w:val="22"/>
        </w:rPr>
        <w:t>The first septenary, cards 1-7, represents natural powers as personalities, the second, cards 8-14, describes the laws and variables that affect our lives, and the third, cards 15-21, suggests the conditions which govern all phases of existence.</w:t>
      </w:r>
      <w:r>
        <w:rPr>
          <w:rStyle w:val="FootnoteReference"/>
          <w:sz w:val="22"/>
          <w:szCs w:val="22"/>
        </w:rPr>
        <w:footnoteReference w:id="35"/>
      </w:r>
    </w:p>
    <w:p w14:paraId="15BC5619" w14:textId="77777777" w:rsidR="00F06B61" w:rsidRDefault="00F06B61" w:rsidP="00F06B61">
      <w:pPr>
        <w:ind w:left="720"/>
        <w:rPr>
          <w:sz w:val="22"/>
          <w:szCs w:val="22"/>
        </w:rPr>
      </w:pPr>
    </w:p>
    <w:p w14:paraId="753FC8C2" w14:textId="77777777" w:rsidR="00F06B61" w:rsidRDefault="00F06B61" w:rsidP="00F06B61">
      <w:pPr>
        <w:ind w:firstLine="720"/>
        <w:rPr>
          <w:sz w:val="22"/>
          <w:szCs w:val="22"/>
        </w:rPr>
      </w:pPr>
      <w:r>
        <w:rPr>
          <w:sz w:val="22"/>
          <w:szCs w:val="22"/>
        </w:rPr>
        <w:t xml:space="preserve">Considering the interrelationship between phases of change and the tarot as previously enumerated, this analysis will focus on a selection of cards from the third septenary of the major arcana and will examine sky representations within the selected cards for potential indicators of occult knowledge, in relationship to the birth/death life cycle of change within nature. The cards chosen for analysis are </w:t>
      </w:r>
      <w:r w:rsidRPr="00CE5D35">
        <w:rPr>
          <w:i/>
          <w:iCs/>
          <w:sz w:val="22"/>
          <w:szCs w:val="22"/>
        </w:rPr>
        <w:t xml:space="preserve">The </w:t>
      </w:r>
      <w:r w:rsidRPr="00E94444">
        <w:rPr>
          <w:i/>
          <w:iCs/>
          <w:sz w:val="22"/>
          <w:szCs w:val="22"/>
        </w:rPr>
        <w:t>Tower</w:t>
      </w:r>
      <w:r>
        <w:rPr>
          <w:sz w:val="22"/>
          <w:szCs w:val="22"/>
        </w:rPr>
        <w:t xml:space="preserve"> (Fig. 1) and </w:t>
      </w:r>
      <w:r w:rsidRPr="00CE5D35">
        <w:rPr>
          <w:i/>
          <w:iCs/>
          <w:sz w:val="22"/>
          <w:szCs w:val="22"/>
        </w:rPr>
        <w:t xml:space="preserve">The </w:t>
      </w:r>
      <w:r w:rsidRPr="00E94444">
        <w:rPr>
          <w:i/>
          <w:iCs/>
          <w:sz w:val="22"/>
          <w:szCs w:val="22"/>
        </w:rPr>
        <w:t>Star</w:t>
      </w:r>
      <w:r>
        <w:rPr>
          <w:i/>
          <w:iCs/>
          <w:sz w:val="22"/>
          <w:szCs w:val="22"/>
        </w:rPr>
        <w:t xml:space="preserve"> </w:t>
      </w:r>
      <w:r>
        <w:rPr>
          <w:sz w:val="22"/>
          <w:szCs w:val="22"/>
        </w:rPr>
        <w:t xml:space="preserve">(Fig. 5), chronological major arcana tarot card numbers 16 and 17, and a comparative analysis will be made between various artistic renderings of these cards and the sky imagery contained within them, including historic and modern writings on the cards by artists and occult theorists. </w:t>
      </w:r>
    </w:p>
    <w:p w14:paraId="2B05A5DA" w14:textId="77777777" w:rsidR="00F06B61" w:rsidRDefault="00F06B61" w:rsidP="00F06B61">
      <w:pPr>
        <w:rPr>
          <w:sz w:val="22"/>
          <w:szCs w:val="22"/>
        </w:rPr>
      </w:pPr>
    </w:p>
    <w:p w14:paraId="12B85AEA" w14:textId="77777777" w:rsidR="00F06B61" w:rsidRPr="00E94444" w:rsidRDefault="00F06B61" w:rsidP="00F06B61">
      <w:pPr>
        <w:jc w:val="center"/>
        <w:rPr>
          <w:b/>
          <w:bCs/>
          <w:sz w:val="22"/>
          <w:szCs w:val="22"/>
        </w:rPr>
      </w:pPr>
      <w:r>
        <w:rPr>
          <w:b/>
          <w:bCs/>
          <w:sz w:val="22"/>
          <w:szCs w:val="22"/>
        </w:rPr>
        <w:t xml:space="preserve">A Representational Sky Imagery Analysis of </w:t>
      </w:r>
      <w:r w:rsidRPr="005C1507">
        <w:rPr>
          <w:b/>
          <w:bCs/>
          <w:i/>
          <w:iCs/>
          <w:sz w:val="22"/>
          <w:szCs w:val="22"/>
        </w:rPr>
        <w:t>The Tower</w:t>
      </w:r>
      <w:r>
        <w:rPr>
          <w:b/>
          <w:bCs/>
          <w:sz w:val="22"/>
          <w:szCs w:val="22"/>
        </w:rPr>
        <w:t xml:space="preserve"> and </w:t>
      </w:r>
      <w:r w:rsidRPr="005C1507">
        <w:rPr>
          <w:b/>
          <w:bCs/>
          <w:i/>
          <w:iCs/>
          <w:sz w:val="22"/>
          <w:szCs w:val="22"/>
        </w:rPr>
        <w:t>The Star</w:t>
      </w:r>
      <w:r>
        <w:rPr>
          <w:b/>
          <w:bCs/>
          <w:sz w:val="22"/>
          <w:szCs w:val="22"/>
        </w:rPr>
        <w:t xml:space="preserve"> Cards</w:t>
      </w:r>
    </w:p>
    <w:p w14:paraId="458477C2" w14:textId="77777777" w:rsidR="00F06B61" w:rsidRDefault="00F06B61" w:rsidP="00F06B61">
      <w:pPr>
        <w:rPr>
          <w:sz w:val="22"/>
          <w:szCs w:val="22"/>
        </w:rPr>
      </w:pPr>
      <w:r>
        <w:rPr>
          <w:sz w:val="22"/>
          <w:szCs w:val="22"/>
        </w:rPr>
        <w:tab/>
      </w:r>
    </w:p>
    <w:p w14:paraId="05F32286" w14:textId="77777777" w:rsidR="00F06B61" w:rsidRDefault="00F06B61" w:rsidP="00F06B61">
      <w:pPr>
        <w:ind w:firstLine="720"/>
        <w:rPr>
          <w:sz w:val="22"/>
          <w:szCs w:val="22"/>
        </w:rPr>
      </w:pPr>
      <w:r>
        <w:rPr>
          <w:sz w:val="22"/>
          <w:szCs w:val="22"/>
        </w:rPr>
        <w:t xml:space="preserve">A key artist in the history of the tarot is Pamela Colman Smith, an occultist and </w:t>
      </w:r>
      <w:r w:rsidRPr="00C34A24">
        <w:rPr>
          <w:sz w:val="22"/>
          <w:szCs w:val="22"/>
        </w:rPr>
        <w:t xml:space="preserve">illustrator who was commissioned by fellow Order of the Golden Dawn member Waite to create the illustrations for a </w:t>
      </w:r>
      <w:r>
        <w:rPr>
          <w:sz w:val="22"/>
          <w:szCs w:val="22"/>
        </w:rPr>
        <w:t xml:space="preserve">new </w:t>
      </w:r>
      <w:r w:rsidRPr="00C34A24">
        <w:rPr>
          <w:sz w:val="22"/>
          <w:szCs w:val="22"/>
        </w:rPr>
        <w:t xml:space="preserve">tarot deck, </w:t>
      </w:r>
      <w:r>
        <w:rPr>
          <w:sz w:val="22"/>
          <w:szCs w:val="22"/>
        </w:rPr>
        <w:t>published in London, England in 1909 as the</w:t>
      </w:r>
      <w:r w:rsidRPr="00C34A24">
        <w:rPr>
          <w:sz w:val="22"/>
          <w:szCs w:val="22"/>
        </w:rPr>
        <w:t xml:space="preserve"> Raider Waite Smith tarot, frequently abbreviated </w:t>
      </w:r>
      <w:r>
        <w:rPr>
          <w:sz w:val="22"/>
          <w:szCs w:val="22"/>
        </w:rPr>
        <w:t xml:space="preserve">to </w:t>
      </w:r>
      <w:r w:rsidRPr="00C34A24">
        <w:rPr>
          <w:sz w:val="22"/>
          <w:szCs w:val="22"/>
        </w:rPr>
        <w:t>RWS.</w:t>
      </w:r>
      <w:r w:rsidRPr="00C34A24">
        <w:rPr>
          <w:rStyle w:val="FootnoteReference"/>
          <w:sz w:val="22"/>
          <w:szCs w:val="22"/>
        </w:rPr>
        <w:footnoteReference w:id="36"/>
      </w:r>
      <w:r w:rsidRPr="00C34A24">
        <w:rPr>
          <w:sz w:val="22"/>
          <w:szCs w:val="22"/>
        </w:rPr>
        <w:t xml:space="preserve"> Jessica Hundley </w:t>
      </w:r>
      <w:r>
        <w:rPr>
          <w:sz w:val="22"/>
          <w:szCs w:val="22"/>
        </w:rPr>
        <w:t>recounts</w:t>
      </w:r>
      <w:r w:rsidRPr="00C34A24">
        <w:rPr>
          <w:sz w:val="22"/>
          <w:szCs w:val="22"/>
        </w:rPr>
        <w:t xml:space="preserve"> that </w:t>
      </w:r>
      <w:r>
        <w:rPr>
          <w:sz w:val="22"/>
          <w:szCs w:val="22"/>
        </w:rPr>
        <w:t xml:space="preserve">Colman </w:t>
      </w:r>
      <w:r w:rsidRPr="00C34A24">
        <w:rPr>
          <w:sz w:val="22"/>
          <w:szCs w:val="22"/>
        </w:rPr>
        <w:t xml:space="preserve">Smith was known to receive visions of her artwork through channelling practices and deep states of meditation, and credits </w:t>
      </w:r>
      <w:r>
        <w:rPr>
          <w:sz w:val="22"/>
          <w:szCs w:val="22"/>
        </w:rPr>
        <w:t>her</w:t>
      </w:r>
      <w:r w:rsidRPr="00C34A24">
        <w:rPr>
          <w:sz w:val="22"/>
          <w:szCs w:val="22"/>
        </w:rPr>
        <w:t xml:space="preserve"> and Waite for a</w:t>
      </w:r>
      <w:r>
        <w:rPr>
          <w:sz w:val="22"/>
          <w:szCs w:val="22"/>
        </w:rPr>
        <w:t>n</w:t>
      </w:r>
      <w:r w:rsidRPr="00C34A24">
        <w:rPr>
          <w:sz w:val="22"/>
          <w:szCs w:val="22"/>
        </w:rPr>
        <w:t xml:space="preserve"> influential reimagination of ‘Tarot for the 20</w:t>
      </w:r>
      <w:r w:rsidRPr="00C34A24">
        <w:rPr>
          <w:sz w:val="22"/>
          <w:szCs w:val="22"/>
          <w:vertAlign w:val="superscript"/>
        </w:rPr>
        <w:t>th</w:t>
      </w:r>
      <w:r w:rsidRPr="00C34A24">
        <w:rPr>
          <w:sz w:val="22"/>
          <w:szCs w:val="22"/>
        </w:rPr>
        <w:t xml:space="preserve"> century,’</w:t>
      </w:r>
      <w:r w:rsidRPr="00C34A24">
        <w:rPr>
          <w:rStyle w:val="FootnoteReference"/>
          <w:sz w:val="22"/>
          <w:szCs w:val="22"/>
        </w:rPr>
        <w:footnoteReference w:id="37"/>
      </w:r>
      <w:r w:rsidRPr="00C34A24">
        <w:rPr>
          <w:sz w:val="22"/>
          <w:szCs w:val="22"/>
        </w:rPr>
        <w:t xml:space="preserve"> </w:t>
      </w:r>
      <w:r>
        <w:rPr>
          <w:sz w:val="22"/>
          <w:szCs w:val="22"/>
        </w:rPr>
        <w:t>which</w:t>
      </w:r>
      <w:r w:rsidRPr="00C34A24">
        <w:rPr>
          <w:sz w:val="22"/>
          <w:szCs w:val="22"/>
        </w:rPr>
        <w:t xml:space="preserve"> </w:t>
      </w:r>
      <w:r>
        <w:rPr>
          <w:sz w:val="22"/>
          <w:szCs w:val="22"/>
        </w:rPr>
        <w:t>Emily E. Auger describes as ‘the most widely recognized and popular Tarot in the world.’</w:t>
      </w:r>
      <w:r>
        <w:rPr>
          <w:rStyle w:val="FootnoteReference"/>
          <w:sz w:val="22"/>
          <w:szCs w:val="22"/>
        </w:rPr>
        <w:footnoteReference w:id="38"/>
      </w:r>
      <w:r>
        <w:rPr>
          <w:sz w:val="22"/>
          <w:szCs w:val="22"/>
        </w:rPr>
        <w:t xml:space="preserve"> One of Colman </w:t>
      </w:r>
      <w:r w:rsidRPr="00C34A24">
        <w:rPr>
          <w:sz w:val="22"/>
          <w:szCs w:val="22"/>
        </w:rPr>
        <w:t xml:space="preserve">Smith’s </w:t>
      </w:r>
      <w:r>
        <w:rPr>
          <w:sz w:val="22"/>
          <w:szCs w:val="22"/>
        </w:rPr>
        <w:t>notable</w:t>
      </w:r>
      <w:r w:rsidRPr="00C34A24">
        <w:rPr>
          <w:sz w:val="22"/>
          <w:szCs w:val="22"/>
        </w:rPr>
        <w:t xml:space="preserve"> addition</w:t>
      </w:r>
      <w:r>
        <w:rPr>
          <w:sz w:val="22"/>
          <w:szCs w:val="22"/>
        </w:rPr>
        <w:t>s</w:t>
      </w:r>
      <w:r w:rsidRPr="00C34A24">
        <w:rPr>
          <w:sz w:val="22"/>
          <w:szCs w:val="22"/>
        </w:rPr>
        <w:t xml:space="preserve"> to the deck was the creation of scenic imagery for the minor arcana cards</w:t>
      </w:r>
      <w:r>
        <w:rPr>
          <w:sz w:val="22"/>
          <w:szCs w:val="22"/>
        </w:rPr>
        <w:t xml:space="preserve"> that </w:t>
      </w:r>
      <w:r w:rsidRPr="00C34A24">
        <w:rPr>
          <w:sz w:val="22"/>
          <w:szCs w:val="22"/>
        </w:rPr>
        <w:t xml:space="preserve">had previously been </w:t>
      </w:r>
      <w:r>
        <w:rPr>
          <w:sz w:val="22"/>
          <w:szCs w:val="22"/>
        </w:rPr>
        <w:t>imaged</w:t>
      </w:r>
      <w:r w:rsidRPr="00C34A24">
        <w:rPr>
          <w:sz w:val="22"/>
          <w:szCs w:val="22"/>
        </w:rPr>
        <w:t xml:space="preserve"> non-pictorially </w:t>
      </w:r>
      <w:r>
        <w:rPr>
          <w:sz w:val="22"/>
          <w:szCs w:val="22"/>
        </w:rPr>
        <w:t>like</w:t>
      </w:r>
      <w:r w:rsidRPr="00C34A24">
        <w:rPr>
          <w:sz w:val="22"/>
          <w:szCs w:val="22"/>
        </w:rPr>
        <w:t xml:space="preserve"> traditional playing car</w:t>
      </w:r>
      <w:r>
        <w:rPr>
          <w:sz w:val="22"/>
          <w:szCs w:val="22"/>
        </w:rPr>
        <w:t>d</w:t>
      </w:r>
      <w:r w:rsidRPr="00C34A24">
        <w:rPr>
          <w:sz w:val="22"/>
          <w:szCs w:val="22"/>
        </w:rPr>
        <w:t>s.</w:t>
      </w:r>
      <w:r w:rsidRPr="00C34A24">
        <w:rPr>
          <w:rStyle w:val="FootnoteReference"/>
          <w:sz w:val="22"/>
          <w:szCs w:val="22"/>
        </w:rPr>
        <w:footnoteReference w:id="39"/>
      </w:r>
      <w:r w:rsidRPr="00C34A24">
        <w:rPr>
          <w:sz w:val="22"/>
          <w:szCs w:val="22"/>
        </w:rPr>
        <w:t xml:space="preserve"> </w:t>
      </w:r>
      <w:r>
        <w:rPr>
          <w:sz w:val="22"/>
          <w:szCs w:val="22"/>
        </w:rPr>
        <w:t>Additionally, she combined her own interests in mythology and theatre with Waite’s attraction to Arthurian legend and Christian mysticism, to create imagery that has been used as the basis for numerous artistic reinterpretations by subsequent tarot illustrators over the following century.</w:t>
      </w:r>
      <w:r>
        <w:rPr>
          <w:rStyle w:val="FootnoteReference"/>
          <w:sz w:val="22"/>
          <w:szCs w:val="22"/>
        </w:rPr>
        <w:footnoteReference w:id="40"/>
      </w:r>
      <w:r>
        <w:rPr>
          <w:sz w:val="22"/>
          <w:szCs w:val="22"/>
        </w:rPr>
        <w:t xml:space="preserve"> Due to the significance of the RWS deck and Colman Smith’s artistry within the history of the tarot, this analysis will situate her iconic tarot imagery alongside other artistic versions of the selected cards, which have both preceded and followed on from her innovations.</w:t>
      </w:r>
    </w:p>
    <w:p w14:paraId="5B802860" w14:textId="77777777" w:rsidR="00F06B61" w:rsidRDefault="00F06B61" w:rsidP="00F06B61">
      <w:pPr>
        <w:ind w:firstLine="720"/>
        <w:rPr>
          <w:sz w:val="22"/>
          <w:szCs w:val="22"/>
        </w:rPr>
      </w:pPr>
    </w:p>
    <w:p w14:paraId="5E99BF78" w14:textId="77777777" w:rsidR="00F06B61" w:rsidRPr="005A0EF3" w:rsidRDefault="00F06B61" w:rsidP="00F06B61">
      <w:pPr>
        <w:ind w:firstLine="720"/>
        <w:jc w:val="center"/>
        <w:rPr>
          <w:b/>
          <w:bCs/>
          <w:i/>
          <w:iCs/>
          <w:sz w:val="22"/>
          <w:szCs w:val="22"/>
        </w:rPr>
      </w:pPr>
      <w:r>
        <w:rPr>
          <w:b/>
          <w:bCs/>
          <w:i/>
          <w:iCs/>
          <w:sz w:val="22"/>
          <w:szCs w:val="22"/>
        </w:rPr>
        <w:t>The Tower</w:t>
      </w:r>
    </w:p>
    <w:p w14:paraId="4B533B34" w14:textId="77777777" w:rsidR="00F06B61" w:rsidRDefault="00F06B61" w:rsidP="00F06B61">
      <w:pPr>
        <w:ind w:firstLine="720"/>
        <w:rPr>
          <w:sz w:val="22"/>
          <w:szCs w:val="22"/>
        </w:rPr>
      </w:pPr>
    </w:p>
    <w:p w14:paraId="53132736" w14:textId="77777777" w:rsidR="00F06B61" w:rsidRDefault="00F06B61" w:rsidP="00F06B61">
      <w:pPr>
        <w:keepNext/>
        <w:ind w:firstLine="720"/>
        <w:jc w:val="center"/>
      </w:pPr>
      <w:r>
        <w:rPr>
          <w:noProof/>
          <w:sz w:val="22"/>
          <w:szCs w:val="22"/>
        </w:rPr>
        <w:drawing>
          <wp:inline distT="0" distB="0" distL="0" distR="0" wp14:anchorId="265406E7" wp14:editId="0099A29D">
            <wp:extent cx="1377130"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6145" cy="2450873"/>
                    </a:xfrm>
                    <a:prstGeom prst="rect">
                      <a:avLst/>
                    </a:prstGeom>
                  </pic:spPr>
                </pic:pic>
              </a:graphicData>
            </a:graphic>
          </wp:inline>
        </w:drawing>
      </w:r>
    </w:p>
    <w:p w14:paraId="20D41CFC" w14:textId="77777777" w:rsidR="00F06B61" w:rsidRPr="00E94444" w:rsidRDefault="00F06B61" w:rsidP="00F06B61">
      <w:pPr>
        <w:pStyle w:val="Caption"/>
        <w:jc w:val="center"/>
        <w:rPr>
          <w:rFonts w:ascii="Times New Roman" w:hAnsi="Times New Roman" w:cs="Times New Roman"/>
          <w:color w:val="000000" w:themeColor="text1"/>
          <w:sz w:val="22"/>
          <w:szCs w:val="22"/>
        </w:rPr>
      </w:pPr>
      <w:r w:rsidRPr="00E94444">
        <w:rPr>
          <w:rFonts w:ascii="Times New Roman" w:hAnsi="Times New Roman" w:cs="Times New Roman"/>
          <w:i w:val="0"/>
          <w:iCs w:val="0"/>
          <w:color w:val="000000" w:themeColor="text1"/>
        </w:rPr>
        <w:t xml:space="preserve">Figure </w:t>
      </w:r>
      <w:r w:rsidRPr="00E94444">
        <w:rPr>
          <w:rFonts w:ascii="Times New Roman" w:hAnsi="Times New Roman" w:cs="Times New Roman"/>
          <w:i w:val="0"/>
          <w:iCs w:val="0"/>
          <w:color w:val="000000" w:themeColor="text1"/>
        </w:rPr>
        <w:fldChar w:fldCharType="begin"/>
      </w:r>
      <w:r w:rsidRPr="00E94444">
        <w:rPr>
          <w:rFonts w:ascii="Times New Roman" w:hAnsi="Times New Roman" w:cs="Times New Roman"/>
          <w:i w:val="0"/>
          <w:iCs w:val="0"/>
          <w:color w:val="000000" w:themeColor="text1"/>
        </w:rPr>
        <w:instrText xml:space="preserve"> SEQ Figure \* ARABIC </w:instrText>
      </w:r>
      <w:r w:rsidRPr="00E94444">
        <w:rPr>
          <w:rFonts w:ascii="Times New Roman" w:hAnsi="Times New Roman" w:cs="Times New Roman"/>
          <w:i w:val="0"/>
          <w:iCs w:val="0"/>
          <w:color w:val="000000" w:themeColor="text1"/>
        </w:rPr>
        <w:fldChar w:fldCharType="separate"/>
      </w:r>
      <w:r>
        <w:rPr>
          <w:rFonts w:ascii="Times New Roman" w:hAnsi="Times New Roman" w:cs="Times New Roman"/>
          <w:i w:val="0"/>
          <w:iCs w:val="0"/>
          <w:noProof/>
          <w:color w:val="000000" w:themeColor="text1"/>
        </w:rPr>
        <w:t>1</w:t>
      </w:r>
      <w:r w:rsidRPr="00E94444">
        <w:rPr>
          <w:rFonts w:ascii="Times New Roman" w:hAnsi="Times New Roman" w:cs="Times New Roman"/>
          <w:i w:val="0"/>
          <w:iCs w:val="0"/>
          <w:color w:val="000000" w:themeColor="text1"/>
        </w:rPr>
        <w:fldChar w:fldCharType="end"/>
      </w:r>
      <w:r w:rsidRPr="00E94444">
        <w:rPr>
          <w:rFonts w:ascii="Times New Roman" w:hAnsi="Times New Roman" w:cs="Times New Roman"/>
          <w:i w:val="0"/>
          <w:iCs w:val="0"/>
          <w:color w:val="000000" w:themeColor="text1"/>
        </w:rPr>
        <w:t>. Pamela Colman Smith (1878-1951</w:t>
      </w:r>
      <w:r w:rsidRPr="00E94444">
        <w:rPr>
          <w:rFonts w:ascii="Times New Roman" w:hAnsi="Times New Roman" w:cs="Times New Roman"/>
          <w:color w:val="000000" w:themeColor="text1"/>
        </w:rPr>
        <w:t xml:space="preserve">), RWS Tarot 16 The Tower, </w:t>
      </w:r>
      <w:r w:rsidRPr="00E94444">
        <w:rPr>
          <w:rFonts w:ascii="Times New Roman" w:hAnsi="Times New Roman" w:cs="Times New Roman"/>
          <w:i w:val="0"/>
          <w:iCs w:val="0"/>
          <w:color w:val="000000" w:themeColor="text1"/>
        </w:rPr>
        <w:t xml:space="preserve">1909, illustration, </w:t>
      </w:r>
      <w:r w:rsidRPr="00E94444">
        <w:rPr>
          <w:rFonts w:ascii="Times New Roman" w:hAnsi="Times New Roman" w:cs="Times New Roman"/>
          <w:color w:val="000000" w:themeColor="text1"/>
        </w:rPr>
        <w:t xml:space="preserve">Image: </w:t>
      </w:r>
      <w:r w:rsidRPr="00E94444">
        <w:rPr>
          <w:rFonts w:ascii="Times New Roman" w:hAnsi="Times New Roman" w:cs="Times New Roman"/>
          <w:i w:val="0"/>
          <w:iCs w:val="0"/>
          <w:color w:val="000000" w:themeColor="text1"/>
        </w:rPr>
        <w:t>Wikimedia Commons Public Domain</w:t>
      </w:r>
    </w:p>
    <w:p w14:paraId="0468A546" w14:textId="77777777" w:rsidR="00F06B61" w:rsidRDefault="00F06B61" w:rsidP="00F06B61">
      <w:pPr>
        <w:ind w:firstLine="720"/>
        <w:rPr>
          <w:sz w:val="22"/>
          <w:szCs w:val="22"/>
        </w:rPr>
      </w:pPr>
      <w:r>
        <w:rPr>
          <w:sz w:val="22"/>
          <w:szCs w:val="22"/>
        </w:rPr>
        <w:t>As Fiona Bowie states, ‘human drama is often eclipsed by the greater battle taking place on a metaphysical level, reflected in the skies,’</w:t>
      </w:r>
      <w:r>
        <w:rPr>
          <w:rStyle w:val="FootnoteReference"/>
          <w:sz w:val="22"/>
          <w:szCs w:val="22"/>
        </w:rPr>
        <w:footnoteReference w:id="41"/>
      </w:r>
      <w:r>
        <w:rPr>
          <w:sz w:val="22"/>
          <w:szCs w:val="22"/>
        </w:rPr>
        <w:t xml:space="preserve"> and her statement is particularly descriptive of imagery contained within the first card for analysis: Colman Smith’s </w:t>
      </w:r>
      <w:r w:rsidRPr="00921DA4">
        <w:rPr>
          <w:i/>
          <w:iCs/>
          <w:sz w:val="22"/>
          <w:szCs w:val="22"/>
        </w:rPr>
        <w:t>The Tower</w:t>
      </w:r>
      <w:r>
        <w:rPr>
          <w:sz w:val="22"/>
          <w:szCs w:val="22"/>
        </w:rPr>
        <w:t xml:space="preserve"> (Fig. 1). This major arcana card depicts the destructive forces of the sky in dialogue with human architecture, destabilizing the construction through a lightning strike that ignites flames within its walls and catapults the human inhabitants along with their material possessions directly out into the elements. The imagery depicts the humans and the architectural construction as powerless in relation to the sky forces, and as acted upon sovereignly by these elemental forces of change and destruction, which appear unable to be halted through human means. The lightning is rendered angularly and pointedly, striking directly at architecture imaged as narrow, rigid, phallic, built upon unsolid foundations, and fully surrounded by storm clouds. This card has a notable history that includes its own omission from certain earlier Italian tarot decks,</w:t>
      </w:r>
      <w:r>
        <w:rPr>
          <w:rStyle w:val="FootnoteReference"/>
          <w:sz w:val="22"/>
          <w:szCs w:val="22"/>
        </w:rPr>
        <w:footnoteReference w:id="42"/>
      </w:r>
      <w:r>
        <w:rPr>
          <w:sz w:val="22"/>
          <w:szCs w:val="22"/>
        </w:rPr>
        <w:t xml:space="preserve"> along with alternative names and imagery, and this essay will now provide a brief overview of the card’s history preceding Colman Smith’s version, in order to better contextualise her subsequent innovations. </w:t>
      </w:r>
    </w:p>
    <w:p w14:paraId="3D992AF9" w14:textId="77777777" w:rsidR="00F06B61" w:rsidRDefault="00F06B61" w:rsidP="00F06B61">
      <w:pPr>
        <w:ind w:firstLine="720"/>
        <w:rPr>
          <w:sz w:val="22"/>
          <w:szCs w:val="22"/>
        </w:rPr>
      </w:pPr>
    </w:p>
    <w:p w14:paraId="3812634E" w14:textId="77777777" w:rsidR="00F06B61" w:rsidRPr="007D0937" w:rsidRDefault="00F06B61" w:rsidP="00F06B61">
      <w:pPr>
        <w:jc w:val="center"/>
        <w:rPr>
          <w:b/>
          <w:bCs/>
          <w:i/>
          <w:iCs/>
          <w:sz w:val="22"/>
          <w:szCs w:val="22"/>
        </w:rPr>
      </w:pPr>
      <w:r w:rsidRPr="007D0937">
        <w:rPr>
          <w:b/>
          <w:bCs/>
          <w:i/>
          <w:iCs/>
          <w:sz w:val="22"/>
          <w:szCs w:val="22"/>
        </w:rPr>
        <w:t>A History of the Tower Card</w:t>
      </w:r>
    </w:p>
    <w:p w14:paraId="347880CD" w14:textId="77777777" w:rsidR="00F06B61" w:rsidRDefault="00F06B61" w:rsidP="00F06B61">
      <w:pPr>
        <w:ind w:firstLine="720"/>
        <w:rPr>
          <w:sz w:val="22"/>
          <w:szCs w:val="22"/>
        </w:rPr>
      </w:pPr>
    </w:p>
    <w:p w14:paraId="0DF20DAB" w14:textId="77777777" w:rsidR="00F06B61" w:rsidRDefault="00F06B61" w:rsidP="00F06B61">
      <w:pPr>
        <w:keepNext/>
        <w:jc w:val="center"/>
      </w:pPr>
      <w:r>
        <w:rPr>
          <w:noProof/>
          <w:sz w:val="22"/>
          <w:szCs w:val="22"/>
        </w:rPr>
        <w:drawing>
          <wp:inline distT="0" distB="0" distL="0" distR="0" wp14:anchorId="21001A95" wp14:editId="1C088CCA">
            <wp:extent cx="1332634" cy="2326822"/>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1364855" cy="2383081"/>
                    </a:xfrm>
                    <a:prstGeom prst="rect">
                      <a:avLst/>
                    </a:prstGeom>
                  </pic:spPr>
                </pic:pic>
              </a:graphicData>
            </a:graphic>
          </wp:inline>
        </w:drawing>
      </w:r>
    </w:p>
    <w:p w14:paraId="1A0320C1" w14:textId="77777777" w:rsidR="00F06B61" w:rsidRPr="00142064" w:rsidRDefault="00F06B61" w:rsidP="00F06B61">
      <w:pPr>
        <w:pStyle w:val="Caption"/>
        <w:jc w:val="center"/>
        <w:rPr>
          <w:rFonts w:ascii="Times New Roman" w:hAnsi="Times New Roman" w:cs="Times New Roman"/>
          <w:i w:val="0"/>
          <w:iCs w:val="0"/>
          <w:color w:val="000000" w:themeColor="text1"/>
          <w:sz w:val="22"/>
          <w:szCs w:val="22"/>
        </w:rPr>
      </w:pPr>
      <w:r w:rsidRPr="00142064">
        <w:rPr>
          <w:rFonts w:ascii="Times New Roman" w:hAnsi="Times New Roman" w:cs="Times New Roman"/>
          <w:i w:val="0"/>
          <w:iCs w:val="0"/>
          <w:color w:val="000000" w:themeColor="text1"/>
        </w:rPr>
        <w:t xml:space="preserve">Figure </w:t>
      </w:r>
      <w:r w:rsidRPr="00142064">
        <w:rPr>
          <w:rFonts w:ascii="Times New Roman" w:hAnsi="Times New Roman" w:cs="Times New Roman"/>
          <w:i w:val="0"/>
          <w:iCs w:val="0"/>
          <w:color w:val="000000" w:themeColor="text1"/>
        </w:rPr>
        <w:fldChar w:fldCharType="begin"/>
      </w:r>
      <w:r w:rsidRPr="00142064">
        <w:rPr>
          <w:rFonts w:ascii="Times New Roman" w:hAnsi="Times New Roman" w:cs="Times New Roman"/>
          <w:i w:val="0"/>
          <w:iCs w:val="0"/>
          <w:color w:val="000000" w:themeColor="text1"/>
        </w:rPr>
        <w:instrText xml:space="preserve"> SEQ Figure \* ARABIC </w:instrText>
      </w:r>
      <w:r w:rsidRPr="00142064">
        <w:rPr>
          <w:rFonts w:ascii="Times New Roman" w:hAnsi="Times New Roman" w:cs="Times New Roman"/>
          <w:i w:val="0"/>
          <w:iCs w:val="0"/>
          <w:color w:val="000000" w:themeColor="text1"/>
        </w:rPr>
        <w:fldChar w:fldCharType="separate"/>
      </w:r>
      <w:r>
        <w:rPr>
          <w:rFonts w:ascii="Times New Roman" w:hAnsi="Times New Roman" w:cs="Times New Roman"/>
          <w:i w:val="0"/>
          <w:iCs w:val="0"/>
          <w:noProof/>
          <w:color w:val="000000" w:themeColor="text1"/>
        </w:rPr>
        <w:t>2</w:t>
      </w:r>
      <w:r w:rsidRPr="00142064">
        <w:rPr>
          <w:rFonts w:ascii="Times New Roman" w:hAnsi="Times New Roman" w:cs="Times New Roman"/>
          <w:i w:val="0"/>
          <w:iCs w:val="0"/>
          <w:color w:val="000000" w:themeColor="text1"/>
        </w:rPr>
        <w:fldChar w:fldCharType="end"/>
      </w:r>
      <w:r>
        <w:rPr>
          <w:rFonts w:ascii="Times New Roman" w:hAnsi="Times New Roman" w:cs="Times New Roman"/>
          <w:i w:val="0"/>
          <w:iCs w:val="0"/>
          <w:color w:val="000000" w:themeColor="text1"/>
        </w:rPr>
        <w:t>.</w:t>
      </w:r>
      <w:r w:rsidRPr="00142064">
        <w:rPr>
          <w:rFonts w:ascii="Times New Roman" w:hAnsi="Times New Roman" w:cs="Times New Roman"/>
          <w:i w:val="0"/>
          <w:iCs w:val="0"/>
          <w:color w:val="000000" w:themeColor="text1"/>
        </w:rPr>
        <w:t xml:space="preserve"> F.I. Vandenborre</w:t>
      </w:r>
      <w:r>
        <w:rPr>
          <w:rFonts w:ascii="Times New Roman" w:hAnsi="Times New Roman" w:cs="Times New Roman"/>
          <w:i w:val="0"/>
          <w:iCs w:val="0"/>
          <w:color w:val="000000" w:themeColor="text1"/>
        </w:rPr>
        <w:t xml:space="preserve"> (1762-1803)</w:t>
      </w:r>
      <w:r w:rsidRPr="00142064">
        <w:rPr>
          <w:rFonts w:ascii="Times New Roman" w:hAnsi="Times New Roman" w:cs="Times New Roman"/>
          <w:i w:val="0"/>
          <w:iCs w:val="0"/>
          <w:color w:val="000000" w:themeColor="text1"/>
        </w:rPr>
        <w:t xml:space="preserve">, </w:t>
      </w:r>
      <w:r w:rsidRPr="00142064">
        <w:rPr>
          <w:rFonts w:ascii="Times New Roman" w:hAnsi="Times New Roman" w:cs="Times New Roman"/>
          <w:color w:val="000000" w:themeColor="text1"/>
        </w:rPr>
        <w:t>La Foudre</w:t>
      </w:r>
      <w:r>
        <w:rPr>
          <w:rFonts w:ascii="Times New Roman" w:hAnsi="Times New Roman" w:cs="Times New Roman"/>
          <w:i w:val="0"/>
          <w:iCs w:val="0"/>
          <w:color w:val="000000" w:themeColor="text1"/>
        </w:rPr>
        <w:t xml:space="preserve">, </w:t>
      </w:r>
      <w:r w:rsidRPr="00142064">
        <w:rPr>
          <w:rFonts w:ascii="Times New Roman" w:hAnsi="Times New Roman" w:cs="Times New Roman"/>
          <w:i w:val="0"/>
          <w:iCs w:val="0"/>
          <w:color w:val="000000" w:themeColor="text1"/>
        </w:rPr>
        <w:t xml:space="preserve">1780, illustration, Belgium, </w:t>
      </w:r>
      <w:r w:rsidRPr="00142064">
        <w:rPr>
          <w:rFonts w:ascii="Times New Roman" w:hAnsi="Times New Roman" w:cs="Times New Roman"/>
          <w:color w:val="000000" w:themeColor="text1"/>
        </w:rPr>
        <w:t>Image:</w:t>
      </w:r>
      <w:r w:rsidRPr="00142064">
        <w:rPr>
          <w:rFonts w:ascii="Times New Roman" w:hAnsi="Times New Roman" w:cs="Times New Roman"/>
          <w:i w:val="0"/>
          <w:iCs w:val="0"/>
          <w:color w:val="000000" w:themeColor="text1"/>
        </w:rPr>
        <w:t xml:space="preserve"> Wikimedia Commons Public Domain</w:t>
      </w:r>
    </w:p>
    <w:p w14:paraId="050C5878" w14:textId="77777777" w:rsidR="00F06B61" w:rsidRDefault="00F06B61" w:rsidP="00F06B61">
      <w:pPr>
        <w:ind w:firstLine="720"/>
        <w:rPr>
          <w:sz w:val="22"/>
          <w:szCs w:val="22"/>
        </w:rPr>
      </w:pPr>
      <w:r>
        <w:rPr>
          <w:sz w:val="22"/>
          <w:szCs w:val="22"/>
        </w:rPr>
        <w:lastRenderedPageBreak/>
        <w:t>Regarding the card’s absence from some fifteenth century Italian decks, Helen Farley suggests that it was lost from certain decks and describes the card as initially representative of ‘the misfortune of the della Torre family,’</w:t>
      </w:r>
      <w:r>
        <w:rPr>
          <w:rStyle w:val="FootnoteReference"/>
          <w:sz w:val="22"/>
          <w:szCs w:val="22"/>
        </w:rPr>
        <w:footnoteReference w:id="43"/>
      </w:r>
      <w:r>
        <w:rPr>
          <w:sz w:val="22"/>
          <w:szCs w:val="22"/>
        </w:rPr>
        <w:t xml:space="preserve"> who were ousted from their rulership in Milan by the Visconti family in 1277.</w:t>
      </w:r>
      <w:r>
        <w:rPr>
          <w:rStyle w:val="FootnoteReference"/>
          <w:sz w:val="22"/>
          <w:szCs w:val="22"/>
        </w:rPr>
        <w:footnoteReference w:id="44"/>
      </w:r>
      <w:r>
        <w:rPr>
          <w:sz w:val="22"/>
          <w:szCs w:val="22"/>
        </w:rPr>
        <w:t xml:space="preserve"> Other Italian decks titled the card, ‘the House of the Devil,’</w:t>
      </w:r>
      <w:r>
        <w:rPr>
          <w:rStyle w:val="FootnoteReference"/>
          <w:sz w:val="22"/>
          <w:szCs w:val="22"/>
        </w:rPr>
        <w:footnoteReference w:id="45"/>
      </w:r>
      <w:r>
        <w:rPr>
          <w:sz w:val="22"/>
          <w:szCs w:val="22"/>
        </w:rPr>
        <w:t xml:space="preserve"> and seventeenth century French decks used the name ‘the House of God,’</w:t>
      </w:r>
      <w:r>
        <w:rPr>
          <w:rStyle w:val="FootnoteReference"/>
          <w:sz w:val="22"/>
          <w:szCs w:val="22"/>
        </w:rPr>
        <w:footnoteReference w:id="46"/>
      </w:r>
      <w:r>
        <w:rPr>
          <w:sz w:val="22"/>
          <w:szCs w:val="22"/>
        </w:rPr>
        <w:t xml:space="preserve"> displaying a Christian orientation within the card’s history. Within later mid-eighteenth century tarot packs from Belgium, as seen in </w:t>
      </w:r>
      <w:r w:rsidRPr="00B37618">
        <w:rPr>
          <w:i/>
          <w:iCs/>
          <w:sz w:val="22"/>
          <w:szCs w:val="22"/>
        </w:rPr>
        <w:t>La Foudre</w:t>
      </w:r>
      <w:r>
        <w:rPr>
          <w:rStyle w:val="FootnoteReference"/>
          <w:i/>
          <w:iCs/>
          <w:sz w:val="22"/>
          <w:szCs w:val="22"/>
        </w:rPr>
        <w:footnoteReference w:id="47"/>
      </w:r>
      <w:r>
        <w:rPr>
          <w:sz w:val="22"/>
          <w:szCs w:val="22"/>
        </w:rPr>
        <w:t xml:space="preserve"> (Fig. 2), the card bears a different name that translates to ‘the lightning,’ revealing an alternative conceptual orientation towards sky phenomenon within the card, rather than towards the architectural structure.</w:t>
      </w:r>
      <w:r>
        <w:rPr>
          <w:rStyle w:val="FootnoteReference"/>
          <w:sz w:val="22"/>
          <w:szCs w:val="22"/>
        </w:rPr>
        <w:footnoteReference w:id="48"/>
      </w:r>
      <w:r>
        <w:rPr>
          <w:sz w:val="22"/>
          <w:szCs w:val="22"/>
        </w:rPr>
        <w:t xml:space="preserve"> Subsequently</w:t>
      </w:r>
      <w:r w:rsidRPr="007911AF">
        <w:rPr>
          <w:sz w:val="22"/>
          <w:szCs w:val="22"/>
        </w:rPr>
        <w:t>, Count Emiliano di Parravicino</w:t>
      </w:r>
      <w:r>
        <w:rPr>
          <w:sz w:val="22"/>
          <w:szCs w:val="22"/>
        </w:rPr>
        <w:t>, writing in 1903,</w:t>
      </w:r>
      <w:r w:rsidRPr="007911AF">
        <w:rPr>
          <w:sz w:val="22"/>
          <w:szCs w:val="22"/>
        </w:rPr>
        <w:t xml:space="preserve"> describes </w:t>
      </w:r>
      <w:r>
        <w:rPr>
          <w:sz w:val="22"/>
          <w:szCs w:val="22"/>
        </w:rPr>
        <w:t>the card</w:t>
      </w:r>
      <w:r w:rsidRPr="007911AF">
        <w:rPr>
          <w:sz w:val="22"/>
          <w:szCs w:val="22"/>
        </w:rPr>
        <w:t xml:space="preserve"> </w:t>
      </w:r>
      <w:r>
        <w:rPr>
          <w:sz w:val="22"/>
          <w:szCs w:val="22"/>
        </w:rPr>
        <w:t>as</w:t>
      </w:r>
      <w:r w:rsidRPr="007911AF">
        <w:rPr>
          <w:sz w:val="22"/>
          <w:szCs w:val="22"/>
        </w:rPr>
        <w:t>: ‘</w:t>
      </w:r>
      <w:r>
        <w:rPr>
          <w:sz w:val="22"/>
          <w:szCs w:val="22"/>
        </w:rPr>
        <w:t>The castle of Plutus, a castle full of gold which sinks beneath the waves as a lesson to misers,’</w:t>
      </w:r>
      <w:r w:rsidRPr="007911AF">
        <w:rPr>
          <w:rStyle w:val="FootnoteReference"/>
          <w:sz w:val="22"/>
          <w:szCs w:val="22"/>
        </w:rPr>
        <w:footnoteReference w:id="49"/>
      </w:r>
      <w:r>
        <w:rPr>
          <w:sz w:val="22"/>
          <w:szCs w:val="22"/>
        </w:rPr>
        <w:t xml:space="preserve"> implicitly attributing a punitive meaning to the lighting’s intervention. Similarly, Karl Rosenkranz and Anna C. Brackett, writing on the literary significance of Plutus, describe him as a god of ‘the money monarchy,’ within a ‘masquerade’ society where ‘false appearance and dissimulation rule supreme,’</w:t>
      </w:r>
      <w:r>
        <w:rPr>
          <w:rStyle w:val="FootnoteReference"/>
          <w:sz w:val="22"/>
          <w:szCs w:val="22"/>
        </w:rPr>
        <w:footnoteReference w:id="50"/>
      </w:r>
      <w:r>
        <w:rPr>
          <w:sz w:val="22"/>
          <w:szCs w:val="22"/>
        </w:rPr>
        <w:t xml:space="preserve"> disclosing a mythic significance to the tower structure as symbolising human avarice and deception, struck down by higher forces in retribution for moral failings. Sallie Nichols states that lighting, ‘has always been experienced as a symbol of divine energy, a numinous force emanating from God,’</w:t>
      </w:r>
      <w:r>
        <w:rPr>
          <w:rStyle w:val="FootnoteReference"/>
          <w:sz w:val="22"/>
          <w:szCs w:val="22"/>
        </w:rPr>
        <w:footnoteReference w:id="51"/>
      </w:r>
      <w:r>
        <w:rPr>
          <w:sz w:val="22"/>
          <w:szCs w:val="22"/>
        </w:rPr>
        <w:t xml:space="preserve"> echoing a Christian orientation within the card’s symbolism. Other interpretations have likened the card to a depiction of the ‘fall of Adam’</w:t>
      </w:r>
      <w:r>
        <w:rPr>
          <w:rStyle w:val="FootnoteReference"/>
          <w:sz w:val="22"/>
          <w:szCs w:val="22"/>
        </w:rPr>
        <w:footnoteReference w:id="52"/>
      </w:r>
      <w:r>
        <w:rPr>
          <w:sz w:val="22"/>
          <w:szCs w:val="22"/>
        </w:rPr>
        <w:t xml:space="preserve"> and to the Last Judgement,</w:t>
      </w:r>
      <w:r>
        <w:rPr>
          <w:rStyle w:val="FootnoteReference"/>
          <w:sz w:val="22"/>
          <w:szCs w:val="22"/>
        </w:rPr>
        <w:footnoteReference w:id="53"/>
      </w:r>
      <w:r>
        <w:rPr>
          <w:sz w:val="22"/>
          <w:szCs w:val="22"/>
        </w:rPr>
        <w:t xml:space="preserve"> further enumerating a Christian, disciplinary interpretation regarding the lightning strike and subsequent desolation. </w:t>
      </w:r>
    </w:p>
    <w:p w14:paraId="45AAAA97" w14:textId="77777777" w:rsidR="00F06B61" w:rsidRDefault="00F06B61" w:rsidP="00F06B61">
      <w:pPr>
        <w:ind w:firstLine="720"/>
        <w:rPr>
          <w:sz w:val="22"/>
          <w:szCs w:val="22"/>
        </w:rPr>
      </w:pPr>
    </w:p>
    <w:p w14:paraId="3F5F4922" w14:textId="77777777" w:rsidR="00F06B61" w:rsidRPr="00052D03" w:rsidRDefault="00F06B61" w:rsidP="00F06B61">
      <w:pPr>
        <w:jc w:val="center"/>
        <w:rPr>
          <w:b/>
          <w:bCs/>
          <w:i/>
          <w:iCs/>
          <w:sz w:val="22"/>
          <w:szCs w:val="22"/>
        </w:rPr>
      </w:pPr>
      <w:r>
        <w:rPr>
          <w:b/>
          <w:bCs/>
          <w:i/>
          <w:iCs/>
          <w:sz w:val="22"/>
          <w:szCs w:val="22"/>
        </w:rPr>
        <w:t xml:space="preserve">Interpretations of Colman Smith’s </w:t>
      </w:r>
      <w:r w:rsidRPr="00052D03">
        <w:rPr>
          <w:b/>
          <w:bCs/>
          <w:i/>
          <w:iCs/>
          <w:sz w:val="22"/>
          <w:szCs w:val="22"/>
        </w:rPr>
        <w:t>The Tower</w:t>
      </w:r>
    </w:p>
    <w:p w14:paraId="458574DE" w14:textId="77777777" w:rsidR="00F06B61" w:rsidRDefault="00F06B61" w:rsidP="00F06B61">
      <w:pPr>
        <w:ind w:firstLine="720"/>
        <w:rPr>
          <w:sz w:val="22"/>
          <w:szCs w:val="22"/>
        </w:rPr>
      </w:pPr>
    </w:p>
    <w:p w14:paraId="2BE1487C" w14:textId="77777777" w:rsidR="00F06B61" w:rsidRDefault="00F06B61" w:rsidP="00F06B61">
      <w:pPr>
        <w:ind w:firstLine="720"/>
        <w:rPr>
          <w:sz w:val="22"/>
          <w:szCs w:val="22"/>
        </w:rPr>
      </w:pPr>
      <w:r>
        <w:rPr>
          <w:sz w:val="22"/>
          <w:szCs w:val="22"/>
        </w:rPr>
        <w:t xml:space="preserve">Regarding sky imagery within </w:t>
      </w:r>
      <w:r w:rsidRPr="003C2EF4">
        <w:rPr>
          <w:i/>
          <w:iCs/>
          <w:sz w:val="22"/>
          <w:szCs w:val="22"/>
        </w:rPr>
        <w:t xml:space="preserve">The </w:t>
      </w:r>
      <w:r w:rsidRPr="00E15E03">
        <w:rPr>
          <w:i/>
          <w:iCs/>
          <w:sz w:val="22"/>
          <w:szCs w:val="22"/>
        </w:rPr>
        <w:t>Tower</w:t>
      </w:r>
      <w:r>
        <w:rPr>
          <w:sz w:val="22"/>
          <w:szCs w:val="22"/>
        </w:rPr>
        <w:t xml:space="preserve"> (Fig. 1), Waite describes the card as depicting a ‘downfall of the mind,’</w:t>
      </w:r>
      <w:r>
        <w:rPr>
          <w:rStyle w:val="FootnoteReference"/>
          <w:sz w:val="22"/>
          <w:szCs w:val="22"/>
        </w:rPr>
        <w:footnoteReference w:id="54"/>
      </w:r>
      <w:r>
        <w:rPr>
          <w:sz w:val="22"/>
          <w:szCs w:val="22"/>
        </w:rPr>
        <w:t xml:space="preserve"> labels the tower structure a ‘House of Falsehood,’</w:t>
      </w:r>
      <w:r>
        <w:rPr>
          <w:rStyle w:val="FootnoteReference"/>
          <w:sz w:val="22"/>
          <w:szCs w:val="22"/>
        </w:rPr>
        <w:footnoteReference w:id="55"/>
      </w:r>
      <w:r>
        <w:rPr>
          <w:sz w:val="22"/>
          <w:szCs w:val="22"/>
        </w:rPr>
        <w:t xml:space="preserve"> and views the cataclysmic intervention of the sky as divine punishment, declaring the lightning strike and resultant blaze a symbolic rendering of ‘chastisement of pride’ at human attempts ‘to penetrate the Mystery of God.’</w:t>
      </w:r>
      <w:r>
        <w:rPr>
          <w:rStyle w:val="FootnoteReference"/>
          <w:sz w:val="22"/>
          <w:szCs w:val="22"/>
        </w:rPr>
        <w:footnoteReference w:id="56"/>
      </w:r>
      <w:r>
        <w:rPr>
          <w:sz w:val="22"/>
          <w:szCs w:val="22"/>
        </w:rPr>
        <w:t xml:space="preserve"> Interpreting from an Eastern perspective, Crowley links the card to yogic doctrines of ‘ultimate reality’ which he describes as ‘Perfection’ existing within the state of ‘Nothingness,’ and declares the lightning an annihilating force needed to purify the ‘stain’ inherent within all human ‘manifestations.’</w:t>
      </w:r>
      <w:r>
        <w:rPr>
          <w:rStyle w:val="FootnoteReference"/>
          <w:sz w:val="22"/>
          <w:szCs w:val="22"/>
        </w:rPr>
        <w:footnoteReference w:id="57"/>
      </w:r>
      <w:r>
        <w:rPr>
          <w:sz w:val="22"/>
          <w:szCs w:val="22"/>
        </w:rPr>
        <w:t xml:space="preserve"> Robert M. Place construes the imagery as a pictorial ‘burning away of the egotistical urges,’</w:t>
      </w:r>
      <w:r>
        <w:rPr>
          <w:rStyle w:val="FootnoteReference"/>
          <w:sz w:val="22"/>
          <w:szCs w:val="22"/>
        </w:rPr>
        <w:footnoteReference w:id="58"/>
      </w:r>
      <w:r>
        <w:rPr>
          <w:sz w:val="22"/>
          <w:szCs w:val="22"/>
        </w:rPr>
        <w:t xml:space="preserve"> and of ‘Adam and Eve being freed from the trap of egotism,’ intimating the lighting as striking at personal inadequacy. Additionally, Rachel Pollack elucidates a psychological interpretation, describing the lighting as targeting, ‘the person who lives only to satisfy the ego demands of wealth, fame, and physical pleasure,’</w:t>
      </w:r>
      <w:r>
        <w:rPr>
          <w:rStyle w:val="FootnoteReference"/>
          <w:sz w:val="22"/>
          <w:szCs w:val="22"/>
        </w:rPr>
        <w:footnoteReference w:id="59"/>
      </w:r>
      <w:r>
        <w:rPr>
          <w:sz w:val="22"/>
          <w:szCs w:val="22"/>
        </w:rPr>
        <w:t xml:space="preserve"> likewise </w:t>
      </w:r>
      <w:r>
        <w:rPr>
          <w:sz w:val="22"/>
          <w:szCs w:val="22"/>
        </w:rPr>
        <w:lastRenderedPageBreak/>
        <w:t xml:space="preserve">interpreting with a focus on individual fault. By contrast, in alignment with </w:t>
      </w:r>
      <w:r w:rsidRPr="00D20BB9">
        <w:rPr>
          <w:i/>
          <w:iCs/>
          <w:sz w:val="22"/>
          <w:szCs w:val="22"/>
        </w:rPr>
        <w:t>The Tower as Death</w:t>
      </w:r>
      <w:r>
        <w:rPr>
          <w:sz w:val="22"/>
          <w:szCs w:val="22"/>
        </w:rPr>
        <w:t xml:space="preserve">, Hundley describes </w:t>
      </w:r>
      <w:r>
        <w:rPr>
          <w:i/>
          <w:iCs/>
          <w:sz w:val="22"/>
          <w:szCs w:val="22"/>
        </w:rPr>
        <w:t>T</w:t>
      </w:r>
      <w:r w:rsidRPr="002C3A99">
        <w:rPr>
          <w:i/>
          <w:iCs/>
          <w:sz w:val="22"/>
          <w:szCs w:val="22"/>
        </w:rPr>
        <w:t xml:space="preserve">he </w:t>
      </w:r>
      <w:r w:rsidRPr="000A3AD0">
        <w:rPr>
          <w:i/>
          <w:iCs/>
          <w:sz w:val="22"/>
          <w:szCs w:val="22"/>
        </w:rPr>
        <w:t>Tower</w:t>
      </w:r>
      <w:r>
        <w:rPr>
          <w:sz w:val="22"/>
          <w:szCs w:val="22"/>
        </w:rPr>
        <w:t xml:space="preserve"> (Fig. 1) as depicting the demise of outdated traditions, stating: ‘The Tower represents the need for old structures to fall away, in order to make space for the new.’</w:t>
      </w:r>
      <w:r>
        <w:rPr>
          <w:rStyle w:val="FootnoteReference"/>
          <w:sz w:val="22"/>
          <w:szCs w:val="22"/>
        </w:rPr>
        <w:footnoteReference w:id="60"/>
      </w:r>
      <w:r>
        <w:rPr>
          <w:sz w:val="22"/>
          <w:szCs w:val="22"/>
        </w:rPr>
        <w:t xml:space="preserve"> She also characterizes the lightning as a ‘bolt of insight,’ that shatters cultural illusions, ‘dissipates mistruths,’ and signals the ‘revolutionary transformation’</w:t>
      </w:r>
      <w:r>
        <w:rPr>
          <w:rStyle w:val="FootnoteReference"/>
          <w:sz w:val="22"/>
          <w:szCs w:val="22"/>
        </w:rPr>
        <w:footnoteReference w:id="61"/>
      </w:r>
      <w:r>
        <w:rPr>
          <w:sz w:val="22"/>
          <w:szCs w:val="22"/>
        </w:rPr>
        <w:t xml:space="preserve"> needed for human flourishing. </w:t>
      </w:r>
    </w:p>
    <w:p w14:paraId="7CA67CBC" w14:textId="77777777" w:rsidR="00F06B61" w:rsidRDefault="00F06B61" w:rsidP="00F06B61">
      <w:pPr>
        <w:ind w:firstLine="720"/>
        <w:rPr>
          <w:sz w:val="22"/>
          <w:szCs w:val="22"/>
        </w:rPr>
      </w:pPr>
    </w:p>
    <w:p w14:paraId="1A0C2146" w14:textId="77777777" w:rsidR="00F06B61" w:rsidRDefault="00F06B61" w:rsidP="00F06B61">
      <w:pPr>
        <w:ind w:firstLine="720"/>
        <w:rPr>
          <w:sz w:val="22"/>
          <w:szCs w:val="22"/>
        </w:rPr>
      </w:pPr>
      <w:r>
        <w:rPr>
          <w:sz w:val="22"/>
          <w:szCs w:val="22"/>
        </w:rPr>
        <w:t xml:space="preserve">Hundley’s interpretation reveals a subtle shift in analytic focus, orientating away from a preconception of individual human fault and focusing instead on wider cultural structures as targeted by the lightning, striking not at personal human deficiency but at the need to break down power structures for the greater good of humanity. Subsequently, these various interpretations appear to orient towards two focal points regarding the sky’s destructive intent: </w:t>
      </w:r>
      <w:r>
        <w:rPr>
          <w:i/>
          <w:iCs/>
          <w:sz w:val="22"/>
          <w:szCs w:val="22"/>
        </w:rPr>
        <w:t>individual</w:t>
      </w:r>
      <w:r w:rsidRPr="00265B28">
        <w:rPr>
          <w:i/>
          <w:iCs/>
          <w:sz w:val="22"/>
          <w:szCs w:val="22"/>
        </w:rPr>
        <w:t xml:space="preserve"> </w:t>
      </w:r>
      <w:r>
        <w:rPr>
          <w:i/>
          <w:iCs/>
          <w:sz w:val="22"/>
          <w:szCs w:val="22"/>
        </w:rPr>
        <w:t>locus</w:t>
      </w:r>
      <w:r>
        <w:rPr>
          <w:sz w:val="22"/>
          <w:szCs w:val="22"/>
        </w:rPr>
        <w:t xml:space="preserve"> and </w:t>
      </w:r>
      <w:r>
        <w:rPr>
          <w:i/>
          <w:iCs/>
          <w:sz w:val="22"/>
          <w:szCs w:val="22"/>
        </w:rPr>
        <w:t>systemic locus,</w:t>
      </w:r>
      <w:r>
        <w:rPr>
          <w:sz w:val="22"/>
          <w:szCs w:val="22"/>
        </w:rPr>
        <w:t xml:space="preserve"> corresponding to </w:t>
      </w:r>
      <w:r w:rsidRPr="006050EC">
        <w:rPr>
          <w:i/>
          <w:iCs/>
          <w:sz w:val="22"/>
          <w:szCs w:val="22"/>
        </w:rPr>
        <w:t>personal</w:t>
      </w:r>
      <w:r>
        <w:rPr>
          <w:sz w:val="22"/>
          <w:szCs w:val="22"/>
        </w:rPr>
        <w:t xml:space="preserve"> and </w:t>
      </w:r>
      <w:r w:rsidRPr="006050EC">
        <w:rPr>
          <w:i/>
          <w:iCs/>
          <w:sz w:val="22"/>
          <w:szCs w:val="22"/>
        </w:rPr>
        <w:t>contextual</w:t>
      </w:r>
      <w:r>
        <w:rPr>
          <w:sz w:val="22"/>
          <w:szCs w:val="22"/>
        </w:rPr>
        <w:t xml:space="preserve"> interpretations respectively. Considering the tarot’s cultural use as a tool for divination and attainment of occult knowledge,</w:t>
      </w:r>
      <w:r>
        <w:rPr>
          <w:rStyle w:val="FootnoteReference"/>
          <w:sz w:val="22"/>
          <w:szCs w:val="22"/>
        </w:rPr>
        <w:footnoteReference w:id="62"/>
      </w:r>
      <w:r>
        <w:rPr>
          <w:sz w:val="22"/>
          <w:szCs w:val="22"/>
        </w:rPr>
        <w:t xml:space="preserve"> these distinct perceptual presuppositions would likely lead to divergent divinatory interpretations and would therefore impact the audience of seekers interacting with the card in different ways. This essay will later analyse whether these focal points differ in their ability to impart occult knowledge to individuals through tarot use as traditionally claimed. With this general representational overview of Colman Smith’s, </w:t>
      </w:r>
      <w:r w:rsidRPr="00244F38">
        <w:rPr>
          <w:i/>
          <w:iCs/>
          <w:sz w:val="22"/>
          <w:szCs w:val="22"/>
        </w:rPr>
        <w:t>The</w:t>
      </w:r>
      <w:r>
        <w:rPr>
          <w:i/>
          <w:iCs/>
          <w:sz w:val="22"/>
          <w:szCs w:val="22"/>
        </w:rPr>
        <w:t xml:space="preserve"> </w:t>
      </w:r>
      <w:r w:rsidRPr="00244F38">
        <w:rPr>
          <w:i/>
          <w:iCs/>
          <w:sz w:val="22"/>
          <w:szCs w:val="22"/>
        </w:rPr>
        <w:t>Tower</w:t>
      </w:r>
      <w:r>
        <w:rPr>
          <w:sz w:val="22"/>
          <w:szCs w:val="22"/>
        </w:rPr>
        <w:t xml:space="preserve"> (Fig. 1) established, and in consideration of the tarot’s influence within various aspects of popular culture such as fantasy novels,</w:t>
      </w:r>
      <w:r>
        <w:rPr>
          <w:rStyle w:val="FootnoteReference"/>
          <w:sz w:val="22"/>
          <w:szCs w:val="22"/>
        </w:rPr>
        <w:footnoteReference w:id="63"/>
      </w:r>
      <w:r>
        <w:rPr>
          <w:sz w:val="22"/>
          <w:szCs w:val="22"/>
        </w:rPr>
        <w:t xml:space="preserve"> high fashion,</w:t>
      </w:r>
      <w:r>
        <w:rPr>
          <w:rStyle w:val="FootnoteReference"/>
          <w:sz w:val="22"/>
          <w:szCs w:val="22"/>
        </w:rPr>
        <w:footnoteReference w:id="64"/>
      </w:r>
      <w:r>
        <w:rPr>
          <w:sz w:val="22"/>
          <w:szCs w:val="22"/>
        </w:rPr>
        <w:t xml:space="preserve"> and Star Wars films,</w:t>
      </w:r>
      <w:r>
        <w:rPr>
          <w:rStyle w:val="FootnoteReference"/>
          <w:sz w:val="22"/>
          <w:szCs w:val="22"/>
        </w:rPr>
        <w:footnoteReference w:id="65"/>
      </w:r>
      <w:r>
        <w:rPr>
          <w:sz w:val="22"/>
          <w:szCs w:val="22"/>
        </w:rPr>
        <w:t xml:space="preserve"> this essay will now turn to examine two modern reimaginations of the card by artists who assert inspiration from Colman Smith’s rendition.</w:t>
      </w:r>
    </w:p>
    <w:p w14:paraId="5E654056" w14:textId="77777777" w:rsidR="00F06B61" w:rsidRDefault="00F06B61" w:rsidP="00F06B61">
      <w:pPr>
        <w:ind w:firstLine="720"/>
        <w:rPr>
          <w:sz w:val="22"/>
          <w:szCs w:val="22"/>
        </w:rPr>
      </w:pPr>
    </w:p>
    <w:p w14:paraId="6D620F23" w14:textId="77777777" w:rsidR="00F06B61" w:rsidRPr="00622A54" w:rsidRDefault="00F06B61" w:rsidP="00F06B61">
      <w:pPr>
        <w:jc w:val="center"/>
        <w:rPr>
          <w:b/>
          <w:bCs/>
          <w:i/>
          <w:iCs/>
          <w:sz w:val="22"/>
          <w:szCs w:val="22"/>
        </w:rPr>
      </w:pPr>
      <w:r>
        <w:rPr>
          <w:b/>
          <w:bCs/>
          <w:i/>
          <w:iCs/>
          <w:sz w:val="22"/>
          <w:szCs w:val="22"/>
        </w:rPr>
        <w:t>Modern</w:t>
      </w:r>
      <w:r w:rsidRPr="00622A54">
        <w:rPr>
          <w:b/>
          <w:bCs/>
          <w:i/>
          <w:iCs/>
          <w:sz w:val="22"/>
          <w:szCs w:val="22"/>
        </w:rPr>
        <w:t xml:space="preserve"> Versions of The Tower</w:t>
      </w:r>
    </w:p>
    <w:p w14:paraId="65EBA122" w14:textId="77777777" w:rsidR="00F06B61" w:rsidRDefault="00F06B61" w:rsidP="00F06B61">
      <w:pPr>
        <w:ind w:firstLine="720"/>
        <w:rPr>
          <w:sz w:val="22"/>
          <w:szCs w:val="22"/>
        </w:rPr>
      </w:pPr>
    </w:p>
    <w:p w14:paraId="1B917317" w14:textId="77777777" w:rsidR="00F06B61" w:rsidRDefault="00F06B61" w:rsidP="00F06B61">
      <w:pPr>
        <w:keepNext/>
        <w:jc w:val="center"/>
      </w:pPr>
      <w:r>
        <w:rPr>
          <w:noProof/>
          <w:sz w:val="22"/>
          <w:szCs w:val="22"/>
        </w:rPr>
        <w:drawing>
          <wp:inline distT="0" distB="0" distL="0" distR="0" wp14:anchorId="0F0DEB61" wp14:editId="240B96BC">
            <wp:extent cx="1517354" cy="264465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3954" cy="2673585"/>
                    </a:xfrm>
                    <a:prstGeom prst="rect">
                      <a:avLst/>
                    </a:prstGeom>
                  </pic:spPr>
                </pic:pic>
              </a:graphicData>
            </a:graphic>
          </wp:inline>
        </w:drawing>
      </w:r>
    </w:p>
    <w:p w14:paraId="35F8F5C0" w14:textId="77777777" w:rsidR="00F06B61" w:rsidRDefault="00F06B61" w:rsidP="00F06B61">
      <w:pPr>
        <w:pStyle w:val="Caption"/>
        <w:jc w:val="center"/>
        <w:rPr>
          <w:rFonts w:ascii="Times New Roman" w:hAnsi="Times New Roman" w:cs="Times New Roman"/>
          <w:i w:val="0"/>
          <w:iCs w:val="0"/>
          <w:color w:val="000000" w:themeColor="text1"/>
        </w:rPr>
      </w:pPr>
      <w:r w:rsidRPr="0099614D">
        <w:rPr>
          <w:rFonts w:ascii="Times New Roman" w:hAnsi="Times New Roman" w:cs="Times New Roman"/>
          <w:i w:val="0"/>
          <w:iCs w:val="0"/>
          <w:color w:val="000000" w:themeColor="text1"/>
        </w:rPr>
        <w:t xml:space="preserve">Figure </w:t>
      </w:r>
      <w:r w:rsidRPr="0099614D">
        <w:rPr>
          <w:rFonts w:ascii="Times New Roman" w:hAnsi="Times New Roman" w:cs="Times New Roman"/>
          <w:i w:val="0"/>
          <w:iCs w:val="0"/>
          <w:color w:val="000000" w:themeColor="text1"/>
        </w:rPr>
        <w:fldChar w:fldCharType="begin"/>
      </w:r>
      <w:r w:rsidRPr="0099614D">
        <w:rPr>
          <w:rFonts w:ascii="Times New Roman" w:hAnsi="Times New Roman" w:cs="Times New Roman"/>
          <w:i w:val="0"/>
          <w:iCs w:val="0"/>
          <w:color w:val="000000" w:themeColor="text1"/>
        </w:rPr>
        <w:instrText xml:space="preserve"> SEQ Figure \* ARABIC </w:instrText>
      </w:r>
      <w:r w:rsidRPr="0099614D">
        <w:rPr>
          <w:rFonts w:ascii="Times New Roman" w:hAnsi="Times New Roman" w:cs="Times New Roman"/>
          <w:i w:val="0"/>
          <w:iCs w:val="0"/>
          <w:color w:val="000000" w:themeColor="text1"/>
        </w:rPr>
        <w:fldChar w:fldCharType="separate"/>
      </w:r>
      <w:r>
        <w:rPr>
          <w:rFonts w:ascii="Times New Roman" w:hAnsi="Times New Roman" w:cs="Times New Roman"/>
          <w:i w:val="0"/>
          <w:iCs w:val="0"/>
          <w:noProof/>
          <w:color w:val="000000" w:themeColor="text1"/>
        </w:rPr>
        <w:t>3</w:t>
      </w:r>
      <w:r w:rsidRPr="0099614D">
        <w:rPr>
          <w:rFonts w:ascii="Times New Roman" w:hAnsi="Times New Roman" w:cs="Times New Roman"/>
          <w:i w:val="0"/>
          <w:iCs w:val="0"/>
          <w:color w:val="000000" w:themeColor="text1"/>
        </w:rPr>
        <w:fldChar w:fldCharType="end"/>
      </w:r>
      <w:r>
        <w:rPr>
          <w:rFonts w:ascii="Times New Roman" w:hAnsi="Times New Roman" w:cs="Times New Roman"/>
          <w:i w:val="0"/>
          <w:iCs w:val="0"/>
          <w:color w:val="000000" w:themeColor="text1"/>
        </w:rPr>
        <w:t>.</w:t>
      </w:r>
      <w:r w:rsidRPr="0099614D">
        <w:rPr>
          <w:rFonts w:ascii="Times New Roman" w:hAnsi="Times New Roman" w:cs="Times New Roman"/>
          <w:i w:val="0"/>
          <w:iCs w:val="0"/>
          <w:color w:val="000000" w:themeColor="text1"/>
        </w:rPr>
        <w:t xml:space="preserve"> Evvie </w:t>
      </w:r>
      <w:r>
        <w:rPr>
          <w:rFonts w:ascii="Times New Roman" w:hAnsi="Times New Roman" w:cs="Times New Roman"/>
          <w:i w:val="0"/>
          <w:iCs w:val="0"/>
          <w:color w:val="000000" w:themeColor="text1"/>
        </w:rPr>
        <w:t xml:space="preserve">“Evvin” </w:t>
      </w:r>
      <w:r w:rsidRPr="0099614D">
        <w:rPr>
          <w:rFonts w:ascii="Times New Roman" w:hAnsi="Times New Roman" w:cs="Times New Roman"/>
          <w:i w:val="0"/>
          <w:iCs w:val="0"/>
          <w:color w:val="000000" w:themeColor="text1"/>
        </w:rPr>
        <w:t>Marin</w:t>
      </w:r>
      <w:r>
        <w:rPr>
          <w:rFonts w:ascii="Times New Roman" w:hAnsi="Times New Roman" w:cs="Times New Roman"/>
          <w:i w:val="0"/>
          <w:iCs w:val="0"/>
          <w:color w:val="000000" w:themeColor="text1"/>
        </w:rPr>
        <w:t xml:space="preserve"> (1987</w:t>
      </w:r>
      <w:r w:rsidRPr="006468D7">
        <w:rPr>
          <w:rFonts w:ascii="Times New Roman" w:hAnsi="Times New Roman" w:cs="Times New Roman"/>
          <w:i w:val="0"/>
          <w:iCs w:val="0"/>
          <w:color w:val="000000" w:themeColor="text1"/>
        </w:rPr>
        <w:t xml:space="preserve"> – Present</w:t>
      </w:r>
      <w:r>
        <w:rPr>
          <w:rFonts w:ascii="Times New Roman" w:hAnsi="Times New Roman" w:cs="Times New Roman"/>
          <w:i w:val="0"/>
          <w:iCs w:val="0"/>
          <w:color w:val="000000" w:themeColor="text1"/>
        </w:rPr>
        <w:t>)</w:t>
      </w:r>
      <w:r w:rsidRPr="0099614D">
        <w:rPr>
          <w:rFonts w:ascii="Times New Roman" w:hAnsi="Times New Roman" w:cs="Times New Roman"/>
          <w:i w:val="0"/>
          <w:iCs w:val="0"/>
          <w:color w:val="000000" w:themeColor="text1"/>
        </w:rPr>
        <w:t xml:space="preserve">, </w:t>
      </w:r>
      <w:r w:rsidRPr="00A072E9">
        <w:rPr>
          <w:rFonts w:ascii="Times New Roman" w:hAnsi="Times New Roman" w:cs="Times New Roman"/>
          <w:color w:val="000000" w:themeColor="text1"/>
        </w:rPr>
        <w:t xml:space="preserve">The </w:t>
      </w:r>
      <w:r w:rsidRPr="0099614D">
        <w:rPr>
          <w:rFonts w:ascii="Times New Roman" w:hAnsi="Times New Roman" w:cs="Times New Roman"/>
          <w:color w:val="000000" w:themeColor="text1"/>
        </w:rPr>
        <w:t>Sp</w:t>
      </w:r>
      <w:r>
        <w:rPr>
          <w:rFonts w:ascii="Times New Roman" w:hAnsi="Times New Roman" w:cs="Times New Roman"/>
          <w:color w:val="000000" w:themeColor="text1"/>
        </w:rPr>
        <w:t>irit</w:t>
      </w:r>
      <w:r w:rsidRPr="0099614D">
        <w:rPr>
          <w:rFonts w:ascii="Times New Roman" w:hAnsi="Times New Roman" w:cs="Times New Roman"/>
          <w:color w:val="000000" w:themeColor="text1"/>
        </w:rPr>
        <w:t xml:space="preserve"> Vertigo Tarot: The Tower</w:t>
      </w:r>
      <w:r>
        <w:rPr>
          <w:rFonts w:ascii="Times New Roman" w:hAnsi="Times New Roman" w:cs="Times New Roman"/>
          <w:color w:val="000000" w:themeColor="text1"/>
        </w:rPr>
        <w:t xml:space="preserve"> (in progress)</w:t>
      </w:r>
      <w:r w:rsidRPr="0099614D">
        <w:rPr>
          <w:rFonts w:ascii="Times New Roman" w:hAnsi="Times New Roman" w:cs="Times New Roman"/>
          <w:i w:val="0"/>
          <w:iCs w:val="0"/>
          <w:color w:val="000000" w:themeColor="text1"/>
        </w:rPr>
        <w:t xml:space="preserve">, 2015, black marker illustration, </w:t>
      </w:r>
      <w:r w:rsidRPr="0099614D">
        <w:rPr>
          <w:rFonts w:ascii="Times New Roman" w:hAnsi="Times New Roman" w:cs="Times New Roman"/>
          <w:color w:val="000000" w:themeColor="text1"/>
        </w:rPr>
        <w:t>Image</w:t>
      </w:r>
      <w:r w:rsidRPr="0099614D">
        <w:rPr>
          <w:rFonts w:ascii="Times New Roman" w:hAnsi="Times New Roman" w:cs="Times New Roman"/>
          <w:i w:val="0"/>
          <w:iCs w:val="0"/>
          <w:color w:val="000000" w:themeColor="text1"/>
        </w:rPr>
        <w:t xml:space="preserve">: </w:t>
      </w:r>
      <w:r>
        <w:rPr>
          <w:rFonts w:ascii="Times New Roman" w:hAnsi="Times New Roman" w:cs="Times New Roman"/>
          <w:i w:val="0"/>
          <w:iCs w:val="0"/>
          <w:color w:val="000000" w:themeColor="text1"/>
        </w:rPr>
        <w:t>Evvie Marin.</w:t>
      </w:r>
    </w:p>
    <w:p w14:paraId="2AF889AA" w14:textId="77777777" w:rsidR="00F06B61" w:rsidRDefault="00F06B61" w:rsidP="00F06B61">
      <w:pPr>
        <w:rPr>
          <w:lang w:eastAsia="en-US"/>
        </w:rPr>
      </w:pPr>
    </w:p>
    <w:p w14:paraId="1BC5FA1B" w14:textId="77777777" w:rsidR="00F06B61" w:rsidRDefault="00F06B61" w:rsidP="00F06B61">
      <w:pPr>
        <w:keepNext/>
        <w:jc w:val="center"/>
      </w:pPr>
      <w:r>
        <w:rPr>
          <w:noProof/>
          <w:lang w:eastAsia="en-US"/>
        </w:rPr>
        <w:lastRenderedPageBreak/>
        <w:drawing>
          <wp:inline distT="0" distB="0" distL="0" distR="0" wp14:anchorId="6BA265C0" wp14:editId="502668D4">
            <wp:extent cx="1537692" cy="2743200"/>
            <wp:effectExtent l="0" t="0" r="0" b="0"/>
            <wp:docPr id="15" name="Picture 15" descr="A picture containing tex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differ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561362" cy="2785428"/>
                    </a:xfrm>
                    <a:prstGeom prst="rect">
                      <a:avLst/>
                    </a:prstGeom>
                  </pic:spPr>
                </pic:pic>
              </a:graphicData>
            </a:graphic>
          </wp:inline>
        </w:drawing>
      </w:r>
    </w:p>
    <w:p w14:paraId="15188BE4" w14:textId="77777777" w:rsidR="00F06B61" w:rsidRPr="005E084B" w:rsidRDefault="00F06B61" w:rsidP="00F06B61">
      <w:pPr>
        <w:pStyle w:val="Caption"/>
        <w:jc w:val="center"/>
        <w:rPr>
          <w:rFonts w:ascii="Times New Roman" w:hAnsi="Times New Roman" w:cs="Times New Roman"/>
          <w:i w:val="0"/>
          <w:iCs w:val="0"/>
          <w:color w:val="000000" w:themeColor="text1"/>
        </w:rPr>
      </w:pPr>
      <w:r w:rsidRPr="00622A54">
        <w:rPr>
          <w:rFonts w:ascii="Times New Roman" w:hAnsi="Times New Roman" w:cs="Times New Roman"/>
          <w:i w:val="0"/>
          <w:iCs w:val="0"/>
          <w:color w:val="000000" w:themeColor="text1"/>
        </w:rPr>
        <w:t xml:space="preserve">Figure </w:t>
      </w:r>
      <w:r w:rsidRPr="00622A54">
        <w:rPr>
          <w:rFonts w:ascii="Times New Roman" w:hAnsi="Times New Roman" w:cs="Times New Roman"/>
          <w:i w:val="0"/>
          <w:iCs w:val="0"/>
          <w:color w:val="000000" w:themeColor="text1"/>
        </w:rPr>
        <w:fldChar w:fldCharType="begin"/>
      </w:r>
      <w:r w:rsidRPr="00622A54">
        <w:rPr>
          <w:rFonts w:ascii="Times New Roman" w:hAnsi="Times New Roman" w:cs="Times New Roman"/>
          <w:i w:val="0"/>
          <w:iCs w:val="0"/>
          <w:color w:val="000000" w:themeColor="text1"/>
        </w:rPr>
        <w:instrText xml:space="preserve"> SEQ Figure \* ARABIC </w:instrText>
      </w:r>
      <w:r w:rsidRPr="00622A54">
        <w:rPr>
          <w:rFonts w:ascii="Times New Roman" w:hAnsi="Times New Roman" w:cs="Times New Roman"/>
          <w:i w:val="0"/>
          <w:iCs w:val="0"/>
          <w:color w:val="000000" w:themeColor="text1"/>
        </w:rPr>
        <w:fldChar w:fldCharType="separate"/>
      </w:r>
      <w:r>
        <w:rPr>
          <w:rFonts w:ascii="Times New Roman" w:hAnsi="Times New Roman" w:cs="Times New Roman"/>
          <w:i w:val="0"/>
          <w:iCs w:val="0"/>
          <w:noProof/>
          <w:color w:val="000000" w:themeColor="text1"/>
        </w:rPr>
        <w:t>4</w:t>
      </w:r>
      <w:r w:rsidRPr="00622A54">
        <w:rPr>
          <w:rFonts w:ascii="Times New Roman" w:hAnsi="Times New Roman" w:cs="Times New Roman"/>
          <w:i w:val="0"/>
          <w:iCs w:val="0"/>
          <w:color w:val="000000" w:themeColor="text1"/>
        </w:rPr>
        <w:fldChar w:fldCharType="end"/>
      </w:r>
      <w:r w:rsidRPr="00622A54">
        <w:rPr>
          <w:rFonts w:ascii="Times New Roman" w:hAnsi="Times New Roman" w:cs="Times New Roman"/>
          <w:i w:val="0"/>
          <w:iCs w:val="0"/>
          <w:color w:val="000000" w:themeColor="text1"/>
        </w:rPr>
        <w:t xml:space="preserve">. Jennifer Galasso </w:t>
      </w:r>
      <w:r w:rsidRPr="004F0747">
        <w:rPr>
          <w:rFonts w:ascii="Times New Roman" w:hAnsi="Times New Roman" w:cs="Times New Roman"/>
          <w:i w:val="0"/>
          <w:iCs w:val="0"/>
          <w:color w:val="000000" w:themeColor="text1"/>
        </w:rPr>
        <w:t>(</w:t>
      </w:r>
      <w:r>
        <w:rPr>
          <w:rFonts w:ascii="Times New Roman" w:hAnsi="Times New Roman" w:cs="Times New Roman"/>
          <w:i w:val="0"/>
          <w:iCs w:val="0"/>
          <w:color w:val="000000" w:themeColor="text1"/>
        </w:rPr>
        <w:t>1973</w:t>
      </w:r>
      <w:r w:rsidRPr="004F0747">
        <w:rPr>
          <w:rFonts w:ascii="Times New Roman" w:hAnsi="Times New Roman" w:cs="Times New Roman"/>
          <w:i w:val="0"/>
          <w:iCs w:val="0"/>
          <w:color w:val="000000" w:themeColor="text1"/>
        </w:rPr>
        <w:t>-Present</w:t>
      </w:r>
      <w:r w:rsidRPr="00622A54">
        <w:rPr>
          <w:rFonts w:ascii="Times New Roman" w:hAnsi="Times New Roman" w:cs="Times New Roman"/>
          <w:i w:val="0"/>
          <w:iCs w:val="0"/>
          <w:color w:val="000000" w:themeColor="text1"/>
        </w:rPr>
        <w:t xml:space="preserve">), </w:t>
      </w:r>
      <w:r w:rsidRPr="00622A54">
        <w:rPr>
          <w:rFonts w:ascii="Times New Roman" w:hAnsi="Times New Roman" w:cs="Times New Roman"/>
          <w:color w:val="000000" w:themeColor="text1"/>
        </w:rPr>
        <w:t>Crystal Visions Tarot Deck</w:t>
      </w:r>
      <w:r>
        <w:rPr>
          <w:rFonts w:ascii="Times New Roman" w:hAnsi="Times New Roman" w:cs="Times New Roman"/>
          <w:color w:val="000000" w:themeColor="text1"/>
        </w:rPr>
        <w:t>:</w:t>
      </w:r>
      <w:r w:rsidRPr="00622A54">
        <w:rPr>
          <w:rFonts w:ascii="Times New Roman" w:hAnsi="Times New Roman" w:cs="Times New Roman"/>
          <w:color w:val="000000" w:themeColor="text1"/>
        </w:rPr>
        <w:t xml:space="preserve"> The Tower</w:t>
      </w:r>
      <w:r w:rsidRPr="00622A54">
        <w:rPr>
          <w:rFonts w:ascii="Times New Roman" w:hAnsi="Times New Roman" w:cs="Times New Roman"/>
          <w:i w:val="0"/>
          <w:iCs w:val="0"/>
          <w:color w:val="000000" w:themeColor="text1"/>
        </w:rPr>
        <w:t>, 2011,</w:t>
      </w:r>
      <w:r>
        <w:rPr>
          <w:rFonts w:ascii="Times New Roman" w:hAnsi="Times New Roman" w:cs="Times New Roman"/>
          <w:i w:val="0"/>
          <w:iCs w:val="0"/>
          <w:color w:val="000000" w:themeColor="text1"/>
        </w:rPr>
        <w:t xml:space="preserve"> acrylic </w:t>
      </w:r>
      <w:r w:rsidRPr="000B6B14">
        <w:rPr>
          <w:rFonts w:ascii="Times New Roman" w:hAnsi="Times New Roman" w:cs="Times New Roman"/>
          <w:i w:val="0"/>
          <w:iCs w:val="0"/>
          <w:color w:val="000000" w:themeColor="text1"/>
        </w:rPr>
        <w:t>paint</w:t>
      </w:r>
      <w:r>
        <w:rPr>
          <w:rFonts w:ascii="Times New Roman" w:hAnsi="Times New Roman" w:cs="Times New Roman"/>
          <w:i w:val="0"/>
          <w:iCs w:val="0"/>
          <w:color w:val="000000" w:themeColor="text1"/>
        </w:rPr>
        <w:t xml:space="preserve"> and ink, </w:t>
      </w:r>
      <w:r w:rsidRPr="00972625">
        <w:rPr>
          <w:rFonts w:ascii="Times New Roman" w:hAnsi="Times New Roman" w:cs="Times New Roman"/>
          <w:color w:val="000000" w:themeColor="text1"/>
        </w:rPr>
        <w:t>Image</w:t>
      </w:r>
      <w:r>
        <w:rPr>
          <w:rFonts w:ascii="Times New Roman" w:hAnsi="Times New Roman" w:cs="Times New Roman"/>
          <w:i w:val="0"/>
          <w:iCs w:val="0"/>
          <w:color w:val="000000" w:themeColor="text1"/>
        </w:rPr>
        <w:t>: Jennifer Galasso.</w:t>
      </w:r>
    </w:p>
    <w:p w14:paraId="69BB7880" w14:textId="77777777" w:rsidR="00F06B61" w:rsidRDefault="00F06B61" w:rsidP="00F06B61">
      <w:pPr>
        <w:ind w:firstLine="720"/>
        <w:rPr>
          <w:sz w:val="22"/>
          <w:szCs w:val="22"/>
        </w:rPr>
      </w:pPr>
      <w:r>
        <w:rPr>
          <w:sz w:val="22"/>
          <w:szCs w:val="22"/>
        </w:rPr>
        <w:t xml:space="preserve">In Evvie Marin’s 2015 black marker illustrations of </w:t>
      </w:r>
      <w:r>
        <w:rPr>
          <w:i/>
          <w:iCs/>
          <w:sz w:val="22"/>
          <w:szCs w:val="22"/>
        </w:rPr>
        <w:t>The Spirit</w:t>
      </w:r>
      <w:r w:rsidRPr="00362697">
        <w:rPr>
          <w:i/>
          <w:iCs/>
          <w:sz w:val="22"/>
          <w:szCs w:val="22"/>
        </w:rPr>
        <w:t xml:space="preserve"> Vertigo Tarot: The Tower</w:t>
      </w:r>
      <w:r>
        <w:rPr>
          <w:rStyle w:val="FootnoteReference"/>
          <w:i/>
          <w:iCs/>
          <w:sz w:val="22"/>
          <w:szCs w:val="22"/>
        </w:rPr>
        <w:footnoteReference w:id="66"/>
      </w:r>
      <w:r>
        <w:rPr>
          <w:sz w:val="22"/>
          <w:szCs w:val="22"/>
        </w:rPr>
        <w:t xml:space="preserve"> (Fig. 3), lightning strikes the tower in multiple locations, descending from a sky above imaged like turbulent waves in an ocean. The flames have grown, and the tower is further along in its devastation, yet the human characters are conspicuously missing from her representation. Marin writes of her inspiration by Colman Smith’s symbolism and describes her own artistic interpretations as ‘alternatives to gendered, ableist, and hierarchical thought patterns.’</w:t>
      </w:r>
      <w:r>
        <w:rPr>
          <w:rStyle w:val="FootnoteReference"/>
          <w:sz w:val="22"/>
          <w:szCs w:val="22"/>
        </w:rPr>
        <w:footnoteReference w:id="67"/>
      </w:r>
      <w:r>
        <w:rPr>
          <w:sz w:val="22"/>
          <w:szCs w:val="22"/>
        </w:rPr>
        <w:t xml:space="preserve"> Accordingly, by pitting the sky’s destructiveness solely against a monumental structure and by removing the individual humans, her card appears to subvert the </w:t>
      </w:r>
      <w:r>
        <w:rPr>
          <w:i/>
          <w:iCs/>
          <w:sz w:val="22"/>
          <w:szCs w:val="22"/>
        </w:rPr>
        <w:t>individual</w:t>
      </w:r>
      <w:r w:rsidRPr="00A072E9">
        <w:rPr>
          <w:i/>
          <w:iCs/>
          <w:sz w:val="22"/>
          <w:szCs w:val="22"/>
        </w:rPr>
        <w:t xml:space="preserve"> </w:t>
      </w:r>
      <w:r>
        <w:rPr>
          <w:i/>
          <w:iCs/>
          <w:sz w:val="22"/>
          <w:szCs w:val="22"/>
        </w:rPr>
        <w:t>locus</w:t>
      </w:r>
      <w:r>
        <w:rPr>
          <w:sz w:val="22"/>
          <w:szCs w:val="22"/>
        </w:rPr>
        <w:t xml:space="preserve"> interpretation and affirm the </w:t>
      </w:r>
      <w:r w:rsidRPr="006A324C">
        <w:rPr>
          <w:i/>
          <w:iCs/>
          <w:sz w:val="22"/>
          <w:szCs w:val="22"/>
        </w:rPr>
        <w:t>systemic locus</w:t>
      </w:r>
      <w:r>
        <w:rPr>
          <w:sz w:val="22"/>
          <w:szCs w:val="22"/>
        </w:rPr>
        <w:t xml:space="preserve"> interpretation as enumerated within the previous section. Similarly, within Jennifer Galasso’s 2011 </w:t>
      </w:r>
      <w:r w:rsidRPr="006F03D6">
        <w:rPr>
          <w:i/>
          <w:iCs/>
          <w:sz w:val="22"/>
          <w:szCs w:val="22"/>
        </w:rPr>
        <w:t>Crystal Visions Tarot Deck</w:t>
      </w:r>
      <w:r>
        <w:rPr>
          <w:sz w:val="22"/>
          <w:szCs w:val="22"/>
        </w:rPr>
        <w:t xml:space="preserve"> painting of </w:t>
      </w:r>
      <w:r w:rsidRPr="006F03D6">
        <w:rPr>
          <w:i/>
          <w:iCs/>
          <w:sz w:val="22"/>
          <w:szCs w:val="22"/>
        </w:rPr>
        <w:t>The Tower</w:t>
      </w:r>
      <w:r w:rsidRPr="006F03D6">
        <w:rPr>
          <w:rStyle w:val="FootnoteReference"/>
          <w:sz w:val="22"/>
          <w:szCs w:val="22"/>
        </w:rPr>
        <w:footnoteReference w:id="68"/>
      </w:r>
      <w:r>
        <w:rPr>
          <w:i/>
          <w:iCs/>
          <w:sz w:val="22"/>
          <w:szCs w:val="22"/>
        </w:rPr>
        <w:t xml:space="preserve"> </w:t>
      </w:r>
      <w:r w:rsidRPr="006F03D6">
        <w:rPr>
          <w:sz w:val="22"/>
          <w:szCs w:val="22"/>
        </w:rPr>
        <w:t>(</w:t>
      </w:r>
      <w:r>
        <w:rPr>
          <w:sz w:val="22"/>
          <w:szCs w:val="22"/>
        </w:rPr>
        <w:t>Fig. 4), a stormy sky mirrors tempestuous waves beneath, an apt, elemental illustration of the aphorism, ‘</w:t>
      </w:r>
      <w:r w:rsidRPr="006050EC">
        <w:rPr>
          <w:sz w:val="22"/>
          <w:szCs w:val="22"/>
        </w:rPr>
        <w:t>as above, so below</w:t>
      </w:r>
      <w:r>
        <w:rPr>
          <w:sz w:val="22"/>
          <w:szCs w:val="22"/>
        </w:rPr>
        <w:t>.’</w:t>
      </w:r>
      <w:r>
        <w:rPr>
          <w:rStyle w:val="FootnoteReference"/>
          <w:sz w:val="22"/>
          <w:szCs w:val="22"/>
        </w:rPr>
        <w:footnoteReference w:id="69"/>
      </w:r>
      <w:r>
        <w:rPr>
          <w:sz w:val="22"/>
          <w:szCs w:val="22"/>
        </w:rPr>
        <w:t xml:space="preserve"> The lightning destroys the tower structure which appears to both crumble and melt from the impact, and human characters are also absent from her rendition, which instead images soaring birds flying free from the destruction. Considering tarot writers’ claims of an Egyptian influence within the tarot’s symbolism,</w:t>
      </w:r>
      <w:r>
        <w:rPr>
          <w:rStyle w:val="FootnoteReference"/>
          <w:sz w:val="22"/>
          <w:szCs w:val="22"/>
        </w:rPr>
        <w:footnoteReference w:id="70"/>
      </w:r>
      <w:r>
        <w:rPr>
          <w:sz w:val="22"/>
          <w:szCs w:val="22"/>
        </w:rPr>
        <w:t xml:space="preserve"> Egyptian Pyramid Text depictions of deceased kings as birds,</w:t>
      </w:r>
      <w:r>
        <w:rPr>
          <w:rStyle w:val="FootnoteReference"/>
          <w:sz w:val="22"/>
          <w:szCs w:val="22"/>
        </w:rPr>
        <w:footnoteReference w:id="71"/>
      </w:r>
      <w:r>
        <w:rPr>
          <w:sz w:val="22"/>
          <w:szCs w:val="22"/>
        </w:rPr>
        <w:t xml:space="preserve"> the Egyptian conception of the ba,</w:t>
      </w:r>
      <w:r>
        <w:rPr>
          <w:rStyle w:val="FootnoteReference"/>
          <w:sz w:val="22"/>
          <w:szCs w:val="22"/>
        </w:rPr>
        <w:footnoteReference w:id="72"/>
      </w:r>
      <w:r>
        <w:rPr>
          <w:sz w:val="22"/>
          <w:szCs w:val="22"/>
        </w:rPr>
        <w:t xml:space="preserve"> often imaged as a bird</w:t>
      </w:r>
      <w:r>
        <w:rPr>
          <w:rStyle w:val="FootnoteReference"/>
          <w:sz w:val="22"/>
          <w:szCs w:val="22"/>
        </w:rPr>
        <w:footnoteReference w:id="73"/>
      </w:r>
      <w:r>
        <w:rPr>
          <w:sz w:val="22"/>
          <w:szCs w:val="22"/>
        </w:rPr>
        <w:t xml:space="preserve"> and considered a soul-like ‘manifestation of the dead,’</w:t>
      </w:r>
      <w:r>
        <w:rPr>
          <w:rStyle w:val="FootnoteReference"/>
          <w:sz w:val="22"/>
          <w:szCs w:val="22"/>
        </w:rPr>
        <w:footnoteReference w:id="74"/>
      </w:r>
      <w:r>
        <w:rPr>
          <w:sz w:val="22"/>
          <w:szCs w:val="22"/>
        </w:rPr>
        <w:t xml:space="preserve"> along with literary symbolism equating the caged bird with oppressed women</w:t>
      </w:r>
      <w:r>
        <w:rPr>
          <w:rStyle w:val="FootnoteReference"/>
          <w:sz w:val="22"/>
          <w:szCs w:val="22"/>
        </w:rPr>
        <w:footnoteReference w:id="75"/>
      </w:r>
      <w:r>
        <w:rPr>
          <w:sz w:val="22"/>
          <w:szCs w:val="22"/>
        </w:rPr>
        <w:t xml:space="preserve"> and the soaring bird with the spiritual power of accessing shamanic </w:t>
      </w:r>
      <w:r>
        <w:rPr>
          <w:sz w:val="22"/>
          <w:szCs w:val="22"/>
        </w:rPr>
        <w:lastRenderedPageBreak/>
        <w:t>trance states,</w:t>
      </w:r>
      <w:r>
        <w:rPr>
          <w:rStyle w:val="FootnoteReference"/>
          <w:sz w:val="22"/>
          <w:szCs w:val="22"/>
        </w:rPr>
        <w:footnoteReference w:id="76"/>
      </w:r>
      <w:r>
        <w:rPr>
          <w:sz w:val="22"/>
          <w:szCs w:val="22"/>
        </w:rPr>
        <w:t xml:space="preserve"> Galasso’s card (Fig. 4) can be interpreted as forewarning human death or as auguring human spiritual liberation through the destruction of traditional power structures. A modern tarot website featuring her card contextualises its meaning within the aristocratic history of the tarot, and offers a </w:t>
      </w:r>
      <w:r w:rsidRPr="008B6B0C">
        <w:rPr>
          <w:i/>
          <w:iCs/>
          <w:sz w:val="22"/>
          <w:szCs w:val="22"/>
        </w:rPr>
        <w:t>systemic locus</w:t>
      </w:r>
      <w:r>
        <w:rPr>
          <w:sz w:val="22"/>
          <w:szCs w:val="22"/>
        </w:rPr>
        <w:t xml:space="preserve"> interpretation that describes it as representative of ‘revolution’ and ‘drastic social change’ needed to equalise hierarchical society for the liberation of the oppressed.</w:t>
      </w:r>
      <w:r>
        <w:rPr>
          <w:rStyle w:val="FootnoteReference"/>
          <w:sz w:val="22"/>
          <w:szCs w:val="22"/>
        </w:rPr>
        <w:footnoteReference w:id="77"/>
      </w:r>
      <w:r>
        <w:rPr>
          <w:sz w:val="22"/>
          <w:szCs w:val="22"/>
        </w:rPr>
        <w:t xml:space="preserve"> With these various interpretations of </w:t>
      </w:r>
      <w:r w:rsidRPr="00D20BB9">
        <w:rPr>
          <w:i/>
          <w:iCs/>
          <w:sz w:val="22"/>
          <w:szCs w:val="22"/>
        </w:rPr>
        <w:t xml:space="preserve">The Tower </w:t>
      </w:r>
      <w:r>
        <w:rPr>
          <w:sz w:val="22"/>
          <w:szCs w:val="22"/>
        </w:rPr>
        <w:t xml:space="preserve">elucidated, this essay will now turn to examine symbolic imagery within </w:t>
      </w:r>
      <w:r>
        <w:rPr>
          <w:i/>
          <w:iCs/>
          <w:sz w:val="22"/>
          <w:szCs w:val="22"/>
        </w:rPr>
        <w:t>T</w:t>
      </w:r>
      <w:r w:rsidRPr="001E76F9">
        <w:rPr>
          <w:i/>
          <w:iCs/>
          <w:sz w:val="22"/>
          <w:szCs w:val="22"/>
        </w:rPr>
        <w:t xml:space="preserve">he </w:t>
      </w:r>
      <w:r w:rsidRPr="002C3A99">
        <w:rPr>
          <w:i/>
          <w:iCs/>
          <w:sz w:val="22"/>
          <w:szCs w:val="22"/>
        </w:rPr>
        <w:t xml:space="preserve">Star </w:t>
      </w:r>
      <w:r>
        <w:rPr>
          <w:sz w:val="22"/>
          <w:szCs w:val="22"/>
        </w:rPr>
        <w:t>(Fig. 5), to explore sky representations in Colman Smith’s and others’ artistic depictions.</w:t>
      </w:r>
    </w:p>
    <w:p w14:paraId="580ABC10" w14:textId="77777777" w:rsidR="00F06B61" w:rsidRDefault="00F06B61" w:rsidP="00F06B61">
      <w:pPr>
        <w:rPr>
          <w:sz w:val="22"/>
          <w:szCs w:val="22"/>
        </w:rPr>
      </w:pPr>
    </w:p>
    <w:p w14:paraId="2EDD8B6E" w14:textId="77777777" w:rsidR="00F06B61" w:rsidRPr="00190440" w:rsidRDefault="00F06B61" w:rsidP="00F06B61">
      <w:pPr>
        <w:jc w:val="center"/>
        <w:rPr>
          <w:b/>
          <w:bCs/>
          <w:i/>
          <w:iCs/>
          <w:sz w:val="22"/>
          <w:szCs w:val="22"/>
        </w:rPr>
      </w:pPr>
      <w:r w:rsidRPr="00190440">
        <w:rPr>
          <w:b/>
          <w:bCs/>
          <w:i/>
          <w:iCs/>
          <w:sz w:val="22"/>
          <w:szCs w:val="22"/>
        </w:rPr>
        <w:t>The Star</w:t>
      </w:r>
    </w:p>
    <w:p w14:paraId="043AB7BB" w14:textId="77777777" w:rsidR="00F06B61" w:rsidRDefault="00F06B61" w:rsidP="00F06B61">
      <w:pPr>
        <w:rPr>
          <w:sz w:val="22"/>
          <w:szCs w:val="22"/>
        </w:rPr>
      </w:pPr>
    </w:p>
    <w:p w14:paraId="5BA74052" w14:textId="77777777" w:rsidR="00F06B61" w:rsidRPr="00FB2225" w:rsidRDefault="00F06B61" w:rsidP="00F06B61">
      <w:pPr>
        <w:keepNext/>
        <w:tabs>
          <w:tab w:val="left" w:pos="3921"/>
        </w:tabs>
        <w:jc w:val="center"/>
        <w:rPr>
          <w:color w:val="000000" w:themeColor="text1"/>
        </w:rPr>
      </w:pPr>
      <w:r w:rsidRPr="00FB2225">
        <w:rPr>
          <w:noProof/>
          <w:color w:val="000000" w:themeColor="text1"/>
          <w:sz w:val="22"/>
          <w:szCs w:val="22"/>
        </w:rPr>
        <w:drawing>
          <wp:inline distT="0" distB="0" distL="0" distR="0" wp14:anchorId="6C9068CD" wp14:editId="7B116DDD">
            <wp:extent cx="1465126" cy="2522764"/>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02762" cy="2587569"/>
                    </a:xfrm>
                    <a:prstGeom prst="rect">
                      <a:avLst/>
                    </a:prstGeom>
                  </pic:spPr>
                </pic:pic>
              </a:graphicData>
            </a:graphic>
          </wp:inline>
        </w:drawing>
      </w:r>
    </w:p>
    <w:p w14:paraId="3A5B7D41" w14:textId="77777777" w:rsidR="00F06B61" w:rsidRPr="0073756D" w:rsidRDefault="00F06B61" w:rsidP="00F06B61">
      <w:pPr>
        <w:pStyle w:val="Caption"/>
        <w:jc w:val="center"/>
        <w:rPr>
          <w:rFonts w:ascii="Times New Roman" w:hAnsi="Times New Roman" w:cs="Times New Roman"/>
          <w:color w:val="000000" w:themeColor="text1"/>
          <w:sz w:val="22"/>
          <w:szCs w:val="22"/>
        </w:rPr>
      </w:pPr>
      <w:r w:rsidRPr="00FB2225">
        <w:rPr>
          <w:rFonts w:ascii="Times New Roman" w:hAnsi="Times New Roman" w:cs="Times New Roman"/>
          <w:i w:val="0"/>
          <w:iCs w:val="0"/>
          <w:color w:val="000000" w:themeColor="text1"/>
        </w:rPr>
        <w:t xml:space="preserve">Figure </w:t>
      </w:r>
      <w:r w:rsidRPr="00FB2225">
        <w:rPr>
          <w:rFonts w:ascii="Times New Roman" w:hAnsi="Times New Roman" w:cs="Times New Roman"/>
          <w:i w:val="0"/>
          <w:iCs w:val="0"/>
          <w:color w:val="000000" w:themeColor="text1"/>
        </w:rPr>
        <w:fldChar w:fldCharType="begin"/>
      </w:r>
      <w:r w:rsidRPr="00FB2225">
        <w:rPr>
          <w:rFonts w:ascii="Times New Roman" w:hAnsi="Times New Roman" w:cs="Times New Roman"/>
          <w:i w:val="0"/>
          <w:iCs w:val="0"/>
          <w:color w:val="000000" w:themeColor="text1"/>
        </w:rPr>
        <w:instrText xml:space="preserve"> SEQ Figure \* ARABIC </w:instrText>
      </w:r>
      <w:r w:rsidRPr="00FB2225">
        <w:rPr>
          <w:rFonts w:ascii="Times New Roman" w:hAnsi="Times New Roman" w:cs="Times New Roman"/>
          <w:i w:val="0"/>
          <w:iCs w:val="0"/>
          <w:color w:val="000000" w:themeColor="text1"/>
        </w:rPr>
        <w:fldChar w:fldCharType="separate"/>
      </w:r>
      <w:r>
        <w:rPr>
          <w:rFonts w:ascii="Times New Roman" w:hAnsi="Times New Roman" w:cs="Times New Roman"/>
          <w:i w:val="0"/>
          <w:iCs w:val="0"/>
          <w:noProof/>
          <w:color w:val="000000" w:themeColor="text1"/>
        </w:rPr>
        <w:t>5</w:t>
      </w:r>
      <w:r w:rsidRPr="00FB2225">
        <w:rPr>
          <w:rFonts w:ascii="Times New Roman" w:hAnsi="Times New Roman" w:cs="Times New Roman"/>
          <w:i w:val="0"/>
          <w:iCs w:val="0"/>
          <w:color w:val="000000" w:themeColor="text1"/>
        </w:rPr>
        <w:fldChar w:fldCharType="end"/>
      </w:r>
      <w:r w:rsidRPr="00FB2225">
        <w:rPr>
          <w:rFonts w:ascii="Times New Roman" w:hAnsi="Times New Roman" w:cs="Times New Roman"/>
          <w:i w:val="0"/>
          <w:iCs w:val="0"/>
          <w:color w:val="000000" w:themeColor="text1"/>
        </w:rPr>
        <w:t xml:space="preserve">. </w:t>
      </w:r>
      <w:r w:rsidRPr="00E94444">
        <w:rPr>
          <w:rFonts w:ascii="Times New Roman" w:hAnsi="Times New Roman" w:cs="Times New Roman"/>
          <w:i w:val="0"/>
          <w:iCs w:val="0"/>
          <w:color w:val="000000" w:themeColor="text1"/>
        </w:rPr>
        <w:t>Pamela Colman Smith (1878-1951</w:t>
      </w:r>
      <w:r w:rsidRPr="00E94444">
        <w:rPr>
          <w:rFonts w:ascii="Times New Roman" w:hAnsi="Times New Roman" w:cs="Times New Roman"/>
          <w:color w:val="000000" w:themeColor="text1"/>
        </w:rPr>
        <w:t xml:space="preserve">), RWS Tarot </w:t>
      </w:r>
      <w:r>
        <w:rPr>
          <w:rFonts w:ascii="Times New Roman" w:hAnsi="Times New Roman" w:cs="Times New Roman"/>
          <w:color w:val="000000" w:themeColor="text1"/>
        </w:rPr>
        <w:t>17: The Star</w:t>
      </w:r>
      <w:r w:rsidRPr="00E94444">
        <w:rPr>
          <w:rFonts w:ascii="Times New Roman" w:hAnsi="Times New Roman" w:cs="Times New Roman"/>
          <w:color w:val="000000" w:themeColor="text1"/>
        </w:rPr>
        <w:t xml:space="preserve">, </w:t>
      </w:r>
      <w:r w:rsidRPr="00E94444">
        <w:rPr>
          <w:rFonts w:ascii="Times New Roman" w:hAnsi="Times New Roman" w:cs="Times New Roman"/>
          <w:i w:val="0"/>
          <w:iCs w:val="0"/>
          <w:color w:val="000000" w:themeColor="text1"/>
        </w:rPr>
        <w:t xml:space="preserve">1909, illustration, </w:t>
      </w:r>
      <w:r w:rsidRPr="00E94444">
        <w:rPr>
          <w:rFonts w:ascii="Times New Roman" w:hAnsi="Times New Roman" w:cs="Times New Roman"/>
          <w:color w:val="000000" w:themeColor="text1"/>
        </w:rPr>
        <w:t xml:space="preserve">Image: </w:t>
      </w:r>
      <w:r w:rsidRPr="00E94444">
        <w:rPr>
          <w:rFonts w:ascii="Times New Roman" w:hAnsi="Times New Roman" w:cs="Times New Roman"/>
          <w:i w:val="0"/>
          <w:iCs w:val="0"/>
          <w:color w:val="000000" w:themeColor="text1"/>
        </w:rPr>
        <w:t>Wikimedia Commons Public Domain</w:t>
      </w:r>
    </w:p>
    <w:p w14:paraId="62E0FCEE" w14:textId="77777777" w:rsidR="00F06B61" w:rsidRDefault="00F06B61" w:rsidP="00F06B61">
      <w:pPr>
        <w:rPr>
          <w:sz w:val="22"/>
          <w:szCs w:val="22"/>
          <w:lang w:eastAsia="en-US"/>
        </w:rPr>
      </w:pPr>
      <w:r w:rsidRPr="00D41F6F">
        <w:rPr>
          <w:sz w:val="22"/>
          <w:szCs w:val="22"/>
          <w:lang w:eastAsia="en-US"/>
        </w:rPr>
        <w:tab/>
        <w:t xml:space="preserve">In Colman Smith’s </w:t>
      </w:r>
      <w:r>
        <w:rPr>
          <w:sz w:val="22"/>
          <w:szCs w:val="22"/>
          <w:lang w:eastAsia="en-US"/>
        </w:rPr>
        <w:t xml:space="preserve">illustration for </w:t>
      </w:r>
      <w:r w:rsidRPr="00D41F6F">
        <w:rPr>
          <w:i/>
          <w:iCs/>
          <w:sz w:val="22"/>
          <w:szCs w:val="22"/>
          <w:lang w:eastAsia="en-US"/>
        </w:rPr>
        <w:t>The Star</w:t>
      </w:r>
      <w:r>
        <w:rPr>
          <w:sz w:val="22"/>
          <w:szCs w:val="22"/>
          <w:lang w:eastAsia="en-US"/>
        </w:rPr>
        <w:t xml:space="preserve"> (Fig. 5), the destructiveness of the previous sky has cleared, and a blue, celestial calm remains. A single eight-pointed star takes central place within the skyscape and is surrounded by seven smaller stars, which Hundley describes as representative of the seven chakras,</w:t>
      </w:r>
      <w:r>
        <w:rPr>
          <w:rStyle w:val="FootnoteReference"/>
          <w:sz w:val="22"/>
          <w:szCs w:val="22"/>
          <w:lang w:eastAsia="en-US"/>
        </w:rPr>
        <w:footnoteReference w:id="78"/>
      </w:r>
      <w:r>
        <w:rPr>
          <w:sz w:val="22"/>
          <w:szCs w:val="22"/>
          <w:lang w:eastAsia="en-US"/>
        </w:rPr>
        <w:t xml:space="preserve"> and di Parravicino attributes to the ‘the seven planets known to antiquity.’</w:t>
      </w:r>
      <w:r>
        <w:rPr>
          <w:rStyle w:val="FootnoteReference"/>
          <w:sz w:val="22"/>
          <w:szCs w:val="22"/>
          <w:lang w:eastAsia="en-US"/>
        </w:rPr>
        <w:footnoteReference w:id="79"/>
      </w:r>
      <w:r>
        <w:rPr>
          <w:sz w:val="22"/>
          <w:szCs w:val="22"/>
          <w:lang w:eastAsia="en-US"/>
        </w:rPr>
        <w:t xml:space="preserve"> This newfound cosmic serenity is paired with a naked woman bearing water, portraying all remnants of artifice within </w:t>
      </w:r>
      <w:r w:rsidRPr="000452E2">
        <w:rPr>
          <w:i/>
          <w:iCs/>
          <w:sz w:val="22"/>
          <w:szCs w:val="22"/>
          <w:lang w:eastAsia="en-US"/>
        </w:rPr>
        <w:t>The Tower</w:t>
      </w:r>
      <w:r>
        <w:rPr>
          <w:sz w:val="22"/>
          <w:szCs w:val="22"/>
          <w:lang w:eastAsia="en-US"/>
        </w:rPr>
        <w:t xml:space="preserve"> (Fig. 1) as now gone, with only natural elements and living entities remaining. Regarding </w:t>
      </w:r>
      <w:r w:rsidRPr="002C3A99">
        <w:rPr>
          <w:i/>
          <w:iCs/>
          <w:sz w:val="22"/>
          <w:szCs w:val="22"/>
          <w:lang w:eastAsia="en-US"/>
        </w:rPr>
        <w:t>The Star as Birth</w:t>
      </w:r>
      <w:r>
        <w:rPr>
          <w:sz w:val="22"/>
          <w:szCs w:val="22"/>
          <w:lang w:eastAsia="en-US"/>
        </w:rPr>
        <w:t>, Crowley states that the card corresponds to the sign of Aquarius</w:t>
      </w:r>
      <w:r>
        <w:rPr>
          <w:rStyle w:val="FootnoteReference"/>
          <w:sz w:val="22"/>
          <w:szCs w:val="22"/>
          <w:lang w:eastAsia="en-US"/>
        </w:rPr>
        <w:footnoteReference w:id="80"/>
      </w:r>
      <w:r>
        <w:rPr>
          <w:sz w:val="22"/>
          <w:szCs w:val="22"/>
          <w:lang w:eastAsia="en-US"/>
        </w:rPr>
        <w:t xml:space="preserve"> and represents the birth of ‘a New Aeon’</w:t>
      </w:r>
      <w:r>
        <w:rPr>
          <w:rStyle w:val="FootnoteReference"/>
          <w:sz w:val="22"/>
          <w:szCs w:val="22"/>
          <w:lang w:eastAsia="en-US"/>
        </w:rPr>
        <w:footnoteReference w:id="81"/>
      </w:r>
      <w:r>
        <w:rPr>
          <w:sz w:val="22"/>
          <w:szCs w:val="22"/>
          <w:lang w:eastAsia="en-US"/>
        </w:rPr>
        <w:t xml:space="preserve"> after the destruction seen within </w:t>
      </w:r>
      <w:r w:rsidRPr="00212F26">
        <w:rPr>
          <w:i/>
          <w:iCs/>
          <w:sz w:val="22"/>
          <w:szCs w:val="22"/>
          <w:lang w:eastAsia="en-US"/>
        </w:rPr>
        <w:t>The Tower</w:t>
      </w:r>
      <w:r>
        <w:rPr>
          <w:sz w:val="22"/>
          <w:szCs w:val="22"/>
          <w:lang w:eastAsia="en-US"/>
        </w:rPr>
        <w:t xml:space="preserve"> (Fig. 1). Considering the tarot’s enumerated links to Christianity, along with Christianity’s association with the Age of Pisces,</w:t>
      </w:r>
      <w:r>
        <w:rPr>
          <w:rStyle w:val="FootnoteReference"/>
          <w:sz w:val="22"/>
          <w:szCs w:val="22"/>
          <w:lang w:eastAsia="en-US"/>
        </w:rPr>
        <w:footnoteReference w:id="82"/>
      </w:r>
      <w:r>
        <w:rPr>
          <w:sz w:val="22"/>
          <w:szCs w:val="22"/>
          <w:lang w:eastAsia="en-US"/>
        </w:rPr>
        <w:t xml:space="preserve"> when viewed sequentially together, </w:t>
      </w:r>
      <w:r w:rsidRPr="002910ED">
        <w:rPr>
          <w:i/>
          <w:iCs/>
          <w:sz w:val="22"/>
          <w:szCs w:val="22"/>
          <w:lang w:eastAsia="en-US"/>
        </w:rPr>
        <w:t>The Tower</w:t>
      </w:r>
      <w:r>
        <w:rPr>
          <w:sz w:val="22"/>
          <w:szCs w:val="22"/>
          <w:lang w:eastAsia="en-US"/>
        </w:rPr>
        <w:t xml:space="preserve"> (Fig. 1) and </w:t>
      </w:r>
      <w:r w:rsidRPr="002910ED">
        <w:rPr>
          <w:i/>
          <w:iCs/>
          <w:sz w:val="22"/>
          <w:szCs w:val="22"/>
          <w:lang w:eastAsia="en-US"/>
        </w:rPr>
        <w:t>The Star</w:t>
      </w:r>
      <w:r>
        <w:rPr>
          <w:sz w:val="22"/>
          <w:szCs w:val="22"/>
          <w:lang w:eastAsia="en-US"/>
        </w:rPr>
        <w:t xml:space="preserve"> (Fig. 5) could possibly reveal pictorial foreknowledge of the ending of the Piscean Age and symbolical intimations as to the nature of the Aquarian Age.</w:t>
      </w:r>
    </w:p>
    <w:p w14:paraId="6C5419E3" w14:textId="77777777" w:rsidR="00F06B61" w:rsidRDefault="00F06B61" w:rsidP="00F06B61">
      <w:pPr>
        <w:rPr>
          <w:sz w:val="22"/>
          <w:szCs w:val="22"/>
          <w:lang w:eastAsia="en-US"/>
        </w:rPr>
      </w:pPr>
    </w:p>
    <w:p w14:paraId="71721B17" w14:textId="77777777" w:rsidR="00F06B61" w:rsidRPr="00052D03" w:rsidRDefault="00F06B61" w:rsidP="00F06B61">
      <w:pPr>
        <w:jc w:val="center"/>
        <w:rPr>
          <w:b/>
          <w:bCs/>
          <w:i/>
          <w:iCs/>
          <w:sz w:val="22"/>
          <w:szCs w:val="22"/>
        </w:rPr>
      </w:pPr>
      <w:r>
        <w:rPr>
          <w:b/>
          <w:bCs/>
          <w:i/>
          <w:iCs/>
          <w:sz w:val="22"/>
          <w:szCs w:val="22"/>
        </w:rPr>
        <w:t xml:space="preserve">Interpretations of </w:t>
      </w:r>
      <w:r w:rsidRPr="00052D03">
        <w:rPr>
          <w:b/>
          <w:bCs/>
          <w:i/>
          <w:iCs/>
          <w:sz w:val="22"/>
          <w:szCs w:val="22"/>
        </w:rPr>
        <w:t xml:space="preserve">The </w:t>
      </w:r>
      <w:r>
        <w:rPr>
          <w:b/>
          <w:bCs/>
          <w:i/>
          <w:iCs/>
          <w:sz w:val="22"/>
          <w:szCs w:val="22"/>
        </w:rPr>
        <w:t>Sta</w:t>
      </w:r>
      <w:r w:rsidRPr="00052D03">
        <w:rPr>
          <w:b/>
          <w:bCs/>
          <w:i/>
          <w:iCs/>
          <w:sz w:val="22"/>
          <w:szCs w:val="22"/>
        </w:rPr>
        <w:t>r</w:t>
      </w:r>
      <w:r>
        <w:rPr>
          <w:b/>
          <w:bCs/>
          <w:i/>
          <w:iCs/>
          <w:sz w:val="22"/>
          <w:szCs w:val="22"/>
        </w:rPr>
        <w:t xml:space="preserve"> in Relation to the Sky</w:t>
      </w:r>
    </w:p>
    <w:p w14:paraId="4186247C" w14:textId="77777777" w:rsidR="00F06B61" w:rsidRDefault="00F06B61" w:rsidP="00F06B61">
      <w:pPr>
        <w:rPr>
          <w:sz w:val="22"/>
          <w:szCs w:val="22"/>
          <w:lang w:eastAsia="en-US"/>
        </w:rPr>
      </w:pPr>
    </w:p>
    <w:p w14:paraId="52328EE0" w14:textId="77777777" w:rsidR="00F06B61" w:rsidRDefault="00F06B61" w:rsidP="00F06B61">
      <w:pPr>
        <w:ind w:firstLine="720"/>
        <w:rPr>
          <w:sz w:val="22"/>
          <w:szCs w:val="22"/>
          <w:lang w:eastAsia="en-US"/>
        </w:rPr>
      </w:pPr>
      <w:r>
        <w:rPr>
          <w:sz w:val="22"/>
          <w:szCs w:val="22"/>
          <w:lang w:eastAsia="en-US"/>
        </w:rPr>
        <w:lastRenderedPageBreak/>
        <w:t xml:space="preserve">Regarding writings on </w:t>
      </w:r>
      <w:r w:rsidRPr="002910ED">
        <w:rPr>
          <w:i/>
          <w:iCs/>
          <w:sz w:val="22"/>
          <w:szCs w:val="22"/>
          <w:lang w:eastAsia="en-US"/>
        </w:rPr>
        <w:t>The Star</w:t>
      </w:r>
      <w:r>
        <w:rPr>
          <w:sz w:val="22"/>
          <w:szCs w:val="22"/>
          <w:lang w:eastAsia="en-US"/>
        </w:rPr>
        <w:t xml:space="preserve"> (Fig. 5), Waite interprets the woman as exemplifying ‘eternal youth and beauty,’</w:t>
      </w:r>
      <w:r>
        <w:rPr>
          <w:rStyle w:val="FootnoteReference"/>
          <w:sz w:val="22"/>
          <w:szCs w:val="22"/>
          <w:lang w:eastAsia="en-US"/>
        </w:rPr>
        <w:footnoteReference w:id="83"/>
      </w:r>
      <w:r>
        <w:rPr>
          <w:sz w:val="22"/>
          <w:szCs w:val="22"/>
          <w:lang w:eastAsia="en-US"/>
        </w:rPr>
        <w:t xml:space="preserve"> and states that she represents: ‘the Great Mother in the Kabalistic </w:t>
      </w:r>
      <w:r w:rsidRPr="00B745C5">
        <w:rPr>
          <w:i/>
          <w:iCs/>
          <w:sz w:val="22"/>
          <w:szCs w:val="22"/>
          <w:lang w:eastAsia="en-US"/>
        </w:rPr>
        <w:t>Sephira Bina</w:t>
      </w:r>
      <w:r>
        <w:rPr>
          <w:sz w:val="22"/>
          <w:szCs w:val="22"/>
          <w:lang w:eastAsia="en-US"/>
        </w:rPr>
        <w:t>’ (italics original),</w:t>
      </w:r>
      <w:r>
        <w:rPr>
          <w:rStyle w:val="FootnoteReference"/>
          <w:sz w:val="22"/>
          <w:szCs w:val="22"/>
          <w:lang w:eastAsia="en-US"/>
        </w:rPr>
        <w:footnoteReference w:id="84"/>
      </w:r>
      <w:r>
        <w:rPr>
          <w:sz w:val="22"/>
          <w:szCs w:val="22"/>
          <w:lang w:eastAsia="en-US"/>
        </w:rPr>
        <w:t xml:space="preserve"> attributing a Jewish mystical significance and image of female divinity to the card. From an Egyptian perspective, di Parravicino ascribes the central star to: ‘Sirius, the star of Isis,’</w:t>
      </w:r>
      <w:r>
        <w:rPr>
          <w:rStyle w:val="FootnoteReference"/>
          <w:sz w:val="22"/>
          <w:szCs w:val="22"/>
          <w:lang w:eastAsia="en-US"/>
        </w:rPr>
        <w:footnoteReference w:id="85"/>
      </w:r>
      <w:r>
        <w:rPr>
          <w:sz w:val="22"/>
          <w:szCs w:val="22"/>
          <w:lang w:eastAsia="en-US"/>
        </w:rPr>
        <w:t xml:space="preserve"> and Crowley describes the card as a pictorial representation of the Goddess: ‘Nuith, our Lady of the Stars.’</w:t>
      </w:r>
      <w:r>
        <w:rPr>
          <w:rStyle w:val="FootnoteReference"/>
          <w:sz w:val="22"/>
          <w:szCs w:val="22"/>
          <w:lang w:eastAsia="en-US"/>
        </w:rPr>
        <w:footnoteReference w:id="86"/>
      </w:r>
      <w:r>
        <w:rPr>
          <w:sz w:val="22"/>
          <w:szCs w:val="22"/>
          <w:lang w:eastAsia="en-US"/>
        </w:rPr>
        <w:t xml:space="preserve"> Relatedly, Gadi Sagiv discusses the historic symbolism of the color blue within Jewish mysticism and traces its association within Jewish mythology to protective magic and to female divinity,</w:t>
      </w:r>
      <w:r>
        <w:rPr>
          <w:rStyle w:val="FootnoteReference"/>
          <w:sz w:val="22"/>
          <w:szCs w:val="22"/>
          <w:lang w:eastAsia="en-US"/>
        </w:rPr>
        <w:footnoteReference w:id="87"/>
      </w:r>
      <w:r>
        <w:rPr>
          <w:sz w:val="22"/>
          <w:szCs w:val="22"/>
          <w:lang w:eastAsia="en-US"/>
        </w:rPr>
        <w:t xml:space="preserve"> revealing additional symbolic correspondence between Colman Smith’s chosen color for the night sky, Goddesses, and the central star. Focusing on the card’s pictorial emphasis on the natural, Hundley states: ‘The Star illuminates...a reminder that everything one needs can be found within...heralding inner vision, spiritual power, and the enduring beauty of the natural world,’</w:t>
      </w:r>
      <w:r>
        <w:rPr>
          <w:rStyle w:val="FootnoteReference"/>
          <w:sz w:val="22"/>
          <w:szCs w:val="22"/>
          <w:lang w:eastAsia="en-US"/>
        </w:rPr>
        <w:footnoteReference w:id="88"/>
      </w:r>
      <w:r>
        <w:rPr>
          <w:sz w:val="22"/>
          <w:szCs w:val="22"/>
          <w:lang w:eastAsia="en-US"/>
        </w:rPr>
        <w:t xml:space="preserve"> yet she also describes the female divinity as representing ‘innocence and vulnerability.’</w:t>
      </w:r>
      <w:r>
        <w:rPr>
          <w:rStyle w:val="FootnoteReference"/>
          <w:sz w:val="22"/>
          <w:szCs w:val="22"/>
          <w:lang w:eastAsia="en-US"/>
        </w:rPr>
        <w:footnoteReference w:id="89"/>
      </w:r>
      <w:r>
        <w:rPr>
          <w:sz w:val="22"/>
          <w:szCs w:val="22"/>
          <w:lang w:eastAsia="en-US"/>
        </w:rPr>
        <w:t xml:space="preserve"> By contrast, despite the figure’s movement within the card and the inherently active nature of the organic life depicted within it, Pollack maintains the card as: ‘not really a card of action’ due to ‘no road leading back from the pool to the mountains of outer reality,’</w:t>
      </w:r>
      <w:r>
        <w:rPr>
          <w:rStyle w:val="FootnoteReference"/>
          <w:sz w:val="22"/>
          <w:szCs w:val="22"/>
          <w:lang w:eastAsia="en-US"/>
        </w:rPr>
        <w:footnoteReference w:id="90"/>
      </w:r>
      <w:r>
        <w:rPr>
          <w:sz w:val="22"/>
          <w:szCs w:val="22"/>
          <w:lang w:eastAsia="en-US"/>
        </w:rPr>
        <w:t xml:space="preserve"> potentially presuming the inner and spiritual realms as not real. Place instead equates the card with ‘the anima,’</w:t>
      </w:r>
      <w:r>
        <w:rPr>
          <w:rStyle w:val="FootnoteReference"/>
          <w:sz w:val="22"/>
          <w:szCs w:val="22"/>
          <w:lang w:eastAsia="en-US"/>
        </w:rPr>
        <w:footnoteReference w:id="91"/>
      </w:r>
      <w:r>
        <w:rPr>
          <w:sz w:val="22"/>
          <w:szCs w:val="22"/>
          <w:lang w:eastAsia="en-US"/>
        </w:rPr>
        <w:t xml:space="preserve"> Carl Jung’s name for a female component of the male psyche,</w:t>
      </w:r>
      <w:r>
        <w:rPr>
          <w:rStyle w:val="FootnoteReference"/>
          <w:sz w:val="22"/>
          <w:szCs w:val="22"/>
          <w:lang w:eastAsia="en-US"/>
        </w:rPr>
        <w:footnoteReference w:id="92"/>
      </w:r>
      <w:r>
        <w:rPr>
          <w:sz w:val="22"/>
          <w:szCs w:val="22"/>
          <w:lang w:eastAsia="en-US"/>
        </w:rPr>
        <w:t xml:space="preserve"> reducing representations of the Kabalistic and Egyptian Great Mother Goddesses to a psychological aspect of male psychology. Additionally, despite describing star symbolism as associated with ‘immortality,’ human uniqueness and divine destiny,</w:t>
      </w:r>
      <w:r>
        <w:rPr>
          <w:rStyle w:val="FootnoteReference"/>
          <w:sz w:val="22"/>
          <w:szCs w:val="22"/>
          <w:lang w:eastAsia="en-US"/>
        </w:rPr>
        <w:footnoteReference w:id="93"/>
      </w:r>
      <w:r>
        <w:rPr>
          <w:sz w:val="22"/>
          <w:szCs w:val="22"/>
          <w:lang w:eastAsia="en-US"/>
        </w:rPr>
        <w:t xml:space="preserve"> Nichols upholds the card as a scene of ‘humility,’</w:t>
      </w:r>
      <w:r>
        <w:rPr>
          <w:rStyle w:val="FootnoteReference"/>
          <w:sz w:val="22"/>
          <w:szCs w:val="22"/>
          <w:lang w:eastAsia="en-US"/>
        </w:rPr>
        <w:footnoteReference w:id="94"/>
      </w:r>
      <w:r>
        <w:rPr>
          <w:sz w:val="22"/>
          <w:szCs w:val="22"/>
          <w:lang w:eastAsia="en-US"/>
        </w:rPr>
        <w:t xml:space="preserve"> attained through ‘sorting out insights newly available to consciousness,’</w:t>
      </w:r>
      <w:r>
        <w:rPr>
          <w:rStyle w:val="FootnoteReference"/>
          <w:sz w:val="22"/>
          <w:szCs w:val="22"/>
          <w:lang w:eastAsia="en-US"/>
        </w:rPr>
        <w:footnoteReference w:id="95"/>
      </w:r>
      <w:r>
        <w:rPr>
          <w:sz w:val="22"/>
          <w:szCs w:val="22"/>
          <w:lang w:eastAsia="en-US"/>
        </w:rPr>
        <w:t xml:space="preserve"> likewise reducing the cosmic dimensions of the card to an </w:t>
      </w:r>
      <w:r>
        <w:rPr>
          <w:i/>
          <w:iCs/>
          <w:sz w:val="22"/>
          <w:szCs w:val="22"/>
          <w:lang w:eastAsia="en-US"/>
        </w:rPr>
        <w:t>individual</w:t>
      </w:r>
      <w:r w:rsidRPr="002910ED">
        <w:rPr>
          <w:i/>
          <w:iCs/>
          <w:sz w:val="22"/>
          <w:szCs w:val="22"/>
          <w:lang w:eastAsia="en-US"/>
        </w:rPr>
        <w:t xml:space="preserve"> locus</w:t>
      </w:r>
      <w:r>
        <w:rPr>
          <w:sz w:val="22"/>
          <w:szCs w:val="22"/>
          <w:lang w:eastAsia="en-US"/>
        </w:rPr>
        <w:t xml:space="preserve"> on personal psychology. With these interpretations in mind, this essay will now turn to examine alternate renderings of </w:t>
      </w:r>
      <w:r w:rsidRPr="002910ED">
        <w:rPr>
          <w:i/>
          <w:iCs/>
          <w:sz w:val="22"/>
          <w:szCs w:val="22"/>
          <w:lang w:eastAsia="en-US"/>
        </w:rPr>
        <w:t>The Star</w:t>
      </w:r>
      <w:r>
        <w:rPr>
          <w:sz w:val="22"/>
          <w:szCs w:val="22"/>
          <w:lang w:eastAsia="en-US"/>
        </w:rPr>
        <w:t xml:space="preserve"> (Fig. 5) within contemporary and modern representations.</w:t>
      </w:r>
    </w:p>
    <w:p w14:paraId="789FFB71" w14:textId="77777777" w:rsidR="00F06B61" w:rsidRDefault="00F06B61" w:rsidP="00F06B61">
      <w:pPr>
        <w:rPr>
          <w:sz w:val="22"/>
          <w:szCs w:val="22"/>
          <w:lang w:eastAsia="en-US"/>
        </w:rPr>
      </w:pPr>
    </w:p>
    <w:p w14:paraId="2C7E169D" w14:textId="77777777" w:rsidR="00F06B61" w:rsidRPr="007827F8" w:rsidRDefault="00F06B61" w:rsidP="00F06B61">
      <w:pPr>
        <w:jc w:val="center"/>
        <w:rPr>
          <w:b/>
          <w:bCs/>
          <w:i/>
          <w:iCs/>
          <w:color w:val="000000" w:themeColor="text1"/>
          <w:sz w:val="22"/>
          <w:szCs w:val="22"/>
          <w:lang w:eastAsia="en-US"/>
        </w:rPr>
      </w:pPr>
      <w:r w:rsidRPr="007827F8">
        <w:rPr>
          <w:b/>
          <w:bCs/>
          <w:i/>
          <w:iCs/>
          <w:color w:val="000000" w:themeColor="text1"/>
          <w:sz w:val="22"/>
          <w:szCs w:val="22"/>
          <w:lang w:eastAsia="en-US"/>
        </w:rPr>
        <w:t>Contemporary and Modern V</w:t>
      </w:r>
      <w:r>
        <w:rPr>
          <w:b/>
          <w:bCs/>
          <w:i/>
          <w:iCs/>
          <w:color w:val="000000" w:themeColor="text1"/>
          <w:sz w:val="22"/>
          <w:szCs w:val="22"/>
          <w:lang w:eastAsia="en-US"/>
        </w:rPr>
        <w:t>ersions</w:t>
      </w:r>
      <w:r w:rsidRPr="007827F8">
        <w:rPr>
          <w:b/>
          <w:bCs/>
          <w:i/>
          <w:iCs/>
          <w:color w:val="000000" w:themeColor="text1"/>
          <w:sz w:val="22"/>
          <w:szCs w:val="22"/>
          <w:lang w:eastAsia="en-US"/>
        </w:rPr>
        <w:t xml:space="preserve"> of The Star </w:t>
      </w:r>
    </w:p>
    <w:p w14:paraId="7C36428C" w14:textId="77777777" w:rsidR="00F06B61" w:rsidRDefault="00F06B61" w:rsidP="00F06B61">
      <w:pPr>
        <w:rPr>
          <w:sz w:val="22"/>
          <w:szCs w:val="22"/>
          <w:lang w:eastAsia="en-US"/>
        </w:rPr>
      </w:pPr>
    </w:p>
    <w:p w14:paraId="48A3F9EF" w14:textId="77777777" w:rsidR="00F06B61" w:rsidRDefault="00F06B61" w:rsidP="00F06B61">
      <w:pPr>
        <w:keepNext/>
        <w:jc w:val="center"/>
      </w:pPr>
      <w:r>
        <w:rPr>
          <w:noProof/>
          <w:sz w:val="22"/>
          <w:szCs w:val="22"/>
          <w:lang w:eastAsia="en-US"/>
        </w:rPr>
        <w:lastRenderedPageBreak/>
        <w:drawing>
          <wp:inline distT="0" distB="0" distL="0" distR="0" wp14:anchorId="66B0BEFA" wp14:editId="259B7B3A">
            <wp:extent cx="1727200" cy="274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27200" cy="2743200"/>
                    </a:xfrm>
                    <a:prstGeom prst="rect">
                      <a:avLst/>
                    </a:prstGeom>
                  </pic:spPr>
                </pic:pic>
              </a:graphicData>
            </a:graphic>
          </wp:inline>
        </w:drawing>
      </w:r>
    </w:p>
    <w:p w14:paraId="55B81014" w14:textId="77777777" w:rsidR="00F06B61" w:rsidRDefault="00F06B61" w:rsidP="00F06B61">
      <w:pPr>
        <w:pStyle w:val="Caption"/>
        <w:jc w:val="center"/>
        <w:rPr>
          <w:rFonts w:ascii="Times New Roman" w:hAnsi="Times New Roman" w:cs="Times New Roman"/>
          <w:i w:val="0"/>
          <w:iCs w:val="0"/>
          <w:color w:val="000000" w:themeColor="text1"/>
        </w:rPr>
      </w:pPr>
      <w:r w:rsidRPr="00A67D66">
        <w:rPr>
          <w:rFonts w:ascii="Times New Roman" w:hAnsi="Times New Roman" w:cs="Times New Roman"/>
          <w:i w:val="0"/>
          <w:iCs w:val="0"/>
          <w:color w:val="000000" w:themeColor="text1"/>
        </w:rPr>
        <w:t xml:space="preserve">Figure </w:t>
      </w:r>
      <w:r w:rsidRPr="00A67D66">
        <w:rPr>
          <w:rFonts w:ascii="Times New Roman" w:hAnsi="Times New Roman" w:cs="Times New Roman"/>
          <w:i w:val="0"/>
          <w:iCs w:val="0"/>
          <w:color w:val="000000" w:themeColor="text1"/>
        </w:rPr>
        <w:fldChar w:fldCharType="begin"/>
      </w:r>
      <w:r w:rsidRPr="00A67D66">
        <w:rPr>
          <w:rFonts w:ascii="Times New Roman" w:hAnsi="Times New Roman" w:cs="Times New Roman"/>
          <w:i w:val="0"/>
          <w:iCs w:val="0"/>
          <w:color w:val="000000" w:themeColor="text1"/>
        </w:rPr>
        <w:instrText xml:space="preserve"> SEQ Figure \* ARABIC </w:instrText>
      </w:r>
      <w:r w:rsidRPr="00A67D66">
        <w:rPr>
          <w:rFonts w:ascii="Times New Roman" w:hAnsi="Times New Roman" w:cs="Times New Roman"/>
          <w:i w:val="0"/>
          <w:iCs w:val="0"/>
          <w:color w:val="000000" w:themeColor="text1"/>
        </w:rPr>
        <w:fldChar w:fldCharType="separate"/>
      </w:r>
      <w:r w:rsidRPr="00A67D66">
        <w:rPr>
          <w:rFonts w:ascii="Times New Roman" w:hAnsi="Times New Roman" w:cs="Times New Roman"/>
          <w:i w:val="0"/>
          <w:iCs w:val="0"/>
          <w:noProof/>
          <w:color w:val="000000" w:themeColor="text1"/>
        </w:rPr>
        <w:t>6</w:t>
      </w:r>
      <w:r w:rsidRPr="00A67D66">
        <w:rPr>
          <w:rFonts w:ascii="Times New Roman" w:hAnsi="Times New Roman" w:cs="Times New Roman"/>
          <w:i w:val="0"/>
          <w:iCs w:val="0"/>
          <w:color w:val="000000" w:themeColor="text1"/>
        </w:rPr>
        <w:fldChar w:fldCharType="end"/>
      </w:r>
      <w:r>
        <w:rPr>
          <w:rFonts w:ascii="Times New Roman" w:hAnsi="Times New Roman" w:cs="Times New Roman"/>
          <w:i w:val="0"/>
          <w:iCs w:val="0"/>
          <w:color w:val="000000" w:themeColor="text1"/>
        </w:rPr>
        <w:t xml:space="preserve">. Lady Frieda Harris (1877-1962), </w:t>
      </w:r>
      <w:r w:rsidRPr="00A67D66">
        <w:rPr>
          <w:rFonts w:ascii="Times New Roman" w:hAnsi="Times New Roman" w:cs="Times New Roman"/>
          <w:color w:val="000000" w:themeColor="text1"/>
        </w:rPr>
        <w:t>Thoth Tarot: The Star</w:t>
      </w:r>
      <w:r>
        <w:rPr>
          <w:rFonts w:ascii="Times New Roman" w:hAnsi="Times New Roman" w:cs="Times New Roman"/>
          <w:i w:val="0"/>
          <w:iCs w:val="0"/>
          <w:color w:val="000000" w:themeColor="text1"/>
        </w:rPr>
        <w:t xml:space="preserve">, 1944, paint, </w:t>
      </w:r>
      <w:r w:rsidRPr="00A67D66">
        <w:rPr>
          <w:rFonts w:ascii="Times New Roman" w:hAnsi="Times New Roman" w:cs="Times New Roman"/>
          <w:color w:val="000000" w:themeColor="text1"/>
        </w:rPr>
        <w:t>Image</w:t>
      </w:r>
      <w:r>
        <w:rPr>
          <w:rFonts w:ascii="Times New Roman" w:hAnsi="Times New Roman" w:cs="Times New Roman"/>
          <w:i w:val="0"/>
          <w:iCs w:val="0"/>
          <w:color w:val="000000" w:themeColor="text1"/>
        </w:rPr>
        <w:t>: Photos.com</w:t>
      </w:r>
    </w:p>
    <w:p w14:paraId="114DA955" w14:textId="77777777" w:rsidR="00F06B61" w:rsidRPr="00CF4E84" w:rsidRDefault="00F06B61" w:rsidP="00F06B61">
      <w:pPr>
        <w:rPr>
          <w:lang w:eastAsia="en-US"/>
        </w:rPr>
      </w:pPr>
    </w:p>
    <w:p w14:paraId="6B65E217" w14:textId="77777777" w:rsidR="00F06B61" w:rsidRDefault="00F06B61" w:rsidP="00F06B61">
      <w:pPr>
        <w:keepNext/>
        <w:jc w:val="center"/>
      </w:pPr>
      <w:r>
        <w:rPr>
          <w:noProof/>
          <w:sz w:val="22"/>
          <w:szCs w:val="22"/>
          <w:lang w:eastAsia="en-US"/>
        </w:rPr>
        <w:drawing>
          <wp:inline distT="0" distB="0" distL="0" distR="0" wp14:anchorId="58D323F4" wp14:editId="37173736">
            <wp:extent cx="1735919" cy="2898321"/>
            <wp:effectExtent l="0" t="0" r="4445" b="0"/>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63657" cy="2944634"/>
                    </a:xfrm>
                    <a:prstGeom prst="rect">
                      <a:avLst/>
                    </a:prstGeom>
                  </pic:spPr>
                </pic:pic>
              </a:graphicData>
            </a:graphic>
          </wp:inline>
        </w:drawing>
      </w:r>
    </w:p>
    <w:p w14:paraId="3E9F7FBF" w14:textId="77777777" w:rsidR="00F06B61" w:rsidRPr="00177A43" w:rsidRDefault="00F06B61" w:rsidP="00F06B61">
      <w:pPr>
        <w:pStyle w:val="Caption"/>
        <w:jc w:val="center"/>
        <w:rPr>
          <w:rFonts w:ascii="Times New Roman" w:hAnsi="Times New Roman" w:cs="Times New Roman"/>
          <w:i w:val="0"/>
          <w:iCs w:val="0"/>
          <w:color w:val="000000" w:themeColor="text1"/>
        </w:rPr>
      </w:pPr>
      <w:r w:rsidRPr="00177A43">
        <w:rPr>
          <w:rFonts w:ascii="Times New Roman" w:hAnsi="Times New Roman" w:cs="Times New Roman"/>
          <w:i w:val="0"/>
          <w:iCs w:val="0"/>
          <w:color w:val="000000" w:themeColor="text1"/>
        </w:rPr>
        <w:t xml:space="preserve">Figure </w:t>
      </w:r>
      <w:r w:rsidRPr="00177A43">
        <w:rPr>
          <w:rFonts w:ascii="Times New Roman" w:hAnsi="Times New Roman" w:cs="Times New Roman"/>
          <w:i w:val="0"/>
          <w:iCs w:val="0"/>
          <w:color w:val="000000" w:themeColor="text1"/>
        </w:rPr>
        <w:fldChar w:fldCharType="begin"/>
      </w:r>
      <w:r w:rsidRPr="00177A43">
        <w:rPr>
          <w:rFonts w:ascii="Times New Roman" w:hAnsi="Times New Roman" w:cs="Times New Roman"/>
          <w:i w:val="0"/>
          <w:iCs w:val="0"/>
          <w:color w:val="000000" w:themeColor="text1"/>
        </w:rPr>
        <w:instrText xml:space="preserve"> SEQ Figure \* ARABIC </w:instrText>
      </w:r>
      <w:r w:rsidRPr="00177A43">
        <w:rPr>
          <w:rFonts w:ascii="Times New Roman" w:hAnsi="Times New Roman" w:cs="Times New Roman"/>
          <w:i w:val="0"/>
          <w:iCs w:val="0"/>
          <w:color w:val="000000" w:themeColor="text1"/>
        </w:rPr>
        <w:fldChar w:fldCharType="separate"/>
      </w:r>
      <w:r w:rsidRPr="00177A43">
        <w:rPr>
          <w:rFonts w:ascii="Times New Roman" w:hAnsi="Times New Roman" w:cs="Times New Roman"/>
          <w:i w:val="0"/>
          <w:iCs w:val="0"/>
          <w:noProof/>
          <w:color w:val="000000" w:themeColor="text1"/>
        </w:rPr>
        <w:t>7</w:t>
      </w:r>
      <w:r w:rsidRPr="00177A43">
        <w:rPr>
          <w:rFonts w:ascii="Times New Roman" w:hAnsi="Times New Roman" w:cs="Times New Roman"/>
          <w:i w:val="0"/>
          <w:iCs w:val="0"/>
          <w:color w:val="000000" w:themeColor="text1"/>
        </w:rPr>
        <w:fldChar w:fldCharType="end"/>
      </w:r>
      <w:r w:rsidRPr="00177A43">
        <w:rPr>
          <w:rFonts w:ascii="Times New Roman" w:hAnsi="Times New Roman" w:cs="Times New Roman"/>
          <w:i w:val="0"/>
          <w:iCs w:val="0"/>
          <w:color w:val="000000" w:themeColor="text1"/>
        </w:rPr>
        <w:t xml:space="preserve">. Manzel Bowman (Unknown-Present), </w:t>
      </w:r>
      <w:r w:rsidRPr="00177A43">
        <w:rPr>
          <w:rFonts w:ascii="Times New Roman" w:hAnsi="Times New Roman" w:cs="Times New Roman"/>
          <w:color w:val="000000" w:themeColor="text1"/>
        </w:rPr>
        <w:t>Manzel’s Tarot I: The Star</w:t>
      </w:r>
      <w:r w:rsidRPr="00177A43">
        <w:rPr>
          <w:rFonts w:ascii="Times New Roman" w:hAnsi="Times New Roman" w:cs="Times New Roman"/>
          <w:i w:val="0"/>
          <w:iCs w:val="0"/>
          <w:color w:val="000000" w:themeColor="text1"/>
        </w:rPr>
        <w:t xml:space="preserve">, 2017, digital art, </w:t>
      </w:r>
      <w:r w:rsidRPr="00177A43">
        <w:rPr>
          <w:rFonts w:ascii="Times New Roman" w:hAnsi="Times New Roman" w:cs="Times New Roman"/>
          <w:color w:val="000000" w:themeColor="text1"/>
        </w:rPr>
        <w:t>Image</w:t>
      </w:r>
      <w:r w:rsidRPr="00177A43">
        <w:rPr>
          <w:rFonts w:ascii="Times New Roman" w:hAnsi="Times New Roman" w:cs="Times New Roman"/>
          <w:i w:val="0"/>
          <w:iCs w:val="0"/>
          <w:color w:val="000000" w:themeColor="text1"/>
        </w:rPr>
        <w:t xml:space="preserve">: </w:t>
      </w:r>
      <w:r>
        <w:rPr>
          <w:rFonts w:ascii="Times New Roman" w:hAnsi="Times New Roman" w:cs="Times New Roman"/>
          <w:i w:val="0"/>
          <w:iCs w:val="0"/>
          <w:color w:val="000000" w:themeColor="text1"/>
        </w:rPr>
        <w:t>Manzel Bowman</w:t>
      </w:r>
    </w:p>
    <w:p w14:paraId="07F491BD" w14:textId="77777777" w:rsidR="00F06B61" w:rsidRDefault="00F06B61" w:rsidP="00F06B61">
      <w:pPr>
        <w:ind w:firstLine="720"/>
        <w:rPr>
          <w:sz w:val="22"/>
          <w:szCs w:val="22"/>
          <w:lang w:eastAsia="en-US"/>
        </w:rPr>
      </w:pPr>
      <w:r>
        <w:rPr>
          <w:sz w:val="22"/>
          <w:szCs w:val="22"/>
          <w:lang w:eastAsia="en-US"/>
        </w:rPr>
        <w:t xml:space="preserve">Within Lady Frieda Harris’s 1944 rendering of </w:t>
      </w:r>
      <w:r w:rsidRPr="008B6B0C">
        <w:rPr>
          <w:i/>
          <w:iCs/>
          <w:sz w:val="22"/>
          <w:szCs w:val="22"/>
          <w:lang w:eastAsia="en-US"/>
        </w:rPr>
        <w:t>The Star</w:t>
      </w:r>
      <w:r>
        <w:rPr>
          <w:rStyle w:val="FootnoteReference"/>
          <w:i/>
          <w:iCs/>
          <w:sz w:val="22"/>
          <w:szCs w:val="22"/>
          <w:lang w:eastAsia="en-US"/>
        </w:rPr>
        <w:footnoteReference w:id="96"/>
      </w:r>
      <w:r>
        <w:rPr>
          <w:sz w:val="22"/>
          <w:szCs w:val="22"/>
          <w:lang w:eastAsia="en-US"/>
        </w:rPr>
        <w:t xml:space="preserve"> (Fig. 6), created on commission by Crowley for t</w:t>
      </w:r>
      <w:r w:rsidRPr="002C3A99">
        <w:rPr>
          <w:sz w:val="22"/>
          <w:szCs w:val="22"/>
          <w:lang w:eastAsia="en-US"/>
        </w:rPr>
        <w:t xml:space="preserve">he </w:t>
      </w:r>
      <w:r w:rsidRPr="008B6B0C">
        <w:rPr>
          <w:i/>
          <w:iCs/>
          <w:sz w:val="22"/>
          <w:szCs w:val="22"/>
          <w:lang w:eastAsia="en-US"/>
        </w:rPr>
        <w:t>Thoth</w:t>
      </w:r>
      <w:r>
        <w:rPr>
          <w:i/>
          <w:iCs/>
          <w:sz w:val="22"/>
          <w:szCs w:val="22"/>
          <w:lang w:eastAsia="en-US"/>
        </w:rPr>
        <w:t xml:space="preserve"> Tarot</w:t>
      </w:r>
      <w:r>
        <w:rPr>
          <w:sz w:val="22"/>
          <w:szCs w:val="22"/>
          <w:lang w:eastAsia="en-US"/>
        </w:rPr>
        <w:t>,</w:t>
      </w:r>
      <w:r>
        <w:rPr>
          <w:rStyle w:val="FootnoteReference"/>
          <w:sz w:val="22"/>
          <w:szCs w:val="22"/>
          <w:lang w:eastAsia="en-US"/>
        </w:rPr>
        <w:footnoteReference w:id="97"/>
      </w:r>
      <w:r>
        <w:rPr>
          <w:sz w:val="22"/>
          <w:szCs w:val="22"/>
          <w:lang w:eastAsia="en-US"/>
        </w:rPr>
        <w:t xml:space="preserve"> she foregrounds a celestial globe in lieu of the eight-pointed star and similarly depicts the water-bearing woman as naked and positioned centrally within the image. Crowley initially writes that the left-hand seven-pointed star depicts the ‘Star of Venus,’</w:t>
      </w:r>
      <w:r>
        <w:rPr>
          <w:rStyle w:val="FootnoteReference"/>
          <w:sz w:val="22"/>
          <w:szCs w:val="22"/>
          <w:lang w:eastAsia="en-US"/>
        </w:rPr>
        <w:footnoteReference w:id="98"/>
      </w:r>
      <w:r>
        <w:rPr>
          <w:sz w:val="22"/>
          <w:szCs w:val="22"/>
          <w:lang w:eastAsia="en-US"/>
        </w:rPr>
        <w:t xml:space="preserve"> later calling the celestial body, ‘the star of Babylon.’</w:t>
      </w:r>
      <w:r>
        <w:rPr>
          <w:rStyle w:val="FootnoteReference"/>
          <w:sz w:val="22"/>
          <w:szCs w:val="22"/>
          <w:lang w:eastAsia="en-US"/>
        </w:rPr>
        <w:footnoteReference w:id="99"/>
      </w:r>
      <w:r>
        <w:rPr>
          <w:sz w:val="22"/>
          <w:szCs w:val="22"/>
          <w:lang w:eastAsia="en-US"/>
        </w:rPr>
        <w:t xml:space="preserve"> Furthermore, he states: ‘For Babylon is yet a further materialization of the original idea of Nuith: she is the Scarlet Woman, the sacred Harlot,’</w:t>
      </w:r>
      <w:r>
        <w:rPr>
          <w:rStyle w:val="FootnoteReference"/>
          <w:sz w:val="22"/>
          <w:szCs w:val="22"/>
          <w:lang w:eastAsia="en-US"/>
        </w:rPr>
        <w:footnoteReference w:id="100"/>
      </w:r>
      <w:r>
        <w:rPr>
          <w:sz w:val="22"/>
          <w:szCs w:val="22"/>
          <w:lang w:eastAsia="en-US"/>
        </w:rPr>
        <w:t xml:space="preserve"> degrading the cosmic symbol of female divinity to a diminished icon of male sexual gratification. By contrast, a modern 2017 version of </w:t>
      </w:r>
      <w:r w:rsidRPr="0034208C">
        <w:rPr>
          <w:i/>
          <w:iCs/>
          <w:sz w:val="22"/>
          <w:szCs w:val="22"/>
          <w:lang w:eastAsia="en-US"/>
        </w:rPr>
        <w:t>The Star</w:t>
      </w:r>
      <w:r>
        <w:rPr>
          <w:rStyle w:val="FootnoteReference"/>
          <w:i/>
          <w:iCs/>
          <w:sz w:val="22"/>
          <w:szCs w:val="22"/>
          <w:lang w:eastAsia="en-US"/>
        </w:rPr>
        <w:footnoteReference w:id="101"/>
      </w:r>
      <w:r>
        <w:rPr>
          <w:sz w:val="22"/>
          <w:szCs w:val="22"/>
          <w:lang w:eastAsia="en-US"/>
        </w:rPr>
        <w:t xml:space="preserve"> (Fig. 7), by Afro-futuristic artist Manzel Bowman, maintains the serene blue background of Colman Smith’s representation (Fig. 5), and juxtaposes the central star and human character together, with the star </w:t>
      </w:r>
      <w:r>
        <w:rPr>
          <w:sz w:val="22"/>
          <w:szCs w:val="22"/>
          <w:lang w:eastAsia="en-US"/>
        </w:rPr>
        <w:lastRenderedPageBreak/>
        <w:t>body radiating from a point within the central figure in alignment with the third eye chakra, echoing Hundley’s reference to the significance of the seven chakras within the card,</w:t>
      </w:r>
      <w:r>
        <w:rPr>
          <w:rStyle w:val="FootnoteReference"/>
          <w:sz w:val="22"/>
          <w:szCs w:val="22"/>
          <w:lang w:eastAsia="en-US"/>
        </w:rPr>
        <w:footnoteReference w:id="102"/>
      </w:r>
      <w:r>
        <w:rPr>
          <w:sz w:val="22"/>
          <w:szCs w:val="22"/>
          <w:lang w:eastAsia="en-US"/>
        </w:rPr>
        <w:t xml:space="preserve"> and possibly indicating occult knowledge as obtainable by humans and as contained within them. Bowman takes influence from Egyptology and ancient matriarchy,</w:t>
      </w:r>
      <w:r>
        <w:rPr>
          <w:rStyle w:val="FootnoteReference"/>
          <w:sz w:val="22"/>
          <w:szCs w:val="22"/>
          <w:lang w:eastAsia="en-US"/>
        </w:rPr>
        <w:footnoteReference w:id="103"/>
      </w:r>
      <w:r>
        <w:rPr>
          <w:sz w:val="22"/>
          <w:szCs w:val="22"/>
          <w:lang w:eastAsia="en-US"/>
        </w:rPr>
        <w:t xml:space="preserve"> and states that he creates from an ‘inter-dimensional’ realm, originates his own creation myths for inspiration, and identifies ‘fear, religion and time’ as blocks to human progress.</w:t>
      </w:r>
      <w:r>
        <w:rPr>
          <w:rStyle w:val="FootnoteReference"/>
          <w:sz w:val="22"/>
          <w:szCs w:val="22"/>
          <w:lang w:eastAsia="en-US"/>
        </w:rPr>
        <w:footnoteReference w:id="104"/>
      </w:r>
      <w:r>
        <w:rPr>
          <w:sz w:val="22"/>
          <w:szCs w:val="22"/>
          <w:lang w:eastAsia="en-US"/>
        </w:rPr>
        <w:t xml:space="preserve"> Consequently, by layering the human and the sky imagery together within </w:t>
      </w:r>
      <w:r w:rsidRPr="006A61F6">
        <w:rPr>
          <w:i/>
          <w:iCs/>
          <w:sz w:val="22"/>
          <w:szCs w:val="22"/>
          <w:lang w:eastAsia="en-US"/>
        </w:rPr>
        <w:t>The Star</w:t>
      </w:r>
      <w:r>
        <w:rPr>
          <w:sz w:val="22"/>
          <w:szCs w:val="22"/>
          <w:lang w:eastAsia="en-US"/>
        </w:rPr>
        <w:t xml:space="preserve"> (Fig. 7), his image appears to depict the human </w:t>
      </w:r>
      <w:r w:rsidRPr="00CF4E84">
        <w:rPr>
          <w:sz w:val="22"/>
          <w:szCs w:val="22"/>
          <w:lang w:eastAsia="en-US"/>
        </w:rPr>
        <w:t>expansively,</w:t>
      </w:r>
      <w:r>
        <w:rPr>
          <w:sz w:val="22"/>
          <w:szCs w:val="22"/>
          <w:lang w:eastAsia="en-US"/>
        </w:rPr>
        <w:t xml:space="preserve"> as spiritually conscious, enlightened, mystical, cosmically interconnected, and independently empowered, perhaps further auguring the nature of the Aquarian Age to come.</w:t>
      </w:r>
    </w:p>
    <w:p w14:paraId="4C87C0D9" w14:textId="77777777" w:rsidR="00F06B61" w:rsidRDefault="00F06B61" w:rsidP="00F06B61">
      <w:pPr>
        <w:ind w:firstLine="720"/>
        <w:rPr>
          <w:sz w:val="22"/>
          <w:szCs w:val="22"/>
          <w:lang w:eastAsia="en-US"/>
        </w:rPr>
      </w:pPr>
    </w:p>
    <w:p w14:paraId="0EFE1FB9" w14:textId="77777777" w:rsidR="00F06B61" w:rsidRDefault="00F06B61" w:rsidP="00F06B61">
      <w:pPr>
        <w:jc w:val="center"/>
        <w:rPr>
          <w:b/>
          <w:bCs/>
          <w:i/>
          <w:iCs/>
          <w:sz w:val="22"/>
          <w:szCs w:val="22"/>
          <w:lang w:eastAsia="en-US"/>
        </w:rPr>
      </w:pPr>
      <w:r w:rsidRPr="00DA6D59">
        <w:rPr>
          <w:b/>
          <w:bCs/>
          <w:i/>
          <w:iCs/>
          <w:sz w:val="22"/>
          <w:szCs w:val="22"/>
          <w:lang w:eastAsia="en-US"/>
        </w:rPr>
        <w:t>The Tower and The Star</w:t>
      </w:r>
      <w:r>
        <w:rPr>
          <w:b/>
          <w:bCs/>
          <w:i/>
          <w:iCs/>
          <w:sz w:val="22"/>
          <w:szCs w:val="22"/>
          <w:lang w:eastAsia="en-US"/>
        </w:rPr>
        <w:t>: A Final Contextual Analysis</w:t>
      </w:r>
    </w:p>
    <w:p w14:paraId="4613BC58" w14:textId="77777777" w:rsidR="00F06B61" w:rsidRDefault="00F06B61" w:rsidP="00F06B61">
      <w:pPr>
        <w:jc w:val="center"/>
        <w:rPr>
          <w:b/>
          <w:bCs/>
          <w:i/>
          <w:iCs/>
          <w:sz w:val="22"/>
          <w:szCs w:val="22"/>
          <w:lang w:eastAsia="en-US"/>
        </w:rPr>
      </w:pPr>
    </w:p>
    <w:p w14:paraId="7E2D6863" w14:textId="77777777" w:rsidR="00F06B61" w:rsidRDefault="00F06B61" w:rsidP="00F06B61">
      <w:pPr>
        <w:rPr>
          <w:sz w:val="22"/>
          <w:szCs w:val="22"/>
          <w:lang w:eastAsia="en-US"/>
        </w:rPr>
      </w:pPr>
      <w:r>
        <w:rPr>
          <w:sz w:val="22"/>
          <w:szCs w:val="22"/>
          <w:lang w:eastAsia="en-US"/>
        </w:rPr>
        <w:tab/>
        <w:t xml:space="preserve">An examination of writings on sky symbolism within </w:t>
      </w:r>
      <w:r w:rsidRPr="00D20BB9">
        <w:rPr>
          <w:i/>
          <w:iCs/>
          <w:sz w:val="22"/>
          <w:szCs w:val="22"/>
          <w:lang w:eastAsia="en-US"/>
        </w:rPr>
        <w:t>The Tower</w:t>
      </w:r>
      <w:r>
        <w:rPr>
          <w:sz w:val="22"/>
          <w:szCs w:val="22"/>
          <w:lang w:eastAsia="en-US"/>
        </w:rPr>
        <w:t xml:space="preserve"> and </w:t>
      </w:r>
      <w:r w:rsidRPr="00D20BB9">
        <w:rPr>
          <w:i/>
          <w:iCs/>
          <w:sz w:val="22"/>
          <w:szCs w:val="22"/>
          <w:lang w:eastAsia="en-US"/>
        </w:rPr>
        <w:t>The Star</w:t>
      </w:r>
      <w:r>
        <w:rPr>
          <w:sz w:val="22"/>
          <w:szCs w:val="22"/>
          <w:lang w:eastAsia="en-US"/>
        </w:rPr>
        <w:t xml:space="preserve"> revealed </w:t>
      </w:r>
      <w:r w:rsidRPr="003838D6">
        <w:rPr>
          <w:i/>
          <w:iCs/>
          <w:sz w:val="22"/>
          <w:szCs w:val="22"/>
          <w:lang w:eastAsia="en-US"/>
        </w:rPr>
        <w:t>personal</w:t>
      </w:r>
      <w:r>
        <w:rPr>
          <w:sz w:val="22"/>
          <w:szCs w:val="22"/>
          <w:lang w:eastAsia="en-US"/>
        </w:rPr>
        <w:t xml:space="preserve"> interpretations oriented towards localising focus to the individual, termed </w:t>
      </w:r>
      <w:r>
        <w:rPr>
          <w:i/>
          <w:iCs/>
          <w:sz w:val="22"/>
          <w:szCs w:val="22"/>
          <w:lang w:eastAsia="en-US"/>
        </w:rPr>
        <w:t>individual</w:t>
      </w:r>
      <w:r w:rsidRPr="00DA6D59">
        <w:rPr>
          <w:i/>
          <w:iCs/>
          <w:sz w:val="22"/>
          <w:szCs w:val="22"/>
          <w:lang w:eastAsia="en-US"/>
        </w:rPr>
        <w:t xml:space="preserve"> locus</w:t>
      </w:r>
      <w:r>
        <w:rPr>
          <w:i/>
          <w:iCs/>
          <w:sz w:val="22"/>
          <w:szCs w:val="22"/>
          <w:lang w:eastAsia="en-US"/>
        </w:rPr>
        <w:t>,</w:t>
      </w:r>
      <w:r>
        <w:rPr>
          <w:sz w:val="22"/>
          <w:szCs w:val="22"/>
          <w:lang w:eastAsia="en-US"/>
        </w:rPr>
        <w:t xml:space="preserve"> and </w:t>
      </w:r>
      <w:r w:rsidRPr="003838D6">
        <w:rPr>
          <w:i/>
          <w:iCs/>
          <w:sz w:val="22"/>
          <w:szCs w:val="22"/>
          <w:lang w:eastAsia="en-US"/>
        </w:rPr>
        <w:t>contextual</w:t>
      </w:r>
      <w:r>
        <w:rPr>
          <w:sz w:val="22"/>
          <w:szCs w:val="22"/>
          <w:lang w:eastAsia="en-US"/>
        </w:rPr>
        <w:t xml:space="preserve"> interpretations oriented towards locating the imagery within the tarot’s hierarchical cultural origins, termed </w:t>
      </w:r>
      <w:r>
        <w:rPr>
          <w:i/>
          <w:iCs/>
          <w:sz w:val="22"/>
          <w:szCs w:val="22"/>
          <w:lang w:eastAsia="en-US"/>
        </w:rPr>
        <w:t>systemic</w:t>
      </w:r>
      <w:r w:rsidRPr="00DA6D59">
        <w:rPr>
          <w:i/>
          <w:iCs/>
          <w:sz w:val="22"/>
          <w:szCs w:val="22"/>
          <w:lang w:eastAsia="en-US"/>
        </w:rPr>
        <w:t xml:space="preserve"> </w:t>
      </w:r>
      <w:r>
        <w:rPr>
          <w:i/>
          <w:iCs/>
          <w:sz w:val="22"/>
          <w:szCs w:val="22"/>
          <w:lang w:eastAsia="en-US"/>
        </w:rPr>
        <w:t>l</w:t>
      </w:r>
      <w:r w:rsidRPr="00DA6D59">
        <w:rPr>
          <w:i/>
          <w:iCs/>
          <w:sz w:val="22"/>
          <w:szCs w:val="22"/>
          <w:lang w:eastAsia="en-US"/>
        </w:rPr>
        <w:t>ocus.</w:t>
      </w:r>
      <w:r>
        <w:rPr>
          <w:i/>
          <w:iCs/>
          <w:sz w:val="22"/>
          <w:szCs w:val="22"/>
          <w:lang w:eastAsia="en-US"/>
        </w:rPr>
        <w:t xml:space="preserve"> </w:t>
      </w:r>
      <w:r>
        <w:rPr>
          <w:sz w:val="22"/>
          <w:szCs w:val="22"/>
          <w:lang w:eastAsia="en-US"/>
        </w:rPr>
        <w:t xml:space="preserve">Within the </w:t>
      </w:r>
      <w:r>
        <w:rPr>
          <w:i/>
          <w:iCs/>
          <w:sz w:val="22"/>
          <w:szCs w:val="22"/>
          <w:lang w:eastAsia="en-US"/>
        </w:rPr>
        <w:t>personal</w:t>
      </w:r>
      <w:r>
        <w:rPr>
          <w:sz w:val="22"/>
          <w:szCs w:val="22"/>
          <w:lang w:eastAsia="en-US"/>
        </w:rPr>
        <w:t xml:space="preserve"> interpretations for </w:t>
      </w:r>
      <w:r w:rsidRPr="00DA6D59">
        <w:rPr>
          <w:i/>
          <w:iCs/>
          <w:sz w:val="22"/>
          <w:szCs w:val="22"/>
          <w:lang w:eastAsia="en-US"/>
        </w:rPr>
        <w:t>The Tower</w:t>
      </w:r>
      <w:r>
        <w:rPr>
          <w:sz w:val="22"/>
          <w:szCs w:val="22"/>
          <w:lang w:eastAsia="en-US"/>
        </w:rPr>
        <w:t xml:space="preserve"> (Fig. 1), the sky was seen as punitive and striking directly at human inadequacy, and the humans were correspondingly described as deserving of or benefiting from divine punishment. Conversely, within the </w:t>
      </w:r>
      <w:r>
        <w:rPr>
          <w:i/>
          <w:iCs/>
          <w:sz w:val="22"/>
          <w:szCs w:val="22"/>
          <w:lang w:eastAsia="en-US"/>
        </w:rPr>
        <w:t xml:space="preserve">contextual </w:t>
      </w:r>
      <w:r>
        <w:rPr>
          <w:sz w:val="22"/>
          <w:szCs w:val="22"/>
          <w:lang w:eastAsia="en-US"/>
        </w:rPr>
        <w:t xml:space="preserve">interpretations for </w:t>
      </w:r>
      <w:r w:rsidRPr="00DA6D59">
        <w:rPr>
          <w:i/>
          <w:iCs/>
          <w:sz w:val="22"/>
          <w:szCs w:val="22"/>
          <w:lang w:eastAsia="en-US"/>
        </w:rPr>
        <w:t>The Tower</w:t>
      </w:r>
      <w:r>
        <w:rPr>
          <w:sz w:val="22"/>
          <w:szCs w:val="22"/>
          <w:lang w:eastAsia="en-US"/>
        </w:rPr>
        <w:t xml:space="preserve"> (Fig. 1, Fig. 3, and Fig. 4), the sky was seen as a liberating, equalising force in relation to hierarchical oppression, as striking directly at the structures of oppression, and divinatory information regarding the sky’s impact on humans was either unknown (Fig. 3), or indeterminate (Fig. 4), potentially forewarning human death or auguring human spiritual liberation, and perhaps foretelling both. Subsequently, within interpretations for </w:t>
      </w:r>
      <w:r w:rsidRPr="00DA6D59">
        <w:rPr>
          <w:i/>
          <w:iCs/>
          <w:sz w:val="22"/>
          <w:szCs w:val="22"/>
          <w:lang w:eastAsia="en-US"/>
        </w:rPr>
        <w:t>The Star</w:t>
      </w:r>
      <w:r>
        <w:rPr>
          <w:sz w:val="22"/>
          <w:szCs w:val="22"/>
          <w:lang w:eastAsia="en-US"/>
        </w:rPr>
        <w:t xml:space="preserve"> card (Fig. 5, Fig. 6, and Fig. 7), as corresponding to Aquarius and the Birth of a New Aeon, </w:t>
      </w:r>
      <w:r w:rsidRPr="00DA6D59">
        <w:rPr>
          <w:sz w:val="22"/>
          <w:szCs w:val="22"/>
          <w:lang w:eastAsia="en-US"/>
        </w:rPr>
        <w:t xml:space="preserve">the </w:t>
      </w:r>
      <w:r>
        <w:rPr>
          <w:sz w:val="22"/>
          <w:szCs w:val="22"/>
          <w:lang w:eastAsia="en-US"/>
        </w:rPr>
        <w:t>card was</w:t>
      </w:r>
      <w:r w:rsidRPr="00DA6D59">
        <w:rPr>
          <w:sz w:val="22"/>
          <w:szCs w:val="22"/>
          <w:lang w:eastAsia="en-US"/>
        </w:rPr>
        <w:t xml:space="preserve"> described </w:t>
      </w:r>
      <w:r>
        <w:rPr>
          <w:sz w:val="22"/>
          <w:szCs w:val="22"/>
          <w:lang w:eastAsia="en-US"/>
        </w:rPr>
        <w:t xml:space="preserve">either </w:t>
      </w:r>
      <w:r w:rsidRPr="00D471D6">
        <w:rPr>
          <w:i/>
          <w:iCs/>
          <w:sz w:val="22"/>
          <w:szCs w:val="22"/>
          <w:lang w:eastAsia="en-US"/>
        </w:rPr>
        <w:t>reductively</w:t>
      </w:r>
      <w:r>
        <w:rPr>
          <w:sz w:val="22"/>
          <w:szCs w:val="22"/>
          <w:lang w:eastAsia="en-US"/>
        </w:rPr>
        <w:t xml:space="preserve"> as symbolising innocence and vulnerability,</w:t>
      </w:r>
      <w:r>
        <w:rPr>
          <w:rStyle w:val="FootnoteReference"/>
          <w:sz w:val="22"/>
          <w:szCs w:val="22"/>
          <w:lang w:eastAsia="en-US"/>
        </w:rPr>
        <w:footnoteReference w:id="105"/>
      </w:r>
      <w:r>
        <w:rPr>
          <w:sz w:val="22"/>
          <w:szCs w:val="22"/>
          <w:lang w:eastAsia="en-US"/>
        </w:rPr>
        <w:t xml:space="preserve"> youth and beauty,</w:t>
      </w:r>
      <w:r>
        <w:rPr>
          <w:rStyle w:val="FootnoteReference"/>
          <w:sz w:val="22"/>
          <w:szCs w:val="22"/>
          <w:lang w:eastAsia="en-US"/>
        </w:rPr>
        <w:footnoteReference w:id="106"/>
      </w:r>
      <w:r>
        <w:rPr>
          <w:sz w:val="22"/>
          <w:szCs w:val="22"/>
          <w:lang w:eastAsia="en-US"/>
        </w:rPr>
        <w:t xml:space="preserve"> a component of male psychology,</w:t>
      </w:r>
      <w:r>
        <w:rPr>
          <w:rStyle w:val="FootnoteReference"/>
          <w:sz w:val="22"/>
          <w:szCs w:val="22"/>
          <w:lang w:eastAsia="en-US"/>
        </w:rPr>
        <w:footnoteReference w:id="107"/>
      </w:r>
      <w:r>
        <w:rPr>
          <w:sz w:val="22"/>
          <w:szCs w:val="22"/>
          <w:lang w:eastAsia="en-US"/>
        </w:rPr>
        <w:t xml:space="preserve"> passivity and unreality,</w:t>
      </w:r>
      <w:r>
        <w:rPr>
          <w:rStyle w:val="FootnoteReference"/>
          <w:sz w:val="22"/>
          <w:szCs w:val="22"/>
          <w:lang w:eastAsia="en-US"/>
        </w:rPr>
        <w:footnoteReference w:id="108"/>
      </w:r>
      <w:r>
        <w:rPr>
          <w:sz w:val="22"/>
          <w:szCs w:val="22"/>
          <w:lang w:eastAsia="en-US"/>
        </w:rPr>
        <w:t xml:space="preserve">  humility,</w:t>
      </w:r>
      <w:r>
        <w:rPr>
          <w:rStyle w:val="FootnoteReference"/>
          <w:sz w:val="22"/>
          <w:szCs w:val="22"/>
          <w:lang w:eastAsia="en-US"/>
        </w:rPr>
        <w:footnoteReference w:id="109"/>
      </w:r>
      <w:r>
        <w:rPr>
          <w:sz w:val="22"/>
          <w:szCs w:val="22"/>
          <w:lang w:eastAsia="en-US"/>
        </w:rPr>
        <w:t xml:space="preserve"> and harlotry</w:t>
      </w:r>
      <w:r w:rsidRPr="00DA6D59">
        <w:rPr>
          <w:sz w:val="22"/>
          <w:szCs w:val="22"/>
          <w:lang w:eastAsia="en-US"/>
        </w:rPr>
        <w:t>,</w:t>
      </w:r>
      <w:r>
        <w:rPr>
          <w:rStyle w:val="FootnoteReference"/>
          <w:sz w:val="22"/>
          <w:szCs w:val="22"/>
          <w:lang w:eastAsia="en-US"/>
        </w:rPr>
        <w:footnoteReference w:id="110"/>
      </w:r>
      <w:r w:rsidRPr="00DA6D59">
        <w:rPr>
          <w:sz w:val="22"/>
          <w:szCs w:val="22"/>
          <w:lang w:eastAsia="en-US"/>
        </w:rPr>
        <w:t xml:space="preserve"> or </w:t>
      </w:r>
      <w:r>
        <w:rPr>
          <w:sz w:val="22"/>
          <w:szCs w:val="22"/>
          <w:lang w:eastAsia="en-US"/>
        </w:rPr>
        <w:t xml:space="preserve">was interpreted </w:t>
      </w:r>
      <w:r>
        <w:rPr>
          <w:i/>
          <w:iCs/>
          <w:sz w:val="22"/>
          <w:szCs w:val="22"/>
          <w:lang w:eastAsia="en-US"/>
        </w:rPr>
        <w:t>expansively</w:t>
      </w:r>
      <w:r>
        <w:rPr>
          <w:sz w:val="22"/>
          <w:szCs w:val="22"/>
          <w:lang w:eastAsia="en-US"/>
        </w:rPr>
        <w:t>, as symbolising illumination and spiritual autonomy,</w:t>
      </w:r>
      <w:r>
        <w:rPr>
          <w:rStyle w:val="FootnoteReference"/>
          <w:sz w:val="22"/>
          <w:szCs w:val="22"/>
          <w:lang w:eastAsia="en-US"/>
        </w:rPr>
        <w:footnoteReference w:id="111"/>
      </w:r>
      <w:r>
        <w:rPr>
          <w:sz w:val="22"/>
          <w:szCs w:val="22"/>
          <w:lang w:eastAsia="en-US"/>
        </w:rPr>
        <w:t xml:space="preserve"> inner vision and spiritual power,</w:t>
      </w:r>
      <w:r>
        <w:rPr>
          <w:rStyle w:val="FootnoteReference"/>
          <w:sz w:val="22"/>
          <w:szCs w:val="22"/>
          <w:lang w:eastAsia="en-US"/>
        </w:rPr>
        <w:footnoteReference w:id="112"/>
      </w:r>
      <w:r>
        <w:rPr>
          <w:sz w:val="22"/>
          <w:szCs w:val="22"/>
          <w:lang w:eastAsia="en-US"/>
        </w:rPr>
        <w:t xml:space="preserve"> inter-dimensionality,</w:t>
      </w:r>
      <w:r>
        <w:rPr>
          <w:rStyle w:val="FootnoteReference"/>
          <w:sz w:val="22"/>
          <w:szCs w:val="22"/>
          <w:lang w:eastAsia="en-US"/>
        </w:rPr>
        <w:footnoteReference w:id="113"/>
      </w:r>
      <w:r>
        <w:rPr>
          <w:sz w:val="22"/>
          <w:szCs w:val="22"/>
          <w:lang w:eastAsia="en-US"/>
        </w:rPr>
        <w:t xml:space="preserve"> enlightenment, expanded consciousness,</w:t>
      </w:r>
      <w:r>
        <w:rPr>
          <w:rStyle w:val="FootnoteReference"/>
          <w:sz w:val="22"/>
          <w:szCs w:val="22"/>
          <w:lang w:eastAsia="en-US"/>
        </w:rPr>
        <w:footnoteReference w:id="114"/>
      </w:r>
      <w:r>
        <w:rPr>
          <w:sz w:val="22"/>
          <w:szCs w:val="22"/>
          <w:lang w:eastAsia="en-US"/>
        </w:rPr>
        <w:t xml:space="preserve"> and reverence towards nature.</w:t>
      </w:r>
      <w:r>
        <w:rPr>
          <w:rStyle w:val="FootnoteReference"/>
          <w:sz w:val="22"/>
          <w:szCs w:val="22"/>
          <w:lang w:eastAsia="en-US"/>
        </w:rPr>
        <w:footnoteReference w:id="115"/>
      </w:r>
      <w:r>
        <w:rPr>
          <w:sz w:val="22"/>
          <w:szCs w:val="22"/>
          <w:lang w:eastAsia="en-US"/>
        </w:rPr>
        <w:t xml:space="preserve">  </w:t>
      </w:r>
    </w:p>
    <w:p w14:paraId="2F0A97CD" w14:textId="77777777" w:rsidR="00F06B61" w:rsidRDefault="00F06B61" w:rsidP="00F06B61">
      <w:pPr>
        <w:rPr>
          <w:sz w:val="22"/>
          <w:szCs w:val="22"/>
          <w:lang w:eastAsia="en-US"/>
        </w:rPr>
      </w:pPr>
    </w:p>
    <w:p w14:paraId="446E546F" w14:textId="1F17FC19" w:rsidR="00F06B61" w:rsidRPr="00297222" w:rsidRDefault="00F06B61" w:rsidP="00297222">
      <w:pPr>
        <w:ind w:firstLine="720"/>
        <w:rPr>
          <w:i/>
          <w:iCs/>
          <w:sz w:val="22"/>
          <w:szCs w:val="22"/>
          <w:lang w:eastAsia="en-US"/>
        </w:rPr>
      </w:pPr>
      <w:r>
        <w:rPr>
          <w:sz w:val="22"/>
          <w:szCs w:val="22"/>
          <w:lang w:eastAsia="en-US"/>
        </w:rPr>
        <w:t xml:space="preserve">Recalling Bowie’s idea of a larger ‘metaphysical battle’ </w:t>
      </w:r>
      <w:proofErr w:type="spellStart"/>
      <w:r>
        <w:rPr>
          <w:sz w:val="22"/>
          <w:szCs w:val="22"/>
          <w:lang w:eastAsia="en-US"/>
        </w:rPr>
        <w:t>occuring</w:t>
      </w:r>
      <w:proofErr w:type="spellEnd"/>
      <w:r>
        <w:rPr>
          <w:sz w:val="22"/>
          <w:szCs w:val="22"/>
          <w:lang w:eastAsia="en-US"/>
        </w:rPr>
        <w:t xml:space="preserve"> within sky representations,</w:t>
      </w:r>
      <w:r>
        <w:rPr>
          <w:rStyle w:val="FootnoteReference"/>
          <w:sz w:val="22"/>
          <w:szCs w:val="22"/>
        </w:rPr>
        <w:footnoteReference w:id="116"/>
      </w:r>
      <w:r>
        <w:rPr>
          <w:sz w:val="22"/>
          <w:szCs w:val="22"/>
          <w:lang w:eastAsia="en-US"/>
        </w:rPr>
        <w:t xml:space="preserve"> these two cards could be interpreted as disclosing significant occult knowledge of a metaphysical battle of forces between the present culture and a pre-existing order, rather than a simple depiction of ‘human drama.’</w:t>
      </w:r>
      <w:r>
        <w:rPr>
          <w:rStyle w:val="FootnoteReference"/>
          <w:sz w:val="22"/>
          <w:szCs w:val="22"/>
        </w:rPr>
        <w:footnoteReference w:id="117"/>
      </w:r>
      <w:r>
        <w:rPr>
          <w:sz w:val="22"/>
          <w:szCs w:val="22"/>
          <w:lang w:eastAsia="en-US"/>
        </w:rPr>
        <w:t xml:space="preserve"> Specifically, considering Lionel Sims archaeoastronomical evidence for the displacement of ancient matriarchal culture by patriarchal structures,</w:t>
      </w:r>
      <w:r>
        <w:rPr>
          <w:rStyle w:val="FootnoteReference"/>
          <w:sz w:val="22"/>
          <w:szCs w:val="22"/>
          <w:lang w:eastAsia="en-US"/>
        </w:rPr>
        <w:footnoteReference w:id="118"/>
      </w:r>
      <w:r>
        <w:rPr>
          <w:sz w:val="22"/>
          <w:szCs w:val="22"/>
          <w:lang w:eastAsia="en-US"/>
        </w:rPr>
        <w:t xml:space="preserve"> his argument for inherent ‘wealth inequalities,’</w:t>
      </w:r>
      <w:r>
        <w:rPr>
          <w:rStyle w:val="FootnoteReference"/>
          <w:sz w:val="22"/>
          <w:szCs w:val="22"/>
          <w:lang w:eastAsia="en-US"/>
        </w:rPr>
        <w:footnoteReference w:id="119"/>
      </w:r>
      <w:r>
        <w:rPr>
          <w:sz w:val="22"/>
          <w:szCs w:val="22"/>
          <w:lang w:eastAsia="en-US"/>
        </w:rPr>
        <w:t xml:space="preserve"> ‘gender reversal,’</w:t>
      </w:r>
      <w:r>
        <w:rPr>
          <w:rStyle w:val="FootnoteReference"/>
          <w:sz w:val="22"/>
          <w:szCs w:val="22"/>
          <w:lang w:eastAsia="en-US"/>
        </w:rPr>
        <w:footnoteReference w:id="120"/>
      </w:r>
      <w:r>
        <w:rPr>
          <w:sz w:val="22"/>
          <w:szCs w:val="22"/>
          <w:lang w:eastAsia="en-US"/>
        </w:rPr>
        <w:t xml:space="preserve"> and blood </w:t>
      </w:r>
      <w:r>
        <w:rPr>
          <w:sz w:val="22"/>
          <w:szCs w:val="22"/>
          <w:lang w:eastAsia="en-US"/>
        </w:rPr>
        <w:lastRenderedPageBreak/>
        <w:t>family divisiveness</w:t>
      </w:r>
      <w:r>
        <w:rPr>
          <w:rStyle w:val="FootnoteReference"/>
          <w:sz w:val="22"/>
          <w:szCs w:val="22"/>
          <w:lang w:eastAsia="en-US"/>
        </w:rPr>
        <w:footnoteReference w:id="121"/>
      </w:r>
      <w:r>
        <w:rPr>
          <w:sz w:val="22"/>
          <w:szCs w:val="22"/>
          <w:lang w:eastAsia="en-US"/>
        </w:rPr>
        <w:t xml:space="preserve"> within the patriarchal cultural organization, his theory of male appropriation of female blood-lunar ritual and supplantation with a ‘conflated male lunar-solar’ template,</w:t>
      </w:r>
      <w:r>
        <w:rPr>
          <w:rStyle w:val="FootnoteReference"/>
          <w:sz w:val="22"/>
          <w:szCs w:val="22"/>
          <w:lang w:eastAsia="en-US"/>
        </w:rPr>
        <w:footnoteReference w:id="122"/>
      </w:r>
      <w:r>
        <w:rPr>
          <w:sz w:val="22"/>
          <w:szCs w:val="22"/>
          <w:lang w:eastAsia="en-US"/>
        </w:rPr>
        <w:t xml:space="preserve"> along with his subsequent identification of the need for monument building within patriarchal culture to contrive a sense of community within an inherently unequal and divisive cultural organization,</w:t>
      </w:r>
      <w:r>
        <w:rPr>
          <w:rStyle w:val="FootnoteReference"/>
          <w:sz w:val="22"/>
          <w:szCs w:val="22"/>
          <w:lang w:eastAsia="en-US"/>
        </w:rPr>
        <w:footnoteReference w:id="123"/>
      </w:r>
      <w:r>
        <w:rPr>
          <w:sz w:val="22"/>
          <w:szCs w:val="22"/>
          <w:lang w:eastAsia="en-US"/>
        </w:rPr>
        <w:t xml:space="preserve"> it is possible to identify </w:t>
      </w:r>
      <w:r w:rsidRPr="00257930">
        <w:rPr>
          <w:i/>
          <w:iCs/>
          <w:sz w:val="22"/>
          <w:szCs w:val="22"/>
          <w:lang w:eastAsia="en-US"/>
        </w:rPr>
        <w:t>The Tower</w:t>
      </w:r>
      <w:r>
        <w:rPr>
          <w:sz w:val="22"/>
          <w:szCs w:val="22"/>
          <w:lang w:eastAsia="en-US"/>
        </w:rPr>
        <w:t xml:space="preserve"> (Fig. 1, Fig. 3, and Fig. 4) as such a patriarchal monument built on intrinsically unstable foundations, in necessary context within this relevant cultural information. By extension, </w:t>
      </w:r>
      <w:r w:rsidR="00EA0E26" w:rsidRPr="00EA0E26">
        <w:rPr>
          <w:i/>
          <w:iCs/>
          <w:sz w:val="22"/>
          <w:szCs w:val="22"/>
          <w:lang w:eastAsia="en-US"/>
        </w:rPr>
        <w:t>personal</w:t>
      </w:r>
      <w:r w:rsidR="00EA0E26">
        <w:rPr>
          <w:sz w:val="22"/>
          <w:szCs w:val="22"/>
          <w:lang w:eastAsia="en-US"/>
        </w:rPr>
        <w:t xml:space="preserve"> or </w:t>
      </w:r>
      <w:r w:rsidR="00EA0E26" w:rsidRPr="00EA0E26">
        <w:rPr>
          <w:i/>
          <w:iCs/>
          <w:sz w:val="22"/>
          <w:szCs w:val="22"/>
          <w:lang w:eastAsia="en-US"/>
        </w:rPr>
        <w:t>reductive</w:t>
      </w:r>
      <w:r w:rsidR="00EA0E26">
        <w:rPr>
          <w:sz w:val="22"/>
          <w:szCs w:val="22"/>
          <w:lang w:eastAsia="en-US"/>
        </w:rPr>
        <w:t xml:space="preserve"> </w:t>
      </w:r>
      <w:r>
        <w:rPr>
          <w:sz w:val="22"/>
          <w:szCs w:val="22"/>
          <w:lang w:eastAsia="en-US"/>
        </w:rPr>
        <w:t xml:space="preserve">interpretations </w:t>
      </w:r>
      <w:r w:rsidR="00FB2760">
        <w:rPr>
          <w:sz w:val="22"/>
          <w:szCs w:val="22"/>
          <w:lang w:eastAsia="en-US"/>
        </w:rPr>
        <w:t>that</w:t>
      </w:r>
      <w:r>
        <w:rPr>
          <w:sz w:val="22"/>
          <w:szCs w:val="22"/>
          <w:lang w:eastAsia="en-US"/>
        </w:rPr>
        <w:t xml:space="preserve"> do not expose or challenge the present culture, and instead </w:t>
      </w:r>
      <w:r w:rsidR="00FB2760">
        <w:rPr>
          <w:sz w:val="22"/>
          <w:szCs w:val="22"/>
          <w:lang w:eastAsia="en-US"/>
        </w:rPr>
        <w:t>instil</w:t>
      </w:r>
      <w:r>
        <w:rPr>
          <w:sz w:val="22"/>
          <w:szCs w:val="22"/>
          <w:lang w:eastAsia="en-US"/>
        </w:rPr>
        <w:t xml:space="preserve"> guilt within individuals constrained within it, would logically di</w:t>
      </w:r>
      <w:r w:rsidR="00FB2760">
        <w:rPr>
          <w:sz w:val="22"/>
          <w:szCs w:val="22"/>
          <w:lang w:eastAsia="en-US"/>
        </w:rPr>
        <w:t>stract</w:t>
      </w:r>
      <w:r>
        <w:rPr>
          <w:sz w:val="22"/>
          <w:szCs w:val="22"/>
          <w:lang w:eastAsia="en-US"/>
        </w:rPr>
        <w:t xml:space="preserve"> away from occult knowledge </w:t>
      </w:r>
      <w:r w:rsidR="00FB2760">
        <w:rPr>
          <w:sz w:val="22"/>
          <w:szCs w:val="22"/>
          <w:lang w:eastAsia="en-US"/>
        </w:rPr>
        <w:t>of the patriarchal arrangement</w:t>
      </w:r>
      <w:r w:rsidR="009C7F45">
        <w:rPr>
          <w:sz w:val="22"/>
          <w:szCs w:val="22"/>
          <w:lang w:eastAsia="en-US"/>
        </w:rPr>
        <w:t>’s need</w:t>
      </w:r>
      <w:r w:rsidR="00FB2760">
        <w:rPr>
          <w:sz w:val="22"/>
          <w:szCs w:val="22"/>
          <w:lang w:eastAsia="en-US"/>
        </w:rPr>
        <w:t xml:space="preserve"> </w:t>
      </w:r>
      <w:r>
        <w:rPr>
          <w:sz w:val="22"/>
          <w:szCs w:val="22"/>
          <w:lang w:eastAsia="en-US"/>
        </w:rPr>
        <w:t xml:space="preserve">to justify, obscure, and perpetuate </w:t>
      </w:r>
      <w:r w:rsidR="009C7F45">
        <w:rPr>
          <w:sz w:val="22"/>
          <w:szCs w:val="22"/>
          <w:lang w:eastAsia="en-US"/>
        </w:rPr>
        <w:t>itself</w:t>
      </w:r>
      <w:r w:rsidRPr="00505C11">
        <w:rPr>
          <w:i/>
          <w:iCs/>
          <w:sz w:val="22"/>
          <w:szCs w:val="22"/>
          <w:lang w:eastAsia="en-US"/>
        </w:rPr>
        <w:t xml:space="preserve">, </w:t>
      </w:r>
      <w:r>
        <w:rPr>
          <w:sz w:val="22"/>
          <w:szCs w:val="22"/>
          <w:lang w:eastAsia="en-US"/>
        </w:rPr>
        <w:t xml:space="preserve">by maintaining individuals unaware and self-blaming within the </w:t>
      </w:r>
      <w:r w:rsidR="00297222">
        <w:rPr>
          <w:sz w:val="22"/>
          <w:szCs w:val="22"/>
          <w:lang w:eastAsia="en-US"/>
        </w:rPr>
        <w:t>culture</w:t>
      </w:r>
      <w:r>
        <w:rPr>
          <w:sz w:val="22"/>
          <w:szCs w:val="22"/>
          <w:lang w:eastAsia="en-US"/>
        </w:rPr>
        <w:t>, through projected, personalized</w:t>
      </w:r>
      <w:r w:rsidR="00FB2760">
        <w:rPr>
          <w:sz w:val="22"/>
          <w:szCs w:val="22"/>
          <w:lang w:eastAsia="en-US"/>
        </w:rPr>
        <w:t>, and introjected</w:t>
      </w:r>
      <w:r>
        <w:rPr>
          <w:sz w:val="22"/>
          <w:szCs w:val="22"/>
          <w:lang w:eastAsia="en-US"/>
        </w:rPr>
        <w:t xml:space="preserve"> false guilt. The </w:t>
      </w:r>
      <w:r>
        <w:rPr>
          <w:i/>
          <w:iCs/>
          <w:sz w:val="22"/>
          <w:szCs w:val="22"/>
          <w:lang w:eastAsia="en-US"/>
        </w:rPr>
        <w:t>persona</w:t>
      </w:r>
      <w:r w:rsidRPr="00D471D6">
        <w:rPr>
          <w:i/>
          <w:iCs/>
          <w:sz w:val="22"/>
          <w:szCs w:val="22"/>
          <w:lang w:eastAsia="en-US"/>
        </w:rPr>
        <w:t xml:space="preserve">l </w:t>
      </w:r>
      <w:r>
        <w:rPr>
          <w:sz w:val="22"/>
          <w:szCs w:val="22"/>
          <w:lang w:eastAsia="en-US"/>
        </w:rPr>
        <w:t xml:space="preserve">and </w:t>
      </w:r>
      <w:r w:rsidRPr="00D471D6">
        <w:rPr>
          <w:i/>
          <w:iCs/>
          <w:sz w:val="22"/>
          <w:szCs w:val="22"/>
          <w:lang w:eastAsia="en-US"/>
        </w:rPr>
        <w:t>reductive</w:t>
      </w:r>
      <w:r>
        <w:rPr>
          <w:sz w:val="22"/>
          <w:szCs w:val="22"/>
          <w:lang w:eastAsia="en-US"/>
        </w:rPr>
        <w:t xml:space="preserve"> interpretations could therefore represent blocks to occult knowledge through tarot use, by hyper-locating focus on personal deficiency and engendering false guilt within audiences interacting with </w:t>
      </w:r>
      <w:r w:rsidRPr="00D471D6">
        <w:rPr>
          <w:i/>
          <w:iCs/>
          <w:sz w:val="22"/>
          <w:szCs w:val="22"/>
          <w:lang w:eastAsia="en-US"/>
        </w:rPr>
        <w:t>The Tower</w:t>
      </w:r>
      <w:r>
        <w:rPr>
          <w:sz w:val="22"/>
          <w:szCs w:val="22"/>
          <w:lang w:eastAsia="en-US"/>
        </w:rPr>
        <w:t xml:space="preserve"> (Fig. 1) and by fostering diminutive attitudes towards Mother and Nature as divine and obscuring the necessity for and potential cosmic dimensions of full human liberation as represented by imagery within </w:t>
      </w:r>
      <w:r w:rsidRPr="00D471D6">
        <w:rPr>
          <w:i/>
          <w:iCs/>
          <w:sz w:val="22"/>
          <w:szCs w:val="22"/>
          <w:lang w:eastAsia="en-US"/>
        </w:rPr>
        <w:t>The Star</w:t>
      </w:r>
      <w:r>
        <w:rPr>
          <w:i/>
          <w:iCs/>
          <w:sz w:val="22"/>
          <w:szCs w:val="22"/>
          <w:lang w:eastAsia="en-US"/>
        </w:rPr>
        <w:t xml:space="preserve"> </w:t>
      </w:r>
      <w:r>
        <w:rPr>
          <w:sz w:val="22"/>
          <w:szCs w:val="22"/>
          <w:lang w:eastAsia="en-US"/>
        </w:rPr>
        <w:t xml:space="preserve">(Fig. 5). Therefore, if viewed together and interpreted </w:t>
      </w:r>
      <w:r w:rsidRPr="00CB55D0">
        <w:rPr>
          <w:i/>
          <w:iCs/>
          <w:sz w:val="22"/>
          <w:szCs w:val="22"/>
          <w:lang w:eastAsia="en-US"/>
        </w:rPr>
        <w:t>expansively</w:t>
      </w:r>
      <w:r>
        <w:rPr>
          <w:sz w:val="22"/>
          <w:szCs w:val="22"/>
          <w:lang w:eastAsia="en-US"/>
        </w:rPr>
        <w:t xml:space="preserve"> and </w:t>
      </w:r>
      <w:r w:rsidRPr="00CB55D0">
        <w:rPr>
          <w:i/>
          <w:iCs/>
          <w:sz w:val="22"/>
          <w:szCs w:val="22"/>
          <w:lang w:eastAsia="en-US"/>
        </w:rPr>
        <w:t>contextua</w:t>
      </w:r>
      <w:r>
        <w:rPr>
          <w:i/>
          <w:iCs/>
          <w:sz w:val="22"/>
          <w:szCs w:val="22"/>
          <w:lang w:eastAsia="en-US"/>
        </w:rPr>
        <w:t>lly</w:t>
      </w:r>
      <w:r>
        <w:rPr>
          <w:sz w:val="22"/>
          <w:szCs w:val="22"/>
          <w:lang w:eastAsia="en-US"/>
        </w:rPr>
        <w:t xml:space="preserve">, in alignment with the natural life cycle of birth and death, the sky’s destructiveness within </w:t>
      </w:r>
      <w:r w:rsidRPr="00D471D6">
        <w:rPr>
          <w:i/>
          <w:iCs/>
          <w:sz w:val="22"/>
          <w:szCs w:val="22"/>
          <w:lang w:eastAsia="en-US"/>
        </w:rPr>
        <w:t>The Tower as Death</w:t>
      </w:r>
      <w:r>
        <w:rPr>
          <w:sz w:val="22"/>
          <w:szCs w:val="22"/>
          <w:lang w:eastAsia="en-US"/>
        </w:rPr>
        <w:t xml:space="preserve"> can be interpreted as ushering in</w:t>
      </w:r>
      <w:r w:rsidR="00297222">
        <w:rPr>
          <w:sz w:val="22"/>
          <w:szCs w:val="22"/>
          <w:lang w:eastAsia="en-US"/>
        </w:rPr>
        <w:t xml:space="preserve"> </w:t>
      </w:r>
      <w:r w:rsidR="004A2535">
        <w:rPr>
          <w:sz w:val="22"/>
          <w:szCs w:val="22"/>
          <w:lang w:eastAsia="en-US"/>
        </w:rPr>
        <w:t>the</w:t>
      </w:r>
      <w:r>
        <w:rPr>
          <w:sz w:val="22"/>
          <w:szCs w:val="22"/>
          <w:lang w:eastAsia="en-US"/>
        </w:rPr>
        <w:t xml:space="preserve"> </w:t>
      </w:r>
      <w:r w:rsidR="004A2535">
        <w:rPr>
          <w:i/>
          <w:iCs/>
          <w:sz w:val="22"/>
          <w:szCs w:val="22"/>
          <w:lang w:eastAsia="en-US"/>
        </w:rPr>
        <w:t>Birth of the New Aeon</w:t>
      </w:r>
      <w:r>
        <w:rPr>
          <w:sz w:val="22"/>
          <w:szCs w:val="22"/>
          <w:lang w:eastAsia="en-US"/>
        </w:rPr>
        <w:t xml:space="preserve">, and the celestial calm within </w:t>
      </w:r>
      <w:r w:rsidRPr="00D471D6">
        <w:rPr>
          <w:i/>
          <w:iCs/>
          <w:sz w:val="22"/>
          <w:szCs w:val="22"/>
          <w:lang w:eastAsia="en-US"/>
        </w:rPr>
        <w:t>The Star as Birth</w:t>
      </w:r>
      <w:r>
        <w:rPr>
          <w:sz w:val="22"/>
          <w:szCs w:val="22"/>
          <w:lang w:eastAsia="en-US"/>
        </w:rPr>
        <w:t xml:space="preserve"> can be said to prognosticate</w:t>
      </w:r>
      <w:r w:rsidR="00297222">
        <w:rPr>
          <w:sz w:val="22"/>
          <w:szCs w:val="22"/>
          <w:lang w:eastAsia="en-US"/>
        </w:rPr>
        <w:t xml:space="preserve"> </w:t>
      </w:r>
      <w:r w:rsidR="004A2535">
        <w:rPr>
          <w:sz w:val="22"/>
          <w:szCs w:val="22"/>
          <w:lang w:eastAsia="en-US"/>
        </w:rPr>
        <w:t>the</w:t>
      </w:r>
      <w:r>
        <w:rPr>
          <w:sz w:val="22"/>
          <w:szCs w:val="22"/>
          <w:lang w:eastAsia="en-US"/>
        </w:rPr>
        <w:t xml:space="preserve"> </w:t>
      </w:r>
      <w:r>
        <w:rPr>
          <w:i/>
          <w:iCs/>
          <w:sz w:val="22"/>
          <w:szCs w:val="22"/>
          <w:lang w:eastAsia="en-US"/>
        </w:rPr>
        <w:t>D</w:t>
      </w:r>
      <w:r w:rsidRPr="00D471D6">
        <w:rPr>
          <w:i/>
          <w:iCs/>
          <w:sz w:val="22"/>
          <w:szCs w:val="22"/>
          <w:lang w:eastAsia="en-US"/>
        </w:rPr>
        <w:t xml:space="preserve">eath of the </w:t>
      </w:r>
      <w:r w:rsidR="004A2535">
        <w:rPr>
          <w:i/>
          <w:iCs/>
          <w:sz w:val="22"/>
          <w:szCs w:val="22"/>
          <w:lang w:eastAsia="en-US"/>
        </w:rPr>
        <w:t xml:space="preserve">Old </w:t>
      </w:r>
      <w:r>
        <w:rPr>
          <w:i/>
          <w:iCs/>
          <w:sz w:val="22"/>
          <w:szCs w:val="22"/>
          <w:lang w:eastAsia="en-US"/>
        </w:rPr>
        <w:t>P</w:t>
      </w:r>
      <w:r w:rsidRPr="00D471D6">
        <w:rPr>
          <w:i/>
          <w:iCs/>
          <w:sz w:val="22"/>
          <w:szCs w:val="22"/>
          <w:lang w:eastAsia="en-US"/>
        </w:rPr>
        <w:t>aradigm</w:t>
      </w:r>
      <w:r>
        <w:rPr>
          <w:sz w:val="22"/>
          <w:szCs w:val="22"/>
          <w:lang w:eastAsia="en-US"/>
        </w:rPr>
        <w:t xml:space="preserve">, revealing non-dualistic, paradoxical interdependency between the stages of birth and death within the life cycle, displaying symbolic coherence and ideological wholeness between sky representations and earth life cycles of change, supporting Jay’s theory of affirming change through abandoning dichotomy, revealing occult knowledge of a potential metaphysical battle of cultural forces, and disclosing possible divinatory foreknowledge of future paradigmatic cultural change or </w:t>
      </w:r>
      <w:r w:rsidR="00B512AB">
        <w:rPr>
          <w:sz w:val="22"/>
          <w:szCs w:val="22"/>
          <w:lang w:eastAsia="en-US"/>
        </w:rPr>
        <w:t xml:space="preserve">inevitable </w:t>
      </w:r>
      <w:r>
        <w:rPr>
          <w:sz w:val="22"/>
          <w:szCs w:val="22"/>
          <w:lang w:eastAsia="en-US"/>
        </w:rPr>
        <w:t xml:space="preserve">cultural collapse through relevantly contextualised sky representations. </w:t>
      </w:r>
    </w:p>
    <w:p w14:paraId="57AA12AB" w14:textId="77777777" w:rsidR="00F06B61" w:rsidRDefault="00F06B61" w:rsidP="00F06B61">
      <w:pPr>
        <w:ind w:firstLine="720"/>
        <w:rPr>
          <w:sz w:val="22"/>
          <w:szCs w:val="22"/>
          <w:lang w:eastAsia="en-US"/>
        </w:rPr>
      </w:pPr>
    </w:p>
    <w:p w14:paraId="329B1CFD" w14:textId="77777777" w:rsidR="00F06B61" w:rsidRPr="00257930" w:rsidRDefault="00F06B61" w:rsidP="00F06B61">
      <w:pPr>
        <w:jc w:val="center"/>
        <w:rPr>
          <w:b/>
          <w:bCs/>
          <w:sz w:val="22"/>
          <w:szCs w:val="22"/>
          <w:lang w:eastAsia="en-US"/>
        </w:rPr>
      </w:pPr>
      <w:r w:rsidRPr="00257930">
        <w:rPr>
          <w:b/>
          <w:bCs/>
          <w:sz w:val="22"/>
          <w:szCs w:val="22"/>
          <w:lang w:eastAsia="en-US"/>
        </w:rPr>
        <w:t>Conclusion</w:t>
      </w:r>
    </w:p>
    <w:p w14:paraId="03B3DAD9" w14:textId="77777777" w:rsidR="00F06B61" w:rsidRDefault="00F06B61" w:rsidP="00F06B61">
      <w:pPr>
        <w:rPr>
          <w:sz w:val="22"/>
          <w:szCs w:val="22"/>
          <w:lang w:eastAsia="en-US"/>
        </w:rPr>
      </w:pPr>
    </w:p>
    <w:p w14:paraId="25DF6E81" w14:textId="7CE5F82B" w:rsidR="00F06B61" w:rsidRDefault="00F06B61" w:rsidP="00F06B61">
      <w:pPr>
        <w:ind w:firstLine="720"/>
        <w:rPr>
          <w:sz w:val="22"/>
          <w:szCs w:val="22"/>
          <w:lang w:eastAsia="en-US"/>
        </w:rPr>
      </w:pPr>
      <w:r>
        <w:rPr>
          <w:sz w:val="22"/>
          <w:szCs w:val="22"/>
          <w:lang w:eastAsia="en-US"/>
        </w:rPr>
        <w:t xml:space="preserve">This essay examined sky representations within </w:t>
      </w:r>
      <w:r w:rsidRPr="0008013C">
        <w:rPr>
          <w:i/>
          <w:iCs/>
          <w:sz w:val="22"/>
          <w:szCs w:val="22"/>
          <w:lang w:eastAsia="en-US"/>
        </w:rPr>
        <w:t>The Tower</w:t>
      </w:r>
      <w:r>
        <w:rPr>
          <w:sz w:val="22"/>
          <w:szCs w:val="22"/>
          <w:lang w:eastAsia="en-US"/>
        </w:rPr>
        <w:t xml:space="preserve"> and </w:t>
      </w:r>
      <w:r w:rsidRPr="0008013C">
        <w:rPr>
          <w:i/>
          <w:iCs/>
          <w:sz w:val="22"/>
          <w:szCs w:val="22"/>
          <w:lang w:eastAsia="en-US"/>
        </w:rPr>
        <w:t>The Sky</w:t>
      </w:r>
      <w:r>
        <w:rPr>
          <w:sz w:val="22"/>
          <w:szCs w:val="22"/>
          <w:lang w:eastAsia="en-US"/>
        </w:rPr>
        <w:t xml:space="preserve"> tarot cards, in contextual analysis within esoteric culture and in exploration of potential divinatory indications of occult knowledge contained within them. A brief history of the tarot was enumerated, in order to locate the tarot within its hierarchical, aristocratic cultural origins, and significant lacuna within sociological research on the cards was identified and connected to Durkheimian influence, patriarchal culture, sexism, dichotomization, and change-resistance. Subsequently, non-duali</w:t>
      </w:r>
      <w:r w:rsidR="0091313B">
        <w:rPr>
          <w:sz w:val="22"/>
          <w:szCs w:val="22"/>
          <w:lang w:eastAsia="en-US"/>
        </w:rPr>
        <w:t>sm</w:t>
      </w:r>
      <w:r>
        <w:rPr>
          <w:sz w:val="22"/>
          <w:szCs w:val="22"/>
          <w:lang w:eastAsia="en-US"/>
        </w:rPr>
        <w:t xml:space="preserve"> and orientation towards paradox were explored as potential ideological preconditions for the acquisition of occult knowledge. Colman Smith’s </w:t>
      </w:r>
      <w:r w:rsidRPr="004C77D7">
        <w:rPr>
          <w:i/>
          <w:iCs/>
          <w:sz w:val="22"/>
          <w:szCs w:val="22"/>
          <w:lang w:eastAsia="en-US"/>
        </w:rPr>
        <w:t>The Tower</w:t>
      </w:r>
      <w:r>
        <w:rPr>
          <w:sz w:val="22"/>
          <w:szCs w:val="22"/>
          <w:lang w:eastAsia="en-US"/>
        </w:rPr>
        <w:t xml:space="preserve"> (Fig. 1) was first located within a broader history of </w:t>
      </w:r>
      <w:r w:rsidRPr="004C77D7">
        <w:rPr>
          <w:i/>
          <w:iCs/>
          <w:sz w:val="22"/>
          <w:szCs w:val="22"/>
          <w:lang w:eastAsia="en-US"/>
        </w:rPr>
        <w:t>the Tower</w:t>
      </w:r>
      <w:r>
        <w:rPr>
          <w:sz w:val="22"/>
          <w:szCs w:val="22"/>
          <w:lang w:eastAsia="en-US"/>
        </w:rPr>
        <w:t xml:space="preserve"> card and variations on the card’s name and imagery were elucidated. Symbolic orientation towards Christian mythology, </w:t>
      </w:r>
      <w:r w:rsidRPr="004C77D7">
        <w:rPr>
          <w:i/>
          <w:iCs/>
          <w:sz w:val="22"/>
          <w:szCs w:val="22"/>
          <w:lang w:eastAsia="en-US"/>
        </w:rPr>
        <w:t>personal</w:t>
      </w:r>
      <w:r>
        <w:rPr>
          <w:sz w:val="22"/>
          <w:szCs w:val="22"/>
          <w:lang w:eastAsia="en-US"/>
        </w:rPr>
        <w:t xml:space="preserve"> interpretations, and a punitive intent regarding the lightning strike were identified as an overarching thematic focal point within various writings on the card, subsequently termed </w:t>
      </w:r>
      <w:r w:rsidRPr="004C77D7">
        <w:rPr>
          <w:i/>
          <w:iCs/>
          <w:sz w:val="22"/>
          <w:szCs w:val="22"/>
          <w:lang w:eastAsia="en-US"/>
        </w:rPr>
        <w:t>individual locus</w:t>
      </w:r>
      <w:r>
        <w:rPr>
          <w:sz w:val="22"/>
          <w:szCs w:val="22"/>
          <w:lang w:eastAsia="en-US"/>
        </w:rPr>
        <w:t xml:space="preserve"> interpretations. An alternate </w:t>
      </w:r>
      <w:r w:rsidRPr="00011365">
        <w:rPr>
          <w:i/>
          <w:iCs/>
          <w:sz w:val="22"/>
          <w:szCs w:val="22"/>
          <w:lang w:eastAsia="en-US"/>
        </w:rPr>
        <w:t>contextual</w:t>
      </w:r>
      <w:r>
        <w:rPr>
          <w:sz w:val="22"/>
          <w:szCs w:val="22"/>
          <w:lang w:eastAsia="en-US"/>
        </w:rPr>
        <w:t xml:space="preserve"> focus emerged within the literature, termed </w:t>
      </w:r>
      <w:r w:rsidRPr="004C77D7">
        <w:rPr>
          <w:i/>
          <w:iCs/>
          <w:sz w:val="22"/>
          <w:szCs w:val="22"/>
          <w:lang w:eastAsia="en-US"/>
        </w:rPr>
        <w:t>systemic locus</w:t>
      </w:r>
      <w:r>
        <w:rPr>
          <w:i/>
          <w:iCs/>
          <w:sz w:val="22"/>
          <w:szCs w:val="22"/>
          <w:lang w:eastAsia="en-US"/>
        </w:rPr>
        <w:t>,</w:t>
      </w:r>
      <w:r>
        <w:rPr>
          <w:sz w:val="22"/>
          <w:szCs w:val="22"/>
          <w:lang w:eastAsia="en-US"/>
        </w:rPr>
        <w:t xml:space="preserve"> which offered interpretations locating the imagery within the tarot’s cultural history and identified the lightning as striking at endemic structures of oppression rather than at personal deficiency. Thereafter, </w:t>
      </w:r>
      <w:r w:rsidRPr="004C77D7">
        <w:rPr>
          <w:i/>
          <w:iCs/>
          <w:sz w:val="22"/>
          <w:szCs w:val="22"/>
          <w:lang w:eastAsia="en-US"/>
        </w:rPr>
        <w:t>The Tower as Death</w:t>
      </w:r>
      <w:r>
        <w:rPr>
          <w:sz w:val="22"/>
          <w:szCs w:val="22"/>
          <w:lang w:eastAsia="en-US"/>
        </w:rPr>
        <w:t xml:space="preserve"> was viewed as an indicator of the demise of traditional structures of oppression, and </w:t>
      </w:r>
      <w:r w:rsidRPr="004C77D7">
        <w:rPr>
          <w:i/>
          <w:iCs/>
          <w:sz w:val="22"/>
          <w:szCs w:val="22"/>
          <w:lang w:eastAsia="en-US"/>
        </w:rPr>
        <w:t>The Star as Birth</w:t>
      </w:r>
      <w:r>
        <w:rPr>
          <w:sz w:val="22"/>
          <w:szCs w:val="22"/>
          <w:lang w:eastAsia="en-US"/>
        </w:rPr>
        <w:t xml:space="preserve"> was explored next in context with the Age of Aquarius, as an image of the New Aeon.</w:t>
      </w:r>
      <w:r>
        <w:rPr>
          <w:rStyle w:val="FootnoteReference"/>
          <w:sz w:val="22"/>
          <w:szCs w:val="22"/>
          <w:lang w:eastAsia="en-US"/>
        </w:rPr>
        <w:footnoteReference w:id="124"/>
      </w:r>
      <w:r>
        <w:rPr>
          <w:sz w:val="22"/>
          <w:szCs w:val="22"/>
          <w:lang w:eastAsia="en-US"/>
        </w:rPr>
        <w:t xml:space="preserve"> Various zodiacal, sky, and female divinity correspondences within Colman Smith’s </w:t>
      </w:r>
      <w:r w:rsidRPr="004C77D7">
        <w:rPr>
          <w:i/>
          <w:iCs/>
          <w:sz w:val="22"/>
          <w:szCs w:val="22"/>
          <w:lang w:eastAsia="en-US"/>
        </w:rPr>
        <w:lastRenderedPageBreak/>
        <w:t>The Star</w:t>
      </w:r>
      <w:r>
        <w:rPr>
          <w:sz w:val="22"/>
          <w:szCs w:val="22"/>
          <w:lang w:eastAsia="en-US"/>
        </w:rPr>
        <w:t xml:space="preserve"> (Fig. 5) were identified, including the Star of Venus,</w:t>
      </w:r>
      <w:r>
        <w:rPr>
          <w:rStyle w:val="FootnoteReference"/>
          <w:sz w:val="22"/>
          <w:szCs w:val="22"/>
          <w:lang w:eastAsia="en-US"/>
        </w:rPr>
        <w:footnoteReference w:id="125"/>
      </w:r>
      <w:r>
        <w:rPr>
          <w:sz w:val="22"/>
          <w:szCs w:val="22"/>
          <w:lang w:eastAsia="en-US"/>
        </w:rPr>
        <w:t xml:space="preserve"> the Star of Isis,</w:t>
      </w:r>
      <w:r>
        <w:rPr>
          <w:rStyle w:val="FootnoteReference"/>
          <w:sz w:val="22"/>
          <w:szCs w:val="22"/>
          <w:lang w:eastAsia="en-US"/>
        </w:rPr>
        <w:footnoteReference w:id="126"/>
      </w:r>
      <w:r>
        <w:rPr>
          <w:sz w:val="22"/>
          <w:szCs w:val="22"/>
          <w:lang w:eastAsia="en-US"/>
        </w:rPr>
        <w:t xml:space="preserve"> Lady of the Stars Nuith,</w:t>
      </w:r>
      <w:r>
        <w:rPr>
          <w:rStyle w:val="FootnoteReference"/>
          <w:sz w:val="22"/>
          <w:szCs w:val="22"/>
          <w:lang w:eastAsia="en-US"/>
        </w:rPr>
        <w:footnoteReference w:id="127"/>
      </w:r>
      <w:r>
        <w:rPr>
          <w:sz w:val="22"/>
          <w:szCs w:val="22"/>
          <w:lang w:eastAsia="en-US"/>
        </w:rPr>
        <w:t xml:space="preserve"> the Star of Babylon,</w:t>
      </w:r>
      <w:r>
        <w:rPr>
          <w:rStyle w:val="FootnoteReference"/>
          <w:sz w:val="22"/>
          <w:szCs w:val="22"/>
          <w:lang w:eastAsia="en-US"/>
        </w:rPr>
        <w:footnoteReference w:id="128"/>
      </w:r>
      <w:r>
        <w:rPr>
          <w:sz w:val="22"/>
          <w:szCs w:val="22"/>
          <w:lang w:eastAsia="en-US"/>
        </w:rPr>
        <w:t xml:space="preserve"> and the Great Mother Goddess of the Kabbalah,</w:t>
      </w:r>
      <w:r>
        <w:rPr>
          <w:rStyle w:val="FootnoteReference"/>
          <w:sz w:val="22"/>
          <w:szCs w:val="22"/>
          <w:lang w:eastAsia="en-US"/>
        </w:rPr>
        <w:footnoteReference w:id="129"/>
      </w:r>
      <w:r>
        <w:rPr>
          <w:sz w:val="22"/>
          <w:szCs w:val="22"/>
          <w:lang w:eastAsia="en-US"/>
        </w:rPr>
        <w:t xml:space="preserve"> and the significance of Colman Smith’s use of a blue background for the night sky was likewise linked symbolically to Jewish mysticism, protective magic, and female divinity.</w:t>
      </w:r>
      <w:r>
        <w:rPr>
          <w:rStyle w:val="FootnoteReference"/>
          <w:sz w:val="22"/>
          <w:szCs w:val="22"/>
          <w:lang w:eastAsia="en-US"/>
        </w:rPr>
        <w:footnoteReference w:id="130"/>
      </w:r>
      <w:r>
        <w:rPr>
          <w:sz w:val="22"/>
          <w:szCs w:val="22"/>
          <w:lang w:eastAsia="en-US"/>
        </w:rPr>
        <w:t xml:space="preserve"> Two similar thematic patterns emerged in relation to interpretive orientations towards </w:t>
      </w:r>
      <w:r w:rsidRPr="00C84EF0">
        <w:rPr>
          <w:i/>
          <w:iCs/>
          <w:sz w:val="22"/>
          <w:szCs w:val="22"/>
          <w:lang w:eastAsia="en-US"/>
        </w:rPr>
        <w:t>The Star</w:t>
      </w:r>
      <w:r>
        <w:rPr>
          <w:sz w:val="22"/>
          <w:szCs w:val="22"/>
          <w:lang w:eastAsia="en-US"/>
        </w:rPr>
        <w:t xml:space="preserve"> (Fig. 5), identified as </w:t>
      </w:r>
      <w:r w:rsidRPr="004C77D7">
        <w:rPr>
          <w:i/>
          <w:iCs/>
          <w:sz w:val="22"/>
          <w:szCs w:val="22"/>
          <w:lang w:eastAsia="en-US"/>
        </w:rPr>
        <w:t>reductive</w:t>
      </w:r>
      <w:r>
        <w:rPr>
          <w:sz w:val="22"/>
          <w:szCs w:val="22"/>
          <w:lang w:eastAsia="en-US"/>
        </w:rPr>
        <w:t xml:space="preserve"> and </w:t>
      </w:r>
      <w:r w:rsidRPr="004C77D7">
        <w:rPr>
          <w:i/>
          <w:iCs/>
          <w:sz w:val="22"/>
          <w:szCs w:val="22"/>
          <w:lang w:eastAsia="en-US"/>
        </w:rPr>
        <w:t>expansive</w:t>
      </w:r>
      <w:r>
        <w:rPr>
          <w:i/>
          <w:iCs/>
          <w:sz w:val="22"/>
          <w:szCs w:val="22"/>
          <w:lang w:eastAsia="en-US"/>
        </w:rPr>
        <w:t xml:space="preserve"> </w:t>
      </w:r>
      <w:r>
        <w:rPr>
          <w:sz w:val="22"/>
          <w:szCs w:val="22"/>
          <w:lang w:eastAsia="en-US"/>
        </w:rPr>
        <w:t xml:space="preserve">interpretations. The </w:t>
      </w:r>
      <w:r w:rsidRPr="00CD7C57">
        <w:rPr>
          <w:i/>
          <w:iCs/>
          <w:sz w:val="22"/>
          <w:szCs w:val="22"/>
          <w:lang w:eastAsia="en-US"/>
        </w:rPr>
        <w:t>reductive</w:t>
      </w:r>
      <w:r>
        <w:rPr>
          <w:sz w:val="22"/>
          <w:szCs w:val="22"/>
          <w:lang w:eastAsia="en-US"/>
        </w:rPr>
        <w:t xml:space="preserve"> interpretations primarily personalized, diminished, or degraded the imagery, whereas the </w:t>
      </w:r>
      <w:r w:rsidRPr="00CD7C57">
        <w:rPr>
          <w:i/>
          <w:iCs/>
          <w:sz w:val="22"/>
          <w:szCs w:val="22"/>
          <w:lang w:eastAsia="en-US"/>
        </w:rPr>
        <w:t>expansive</w:t>
      </w:r>
      <w:r>
        <w:rPr>
          <w:sz w:val="22"/>
          <w:szCs w:val="22"/>
          <w:lang w:eastAsia="en-US"/>
        </w:rPr>
        <w:t xml:space="preserve"> interpretations predominantly associated the imagery with cosmic spiritual potential, Mother Goddesses, astronomy, astrology, and expanded consciousness. </w:t>
      </w:r>
      <w:r w:rsidRPr="00C84EF0">
        <w:rPr>
          <w:i/>
          <w:iCs/>
          <w:sz w:val="22"/>
          <w:szCs w:val="22"/>
          <w:lang w:eastAsia="en-US"/>
        </w:rPr>
        <w:t xml:space="preserve">The Tower </w:t>
      </w:r>
      <w:r>
        <w:rPr>
          <w:sz w:val="22"/>
          <w:szCs w:val="22"/>
          <w:lang w:eastAsia="en-US"/>
        </w:rPr>
        <w:t xml:space="preserve">(Fig. 1) and </w:t>
      </w:r>
      <w:r w:rsidRPr="00C84EF0">
        <w:rPr>
          <w:i/>
          <w:iCs/>
          <w:sz w:val="22"/>
          <w:szCs w:val="22"/>
          <w:lang w:eastAsia="en-US"/>
        </w:rPr>
        <w:t>The Star</w:t>
      </w:r>
      <w:r>
        <w:rPr>
          <w:sz w:val="22"/>
          <w:szCs w:val="22"/>
          <w:lang w:eastAsia="en-US"/>
        </w:rPr>
        <w:t xml:space="preserve"> (Fig. 5) were then analysed together in alignment with the birth/death life cycle of nature, in relationship to Bowie’s observations regarding metaphysical battles within artistic sky representations</w:t>
      </w:r>
      <w:r>
        <w:rPr>
          <w:rStyle w:val="FootnoteReference"/>
          <w:sz w:val="22"/>
          <w:szCs w:val="22"/>
        </w:rPr>
        <w:footnoteReference w:id="131"/>
      </w:r>
      <w:r>
        <w:rPr>
          <w:sz w:val="22"/>
          <w:szCs w:val="22"/>
          <w:lang w:eastAsia="en-US"/>
        </w:rPr>
        <w:t xml:space="preserve"> and Sims’ archaeoastronomical evidence for a patriarchal cultural appropriation and takeover of ancient matriarchal culture and ritual.</w:t>
      </w:r>
      <w:r>
        <w:rPr>
          <w:rStyle w:val="FootnoteReference"/>
          <w:sz w:val="22"/>
          <w:szCs w:val="22"/>
          <w:lang w:eastAsia="en-US"/>
        </w:rPr>
        <w:footnoteReference w:id="132"/>
      </w:r>
      <w:r>
        <w:rPr>
          <w:sz w:val="22"/>
          <w:szCs w:val="22"/>
          <w:lang w:eastAsia="en-US"/>
        </w:rPr>
        <w:t xml:space="preserve"> The cards were advanced as disclosing occult knowledge of a potential metaphysical battle of forces, and as providing insight into the unstable foundations of patriarchal culture, its potential collapse, and a subsequent rebirth of a pre-existing matriarchal cultural organization</w:t>
      </w:r>
      <w:r w:rsidR="0091313B">
        <w:rPr>
          <w:sz w:val="22"/>
          <w:szCs w:val="22"/>
          <w:lang w:eastAsia="en-US"/>
        </w:rPr>
        <w:t xml:space="preserve"> in the New Aeon</w:t>
      </w:r>
      <w:r>
        <w:rPr>
          <w:sz w:val="22"/>
          <w:szCs w:val="22"/>
          <w:lang w:eastAsia="en-US"/>
        </w:rPr>
        <w:t xml:space="preserve">. Consequently, </w:t>
      </w:r>
      <w:proofErr w:type="gramStart"/>
      <w:r w:rsidRPr="00011365">
        <w:rPr>
          <w:i/>
          <w:iCs/>
          <w:sz w:val="22"/>
          <w:szCs w:val="22"/>
          <w:lang w:eastAsia="en-US"/>
        </w:rPr>
        <w:t>personal</w:t>
      </w:r>
      <w:proofErr w:type="gramEnd"/>
      <w:r>
        <w:rPr>
          <w:sz w:val="22"/>
          <w:szCs w:val="22"/>
          <w:lang w:eastAsia="en-US"/>
        </w:rPr>
        <w:t xml:space="preserve"> and </w:t>
      </w:r>
      <w:r w:rsidRPr="00011365">
        <w:rPr>
          <w:i/>
          <w:iCs/>
          <w:sz w:val="22"/>
          <w:szCs w:val="22"/>
          <w:lang w:eastAsia="en-US"/>
        </w:rPr>
        <w:t>reductive</w:t>
      </w:r>
      <w:r>
        <w:rPr>
          <w:sz w:val="22"/>
          <w:szCs w:val="22"/>
          <w:lang w:eastAsia="en-US"/>
        </w:rPr>
        <w:t xml:space="preserve"> interpretations were identified as likely blocking occult knowledge of wider cultural influences within individuals’ lives, through distraction mechanisms of personalized false guilt and through the perpetuation of dismissive attitudes towards the liberating significance of Mother, Goddess, and Nature.</w:t>
      </w:r>
    </w:p>
    <w:p w14:paraId="079F2322" w14:textId="77777777" w:rsidR="00F06B61" w:rsidRDefault="00F06B61" w:rsidP="00F06B61">
      <w:pPr>
        <w:rPr>
          <w:sz w:val="22"/>
          <w:szCs w:val="22"/>
          <w:lang w:eastAsia="en-US"/>
        </w:rPr>
      </w:pPr>
    </w:p>
    <w:p w14:paraId="7F1381C6" w14:textId="77777777" w:rsidR="00F06B61" w:rsidRDefault="00F06B61" w:rsidP="00F06B61">
      <w:pPr>
        <w:rPr>
          <w:sz w:val="22"/>
          <w:szCs w:val="22"/>
          <w:lang w:eastAsia="en-US"/>
        </w:rPr>
      </w:pPr>
    </w:p>
    <w:p w14:paraId="2A669280" w14:textId="77777777" w:rsidR="00F06B61" w:rsidRDefault="00F06B61" w:rsidP="00F06B61">
      <w:pPr>
        <w:ind w:firstLine="720"/>
        <w:rPr>
          <w:sz w:val="22"/>
          <w:szCs w:val="22"/>
          <w:lang w:eastAsia="en-US"/>
        </w:rPr>
      </w:pPr>
    </w:p>
    <w:p w14:paraId="3C0EFEDC" w14:textId="77777777" w:rsidR="00F06B61" w:rsidRPr="00DA6D59" w:rsidRDefault="00F06B61" w:rsidP="00F06B61">
      <w:pPr>
        <w:ind w:firstLine="720"/>
        <w:rPr>
          <w:lang w:eastAsia="en-US"/>
        </w:rPr>
      </w:pPr>
    </w:p>
    <w:p w14:paraId="5750531E" w14:textId="77777777" w:rsidR="00F06B61" w:rsidRDefault="00F06B61">
      <w:pPr>
        <w:pStyle w:val="NormalWeb"/>
        <w:ind w:right="-334"/>
        <w:rPr>
          <w:rFonts w:ascii="Times New Roman" w:hAnsi="Times New Roman"/>
          <w:b/>
          <w:bCs/>
          <w:sz w:val="22"/>
          <w:szCs w:val="22"/>
        </w:rPr>
      </w:pPr>
    </w:p>
    <w:p w14:paraId="4BCD081C" w14:textId="77777777" w:rsidR="00F06B61" w:rsidRDefault="00F06B61">
      <w:pPr>
        <w:pStyle w:val="NormalWeb"/>
        <w:ind w:right="-334"/>
        <w:rPr>
          <w:rFonts w:ascii="Times New Roman" w:hAnsi="Times New Roman"/>
          <w:b/>
          <w:bCs/>
          <w:sz w:val="22"/>
          <w:szCs w:val="22"/>
        </w:rPr>
      </w:pPr>
    </w:p>
    <w:p w14:paraId="50CD8113" w14:textId="77777777" w:rsidR="00F06B61" w:rsidRDefault="00F06B61">
      <w:pPr>
        <w:pStyle w:val="NormalWeb"/>
        <w:ind w:right="-334"/>
        <w:rPr>
          <w:rFonts w:ascii="Times New Roman" w:hAnsi="Times New Roman"/>
          <w:b/>
          <w:bCs/>
          <w:sz w:val="22"/>
          <w:szCs w:val="22"/>
        </w:rPr>
      </w:pPr>
    </w:p>
    <w:p w14:paraId="2DEE718A" w14:textId="77777777" w:rsidR="00F06B61" w:rsidRDefault="00F06B61">
      <w:pPr>
        <w:pStyle w:val="NormalWeb"/>
        <w:ind w:right="-334"/>
        <w:rPr>
          <w:rFonts w:ascii="Times New Roman" w:hAnsi="Times New Roman"/>
          <w:b/>
          <w:bCs/>
          <w:sz w:val="22"/>
          <w:szCs w:val="22"/>
        </w:rPr>
      </w:pPr>
    </w:p>
    <w:p w14:paraId="586CED5F" w14:textId="77777777" w:rsidR="00F06B61" w:rsidRDefault="00F06B61">
      <w:pPr>
        <w:pStyle w:val="NormalWeb"/>
        <w:ind w:right="-334"/>
        <w:rPr>
          <w:rFonts w:ascii="Times New Roman" w:hAnsi="Times New Roman"/>
          <w:b/>
          <w:bCs/>
          <w:sz w:val="22"/>
          <w:szCs w:val="22"/>
        </w:rPr>
      </w:pPr>
    </w:p>
    <w:p w14:paraId="24BA211C" w14:textId="77777777" w:rsidR="00F06B61" w:rsidRDefault="00F06B61">
      <w:pPr>
        <w:pStyle w:val="NormalWeb"/>
        <w:ind w:right="-334"/>
        <w:rPr>
          <w:rFonts w:ascii="Times New Roman" w:hAnsi="Times New Roman"/>
          <w:b/>
          <w:bCs/>
          <w:sz w:val="22"/>
          <w:szCs w:val="22"/>
        </w:rPr>
      </w:pPr>
    </w:p>
    <w:p w14:paraId="563A18C3" w14:textId="77777777" w:rsidR="00F06B61" w:rsidRDefault="00F06B61">
      <w:pPr>
        <w:pStyle w:val="NormalWeb"/>
        <w:ind w:right="-334"/>
        <w:rPr>
          <w:rFonts w:ascii="Times New Roman" w:hAnsi="Times New Roman"/>
          <w:b/>
          <w:bCs/>
          <w:sz w:val="22"/>
          <w:szCs w:val="22"/>
        </w:rPr>
      </w:pPr>
    </w:p>
    <w:p w14:paraId="3A056923" w14:textId="77777777" w:rsidR="00F06B61" w:rsidRDefault="00F06B61">
      <w:pPr>
        <w:pStyle w:val="NormalWeb"/>
        <w:ind w:right="-334"/>
        <w:rPr>
          <w:rFonts w:ascii="Times New Roman" w:hAnsi="Times New Roman"/>
          <w:b/>
          <w:bCs/>
          <w:sz w:val="22"/>
          <w:szCs w:val="22"/>
        </w:rPr>
      </w:pPr>
    </w:p>
    <w:p w14:paraId="05A72FA4" w14:textId="77777777" w:rsidR="00F06B61" w:rsidRDefault="00F06B61">
      <w:pPr>
        <w:pStyle w:val="NormalWeb"/>
        <w:ind w:right="-334"/>
        <w:rPr>
          <w:rFonts w:ascii="Times New Roman" w:hAnsi="Times New Roman"/>
          <w:b/>
          <w:bCs/>
          <w:sz w:val="22"/>
          <w:szCs w:val="22"/>
        </w:rPr>
      </w:pPr>
    </w:p>
    <w:p w14:paraId="6C5D3C50" w14:textId="77777777" w:rsidR="00F06B61" w:rsidRDefault="00F06B61">
      <w:pPr>
        <w:pStyle w:val="NormalWeb"/>
        <w:ind w:right="-334"/>
        <w:rPr>
          <w:rFonts w:ascii="Times New Roman" w:hAnsi="Times New Roman"/>
          <w:b/>
          <w:bCs/>
          <w:sz w:val="22"/>
          <w:szCs w:val="22"/>
        </w:rPr>
      </w:pPr>
    </w:p>
    <w:p w14:paraId="52A43C37" w14:textId="77777777" w:rsidR="00F06B61" w:rsidRDefault="00F06B61">
      <w:pPr>
        <w:pStyle w:val="NormalWeb"/>
        <w:ind w:right="-334"/>
        <w:rPr>
          <w:rFonts w:ascii="Times New Roman" w:hAnsi="Times New Roman"/>
          <w:b/>
          <w:bCs/>
          <w:sz w:val="22"/>
          <w:szCs w:val="22"/>
        </w:rPr>
      </w:pPr>
    </w:p>
    <w:p w14:paraId="7A7BE116" w14:textId="77777777" w:rsidR="00F06B61" w:rsidRDefault="00F06B61">
      <w:pPr>
        <w:pStyle w:val="NormalWeb"/>
        <w:ind w:right="-334"/>
        <w:rPr>
          <w:rFonts w:ascii="Times New Roman" w:hAnsi="Times New Roman"/>
          <w:b/>
          <w:bCs/>
          <w:sz w:val="22"/>
          <w:szCs w:val="22"/>
        </w:rPr>
      </w:pPr>
    </w:p>
    <w:p w14:paraId="5B357A09" w14:textId="77777777" w:rsidR="00F06B61" w:rsidRDefault="00F06B61">
      <w:pPr>
        <w:pStyle w:val="NormalWeb"/>
        <w:ind w:right="-334"/>
        <w:rPr>
          <w:rFonts w:ascii="Times New Roman" w:hAnsi="Times New Roman"/>
          <w:b/>
          <w:bCs/>
          <w:sz w:val="22"/>
          <w:szCs w:val="22"/>
        </w:rPr>
      </w:pPr>
    </w:p>
    <w:p w14:paraId="2CDF668C" w14:textId="77777777" w:rsidR="00F06B61" w:rsidRDefault="00F06B61">
      <w:pPr>
        <w:pStyle w:val="NormalWeb"/>
        <w:ind w:right="-334"/>
        <w:rPr>
          <w:rFonts w:ascii="Times New Roman" w:hAnsi="Times New Roman"/>
          <w:b/>
          <w:bCs/>
          <w:sz w:val="22"/>
          <w:szCs w:val="22"/>
        </w:rPr>
      </w:pPr>
    </w:p>
    <w:p w14:paraId="3CECDDBD" w14:textId="77777777" w:rsidR="00F06B61" w:rsidRDefault="00F06B61">
      <w:pPr>
        <w:pStyle w:val="NormalWeb"/>
        <w:ind w:right="-334"/>
        <w:rPr>
          <w:rFonts w:ascii="Times New Roman" w:hAnsi="Times New Roman"/>
          <w:b/>
          <w:bCs/>
          <w:sz w:val="22"/>
          <w:szCs w:val="22"/>
        </w:rPr>
      </w:pPr>
    </w:p>
    <w:p w14:paraId="2C6C506F" w14:textId="77777777" w:rsidR="00F06B61" w:rsidRDefault="00F06B61">
      <w:pPr>
        <w:pStyle w:val="NormalWeb"/>
        <w:ind w:right="-334"/>
        <w:rPr>
          <w:rFonts w:ascii="Times New Roman" w:hAnsi="Times New Roman"/>
          <w:b/>
          <w:bCs/>
          <w:sz w:val="22"/>
          <w:szCs w:val="22"/>
        </w:rPr>
      </w:pPr>
    </w:p>
    <w:p w14:paraId="5B5D8F2C" w14:textId="77777777" w:rsidR="00F06B61" w:rsidRDefault="00F06B61">
      <w:pPr>
        <w:pStyle w:val="NormalWeb"/>
        <w:ind w:right="-334"/>
        <w:rPr>
          <w:rFonts w:ascii="Times New Roman" w:hAnsi="Times New Roman"/>
          <w:b/>
          <w:bCs/>
          <w:sz w:val="22"/>
          <w:szCs w:val="22"/>
        </w:rPr>
      </w:pPr>
    </w:p>
    <w:p w14:paraId="56B6E58B" w14:textId="77777777" w:rsidR="00F06B61" w:rsidRDefault="00F06B61">
      <w:pPr>
        <w:pStyle w:val="NormalWeb"/>
        <w:ind w:right="-334"/>
        <w:rPr>
          <w:rFonts w:ascii="Times New Roman" w:hAnsi="Times New Roman"/>
          <w:b/>
          <w:bCs/>
          <w:sz w:val="22"/>
          <w:szCs w:val="22"/>
        </w:rPr>
      </w:pPr>
    </w:p>
    <w:p w14:paraId="70419BFA" w14:textId="77777777" w:rsidR="00F06B61" w:rsidRDefault="00F06B61">
      <w:pPr>
        <w:pStyle w:val="NormalWeb"/>
        <w:ind w:right="-334"/>
        <w:rPr>
          <w:rFonts w:ascii="Times New Roman" w:hAnsi="Times New Roman"/>
          <w:b/>
          <w:bCs/>
          <w:sz w:val="22"/>
          <w:szCs w:val="22"/>
        </w:rPr>
      </w:pPr>
    </w:p>
    <w:p w14:paraId="30C27427" w14:textId="77777777" w:rsidR="00F06B61" w:rsidRDefault="00F06B61">
      <w:pPr>
        <w:pStyle w:val="NormalWeb"/>
        <w:ind w:right="-334"/>
        <w:rPr>
          <w:rFonts w:ascii="Times New Roman" w:hAnsi="Times New Roman"/>
          <w:b/>
          <w:bCs/>
          <w:sz w:val="22"/>
          <w:szCs w:val="22"/>
        </w:rPr>
      </w:pPr>
    </w:p>
    <w:p w14:paraId="451D4A9F" w14:textId="77777777" w:rsidR="00F06B61" w:rsidRDefault="00F06B61">
      <w:pPr>
        <w:pStyle w:val="NormalWeb"/>
        <w:ind w:right="-334"/>
        <w:rPr>
          <w:rFonts w:ascii="Times New Roman" w:hAnsi="Times New Roman"/>
          <w:b/>
          <w:bCs/>
          <w:sz w:val="22"/>
          <w:szCs w:val="22"/>
        </w:rPr>
      </w:pPr>
    </w:p>
    <w:p w14:paraId="051E9D98" w14:textId="77777777" w:rsidR="00F06B61" w:rsidRDefault="00F06B61">
      <w:pPr>
        <w:pStyle w:val="NormalWeb"/>
        <w:ind w:right="-334"/>
        <w:rPr>
          <w:rFonts w:ascii="Times New Roman" w:hAnsi="Times New Roman"/>
          <w:b/>
          <w:bCs/>
          <w:sz w:val="22"/>
          <w:szCs w:val="22"/>
        </w:rPr>
      </w:pPr>
    </w:p>
    <w:p w14:paraId="7A6FD3FC" w14:textId="77777777" w:rsidR="00F06B61" w:rsidRDefault="00F06B61">
      <w:pPr>
        <w:pStyle w:val="NormalWeb"/>
        <w:ind w:right="-334"/>
        <w:rPr>
          <w:rFonts w:ascii="Times New Roman" w:hAnsi="Times New Roman"/>
          <w:b/>
          <w:bCs/>
          <w:sz w:val="22"/>
          <w:szCs w:val="22"/>
        </w:rPr>
      </w:pPr>
    </w:p>
    <w:p w14:paraId="2F40E036" w14:textId="77777777" w:rsidR="00FB2760" w:rsidRDefault="00FB2760">
      <w:pPr>
        <w:pStyle w:val="NormalWeb"/>
        <w:ind w:right="-334"/>
        <w:rPr>
          <w:rFonts w:ascii="Times New Roman" w:hAnsi="Times New Roman"/>
          <w:b/>
          <w:bCs/>
          <w:sz w:val="22"/>
          <w:szCs w:val="22"/>
        </w:rPr>
      </w:pPr>
    </w:p>
    <w:p w14:paraId="55C97C60" w14:textId="284DE9E0" w:rsidR="00912343" w:rsidRPr="00BC4C24" w:rsidRDefault="001352B7">
      <w:pPr>
        <w:pStyle w:val="NormalWeb"/>
        <w:ind w:right="-334"/>
        <w:rPr>
          <w:rFonts w:ascii="Times New Roman" w:hAnsi="Times New Roman"/>
          <w:b/>
          <w:bCs/>
          <w:sz w:val="22"/>
          <w:szCs w:val="22"/>
        </w:rPr>
      </w:pPr>
      <w:r w:rsidRPr="00BC4C24">
        <w:rPr>
          <w:rFonts w:ascii="Times New Roman" w:hAnsi="Times New Roman"/>
          <w:b/>
          <w:bCs/>
          <w:sz w:val="22"/>
          <w:szCs w:val="22"/>
        </w:rPr>
        <w:lastRenderedPageBreak/>
        <w:t>Bibliography</w:t>
      </w:r>
    </w:p>
    <w:p w14:paraId="31A52C50" w14:textId="28A1C7F7" w:rsidR="001352B7" w:rsidRPr="00BC4C24" w:rsidRDefault="001352B7">
      <w:pPr>
        <w:pStyle w:val="NormalWeb"/>
        <w:ind w:right="-334"/>
        <w:rPr>
          <w:rFonts w:ascii="Times New Roman" w:hAnsi="Times New Roman"/>
          <w:sz w:val="22"/>
          <w:szCs w:val="22"/>
        </w:rPr>
      </w:pPr>
    </w:p>
    <w:p w14:paraId="3DF4C315" w14:textId="77777777" w:rsidR="00BC4C24" w:rsidRDefault="00BC4C24" w:rsidP="005951A9">
      <w:pPr>
        <w:rPr>
          <w:sz w:val="22"/>
          <w:szCs w:val="22"/>
        </w:rPr>
      </w:pPr>
      <w:r w:rsidRPr="00BC4C24">
        <w:rPr>
          <w:sz w:val="22"/>
          <w:szCs w:val="22"/>
        </w:rPr>
        <w:t xml:space="preserve">Augur, </w:t>
      </w:r>
      <w:r>
        <w:rPr>
          <w:sz w:val="22"/>
          <w:szCs w:val="22"/>
        </w:rPr>
        <w:t xml:space="preserve">Emily E., </w:t>
      </w:r>
      <w:r w:rsidRPr="00BC4C24">
        <w:rPr>
          <w:sz w:val="22"/>
          <w:szCs w:val="22"/>
        </w:rPr>
        <w:t xml:space="preserve">‘An Annotated List Of Fantasy Novels Incorporating Tarot (1968–1989)’, </w:t>
      </w:r>
    </w:p>
    <w:p w14:paraId="16CEEDDD" w14:textId="71ECDB56" w:rsidR="00BC4C24" w:rsidRPr="00BC4C24" w:rsidRDefault="00BC4C24" w:rsidP="00BC4C24">
      <w:pPr>
        <w:ind w:firstLine="720"/>
        <w:rPr>
          <w:sz w:val="22"/>
          <w:szCs w:val="22"/>
        </w:rPr>
      </w:pPr>
      <w:proofErr w:type="spellStart"/>
      <w:r w:rsidRPr="00BC4C24">
        <w:rPr>
          <w:i/>
          <w:iCs/>
          <w:sz w:val="22"/>
          <w:szCs w:val="22"/>
        </w:rPr>
        <w:t>Mythlore</w:t>
      </w:r>
      <w:proofErr w:type="spellEnd"/>
      <w:r w:rsidRPr="00BC4C24">
        <w:rPr>
          <w:sz w:val="22"/>
          <w:szCs w:val="22"/>
        </w:rPr>
        <w:t>, 36.2 (132), (2018), 231–250</w:t>
      </w:r>
    </w:p>
    <w:p w14:paraId="04913230" w14:textId="1B87FD7F" w:rsidR="005951A9" w:rsidRPr="00BC4C24" w:rsidRDefault="00204BFD" w:rsidP="005951A9">
      <w:pPr>
        <w:rPr>
          <w:sz w:val="22"/>
          <w:szCs w:val="22"/>
        </w:rPr>
      </w:pPr>
      <w:r w:rsidRPr="00BC4C24">
        <w:rPr>
          <w:sz w:val="22"/>
          <w:szCs w:val="22"/>
        </w:rPr>
        <w:t xml:space="preserve">Auger, </w:t>
      </w:r>
      <w:r w:rsidRPr="00BC4C24">
        <w:rPr>
          <w:sz w:val="22"/>
          <w:szCs w:val="22"/>
        </w:rPr>
        <w:t xml:space="preserve">Emily E., </w:t>
      </w:r>
      <w:r w:rsidRPr="00BC4C24">
        <w:rPr>
          <w:sz w:val="22"/>
          <w:szCs w:val="22"/>
        </w:rPr>
        <w:t xml:space="preserve">‘Women Tarot Artists Inspired by the Golden Dawn: Recent Publications’, </w:t>
      </w:r>
    </w:p>
    <w:p w14:paraId="77F53EA1" w14:textId="513F14FC" w:rsidR="00204BFD" w:rsidRPr="00BC4C24" w:rsidRDefault="00204BFD" w:rsidP="005951A9">
      <w:pPr>
        <w:ind w:firstLine="720"/>
        <w:rPr>
          <w:sz w:val="22"/>
          <w:szCs w:val="22"/>
        </w:rPr>
      </w:pPr>
      <w:proofErr w:type="spellStart"/>
      <w:r w:rsidRPr="00BC4C24">
        <w:rPr>
          <w:i/>
          <w:iCs/>
          <w:sz w:val="22"/>
          <w:szCs w:val="22"/>
        </w:rPr>
        <w:t>Mythlore</w:t>
      </w:r>
      <w:proofErr w:type="spellEnd"/>
      <w:r w:rsidRPr="00BC4C24">
        <w:rPr>
          <w:sz w:val="22"/>
          <w:szCs w:val="22"/>
        </w:rPr>
        <w:t>, 40.1 (2021), 242–248</w:t>
      </w:r>
    </w:p>
    <w:p w14:paraId="7B116077" w14:textId="77777777" w:rsidR="005951A9" w:rsidRPr="00BC4C24" w:rsidRDefault="005951A9" w:rsidP="00195113">
      <w:pPr>
        <w:rPr>
          <w:i/>
          <w:iCs/>
          <w:sz w:val="22"/>
          <w:szCs w:val="22"/>
        </w:rPr>
      </w:pPr>
      <w:r w:rsidRPr="00BC4C24">
        <w:rPr>
          <w:sz w:val="22"/>
          <w:szCs w:val="22"/>
        </w:rPr>
        <w:t>Bowie</w:t>
      </w:r>
      <w:r w:rsidRPr="00BC4C24">
        <w:rPr>
          <w:sz w:val="22"/>
          <w:szCs w:val="22"/>
        </w:rPr>
        <w:t>, Fiona</w:t>
      </w:r>
      <w:r w:rsidRPr="00BC4C24">
        <w:rPr>
          <w:sz w:val="22"/>
          <w:szCs w:val="22"/>
        </w:rPr>
        <w:t xml:space="preserve">, ‘Mountains As Sources Of Power In Seen And Unseen Worlds’, in </w:t>
      </w:r>
      <w:r w:rsidRPr="00BC4C24">
        <w:rPr>
          <w:i/>
          <w:iCs/>
          <w:sz w:val="22"/>
          <w:szCs w:val="22"/>
        </w:rPr>
        <w:t xml:space="preserve">Space, Place </w:t>
      </w:r>
    </w:p>
    <w:p w14:paraId="635F021A" w14:textId="64AEAE63" w:rsidR="005951A9" w:rsidRPr="005951A9" w:rsidRDefault="005951A9" w:rsidP="005951A9">
      <w:pPr>
        <w:ind w:left="720"/>
        <w:rPr>
          <w:sz w:val="22"/>
          <w:szCs w:val="22"/>
        </w:rPr>
      </w:pPr>
      <w:r w:rsidRPr="00BC4C24">
        <w:rPr>
          <w:i/>
          <w:iCs/>
          <w:sz w:val="22"/>
          <w:szCs w:val="22"/>
        </w:rPr>
        <w:t>and Religious Landscapes: Living Mountains</w:t>
      </w:r>
      <w:r w:rsidRPr="00BC4C24">
        <w:rPr>
          <w:sz w:val="22"/>
          <w:szCs w:val="22"/>
        </w:rPr>
        <w:t>, ed. by Darrelyn Gunzburg and Bernadette Brady, (Great Britain: Bloomsbury</w:t>
      </w:r>
      <w:r w:rsidRPr="005951A9">
        <w:rPr>
          <w:sz w:val="22"/>
          <w:szCs w:val="22"/>
        </w:rPr>
        <w:t xml:space="preserve"> Academic, 2021)</w:t>
      </w:r>
    </w:p>
    <w:p w14:paraId="65684B83" w14:textId="693F6A5D" w:rsidR="00DA2E4A" w:rsidRPr="0002664D" w:rsidRDefault="0002664D" w:rsidP="00195113">
      <w:pPr>
        <w:rPr>
          <w:sz w:val="22"/>
          <w:szCs w:val="22"/>
        </w:rPr>
      </w:pPr>
      <w:r w:rsidRPr="0002664D">
        <w:rPr>
          <w:sz w:val="22"/>
          <w:szCs w:val="22"/>
        </w:rPr>
        <w:t>Bowman</w:t>
      </w:r>
      <w:r>
        <w:rPr>
          <w:sz w:val="22"/>
          <w:szCs w:val="22"/>
        </w:rPr>
        <w:t>, Manzel</w:t>
      </w:r>
      <w:r w:rsidRPr="0002664D">
        <w:rPr>
          <w:sz w:val="22"/>
          <w:szCs w:val="22"/>
        </w:rPr>
        <w:t xml:space="preserve">, </w:t>
      </w:r>
      <w:r w:rsidRPr="0002664D">
        <w:rPr>
          <w:i/>
          <w:iCs/>
          <w:sz w:val="22"/>
          <w:szCs w:val="22"/>
        </w:rPr>
        <w:t>Manzel’s Tarot I: The Star</w:t>
      </w:r>
      <w:r w:rsidRPr="0002664D">
        <w:rPr>
          <w:sz w:val="22"/>
          <w:szCs w:val="22"/>
        </w:rPr>
        <w:t xml:space="preserve"> [Digital Art] (2017, Manzel Bowman)</w:t>
      </w:r>
    </w:p>
    <w:p w14:paraId="26C22F0A" w14:textId="77777777" w:rsidR="00607770" w:rsidRDefault="00607770" w:rsidP="00195113">
      <w:pPr>
        <w:rPr>
          <w:sz w:val="22"/>
          <w:szCs w:val="22"/>
        </w:rPr>
      </w:pPr>
      <w:r w:rsidRPr="00607770">
        <w:rPr>
          <w:sz w:val="22"/>
          <w:szCs w:val="22"/>
        </w:rPr>
        <w:t>Brady,</w:t>
      </w:r>
      <w:r>
        <w:rPr>
          <w:sz w:val="22"/>
          <w:szCs w:val="22"/>
        </w:rPr>
        <w:t xml:space="preserve"> Bernadette,</w:t>
      </w:r>
      <w:r w:rsidRPr="00607770">
        <w:rPr>
          <w:sz w:val="22"/>
          <w:szCs w:val="22"/>
        </w:rPr>
        <w:t xml:space="preserve"> ‘Star Phases: The Naked-Eye Astronomy Of The Old Kingdom Pyramid </w:t>
      </w:r>
    </w:p>
    <w:p w14:paraId="6E9984E6" w14:textId="4EEC5169" w:rsidR="00A57450" w:rsidRPr="00607770" w:rsidRDefault="00607770" w:rsidP="00607770">
      <w:pPr>
        <w:ind w:left="720"/>
        <w:rPr>
          <w:sz w:val="22"/>
          <w:szCs w:val="22"/>
        </w:rPr>
      </w:pPr>
      <w:r w:rsidRPr="00607770">
        <w:rPr>
          <w:sz w:val="22"/>
          <w:szCs w:val="22"/>
        </w:rPr>
        <w:t xml:space="preserve">Texts’, </w:t>
      </w:r>
      <w:r w:rsidRPr="00607770">
        <w:rPr>
          <w:i/>
          <w:iCs/>
          <w:sz w:val="22"/>
          <w:szCs w:val="22"/>
        </w:rPr>
        <w:t>Skyscapes: The Role and Importance of the Sky in Archaeology</w:t>
      </w:r>
      <w:r w:rsidRPr="00607770">
        <w:rPr>
          <w:sz w:val="22"/>
          <w:szCs w:val="22"/>
        </w:rPr>
        <w:t>, ed. by Fabio</w:t>
      </w:r>
      <w:r>
        <w:rPr>
          <w:sz w:val="22"/>
          <w:szCs w:val="22"/>
        </w:rPr>
        <w:t xml:space="preserve"> </w:t>
      </w:r>
      <w:r w:rsidRPr="00607770">
        <w:rPr>
          <w:sz w:val="22"/>
          <w:szCs w:val="22"/>
        </w:rPr>
        <w:t>Silva and Nicholas Campion, (Oxbow Books, 2015), pp. 76–86</w:t>
      </w:r>
    </w:p>
    <w:p w14:paraId="04EF47BF" w14:textId="7F8A101F" w:rsidR="00605C7B" w:rsidRDefault="00605C7B" w:rsidP="00195113">
      <w:pPr>
        <w:rPr>
          <w:sz w:val="22"/>
          <w:szCs w:val="22"/>
        </w:rPr>
      </w:pPr>
      <w:proofErr w:type="spellStart"/>
      <w:r w:rsidRPr="00605C7B">
        <w:rPr>
          <w:sz w:val="22"/>
          <w:szCs w:val="22"/>
        </w:rPr>
        <w:t>Casini</w:t>
      </w:r>
      <w:proofErr w:type="spellEnd"/>
      <w:r>
        <w:rPr>
          <w:sz w:val="22"/>
          <w:szCs w:val="22"/>
        </w:rPr>
        <w:t>, Emanuele</w:t>
      </w:r>
      <w:r w:rsidRPr="00605C7B">
        <w:rPr>
          <w:sz w:val="22"/>
          <w:szCs w:val="22"/>
        </w:rPr>
        <w:t>, ‘THE THREE-DIMENSIONAL REPRESENTATIONS OF THE HUMAN-</w:t>
      </w:r>
    </w:p>
    <w:p w14:paraId="5BEDF344" w14:textId="67DC2458" w:rsidR="00605C7B" w:rsidRPr="00605C7B" w:rsidRDefault="00605C7B" w:rsidP="00605C7B">
      <w:pPr>
        <w:ind w:left="720"/>
        <w:rPr>
          <w:sz w:val="22"/>
          <w:szCs w:val="22"/>
        </w:rPr>
      </w:pPr>
      <w:r w:rsidRPr="00605C7B">
        <w:rPr>
          <w:sz w:val="22"/>
          <w:szCs w:val="22"/>
        </w:rPr>
        <w:t xml:space="preserve">HEADED </w:t>
      </w:r>
      <w:r w:rsidRPr="00605C7B">
        <w:rPr>
          <w:i/>
          <w:iCs/>
          <w:sz w:val="22"/>
          <w:szCs w:val="22"/>
        </w:rPr>
        <w:t>B3</w:t>
      </w:r>
      <w:r w:rsidRPr="00605C7B">
        <w:rPr>
          <w:sz w:val="22"/>
          <w:szCs w:val="22"/>
        </w:rPr>
        <w:t>-BIRD: SOME REMARKS ABOUT THEIR ORIGIN AND FUNCTION’,</w:t>
      </w:r>
      <w:r>
        <w:rPr>
          <w:sz w:val="22"/>
          <w:szCs w:val="22"/>
        </w:rPr>
        <w:t xml:space="preserve"> </w:t>
      </w:r>
      <w:proofErr w:type="spellStart"/>
      <w:r w:rsidRPr="00605C7B">
        <w:rPr>
          <w:i/>
          <w:iCs/>
          <w:sz w:val="22"/>
          <w:szCs w:val="22"/>
        </w:rPr>
        <w:t>Egitto</w:t>
      </w:r>
      <w:proofErr w:type="spellEnd"/>
      <w:r w:rsidRPr="00605C7B">
        <w:rPr>
          <w:i/>
          <w:iCs/>
          <w:sz w:val="22"/>
          <w:szCs w:val="22"/>
        </w:rPr>
        <w:t xml:space="preserve"> e </w:t>
      </w:r>
      <w:proofErr w:type="spellStart"/>
      <w:r w:rsidRPr="00605C7B">
        <w:rPr>
          <w:i/>
          <w:iCs/>
          <w:sz w:val="22"/>
          <w:szCs w:val="22"/>
        </w:rPr>
        <w:t>Vicino</w:t>
      </w:r>
      <w:proofErr w:type="spellEnd"/>
      <w:r w:rsidRPr="00605C7B">
        <w:rPr>
          <w:i/>
          <w:iCs/>
          <w:sz w:val="22"/>
          <w:szCs w:val="22"/>
        </w:rPr>
        <w:t xml:space="preserve"> </w:t>
      </w:r>
      <w:proofErr w:type="spellStart"/>
      <w:r w:rsidRPr="00605C7B">
        <w:rPr>
          <w:i/>
          <w:iCs/>
          <w:sz w:val="22"/>
          <w:szCs w:val="22"/>
        </w:rPr>
        <w:t>Oriente</w:t>
      </w:r>
      <w:proofErr w:type="spellEnd"/>
      <w:r w:rsidRPr="00605C7B">
        <w:rPr>
          <w:sz w:val="22"/>
          <w:szCs w:val="22"/>
        </w:rPr>
        <w:t>, 38 (2015), 9–32</w:t>
      </w:r>
    </w:p>
    <w:p w14:paraId="25DDC336" w14:textId="1670923D" w:rsidR="00195113" w:rsidRDefault="00195113" w:rsidP="00195113">
      <w:pPr>
        <w:rPr>
          <w:sz w:val="22"/>
          <w:szCs w:val="22"/>
        </w:rPr>
      </w:pPr>
      <w:r w:rsidRPr="0000273F">
        <w:rPr>
          <w:sz w:val="22"/>
          <w:szCs w:val="22"/>
        </w:rPr>
        <w:t>Coralee</w:t>
      </w:r>
      <w:r>
        <w:rPr>
          <w:sz w:val="22"/>
          <w:szCs w:val="22"/>
        </w:rPr>
        <w:t>,</w:t>
      </w:r>
      <w:r w:rsidRPr="00C35C48">
        <w:rPr>
          <w:sz w:val="22"/>
          <w:szCs w:val="22"/>
        </w:rPr>
        <w:t xml:space="preserve"> Grebe,</w:t>
      </w:r>
      <w:r w:rsidRPr="0000273F">
        <w:rPr>
          <w:sz w:val="22"/>
          <w:szCs w:val="22"/>
        </w:rPr>
        <w:t xml:space="preserve"> </w:t>
      </w:r>
      <w:r w:rsidRPr="00C35C48">
        <w:rPr>
          <w:sz w:val="22"/>
          <w:szCs w:val="22"/>
        </w:rPr>
        <w:t>‘</w:t>
      </w:r>
      <w:r w:rsidRPr="0000273F">
        <w:rPr>
          <w:sz w:val="22"/>
          <w:szCs w:val="22"/>
        </w:rPr>
        <w:t xml:space="preserve">Tarot Card Symbolism </w:t>
      </w:r>
      <w:r w:rsidRPr="00C35C48">
        <w:rPr>
          <w:sz w:val="22"/>
          <w:szCs w:val="22"/>
        </w:rPr>
        <w:t>I</w:t>
      </w:r>
      <w:r w:rsidRPr="0000273F">
        <w:rPr>
          <w:sz w:val="22"/>
          <w:szCs w:val="22"/>
        </w:rPr>
        <w:t>n The ‘Star Wars’ Films</w:t>
      </w:r>
      <w:r w:rsidRPr="00C35C48">
        <w:rPr>
          <w:sz w:val="22"/>
          <w:szCs w:val="22"/>
        </w:rPr>
        <w:t>’,</w:t>
      </w:r>
      <w:r w:rsidRPr="0000273F">
        <w:rPr>
          <w:sz w:val="22"/>
          <w:szCs w:val="22"/>
        </w:rPr>
        <w:t xml:space="preserve"> </w:t>
      </w:r>
      <w:proofErr w:type="spellStart"/>
      <w:r w:rsidRPr="0000273F">
        <w:rPr>
          <w:i/>
          <w:iCs/>
          <w:sz w:val="22"/>
          <w:szCs w:val="22"/>
        </w:rPr>
        <w:t>Mythlore</w:t>
      </w:r>
      <w:proofErr w:type="spellEnd"/>
      <w:r w:rsidRPr="0000273F">
        <w:rPr>
          <w:sz w:val="22"/>
          <w:szCs w:val="22"/>
        </w:rPr>
        <w:t>, 20</w:t>
      </w:r>
      <w:r w:rsidRPr="00C35C48">
        <w:rPr>
          <w:sz w:val="22"/>
          <w:szCs w:val="22"/>
        </w:rPr>
        <w:t>.</w:t>
      </w:r>
      <w:r w:rsidRPr="0000273F">
        <w:rPr>
          <w:sz w:val="22"/>
          <w:szCs w:val="22"/>
        </w:rPr>
        <w:t xml:space="preserve">2 (76), </w:t>
      </w:r>
      <w:r w:rsidRPr="00C35C48">
        <w:rPr>
          <w:sz w:val="22"/>
          <w:szCs w:val="22"/>
        </w:rPr>
        <w:t>(</w:t>
      </w:r>
      <w:r w:rsidRPr="0000273F">
        <w:rPr>
          <w:sz w:val="22"/>
          <w:szCs w:val="22"/>
        </w:rPr>
        <w:t>1994</w:t>
      </w:r>
      <w:r w:rsidRPr="00C35C48">
        <w:rPr>
          <w:sz w:val="22"/>
          <w:szCs w:val="22"/>
        </w:rPr>
        <w:t>)</w:t>
      </w:r>
      <w:r w:rsidRPr="0000273F">
        <w:rPr>
          <w:sz w:val="22"/>
          <w:szCs w:val="22"/>
        </w:rPr>
        <w:t xml:space="preserve">, </w:t>
      </w:r>
    </w:p>
    <w:p w14:paraId="4796C250" w14:textId="77777777" w:rsidR="00195113" w:rsidRDefault="00195113" w:rsidP="00195113">
      <w:pPr>
        <w:ind w:firstLine="720"/>
        <w:rPr>
          <w:sz w:val="22"/>
          <w:szCs w:val="22"/>
        </w:rPr>
      </w:pPr>
      <w:r w:rsidRPr="0000273F">
        <w:rPr>
          <w:sz w:val="22"/>
          <w:szCs w:val="22"/>
        </w:rPr>
        <w:t>27–31</w:t>
      </w:r>
    </w:p>
    <w:p w14:paraId="42DC2A32" w14:textId="25914D5E" w:rsidR="001352B7" w:rsidRDefault="00195113" w:rsidP="001352B7">
      <w:pPr>
        <w:rPr>
          <w:sz w:val="22"/>
          <w:szCs w:val="22"/>
        </w:rPr>
      </w:pPr>
      <w:r>
        <w:rPr>
          <w:sz w:val="22"/>
          <w:szCs w:val="22"/>
        </w:rPr>
        <w:t>C</w:t>
      </w:r>
      <w:r w:rsidR="001352B7" w:rsidRPr="001352B7">
        <w:rPr>
          <w:sz w:val="22"/>
          <w:szCs w:val="22"/>
        </w:rPr>
        <w:t>rowley</w:t>
      </w:r>
      <w:r w:rsidR="001352B7">
        <w:rPr>
          <w:sz w:val="22"/>
          <w:szCs w:val="22"/>
        </w:rPr>
        <w:t>, Aleister</w:t>
      </w:r>
      <w:r w:rsidR="001352B7" w:rsidRPr="001352B7">
        <w:rPr>
          <w:sz w:val="22"/>
          <w:szCs w:val="22"/>
        </w:rPr>
        <w:t xml:space="preserve">, </w:t>
      </w:r>
      <w:r w:rsidR="001352B7" w:rsidRPr="001352B7">
        <w:rPr>
          <w:i/>
          <w:iCs/>
          <w:sz w:val="22"/>
          <w:szCs w:val="22"/>
        </w:rPr>
        <w:t>The Book Of Thoth: A Short Essay On The Tarot Of The Egyptians</w:t>
      </w:r>
      <w:r w:rsidR="001352B7" w:rsidRPr="001352B7">
        <w:rPr>
          <w:sz w:val="22"/>
          <w:szCs w:val="22"/>
        </w:rPr>
        <w:t xml:space="preserve">, (San </w:t>
      </w:r>
    </w:p>
    <w:p w14:paraId="21134DB0" w14:textId="62F366B3" w:rsidR="001352B7" w:rsidRPr="00CB23FD" w:rsidRDefault="001352B7" w:rsidP="001352B7">
      <w:pPr>
        <w:ind w:firstLine="720"/>
        <w:rPr>
          <w:sz w:val="22"/>
          <w:szCs w:val="22"/>
        </w:rPr>
      </w:pPr>
      <w:r w:rsidRPr="00CB23FD">
        <w:rPr>
          <w:sz w:val="22"/>
          <w:szCs w:val="22"/>
        </w:rPr>
        <w:t>Francisco: Weiser Books, 1944)</w:t>
      </w:r>
    </w:p>
    <w:p w14:paraId="13DAA8A9" w14:textId="77777777" w:rsidR="00CB23FD" w:rsidRDefault="00CB23FD" w:rsidP="00195113">
      <w:pPr>
        <w:rPr>
          <w:i/>
          <w:iCs/>
          <w:sz w:val="22"/>
          <w:szCs w:val="22"/>
        </w:rPr>
      </w:pPr>
      <w:r w:rsidRPr="00CB23FD">
        <w:rPr>
          <w:sz w:val="22"/>
          <w:szCs w:val="22"/>
        </w:rPr>
        <w:t>di Parravicino,</w:t>
      </w:r>
      <w:r>
        <w:rPr>
          <w:sz w:val="22"/>
          <w:szCs w:val="22"/>
        </w:rPr>
        <w:t xml:space="preserve"> The Count Emiliano,</w:t>
      </w:r>
      <w:r w:rsidRPr="00CB23FD">
        <w:rPr>
          <w:sz w:val="22"/>
          <w:szCs w:val="22"/>
        </w:rPr>
        <w:t xml:space="preserve"> ‘Three Packs Of Italian Tarocco Cards’, </w:t>
      </w:r>
      <w:r w:rsidRPr="00CB23FD">
        <w:rPr>
          <w:i/>
          <w:iCs/>
          <w:sz w:val="22"/>
          <w:szCs w:val="22"/>
        </w:rPr>
        <w:t xml:space="preserve">The Burlington </w:t>
      </w:r>
    </w:p>
    <w:p w14:paraId="607EEEB1" w14:textId="352369D7" w:rsidR="00CB23FD" w:rsidRPr="00CB23FD" w:rsidRDefault="00CB23FD" w:rsidP="00CB23FD">
      <w:pPr>
        <w:ind w:firstLine="720"/>
        <w:rPr>
          <w:sz w:val="22"/>
          <w:szCs w:val="22"/>
        </w:rPr>
      </w:pPr>
      <w:r w:rsidRPr="00CB23FD">
        <w:rPr>
          <w:i/>
          <w:iCs/>
          <w:sz w:val="22"/>
          <w:szCs w:val="22"/>
        </w:rPr>
        <w:t xml:space="preserve">Magazine </w:t>
      </w:r>
      <w:r w:rsidR="00B10E0F">
        <w:rPr>
          <w:i/>
          <w:iCs/>
          <w:sz w:val="22"/>
          <w:szCs w:val="22"/>
        </w:rPr>
        <w:t>f</w:t>
      </w:r>
      <w:r w:rsidRPr="00CB23FD">
        <w:rPr>
          <w:i/>
          <w:iCs/>
          <w:sz w:val="22"/>
          <w:szCs w:val="22"/>
        </w:rPr>
        <w:t>or Connoisseurs</w:t>
      </w:r>
      <w:r w:rsidRPr="00CB23FD">
        <w:rPr>
          <w:sz w:val="22"/>
          <w:szCs w:val="22"/>
        </w:rPr>
        <w:t>, 3.9 (1903), 237–51</w:t>
      </w:r>
    </w:p>
    <w:p w14:paraId="13EDA3A8" w14:textId="77777777" w:rsidR="007E62AF" w:rsidRDefault="007E62AF" w:rsidP="00195113">
      <w:pPr>
        <w:rPr>
          <w:sz w:val="22"/>
          <w:szCs w:val="22"/>
        </w:rPr>
      </w:pPr>
      <w:r>
        <w:rPr>
          <w:sz w:val="22"/>
          <w:szCs w:val="22"/>
        </w:rPr>
        <w:t>‘</w:t>
      </w:r>
      <w:r w:rsidRPr="007E62AF">
        <w:rPr>
          <w:sz w:val="22"/>
          <w:szCs w:val="22"/>
        </w:rPr>
        <w:t xml:space="preserve">Divination’, in </w:t>
      </w:r>
      <w:r w:rsidRPr="007E62AF">
        <w:rPr>
          <w:i/>
          <w:iCs/>
          <w:sz w:val="22"/>
          <w:szCs w:val="22"/>
        </w:rPr>
        <w:t>The Gutenberg Webster’s Unabridged Dictionary: Section D And E</w:t>
      </w:r>
      <w:r w:rsidRPr="007E62AF">
        <w:rPr>
          <w:sz w:val="22"/>
          <w:szCs w:val="22"/>
        </w:rPr>
        <w:t xml:space="preserve">, by Project </w:t>
      </w:r>
    </w:p>
    <w:p w14:paraId="37CBA4F8" w14:textId="1EAC315C" w:rsidR="007E62AF" w:rsidRPr="007E62AF" w:rsidRDefault="007E62AF" w:rsidP="007E62AF">
      <w:pPr>
        <w:ind w:firstLine="720"/>
        <w:rPr>
          <w:sz w:val="22"/>
          <w:szCs w:val="22"/>
        </w:rPr>
      </w:pPr>
      <w:r w:rsidRPr="007E62AF">
        <w:rPr>
          <w:sz w:val="22"/>
          <w:szCs w:val="22"/>
        </w:rPr>
        <w:t>Gutenberg and Noah Webster, (Project Gutenberg, 2015)</w:t>
      </w:r>
    </w:p>
    <w:p w14:paraId="5B0B9359" w14:textId="77777777" w:rsidR="00430839" w:rsidRDefault="00430839" w:rsidP="00195113">
      <w:pPr>
        <w:rPr>
          <w:color w:val="000000"/>
          <w:spacing w:val="-5"/>
          <w:sz w:val="22"/>
          <w:szCs w:val="22"/>
        </w:rPr>
      </w:pPr>
      <w:r w:rsidRPr="00430839">
        <w:rPr>
          <w:color w:val="000000"/>
          <w:spacing w:val="-5"/>
          <w:sz w:val="22"/>
          <w:szCs w:val="22"/>
        </w:rPr>
        <w:t>Erickson</w:t>
      </w:r>
      <w:r>
        <w:rPr>
          <w:color w:val="000000"/>
          <w:spacing w:val="-5"/>
          <w:sz w:val="22"/>
          <w:szCs w:val="22"/>
        </w:rPr>
        <w:t>, Victoria Lee</w:t>
      </w:r>
      <w:r w:rsidRPr="00430839">
        <w:rPr>
          <w:color w:val="000000"/>
          <w:spacing w:val="-5"/>
          <w:sz w:val="22"/>
          <w:szCs w:val="22"/>
        </w:rPr>
        <w:t xml:space="preserve">, ‘Back To The Basics: Feminist Social Theory, Durkheim and Religion’, </w:t>
      </w:r>
    </w:p>
    <w:p w14:paraId="4EDE1E84" w14:textId="5CD6B977" w:rsidR="00E60957" w:rsidRPr="00430839" w:rsidRDefault="00430839" w:rsidP="00430839">
      <w:pPr>
        <w:ind w:firstLine="720"/>
        <w:rPr>
          <w:sz w:val="22"/>
          <w:szCs w:val="22"/>
          <w:highlight w:val="yellow"/>
        </w:rPr>
      </w:pPr>
      <w:r w:rsidRPr="00430839">
        <w:rPr>
          <w:i/>
          <w:iCs/>
          <w:color w:val="000000"/>
          <w:spacing w:val="-5"/>
          <w:sz w:val="22"/>
          <w:szCs w:val="22"/>
        </w:rPr>
        <w:t>Journal of Feminist Studies in Religion</w:t>
      </w:r>
      <w:r w:rsidR="00E27DA2">
        <w:rPr>
          <w:i/>
          <w:iCs/>
          <w:color w:val="000000"/>
          <w:spacing w:val="-5"/>
          <w:sz w:val="22"/>
          <w:szCs w:val="22"/>
        </w:rPr>
        <w:t>,</w:t>
      </w:r>
      <w:r w:rsidRPr="00430839">
        <w:rPr>
          <w:color w:val="000000"/>
          <w:spacing w:val="-5"/>
          <w:sz w:val="22"/>
          <w:szCs w:val="22"/>
        </w:rPr>
        <w:t xml:space="preserve"> 8</w:t>
      </w:r>
      <w:r w:rsidR="00E27DA2">
        <w:rPr>
          <w:color w:val="000000"/>
          <w:spacing w:val="-5"/>
          <w:sz w:val="22"/>
          <w:szCs w:val="22"/>
        </w:rPr>
        <w:t>.</w:t>
      </w:r>
      <w:r w:rsidRPr="00430839">
        <w:rPr>
          <w:color w:val="000000"/>
          <w:spacing w:val="-5"/>
          <w:sz w:val="22"/>
          <w:szCs w:val="22"/>
        </w:rPr>
        <w:t>1 (1992), 35-46</w:t>
      </w:r>
    </w:p>
    <w:p w14:paraId="3D7FE250" w14:textId="63D457E8" w:rsidR="00FC5776" w:rsidRPr="00041D15" w:rsidRDefault="00FC5776" w:rsidP="00195113">
      <w:pPr>
        <w:rPr>
          <w:sz w:val="22"/>
          <w:szCs w:val="22"/>
          <w:highlight w:val="yellow"/>
        </w:rPr>
      </w:pPr>
      <w:r w:rsidRPr="00041D15">
        <w:rPr>
          <w:sz w:val="22"/>
          <w:szCs w:val="22"/>
        </w:rPr>
        <w:t xml:space="preserve">Farley, </w:t>
      </w:r>
      <w:r w:rsidR="006D0895" w:rsidRPr="00041D15">
        <w:rPr>
          <w:sz w:val="22"/>
          <w:szCs w:val="22"/>
        </w:rPr>
        <w:t xml:space="preserve">Helen, </w:t>
      </w:r>
      <w:r w:rsidRPr="00041D15">
        <w:rPr>
          <w:sz w:val="22"/>
          <w:szCs w:val="22"/>
        </w:rPr>
        <w:t xml:space="preserve">‘The Evolution Of The “Mother” In Tarot’, </w:t>
      </w:r>
      <w:r w:rsidRPr="00041D15">
        <w:rPr>
          <w:i/>
          <w:iCs/>
          <w:sz w:val="22"/>
          <w:szCs w:val="22"/>
        </w:rPr>
        <w:t>Hecate</w:t>
      </w:r>
      <w:r w:rsidRPr="00041D15">
        <w:rPr>
          <w:sz w:val="22"/>
          <w:szCs w:val="22"/>
        </w:rPr>
        <w:t>, 32.2 (2006), 68–</w:t>
      </w:r>
      <w:r w:rsidRPr="00041D15">
        <w:rPr>
          <w:sz w:val="22"/>
          <w:szCs w:val="22"/>
        </w:rPr>
        <w:t>87</w:t>
      </w:r>
    </w:p>
    <w:p w14:paraId="2F7999D2" w14:textId="77777777" w:rsidR="00607770" w:rsidRDefault="00717FF7" w:rsidP="00607770">
      <w:pPr>
        <w:rPr>
          <w:sz w:val="22"/>
          <w:szCs w:val="22"/>
        </w:rPr>
      </w:pPr>
      <w:r w:rsidRPr="001B6A3A">
        <w:rPr>
          <w:sz w:val="22"/>
          <w:szCs w:val="22"/>
        </w:rPr>
        <w:t>Galasso</w:t>
      </w:r>
      <w:r w:rsidRPr="001B6A3A">
        <w:rPr>
          <w:sz w:val="22"/>
          <w:szCs w:val="22"/>
        </w:rPr>
        <w:t>, Jennifer</w:t>
      </w:r>
      <w:r w:rsidRPr="001B6A3A">
        <w:rPr>
          <w:sz w:val="22"/>
          <w:szCs w:val="22"/>
        </w:rPr>
        <w:t xml:space="preserve">, </w:t>
      </w:r>
      <w:r w:rsidRPr="001B6A3A">
        <w:rPr>
          <w:i/>
          <w:iCs/>
          <w:sz w:val="22"/>
          <w:szCs w:val="22"/>
        </w:rPr>
        <w:t>Crystal Visions Tarot: The Tower</w:t>
      </w:r>
      <w:r w:rsidRPr="001B6A3A">
        <w:rPr>
          <w:sz w:val="22"/>
          <w:szCs w:val="22"/>
        </w:rPr>
        <w:t xml:space="preserve"> [</w:t>
      </w:r>
      <w:r w:rsidR="001B6A3A" w:rsidRPr="001B6A3A">
        <w:rPr>
          <w:sz w:val="22"/>
          <w:szCs w:val="22"/>
        </w:rPr>
        <w:t xml:space="preserve">Acrylic </w:t>
      </w:r>
      <w:r w:rsidRPr="001B6A3A">
        <w:rPr>
          <w:sz w:val="22"/>
          <w:szCs w:val="22"/>
        </w:rPr>
        <w:t>Paint</w:t>
      </w:r>
      <w:r w:rsidR="00857BB6">
        <w:rPr>
          <w:sz w:val="22"/>
          <w:szCs w:val="22"/>
        </w:rPr>
        <w:t xml:space="preserve"> and Ink</w:t>
      </w:r>
      <w:r w:rsidRPr="001B6A3A">
        <w:rPr>
          <w:sz w:val="22"/>
          <w:szCs w:val="22"/>
        </w:rPr>
        <w:t>] (2011</w:t>
      </w:r>
      <w:r w:rsidRPr="001B6A3A">
        <w:rPr>
          <w:sz w:val="22"/>
          <w:szCs w:val="22"/>
        </w:rPr>
        <w:t>,</w:t>
      </w:r>
      <w:r w:rsidRPr="001B6A3A">
        <w:rPr>
          <w:sz w:val="22"/>
          <w:szCs w:val="22"/>
        </w:rPr>
        <w:t xml:space="preserve"> U.S. Games </w:t>
      </w:r>
    </w:p>
    <w:p w14:paraId="41737EA8" w14:textId="670EE4E1" w:rsidR="00717FF7" w:rsidRPr="001B6A3A" w:rsidRDefault="00717FF7" w:rsidP="00607770">
      <w:pPr>
        <w:ind w:firstLine="720"/>
        <w:rPr>
          <w:sz w:val="22"/>
          <w:szCs w:val="22"/>
        </w:rPr>
      </w:pPr>
      <w:r w:rsidRPr="001B6A3A">
        <w:rPr>
          <w:sz w:val="22"/>
          <w:szCs w:val="22"/>
        </w:rPr>
        <w:t>Systems, Inc</w:t>
      </w:r>
      <w:r w:rsidRPr="001B6A3A">
        <w:rPr>
          <w:sz w:val="22"/>
          <w:szCs w:val="22"/>
        </w:rPr>
        <w:t>.)</w:t>
      </w:r>
    </w:p>
    <w:p w14:paraId="6F5DC092" w14:textId="20EF4F7F" w:rsidR="00DA2E4A" w:rsidRPr="007064E8" w:rsidRDefault="007064E8" w:rsidP="00717FF7">
      <w:pPr>
        <w:rPr>
          <w:sz w:val="22"/>
          <w:szCs w:val="22"/>
        </w:rPr>
      </w:pPr>
      <w:r w:rsidRPr="007064E8">
        <w:rPr>
          <w:sz w:val="22"/>
          <w:szCs w:val="22"/>
        </w:rPr>
        <w:t>Harris</w:t>
      </w:r>
      <w:r>
        <w:rPr>
          <w:sz w:val="22"/>
          <w:szCs w:val="22"/>
        </w:rPr>
        <w:t>, Lady Frieda</w:t>
      </w:r>
      <w:r w:rsidRPr="007064E8">
        <w:rPr>
          <w:sz w:val="22"/>
          <w:szCs w:val="22"/>
        </w:rPr>
        <w:t xml:space="preserve">, </w:t>
      </w:r>
      <w:r w:rsidRPr="007064E8">
        <w:rPr>
          <w:i/>
          <w:iCs/>
          <w:sz w:val="22"/>
          <w:szCs w:val="22"/>
        </w:rPr>
        <w:t xml:space="preserve">Thoth Tarot: The Star </w:t>
      </w:r>
      <w:r w:rsidRPr="007064E8">
        <w:rPr>
          <w:sz w:val="22"/>
          <w:szCs w:val="22"/>
        </w:rPr>
        <w:t>[Paint] (1944, Warburg Institute)</w:t>
      </w:r>
    </w:p>
    <w:p w14:paraId="327CCFE6" w14:textId="66C359ED" w:rsidR="00717FF7" w:rsidRDefault="00B03EAC" w:rsidP="00717FF7">
      <w:pPr>
        <w:rPr>
          <w:sz w:val="22"/>
          <w:szCs w:val="22"/>
        </w:rPr>
      </w:pPr>
      <w:r w:rsidRPr="00B03EAC">
        <w:rPr>
          <w:sz w:val="22"/>
          <w:szCs w:val="22"/>
        </w:rPr>
        <w:t>Hundley</w:t>
      </w:r>
      <w:r>
        <w:rPr>
          <w:sz w:val="22"/>
          <w:szCs w:val="22"/>
        </w:rPr>
        <w:t>, Jessica</w:t>
      </w:r>
      <w:r w:rsidRPr="00B03EAC">
        <w:rPr>
          <w:sz w:val="22"/>
          <w:szCs w:val="22"/>
        </w:rPr>
        <w:t xml:space="preserve">, </w:t>
      </w:r>
      <w:r w:rsidRPr="00B03EAC">
        <w:rPr>
          <w:i/>
          <w:iCs/>
          <w:sz w:val="22"/>
          <w:szCs w:val="22"/>
        </w:rPr>
        <w:t>The Library</w:t>
      </w:r>
      <w:r>
        <w:rPr>
          <w:i/>
          <w:iCs/>
          <w:sz w:val="22"/>
          <w:szCs w:val="22"/>
        </w:rPr>
        <w:t xml:space="preserve"> O</w:t>
      </w:r>
      <w:r w:rsidRPr="00B03EAC">
        <w:rPr>
          <w:i/>
          <w:iCs/>
          <w:sz w:val="22"/>
          <w:szCs w:val="22"/>
        </w:rPr>
        <w:t xml:space="preserve">f </w:t>
      </w:r>
      <w:r w:rsidRPr="00A97EC4">
        <w:rPr>
          <w:i/>
          <w:iCs/>
          <w:sz w:val="22"/>
          <w:szCs w:val="22"/>
        </w:rPr>
        <w:t>Esoterica: Tarot,</w:t>
      </w:r>
      <w:r w:rsidRPr="00A97EC4">
        <w:rPr>
          <w:sz w:val="22"/>
          <w:szCs w:val="22"/>
        </w:rPr>
        <w:t xml:space="preserve"> ed. by Jessica Hundley (Taschen, 2022), pp. </w:t>
      </w:r>
    </w:p>
    <w:p w14:paraId="529C3CB7" w14:textId="794079C0" w:rsidR="00B03EAC" w:rsidRPr="00717FF7" w:rsidRDefault="00B03EAC" w:rsidP="00717FF7">
      <w:pPr>
        <w:ind w:firstLine="720"/>
        <w:rPr>
          <w:i/>
          <w:iCs/>
          <w:sz w:val="22"/>
          <w:szCs w:val="22"/>
        </w:rPr>
      </w:pPr>
      <w:r w:rsidRPr="00A97EC4">
        <w:rPr>
          <w:sz w:val="22"/>
          <w:szCs w:val="22"/>
        </w:rPr>
        <w:t>10-19</w:t>
      </w:r>
    </w:p>
    <w:p w14:paraId="1294C9C0" w14:textId="77777777" w:rsidR="00A97EC4" w:rsidRDefault="00A97EC4" w:rsidP="00195113">
      <w:pPr>
        <w:rPr>
          <w:sz w:val="22"/>
          <w:szCs w:val="22"/>
        </w:rPr>
      </w:pPr>
      <w:proofErr w:type="spellStart"/>
      <w:r w:rsidRPr="00A97EC4">
        <w:rPr>
          <w:sz w:val="22"/>
          <w:szCs w:val="22"/>
        </w:rPr>
        <w:t>Janak</w:t>
      </w:r>
      <w:proofErr w:type="spellEnd"/>
      <w:r w:rsidRPr="00A97EC4">
        <w:rPr>
          <w:sz w:val="22"/>
          <w:szCs w:val="22"/>
        </w:rPr>
        <w:t>,</w:t>
      </w:r>
      <w:r>
        <w:rPr>
          <w:sz w:val="22"/>
          <w:szCs w:val="22"/>
        </w:rPr>
        <w:t xml:space="preserve"> Jiri,</w:t>
      </w:r>
      <w:r w:rsidRPr="00A97EC4">
        <w:rPr>
          <w:sz w:val="22"/>
          <w:szCs w:val="22"/>
        </w:rPr>
        <w:t xml:space="preserve"> “A Question Of Size. A Remark On Early Attestations Of The Ba Hieroglyph’, </w:t>
      </w:r>
    </w:p>
    <w:p w14:paraId="321BF797" w14:textId="710C7921" w:rsidR="00A97EC4" w:rsidRPr="00A97EC4" w:rsidRDefault="00A97EC4" w:rsidP="00A97EC4">
      <w:pPr>
        <w:ind w:firstLine="720"/>
        <w:rPr>
          <w:sz w:val="22"/>
          <w:szCs w:val="22"/>
          <w:highlight w:val="yellow"/>
        </w:rPr>
      </w:pPr>
      <w:proofErr w:type="spellStart"/>
      <w:r w:rsidRPr="00A97EC4">
        <w:rPr>
          <w:i/>
          <w:iCs/>
          <w:sz w:val="22"/>
          <w:szCs w:val="22"/>
        </w:rPr>
        <w:t>Studien</w:t>
      </w:r>
      <w:proofErr w:type="spellEnd"/>
      <w:r w:rsidRPr="00A97EC4">
        <w:rPr>
          <w:i/>
          <w:iCs/>
          <w:sz w:val="22"/>
          <w:szCs w:val="22"/>
        </w:rPr>
        <w:t xml:space="preserve"> </w:t>
      </w:r>
      <w:proofErr w:type="spellStart"/>
      <w:r w:rsidRPr="00A97EC4">
        <w:rPr>
          <w:i/>
          <w:iCs/>
          <w:sz w:val="22"/>
          <w:szCs w:val="22"/>
        </w:rPr>
        <w:t>Zur</w:t>
      </w:r>
      <w:proofErr w:type="spellEnd"/>
      <w:r w:rsidRPr="00A97EC4">
        <w:rPr>
          <w:i/>
          <w:iCs/>
          <w:sz w:val="22"/>
          <w:szCs w:val="22"/>
        </w:rPr>
        <w:t xml:space="preserve"> </w:t>
      </w:r>
      <w:proofErr w:type="spellStart"/>
      <w:r w:rsidRPr="00A97EC4">
        <w:rPr>
          <w:i/>
          <w:iCs/>
          <w:sz w:val="22"/>
          <w:szCs w:val="22"/>
        </w:rPr>
        <w:t>Altägyptischen</w:t>
      </w:r>
      <w:proofErr w:type="spellEnd"/>
      <w:r w:rsidRPr="00A97EC4">
        <w:rPr>
          <w:i/>
          <w:iCs/>
          <w:sz w:val="22"/>
          <w:szCs w:val="22"/>
        </w:rPr>
        <w:t xml:space="preserve"> Kultur</w:t>
      </w:r>
      <w:r w:rsidRPr="00A97EC4">
        <w:rPr>
          <w:sz w:val="22"/>
          <w:szCs w:val="22"/>
        </w:rPr>
        <w:t>, 40 (2011), 143–153</w:t>
      </w:r>
    </w:p>
    <w:p w14:paraId="0D3C60ED" w14:textId="29050AB6" w:rsidR="00FA074E" w:rsidRPr="00FA074E" w:rsidRDefault="00FA074E" w:rsidP="00195113">
      <w:pPr>
        <w:rPr>
          <w:sz w:val="22"/>
          <w:szCs w:val="22"/>
          <w:highlight w:val="yellow"/>
        </w:rPr>
      </w:pPr>
      <w:r w:rsidRPr="00B03EAC">
        <w:rPr>
          <w:color w:val="000000"/>
          <w:spacing w:val="-5"/>
          <w:sz w:val="22"/>
          <w:szCs w:val="22"/>
        </w:rPr>
        <w:t xml:space="preserve">Jay, </w:t>
      </w:r>
      <w:r w:rsidRPr="00B03EAC">
        <w:rPr>
          <w:color w:val="000000"/>
          <w:spacing w:val="-5"/>
          <w:sz w:val="22"/>
          <w:szCs w:val="22"/>
        </w:rPr>
        <w:t xml:space="preserve">Nancy, </w:t>
      </w:r>
      <w:r w:rsidRPr="00B03EAC">
        <w:rPr>
          <w:color w:val="000000"/>
          <w:spacing w:val="-5"/>
          <w:sz w:val="22"/>
          <w:szCs w:val="22"/>
        </w:rPr>
        <w:t xml:space="preserve">‘Gender And Dichotomy’, </w:t>
      </w:r>
      <w:r w:rsidRPr="00B03EAC">
        <w:rPr>
          <w:rStyle w:val="HTMLCite"/>
          <w:color w:val="000000"/>
          <w:spacing w:val="-5"/>
          <w:sz w:val="22"/>
          <w:szCs w:val="22"/>
        </w:rPr>
        <w:t>Feminist Studies</w:t>
      </w:r>
      <w:r w:rsidR="00E27DA2" w:rsidRPr="00B03EAC">
        <w:rPr>
          <w:rStyle w:val="HTMLCite"/>
          <w:color w:val="000000"/>
          <w:spacing w:val="-5"/>
          <w:sz w:val="22"/>
          <w:szCs w:val="22"/>
        </w:rPr>
        <w:t>,</w:t>
      </w:r>
      <w:r w:rsidRPr="00B03EAC">
        <w:rPr>
          <w:color w:val="000000"/>
          <w:spacing w:val="-5"/>
          <w:sz w:val="22"/>
          <w:szCs w:val="22"/>
        </w:rPr>
        <w:t xml:space="preserve"> 7</w:t>
      </w:r>
      <w:r w:rsidR="00E27DA2" w:rsidRPr="00B03EAC">
        <w:rPr>
          <w:color w:val="000000"/>
          <w:spacing w:val="-5"/>
          <w:sz w:val="22"/>
          <w:szCs w:val="22"/>
        </w:rPr>
        <w:t>.</w:t>
      </w:r>
      <w:r w:rsidRPr="00B03EAC">
        <w:rPr>
          <w:color w:val="000000"/>
          <w:spacing w:val="-5"/>
          <w:sz w:val="22"/>
          <w:szCs w:val="22"/>
        </w:rPr>
        <w:t>1 (1981), 38-</w:t>
      </w:r>
      <w:r w:rsidRPr="00FA074E">
        <w:rPr>
          <w:color w:val="000000"/>
          <w:spacing w:val="-5"/>
          <w:sz w:val="22"/>
          <w:szCs w:val="22"/>
        </w:rPr>
        <w:t>56</w:t>
      </w:r>
    </w:p>
    <w:p w14:paraId="4813DD2A" w14:textId="77777777" w:rsidR="0044758B" w:rsidRDefault="0044758B" w:rsidP="00195113">
      <w:pPr>
        <w:rPr>
          <w:i/>
          <w:iCs/>
          <w:sz w:val="22"/>
          <w:szCs w:val="22"/>
        </w:rPr>
      </w:pPr>
      <w:r w:rsidRPr="0044758B">
        <w:rPr>
          <w:sz w:val="22"/>
          <w:szCs w:val="22"/>
        </w:rPr>
        <w:t>Jorgensen</w:t>
      </w:r>
      <w:r>
        <w:rPr>
          <w:sz w:val="22"/>
          <w:szCs w:val="22"/>
        </w:rPr>
        <w:t>, Danny L.,</w:t>
      </w:r>
      <w:r w:rsidRPr="004D2880">
        <w:rPr>
          <w:sz w:val="22"/>
          <w:szCs w:val="22"/>
        </w:rPr>
        <w:t xml:space="preserve"> and Jorgensen</w:t>
      </w:r>
      <w:r w:rsidRPr="0044758B">
        <w:rPr>
          <w:sz w:val="22"/>
          <w:szCs w:val="22"/>
        </w:rPr>
        <w:t>,</w:t>
      </w:r>
      <w:r>
        <w:rPr>
          <w:sz w:val="22"/>
          <w:szCs w:val="22"/>
        </w:rPr>
        <w:t xml:space="preserve"> Lin,</w:t>
      </w:r>
      <w:r w:rsidRPr="004D2880">
        <w:rPr>
          <w:sz w:val="22"/>
          <w:szCs w:val="22"/>
        </w:rPr>
        <w:t xml:space="preserve"> </w:t>
      </w:r>
      <w:r w:rsidRPr="0044758B">
        <w:rPr>
          <w:sz w:val="22"/>
          <w:szCs w:val="22"/>
        </w:rPr>
        <w:t>‘</w:t>
      </w:r>
      <w:r w:rsidRPr="004D2880">
        <w:rPr>
          <w:sz w:val="22"/>
          <w:szCs w:val="22"/>
        </w:rPr>
        <w:t>Social Meanings of the Occult</w:t>
      </w:r>
      <w:r w:rsidRPr="0044758B">
        <w:rPr>
          <w:sz w:val="22"/>
          <w:szCs w:val="22"/>
        </w:rPr>
        <w:t>’,</w:t>
      </w:r>
      <w:r w:rsidRPr="004D2880">
        <w:rPr>
          <w:sz w:val="22"/>
          <w:szCs w:val="22"/>
        </w:rPr>
        <w:t xml:space="preserve"> </w:t>
      </w:r>
      <w:r w:rsidRPr="004D2880">
        <w:rPr>
          <w:i/>
          <w:iCs/>
          <w:sz w:val="22"/>
          <w:szCs w:val="22"/>
        </w:rPr>
        <w:t xml:space="preserve">The Sociological </w:t>
      </w:r>
    </w:p>
    <w:p w14:paraId="3B5F32D0" w14:textId="010AA274" w:rsidR="0044758B" w:rsidRDefault="0044758B" w:rsidP="0044758B">
      <w:pPr>
        <w:ind w:firstLine="720"/>
        <w:rPr>
          <w:sz w:val="22"/>
          <w:szCs w:val="22"/>
        </w:rPr>
      </w:pPr>
      <w:r w:rsidRPr="004D2880">
        <w:rPr>
          <w:i/>
          <w:iCs/>
          <w:sz w:val="22"/>
          <w:szCs w:val="22"/>
        </w:rPr>
        <w:t>Quarterly</w:t>
      </w:r>
      <w:r w:rsidRPr="004D2880">
        <w:rPr>
          <w:sz w:val="22"/>
          <w:szCs w:val="22"/>
        </w:rPr>
        <w:t>, 23</w:t>
      </w:r>
      <w:r w:rsidRPr="0044758B">
        <w:rPr>
          <w:sz w:val="22"/>
          <w:szCs w:val="22"/>
        </w:rPr>
        <w:t>.</w:t>
      </w:r>
      <w:r w:rsidRPr="004D2880">
        <w:rPr>
          <w:sz w:val="22"/>
          <w:szCs w:val="22"/>
        </w:rPr>
        <w:t>3</w:t>
      </w:r>
      <w:r w:rsidRPr="0044758B">
        <w:rPr>
          <w:sz w:val="22"/>
          <w:szCs w:val="22"/>
        </w:rPr>
        <w:t xml:space="preserve"> (</w:t>
      </w:r>
      <w:r w:rsidRPr="004D2880">
        <w:rPr>
          <w:sz w:val="22"/>
          <w:szCs w:val="22"/>
        </w:rPr>
        <w:t>1982</w:t>
      </w:r>
      <w:r w:rsidRPr="0044758B">
        <w:rPr>
          <w:sz w:val="22"/>
          <w:szCs w:val="22"/>
        </w:rPr>
        <w:t>)</w:t>
      </w:r>
      <w:r w:rsidRPr="004D2880">
        <w:rPr>
          <w:sz w:val="22"/>
          <w:szCs w:val="22"/>
        </w:rPr>
        <w:t>,</w:t>
      </w:r>
      <w:r w:rsidRPr="0044758B">
        <w:rPr>
          <w:sz w:val="22"/>
          <w:szCs w:val="22"/>
        </w:rPr>
        <w:t xml:space="preserve"> </w:t>
      </w:r>
      <w:r w:rsidRPr="004D2880">
        <w:rPr>
          <w:sz w:val="22"/>
          <w:szCs w:val="22"/>
        </w:rPr>
        <w:t>373–</w:t>
      </w:r>
      <w:r w:rsidRPr="0044758B">
        <w:rPr>
          <w:sz w:val="22"/>
          <w:szCs w:val="22"/>
        </w:rPr>
        <w:t>3</w:t>
      </w:r>
      <w:r w:rsidRPr="004D2880">
        <w:rPr>
          <w:sz w:val="22"/>
          <w:szCs w:val="22"/>
        </w:rPr>
        <w:t>89</w:t>
      </w:r>
    </w:p>
    <w:p w14:paraId="67E6EC52" w14:textId="77777777" w:rsidR="00280584" w:rsidRDefault="00280584" w:rsidP="00195113">
      <w:pPr>
        <w:rPr>
          <w:sz w:val="22"/>
          <w:szCs w:val="22"/>
        </w:rPr>
      </w:pPr>
      <w:r w:rsidRPr="00280584">
        <w:rPr>
          <w:sz w:val="22"/>
          <w:szCs w:val="22"/>
        </w:rPr>
        <w:t>Jung,</w:t>
      </w:r>
      <w:r>
        <w:rPr>
          <w:sz w:val="22"/>
          <w:szCs w:val="22"/>
        </w:rPr>
        <w:t xml:space="preserve"> C. G.,</w:t>
      </w:r>
      <w:r w:rsidRPr="00280584">
        <w:rPr>
          <w:sz w:val="22"/>
          <w:szCs w:val="22"/>
        </w:rPr>
        <w:t xml:space="preserve"> </w:t>
      </w:r>
      <w:r w:rsidRPr="00280584">
        <w:rPr>
          <w:i/>
          <w:iCs/>
          <w:sz w:val="22"/>
          <w:szCs w:val="22"/>
        </w:rPr>
        <w:t>The Archetypes Of The Collective Unconscious, Collected Works, Vol. 9</w:t>
      </w:r>
      <w:r w:rsidRPr="00280584">
        <w:rPr>
          <w:sz w:val="22"/>
          <w:szCs w:val="22"/>
        </w:rPr>
        <w:t xml:space="preserve">, (Princeton: </w:t>
      </w:r>
    </w:p>
    <w:p w14:paraId="341C0FA3" w14:textId="1ABF6F9E" w:rsidR="0044758B" w:rsidRDefault="00280584" w:rsidP="00280584">
      <w:pPr>
        <w:ind w:firstLine="720"/>
        <w:rPr>
          <w:sz w:val="22"/>
          <w:szCs w:val="22"/>
        </w:rPr>
      </w:pPr>
      <w:r w:rsidRPr="00280584">
        <w:rPr>
          <w:sz w:val="22"/>
          <w:szCs w:val="22"/>
        </w:rPr>
        <w:t>Princeton University Press, 1959)</w:t>
      </w:r>
    </w:p>
    <w:p w14:paraId="55ED4DA5" w14:textId="77777777" w:rsidR="00DE0236" w:rsidRDefault="00DE0236" w:rsidP="00DE0236">
      <w:pPr>
        <w:pStyle w:val="NormalWeb"/>
        <w:ind w:right="-334"/>
        <w:rPr>
          <w:rFonts w:ascii="Times New Roman" w:hAnsi="Times New Roman"/>
          <w:sz w:val="22"/>
          <w:szCs w:val="22"/>
        </w:rPr>
      </w:pPr>
      <w:r>
        <w:rPr>
          <w:rFonts w:ascii="Times New Roman" w:hAnsi="Times New Roman"/>
          <w:sz w:val="22"/>
          <w:szCs w:val="22"/>
        </w:rPr>
        <w:t>Luna, Bri</w:t>
      </w:r>
      <w:r w:rsidRPr="00620576">
        <w:rPr>
          <w:rFonts w:ascii="Times New Roman" w:hAnsi="Times New Roman"/>
          <w:sz w:val="22"/>
          <w:szCs w:val="22"/>
        </w:rPr>
        <w:t xml:space="preserve">, </w:t>
      </w:r>
      <w:r w:rsidRPr="00620576">
        <w:rPr>
          <w:rFonts w:ascii="Times New Roman" w:hAnsi="Times New Roman"/>
          <w:i/>
          <w:iCs/>
          <w:sz w:val="22"/>
          <w:szCs w:val="22"/>
        </w:rPr>
        <w:t>The Hoodwitch</w:t>
      </w:r>
      <w:r w:rsidRPr="00620576">
        <w:rPr>
          <w:rFonts w:ascii="Times New Roman" w:hAnsi="Times New Roman"/>
          <w:sz w:val="22"/>
          <w:szCs w:val="22"/>
        </w:rPr>
        <w:t xml:space="preserve"> (2018), </w:t>
      </w:r>
    </w:p>
    <w:p w14:paraId="0BC8855E" w14:textId="77777777" w:rsidR="00DE0236" w:rsidRDefault="00DE0236" w:rsidP="00DE0236">
      <w:pPr>
        <w:pStyle w:val="NormalWeb"/>
        <w:ind w:right="-334" w:firstLine="720"/>
        <w:rPr>
          <w:rFonts w:ascii="Times New Roman" w:hAnsi="Times New Roman"/>
          <w:sz w:val="22"/>
          <w:szCs w:val="22"/>
        </w:rPr>
      </w:pPr>
      <w:r w:rsidRPr="00620576">
        <w:rPr>
          <w:rFonts w:ascii="Times New Roman" w:hAnsi="Times New Roman"/>
          <w:sz w:val="22"/>
          <w:szCs w:val="22"/>
        </w:rPr>
        <w:t>&lt;https://www.thehoodwitch.com/blog/2018/2/20/dhmsrb0zmwecrvc4ota0n135ktw5l8&gt;</w:t>
      </w:r>
    </w:p>
    <w:p w14:paraId="26B11322" w14:textId="77777777" w:rsidR="00DE0236" w:rsidRPr="00620576" w:rsidRDefault="00DE0236" w:rsidP="00DE0236">
      <w:pPr>
        <w:pStyle w:val="NormalWeb"/>
        <w:ind w:left="720" w:right="-334"/>
        <w:rPr>
          <w:rFonts w:ascii="Times New Roman" w:hAnsi="Times New Roman"/>
          <w:sz w:val="22"/>
          <w:szCs w:val="22"/>
        </w:rPr>
      </w:pPr>
      <w:r w:rsidRPr="00620576">
        <w:rPr>
          <w:rFonts w:ascii="Times New Roman" w:hAnsi="Times New Roman"/>
          <w:sz w:val="22"/>
          <w:szCs w:val="22"/>
        </w:rPr>
        <w:t>[accessed 20 April 2023]</w:t>
      </w:r>
    </w:p>
    <w:p w14:paraId="0ED699B7" w14:textId="77777777" w:rsidR="00C75339" w:rsidRDefault="00C75339" w:rsidP="00C75339">
      <w:pPr>
        <w:rPr>
          <w:i/>
          <w:iCs/>
          <w:sz w:val="22"/>
          <w:szCs w:val="22"/>
        </w:rPr>
      </w:pPr>
      <w:r w:rsidRPr="00C75339">
        <w:rPr>
          <w:sz w:val="22"/>
          <w:szCs w:val="22"/>
        </w:rPr>
        <w:t>Malim,</w:t>
      </w:r>
      <w:r>
        <w:rPr>
          <w:sz w:val="22"/>
          <w:szCs w:val="22"/>
        </w:rPr>
        <w:t xml:space="preserve"> Caroline,</w:t>
      </w:r>
      <w:r w:rsidRPr="00C75339">
        <w:rPr>
          <w:sz w:val="22"/>
          <w:szCs w:val="22"/>
        </w:rPr>
        <w:t xml:space="preserve"> ‘As Above, So Below: St Melangell and the Celestial Journey’, in </w:t>
      </w:r>
      <w:r w:rsidRPr="00C75339">
        <w:rPr>
          <w:i/>
          <w:iCs/>
          <w:sz w:val="22"/>
          <w:szCs w:val="22"/>
        </w:rPr>
        <w:t>Lands of the</w:t>
      </w:r>
      <w:r>
        <w:rPr>
          <w:i/>
          <w:iCs/>
          <w:sz w:val="22"/>
          <w:szCs w:val="22"/>
        </w:rPr>
        <w:t xml:space="preserve"> </w:t>
      </w:r>
    </w:p>
    <w:p w14:paraId="4AB01B6F" w14:textId="59D3AA6D" w:rsidR="00C75339" w:rsidRPr="00C75339" w:rsidRDefault="00C75339" w:rsidP="00C75339">
      <w:pPr>
        <w:ind w:left="720"/>
        <w:rPr>
          <w:i/>
          <w:iCs/>
          <w:sz w:val="22"/>
          <w:szCs w:val="22"/>
        </w:rPr>
      </w:pPr>
      <w:r w:rsidRPr="00C75339">
        <w:rPr>
          <w:i/>
          <w:iCs/>
          <w:sz w:val="22"/>
          <w:szCs w:val="22"/>
        </w:rPr>
        <w:t>Shamans: Archaeology, Landscape and Cosmology</w:t>
      </w:r>
      <w:r w:rsidRPr="00C75339">
        <w:rPr>
          <w:sz w:val="22"/>
          <w:szCs w:val="22"/>
        </w:rPr>
        <w:t>, ed. by Dragoş Gheorghiu et al., (Oxbow Books, 2018), pp. 89–</w:t>
      </w:r>
      <w:r w:rsidRPr="00C75339">
        <w:rPr>
          <w:sz w:val="22"/>
          <w:szCs w:val="22"/>
        </w:rPr>
        <w:t>110</w:t>
      </w:r>
    </w:p>
    <w:p w14:paraId="66E208B7" w14:textId="77777777" w:rsidR="00F94037" w:rsidRDefault="00F94037" w:rsidP="00F94037">
      <w:pPr>
        <w:rPr>
          <w:sz w:val="22"/>
          <w:szCs w:val="22"/>
        </w:rPr>
      </w:pPr>
      <w:r w:rsidRPr="00F94037">
        <w:rPr>
          <w:sz w:val="22"/>
          <w:szCs w:val="22"/>
        </w:rPr>
        <w:t>Marin,</w:t>
      </w:r>
      <w:r>
        <w:rPr>
          <w:sz w:val="22"/>
          <w:szCs w:val="22"/>
        </w:rPr>
        <w:t xml:space="preserve"> Evvie,</w:t>
      </w:r>
      <w:r w:rsidRPr="00F94037">
        <w:rPr>
          <w:sz w:val="22"/>
          <w:szCs w:val="22"/>
        </w:rPr>
        <w:t xml:space="preserve"> </w:t>
      </w:r>
      <w:r w:rsidRPr="00F94037">
        <w:rPr>
          <w:i/>
          <w:iCs/>
          <w:sz w:val="22"/>
          <w:szCs w:val="22"/>
        </w:rPr>
        <w:t>Evvie Marin</w:t>
      </w:r>
      <w:r w:rsidRPr="00F94037">
        <w:rPr>
          <w:sz w:val="22"/>
          <w:szCs w:val="22"/>
        </w:rPr>
        <w:t xml:space="preserve"> (2015) &lt; https://www.evviemarin.com/black-ink&gt; [accessed 19 April </w:t>
      </w:r>
    </w:p>
    <w:p w14:paraId="53149FB0" w14:textId="08754301" w:rsidR="00F94037" w:rsidRPr="00F94037" w:rsidRDefault="00F94037" w:rsidP="00F94037">
      <w:pPr>
        <w:ind w:firstLine="720"/>
        <w:rPr>
          <w:sz w:val="22"/>
          <w:szCs w:val="22"/>
        </w:rPr>
      </w:pPr>
      <w:r w:rsidRPr="00F94037">
        <w:rPr>
          <w:sz w:val="22"/>
          <w:szCs w:val="22"/>
        </w:rPr>
        <w:t>2023]</w:t>
      </w:r>
    </w:p>
    <w:p w14:paraId="02F214D3" w14:textId="4506B765" w:rsidR="000D4F95" w:rsidRPr="000D4F95" w:rsidRDefault="000D4F95" w:rsidP="00195113">
      <w:pPr>
        <w:rPr>
          <w:sz w:val="22"/>
          <w:szCs w:val="22"/>
        </w:rPr>
      </w:pPr>
      <w:r w:rsidRPr="000D4F95">
        <w:rPr>
          <w:sz w:val="22"/>
          <w:szCs w:val="22"/>
        </w:rPr>
        <w:t>Marin,</w:t>
      </w:r>
      <w:r>
        <w:rPr>
          <w:sz w:val="22"/>
          <w:szCs w:val="22"/>
        </w:rPr>
        <w:t xml:space="preserve"> Evvie,</w:t>
      </w:r>
      <w:r w:rsidRPr="000D4F95">
        <w:rPr>
          <w:sz w:val="22"/>
          <w:szCs w:val="22"/>
        </w:rPr>
        <w:t xml:space="preserve"> </w:t>
      </w:r>
      <w:r w:rsidRPr="000D4F95">
        <w:rPr>
          <w:i/>
          <w:iCs/>
          <w:sz w:val="22"/>
          <w:szCs w:val="22"/>
        </w:rPr>
        <w:t>The Spirit Vertigo Tarot: The Tower</w:t>
      </w:r>
      <w:r w:rsidRPr="000D4F95">
        <w:rPr>
          <w:sz w:val="22"/>
          <w:szCs w:val="22"/>
        </w:rPr>
        <w:t xml:space="preserve"> [Black marker ink] (2015)</w:t>
      </w:r>
    </w:p>
    <w:p w14:paraId="03C7BCDE" w14:textId="77777777" w:rsidR="00607770" w:rsidRDefault="00607770" w:rsidP="00195113">
      <w:pPr>
        <w:rPr>
          <w:sz w:val="22"/>
          <w:szCs w:val="22"/>
        </w:rPr>
      </w:pPr>
      <w:r w:rsidRPr="00607770">
        <w:rPr>
          <w:sz w:val="22"/>
          <w:szCs w:val="22"/>
        </w:rPr>
        <w:t>Nichols,</w:t>
      </w:r>
      <w:r>
        <w:rPr>
          <w:sz w:val="22"/>
          <w:szCs w:val="22"/>
        </w:rPr>
        <w:t xml:space="preserve"> Sallie,</w:t>
      </w:r>
      <w:r w:rsidRPr="00607770">
        <w:rPr>
          <w:sz w:val="22"/>
          <w:szCs w:val="22"/>
        </w:rPr>
        <w:t xml:space="preserve"> </w:t>
      </w:r>
      <w:r w:rsidRPr="00607770">
        <w:rPr>
          <w:i/>
          <w:iCs/>
          <w:sz w:val="22"/>
          <w:szCs w:val="22"/>
        </w:rPr>
        <w:t>Jung And Tarot: An Archetypal Journey</w:t>
      </w:r>
      <w:r w:rsidRPr="00607770">
        <w:rPr>
          <w:sz w:val="22"/>
          <w:szCs w:val="22"/>
        </w:rPr>
        <w:t>, 3</w:t>
      </w:r>
      <w:r w:rsidRPr="00607770">
        <w:rPr>
          <w:sz w:val="22"/>
          <w:szCs w:val="22"/>
          <w:vertAlign w:val="superscript"/>
        </w:rPr>
        <w:t>rd</w:t>
      </w:r>
      <w:r w:rsidRPr="00607770">
        <w:rPr>
          <w:sz w:val="22"/>
          <w:szCs w:val="22"/>
        </w:rPr>
        <w:t xml:space="preserve"> edn. (Maine: Samuel Weiser, Inc., </w:t>
      </w:r>
    </w:p>
    <w:p w14:paraId="248D159D" w14:textId="20A5555C" w:rsidR="00607770" w:rsidRPr="00607770" w:rsidRDefault="00607770" w:rsidP="00607770">
      <w:pPr>
        <w:ind w:firstLine="720"/>
        <w:rPr>
          <w:sz w:val="22"/>
          <w:szCs w:val="22"/>
        </w:rPr>
      </w:pPr>
      <w:r w:rsidRPr="00607770">
        <w:rPr>
          <w:sz w:val="22"/>
          <w:szCs w:val="22"/>
        </w:rPr>
        <w:t>1987)</w:t>
      </w:r>
    </w:p>
    <w:p w14:paraId="0B6B93E5" w14:textId="77777777" w:rsidR="00CE394E" w:rsidRPr="00BD096E" w:rsidRDefault="00CE394E" w:rsidP="00195113">
      <w:pPr>
        <w:rPr>
          <w:sz w:val="22"/>
          <w:szCs w:val="22"/>
        </w:rPr>
      </w:pPr>
      <w:r w:rsidRPr="00BD096E">
        <w:rPr>
          <w:sz w:val="22"/>
          <w:szCs w:val="22"/>
        </w:rPr>
        <w:t xml:space="preserve">Place, </w:t>
      </w:r>
      <w:r w:rsidRPr="00BD096E">
        <w:rPr>
          <w:sz w:val="22"/>
          <w:szCs w:val="22"/>
        </w:rPr>
        <w:t xml:space="preserve">Robert M., </w:t>
      </w:r>
      <w:r w:rsidRPr="00BD096E">
        <w:rPr>
          <w:i/>
          <w:iCs/>
          <w:sz w:val="22"/>
          <w:szCs w:val="22"/>
        </w:rPr>
        <w:t>The Tarot: History, Symbolism, And Divination</w:t>
      </w:r>
      <w:r w:rsidRPr="00BD096E">
        <w:rPr>
          <w:sz w:val="22"/>
          <w:szCs w:val="22"/>
        </w:rPr>
        <w:t xml:space="preserve">, (Jeremey P. Tarcher/Penguin, </w:t>
      </w:r>
    </w:p>
    <w:p w14:paraId="51A6E92C" w14:textId="39157123" w:rsidR="00CE394E" w:rsidRPr="00BD096E" w:rsidRDefault="00CE394E" w:rsidP="00CE394E">
      <w:pPr>
        <w:ind w:firstLine="720"/>
        <w:rPr>
          <w:sz w:val="22"/>
          <w:szCs w:val="22"/>
        </w:rPr>
      </w:pPr>
      <w:r w:rsidRPr="00BD096E">
        <w:rPr>
          <w:sz w:val="22"/>
          <w:szCs w:val="22"/>
        </w:rPr>
        <w:t>2005)</w:t>
      </w:r>
    </w:p>
    <w:p w14:paraId="6EA844C1" w14:textId="6634F50A" w:rsidR="00BD096E" w:rsidRPr="00BD096E" w:rsidRDefault="00BD096E" w:rsidP="00195113">
      <w:pPr>
        <w:rPr>
          <w:sz w:val="22"/>
          <w:szCs w:val="22"/>
        </w:rPr>
      </w:pPr>
      <w:r w:rsidRPr="00BD096E">
        <w:rPr>
          <w:sz w:val="22"/>
          <w:szCs w:val="22"/>
        </w:rPr>
        <w:t>Pollack</w:t>
      </w:r>
      <w:r>
        <w:rPr>
          <w:sz w:val="22"/>
          <w:szCs w:val="22"/>
        </w:rPr>
        <w:t>, Rachel</w:t>
      </w:r>
      <w:r w:rsidRPr="00BD096E">
        <w:rPr>
          <w:sz w:val="22"/>
          <w:szCs w:val="22"/>
        </w:rPr>
        <w:t xml:space="preserve">, </w:t>
      </w:r>
      <w:r w:rsidRPr="00BD096E">
        <w:rPr>
          <w:i/>
          <w:iCs/>
          <w:sz w:val="22"/>
          <w:szCs w:val="22"/>
        </w:rPr>
        <w:t>Seventy-Eight Degrees of Wisdom: A Book Of Tarot</w:t>
      </w:r>
      <w:r w:rsidRPr="00BD096E">
        <w:rPr>
          <w:sz w:val="22"/>
          <w:szCs w:val="22"/>
        </w:rPr>
        <w:t>, 3</w:t>
      </w:r>
      <w:r w:rsidRPr="00BD096E">
        <w:rPr>
          <w:sz w:val="22"/>
          <w:szCs w:val="22"/>
          <w:vertAlign w:val="superscript"/>
        </w:rPr>
        <w:t>rd</w:t>
      </w:r>
      <w:r w:rsidRPr="00BD096E">
        <w:rPr>
          <w:sz w:val="22"/>
          <w:szCs w:val="22"/>
        </w:rPr>
        <w:t xml:space="preserve"> edn. (Thorsons, 1997)</w:t>
      </w:r>
    </w:p>
    <w:p w14:paraId="791EDB6E" w14:textId="77777777" w:rsidR="00607770" w:rsidRDefault="003D79FA" w:rsidP="00607770">
      <w:pPr>
        <w:rPr>
          <w:i/>
          <w:iCs/>
          <w:sz w:val="22"/>
          <w:szCs w:val="22"/>
        </w:rPr>
      </w:pPr>
      <w:r w:rsidRPr="00174F11">
        <w:rPr>
          <w:sz w:val="22"/>
          <w:szCs w:val="22"/>
        </w:rPr>
        <w:t>Rosenkranz</w:t>
      </w:r>
      <w:r w:rsidRPr="00174F11">
        <w:rPr>
          <w:sz w:val="22"/>
          <w:szCs w:val="22"/>
        </w:rPr>
        <w:t>, Karl,</w:t>
      </w:r>
      <w:r w:rsidRPr="00174F11">
        <w:rPr>
          <w:sz w:val="22"/>
          <w:szCs w:val="22"/>
        </w:rPr>
        <w:t xml:space="preserve"> and Brackett</w:t>
      </w:r>
      <w:r w:rsidRPr="00174F11">
        <w:rPr>
          <w:sz w:val="22"/>
          <w:szCs w:val="22"/>
        </w:rPr>
        <w:t>, Anna C.,</w:t>
      </w:r>
      <w:r w:rsidRPr="00174F11">
        <w:rPr>
          <w:sz w:val="22"/>
          <w:szCs w:val="22"/>
        </w:rPr>
        <w:t xml:space="preserve"> ‘THE SECOND PART OF FAUST’, </w:t>
      </w:r>
      <w:r w:rsidRPr="00174F11">
        <w:rPr>
          <w:i/>
          <w:iCs/>
          <w:sz w:val="22"/>
          <w:szCs w:val="22"/>
        </w:rPr>
        <w:t xml:space="preserve">The Journal of </w:t>
      </w:r>
    </w:p>
    <w:p w14:paraId="2C609095" w14:textId="0E65F96F" w:rsidR="003D79FA" w:rsidRPr="00607770" w:rsidRDefault="003D79FA" w:rsidP="00607770">
      <w:pPr>
        <w:ind w:firstLine="720"/>
        <w:rPr>
          <w:i/>
          <w:iCs/>
          <w:sz w:val="22"/>
          <w:szCs w:val="22"/>
        </w:rPr>
      </w:pPr>
      <w:r w:rsidRPr="00174F11">
        <w:rPr>
          <w:i/>
          <w:iCs/>
          <w:sz w:val="22"/>
          <w:szCs w:val="22"/>
        </w:rPr>
        <w:t>Speculative Philosophy</w:t>
      </w:r>
      <w:r w:rsidRPr="00174F11">
        <w:rPr>
          <w:sz w:val="22"/>
          <w:szCs w:val="22"/>
        </w:rPr>
        <w:t>, 11.2 (1877), 113–122</w:t>
      </w:r>
    </w:p>
    <w:p w14:paraId="04D67D71" w14:textId="77777777" w:rsidR="00B5517D" w:rsidRDefault="00B5517D" w:rsidP="00282319">
      <w:pPr>
        <w:rPr>
          <w:sz w:val="22"/>
          <w:szCs w:val="22"/>
        </w:rPr>
      </w:pPr>
      <w:r w:rsidRPr="00B5517D">
        <w:rPr>
          <w:sz w:val="22"/>
          <w:szCs w:val="22"/>
        </w:rPr>
        <w:t>Sagiv,</w:t>
      </w:r>
      <w:r>
        <w:rPr>
          <w:sz w:val="22"/>
          <w:szCs w:val="22"/>
        </w:rPr>
        <w:t xml:space="preserve"> Gadi,</w:t>
      </w:r>
      <w:r w:rsidRPr="00AC2D41">
        <w:rPr>
          <w:sz w:val="22"/>
          <w:szCs w:val="22"/>
        </w:rPr>
        <w:t xml:space="preserve"> </w:t>
      </w:r>
      <w:r w:rsidRPr="00B5517D">
        <w:rPr>
          <w:sz w:val="22"/>
          <w:szCs w:val="22"/>
        </w:rPr>
        <w:t>‘</w:t>
      </w:r>
      <w:r w:rsidRPr="00AC2D41">
        <w:rPr>
          <w:sz w:val="22"/>
          <w:szCs w:val="22"/>
        </w:rPr>
        <w:t xml:space="preserve">Dazzling Blue: Color Symbolism, Kabbalistic Myth, </w:t>
      </w:r>
      <w:r w:rsidRPr="00B5517D">
        <w:rPr>
          <w:sz w:val="22"/>
          <w:szCs w:val="22"/>
        </w:rPr>
        <w:t>A</w:t>
      </w:r>
      <w:r w:rsidRPr="00AC2D41">
        <w:rPr>
          <w:sz w:val="22"/>
          <w:szCs w:val="22"/>
        </w:rPr>
        <w:t xml:space="preserve">nd </w:t>
      </w:r>
      <w:r w:rsidRPr="00B5517D">
        <w:rPr>
          <w:sz w:val="22"/>
          <w:szCs w:val="22"/>
        </w:rPr>
        <w:t>T</w:t>
      </w:r>
      <w:r w:rsidRPr="00AC2D41">
        <w:rPr>
          <w:sz w:val="22"/>
          <w:szCs w:val="22"/>
        </w:rPr>
        <w:t xml:space="preserve">he Evil Eye </w:t>
      </w:r>
      <w:r w:rsidRPr="00B5517D">
        <w:rPr>
          <w:sz w:val="22"/>
          <w:szCs w:val="22"/>
        </w:rPr>
        <w:t>I</w:t>
      </w:r>
      <w:r w:rsidRPr="00AC2D41">
        <w:rPr>
          <w:sz w:val="22"/>
          <w:szCs w:val="22"/>
        </w:rPr>
        <w:t xml:space="preserve">n </w:t>
      </w:r>
    </w:p>
    <w:p w14:paraId="1FD5DF3E" w14:textId="11FACD21" w:rsidR="00B5517D" w:rsidRPr="00B5517D" w:rsidRDefault="00B5517D" w:rsidP="00B5517D">
      <w:pPr>
        <w:ind w:firstLine="720"/>
        <w:rPr>
          <w:sz w:val="22"/>
          <w:szCs w:val="22"/>
        </w:rPr>
      </w:pPr>
      <w:r w:rsidRPr="00AC2D41">
        <w:rPr>
          <w:sz w:val="22"/>
          <w:szCs w:val="22"/>
        </w:rPr>
        <w:lastRenderedPageBreak/>
        <w:t>Judaism</w:t>
      </w:r>
      <w:r w:rsidRPr="00B5517D">
        <w:rPr>
          <w:sz w:val="22"/>
          <w:szCs w:val="22"/>
        </w:rPr>
        <w:t xml:space="preserve">’, </w:t>
      </w:r>
      <w:r w:rsidR="00C75339" w:rsidRPr="00C75339">
        <w:rPr>
          <w:i/>
          <w:iCs/>
          <w:sz w:val="22"/>
          <w:szCs w:val="22"/>
        </w:rPr>
        <w:t>Numen</w:t>
      </w:r>
      <w:r w:rsidR="00C75339">
        <w:rPr>
          <w:sz w:val="22"/>
          <w:szCs w:val="22"/>
        </w:rPr>
        <w:t xml:space="preserve">, </w:t>
      </w:r>
      <w:r w:rsidRPr="00AC2D41">
        <w:rPr>
          <w:sz w:val="22"/>
          <w:szCs w:val="22"/>
        </w:rPr>
        <w:t>64</w:t>
      </w:r>
      <w:r w:rsidRPr="00B5517D">
        <w:rPr>
          <w:sz w:val="22"/>
          <w:szCs w:val="22"/>
        </w:rPr>
        <w:t>.</w:t>
      </w:r>
      <w:r w:rsidRPr="00AC2D41">
        <w:rPr>
          <w:sz w:val="22"/>
          <w:szCs w:val="22"/>
        </w:rPr>
        <w:t xml:space="preserve">2/3 </w:t>
      </w:r>
      <w:r w:rsidRPr="00B5517D">
        <w:rPr>
          <w:sz w:val="22"/>
          <w:szCs w:val="22"/>
        </w:rPr>
        <w:t>(</w:t>
      </w:r>
      <w:r w:rsidRPr="00AC2D41">
        <w:rPr>
          <w:sz w:val="22"/>
          <w:szCs w:val="22"/>
        </w:rPr>
        <w:t>2017</w:t>
      </w:r>
      <w:r w:rsidRPr="00B5517D">
        <w:rPr>
          <w:sz w:val="22"/>
          <w:szCs w:val="22"/>
        </w:rPr>
        <w:t>)</w:t>
      </w:r>
      <w:r w:rsidRPr="00AC2D41">
        <w:rPr>
          <w:sz w:val="22"/>
          <w:szCs w:val="22"/>
        </w:rPr>
        <w:t>,</w:t>
      </w:r>
      <w:r w:rsidRPr="00B5517D">
        <w:rPr>
          <w:sz w:val="22"/>
          <w:szCs w:val="22"/>
        </w:rPr>
        <w:t xml:space="preserve"> </w:t>
      </w:r>
      <w:r w:rsidRPr="00AC2D41">
        <w:rPr>
          <w:sz w:val="22"/>
          <w:szCs w:val="22"/>
        </w:rPr>
        <w:t>183–208</w:t>
      </w:r>
    </w:p>
    <w:p w14:paraId="05AB038B" w14:textId="0CB3A066" w:rsidR="00726166" w:rsidRPr="00726166" w:rsidRDefault="00726166" w:rsidP="00282319">
      <w:pPr>
        <w:rPr>
          <w:sz w:val="22"/>
          <w:szCs w:val="22"/>
        </w:rPr>
      </w:pPr>
      <w:r w:rsidRPr="00726166">
        <w:rPr>
          <w:sz w:val="22"/>
          <w:szCs w:val="22"/>
        </w:rPr>
        <w:t xml:space="preserve">S. A. S., </w:t>
      </w:r>
      <w:r w:rsidRPr="00726166">
        <w:rPr>
          <w:i/>
          <w:iCs/>
          <w:sz w:val="22"/>
          <w:szCs w:val="22"/>
        </w:rPr>
        <w:t>The Review of Metaphysics</w:t>
      </w:r>
      <w:r w:rsidRPr="00726166">
        <w:rPr>
          <w:sz w:val="22"/>
          <w:szCs w:val="22"/>
        </w:rPr>
        <w:t>, 23.2 (1969), 348–348</w:t>
      </w:r>
    </w:p>
    <w:p w14:paraId="23EE7F9B" w14:textId="77777777" w:rsidR="00670492" w:rsidRDefault="00670492" w:rsidP="00282319">
      <w:pPr>
        <w:rPr>
          <w:sz w:val="22"/>
          <w:szCs w:val="22"/>
        </w:rPr>
      </w:pPr>
      <w:proofErr w:type="spellStart"/>
      <w:r w:rsidRPr="00670492">
        <w:rPr>
          <w:sz w:val="22"/>
          <w:szCs w:val="22"/>
        </w:rPr>
        <w:t>Shefer</w:t>
      </w:r>
      <w:proofErr w:type="spellEnd"/>
      <w:r>
        <w:rPr>
          <w:sz w:val="22"/>
          <w:szCs w:val="22"/>
        </w:rPr>
        <w:t>, Elaine</w:t>
      </w:r>
      <w:r w:rsidRPr="00670492">
        <w:rPr>
          <w:sz w:val="22"/>
          <w:szCs w:val="22"/>
        </w:rPr>
        <w:t xml:space="preserve">, “The ‘Bird In The Cage’ In The History Of Sexuality: Sir John Everett Millais </w:t>
      </w:r>
    </w:p>
    <w:p w14:paraId="1E9C15CC" w14:textId="0FA21C07" w:rsidR="00670492" w:rsidRPr="00670492" w:rsidRDefault="00670492" w:rsidP="00670492">
      <w:pPr>
        <w:ind w:firstLine="720"/>
        <w:rPr>
          <w:sz w:val="22"/>
          <w:szCs w:val="22"/>
        </w:rPr>
      </w:pPr>
      <w:r w:rsidRPr="00670492">
        <w:rPr>
          <w:sz w:val="22"/>
          <w:szCs w:val="22"/>
        </w:rPr>
        <w:t xml:space="preserve">And William Holman Hunt’, </w:t>
      </w:r>
      <w:r w:rsidRPr="00670492">
        <w:rPr>
          <w:i/>
          <w:iCs/>
          <w:sz w:val="22"/>
          <w:szCs w:val="22"/>
        </w:rPr>
        <w:t>Journal of the History of Sexuality</w:t>
      </w:r>
      <w:r w:rsidRPr="00670492">
        <w:rPr>
          <w:sz w:val="22"/>
          <w:szCs w:val="22"/>
        </w:rPr>
        <w:t>, 1.3 (1991), 446–480</w:t>
      </w:r>
    </w:p>
    <w:p w14:paraId="764C196A" w14:textId="668CD5CC" w:rsidR="001659DB" w:rsidRDefault="001659DB" w:rsidP="00282319">
      <w:pPr>
        <w:rPr>
          <w:sz w:val="22"/>
          <w:szCs w:val="22"/>
        </w:rPr>
      </w:pPr>
      <w:r w:rsidRPr="001659DB">
        <w:rPr>
          <w:sz w:val="22"/>
          <w:szCs w:val="22"/>
        </w:rPr>
        <w:t>Sims,</w:t>
      </w:r>
      <w:r w:rsidRPr="00467A83">
        <w:rPr>
          <w:sz w:val="22"/>
          <w:szCs w:val="22"/>
        </w:rPr>
        <w:t xml:space="preserve"> </w:t>
      </w:r>
      <w:r w:rsidR="00607770">
        <w:rPr>
          <w:sz w:val="22"/>
          <w:szCs w:val="22"/>
        </w:rPr>
        <w:t xml:space="preserve">Lionel, </w:t>
      </w:r>
      <w:r w:rsidRPr="001659DB">
        <w:rPr>
          <w:sz w:val="22"/>
          <w:szCs w:val="22"/>
        </w:rPr>
        <w:t>‘</w:t>
      </w:r>
      <w:r w:rsidRPr="00467A83">
        <w:rPr>
          <w:sz w:val="22"/>
          <w:szCs w:val="22"/>
        </w:rPr>
        <w:t xml:space="preserve">30b – </w:t>
      </w:r>
      <w:r w:rsidRPr="001659DB">
        <w:rPr>
          <w:sz w:val="22"/>
          <w:szCs w:val="22"/>
        </w:rPr>
        <w:t>T</w:t>
      </w:r>
      <w:r w:rsidRPr="00467A83">
        <w:rPr>
          <w:sz w:val="22"/>
          <w:szCs w:val="22"/>
        </w:rPr>
        <w:t xml:space="preserve">he West Kennet Avenue Stone That Never Was: Interpretation </w:t>
      </w:r>
      <w:r w:rsidRPr="001659DB">
        <w:rPr>
          <w:sz w:val="22"/>
          <w:szCs w:val="22"/>
        </w:rPr>
        <w:t>B</w:t>
      </w:r>
      <w:r w:rsidRPr="00467A83">
        <w:rPr>
          <w:sz w:val="22"/>
          <w:szCs w:val="22"/>
        </w:rPr>
        <w:t xml:space="preserve">y </w:t>
      </w:r>
    </w:p>
    <w:p w14:paraId="34AB5178" w14:textId="6077F0F7" w:rsidR="001659DB" w:rsidRPr="001659DB" w:rsidRDefault="001659DB" w:rsidP="001659DB">
      <w:pPr>
        <w:ind w:left="720"/>
        <w:rPr>
          <w:sz w:val="22"/>
          <w:szCs w:val="22"/>
        </w:rPr>
      </w:pPr>
      <w:r w:rsidRPr="00467A83">
        <w:rPr>
          <w:sz w:val="22"/>
          <w:szCs w:val="22"/>
        </w:rPr>
        <w:t xml:space="preserve">Multidisciplinary Triangulation </w:t>
      </w:r>
      <w:r w:rsidRPr="001659DB">
        <w:rPr>
          <w:sz w:val="22"/>
          <w:szCs w:val="22"/>
        </w:rPr>
        <w:t>A</w:t>
      </w:r>
      <w:r w:rsidRPr="00467A83">
        <w:rPr>
          <w:sz w:val="22"/>
          <w:szCs w:val="22"/>
        </w:rPr>
        <w:t xml:space="preserve">nd Emergence </w:t>
      </w:r>
      <w:r w:rsidRPr="001659DB">
        <w:rPr>
          <w:sz w:val="22"/>
          <w:szCs w:val="22"/>
        </w:rPr>
        <w:t>T</w:t>
      </w:r>
      <w:r w:rsidRPr="00467A83">
        <w:rPr>
          <w:sz w:val="22"/>
          <w:szCs w:val="22"/>
        </w:rPr>
        <w:t>hrough Four Field Anthropology</w:t>
      </w:r>
      <w:r w:rsidRPr="001659DB">
        <w:rPr>
          <w:sz w:val="22"/>
          <w:szCs w:val="22"/>
        </w:rPr>
        <w:t>’, in</w:t>
      </w:r>
      <w:r w:rsidRPr="00467A83">
        <w:rPr>
          <w:sz w:val="22"/>
          <w:szCs w:val="22"/>
        </w:rPr>
        <w:t xml:space="preserve"> </w:t>
      </w:r>
      <w:r w:rsidRPr="00467A83">
        <w:rPr>
          <w:i/>
          <w:iCs/>
          <w:sz w:val="22"/>
          <w:szCs w:val="22"/>
        </w:rPr>
        <w:t>Skyscapes:</w:t>
      </w:r>
      <w:r w:rsidRPr="001659DB">
        <w:rPr>
          <w:i/>
          <w:iCs/>
          <w:sz w:val="22"/>
          <w:szCs w:val="22"/>
        </w:rPr>
        <w:t xml:space="preserve"> </w:t>
      </w:r>
      <w:r w:rsidRPr="00467A83">
        <w:rPr>
          <w:i/>
          <w:iCs/>
          <w:sz w:val="22"/>
          <w:szCs w:val="22"/>
        </w:rPr>
        <w:t>The Role and Importance of the Sky in Archaeology</w:t>
      </w:r>
      <w:r w:rsidRPr="00467A83">
        <w:rPr>
          <w:sz w:val="22"/>
          <w:szCs w:val="22"/>
        </w:rPr>
        <w:t>, ed</w:t>
      </w:r>
      <w:r w:rsidRPr="001659DB">
        <w:rPr>
          <w:sz w:val="22"/>
          <w:szCs w:val="22"/>
        </w:rPr>
        <w:t>.</w:t>
      </w:r>
      <w:r w:rsidRPr="00467A83">
        <w:rPr>
          <w:sz w:val="22"/>
          <w:szCs w:val="22"/>
        </w:rPr>
        <w:t xml:space="preserve"> by Fabio Silva and Nicholas Campion, </w:t>
      </w:r>
      <w:r w:rsidRPr="001659DB">
        <w:rPr>
          <w:sz w:val="22"/>
          <w:szCs w:val="22"/>
        </w:rPr>
        <w:t>(</w:t>
      </w:r>
      <w:r w:rsidRPr="00467A83">
        <w:rPr>
          <w:sz w:val="22"/>
          <w:szCs w:val="22"/>
        </w:rPr>
        <w:t>Oxbow Books, 2015</w:t>
      </w:r>
      <w:r w:rsidRPr="001659DB">
        <w:rPr>
          <w:sz w:val="22"/>
          <w:szCs w:val="22"/>
        </w:rPr>
        <w:t>)</w:t>
      </w:r>
      <w:r w:rsidRPr="00467A83">
        <w:rPr>
          <w:sz w:val="22"/>
          <w:szCs w:val="22"/>
        </w:rPr>
        <w:t>, pp. 42–58</w:t>
      </w:r>
    </w:p>
    <w:p w14:paraId="764F5288" w14:textId="7548D0F0" w:rsidR="002753A1" w:rsidRPr="002753A1" w:rsidRDefault="002753A1" w:rsidP="00282319">
      <w:pPr>
        <w:rPr>
          <w:sz w:val="22"/>
          <w:szCs w:val="22"/>
        </w:rPr>
      </w:pPr>
      <w:r w:rsidRPr="002753A1">
        <w:rPr>
          <w:sz w:val="22"/>
          <w:szCs w:val="22"/>
        </w:rPr>
        <w:t>Smith,</w:t>
      </w:r>
      <w:r>
        <w:rPr>
          <w:sz w:val="22"/>
          <w:szCs w:val="22"/>
        </w:rPr>
        <w:t xml:space="preserve"> Pamela Colman,</w:t>
      </w:r>
      <w:r w:rsidRPr="002753A1">
        <w:rPr>
          <w:sz w:val="22"/>
          <w:szCs w:val="22"/>
        </w:rPr>
        <w:t xml:space="preserve"> </w:t>
      </w:r>
      <w:r w:rsidRPr="002753A1">
        <w:rPr>
          <w:i/>
          <w:iCs/>
          <w:sz w:val="22"/>
          <w:szCs w:val="22"/>
        </w:rPr>
        <w:t xml:space="preserve">The Star </w:t>
      </w:r>
      <w:r w:rsidRPr="002753A1">
        <w:rPr>
          <w:sz w:val="22"/>
          <w:szCs w:val="22"/>
        </w:rPr>
        <w:t>[Illustration] (1909, U.S. Games Systems)</w:t>
      </w:r>
    </w:p>
    <w:p w14:paraId="4F9A28DE" w14:textId="256B7AC7" w:rsidR="00174F11" w:rsidRDefault="00174F11" w:rsidP="00282319">
      <w:pPr>
        <w:rPr>
          <w:sz w:val="22"/>
          <w:szCs w:val="22"/>
        </w:rPr>
      </w:pPr>
      <w:r w:rsidRPr="00174F11">
        <w:rPr>
          <w:sz w:val="22"/>
          <w:szCs w:val="22"/>
        </w:rPr>
        <w:t>Smith</w:t>
      </w:r>
      <w:r>
        <w:rPr>
          <w:sz w:val="22"/>
          <w:szCs w:val="22"/>
        </w:rPr>
        <w:t>, Pamela Colman</w:t>
      </w:r>
      <w:r w:rsidRPr="00174F11">
        <w:rPr>
          <w:sz w:val="22"/>
          <w:szCs w:val="22"/>
        </w:rPr>
        <w:t xml:space="preserve">, </w:t>
      </w:r>
      <w:r w:rsidRPr="00174F11">
        <w:rPr>
          <w:i/>
          <w:iCs/>
          <w:sz w:val="22"/>
          <w:szCs w:val="22"/>
        </w:rPr>
        <w:t xml:space="preserve">The Tower </w:t>
      </w:r>
      <w:r w:rsidRPr="00174F11">
        <w:rPr>
          <w:sz w:val="22"/>
          <w:szCs w:val="22"/>
        </w:rPr>
        <w:t>[Illustration] (1909, U.S. Games Systems)</w:t>
      </w:r>
    </w:p>
    <w:p w14:paraId="077B65F3" w14:textId="681EA9EF" w:rsidR="00282319" w:rsidRDefault="00282319" w:rsidP="00282319">
      <w:pPr>
        <w:rPr>
          <w:i/>
          <w:iCs/>
          <w:sz w:val="22"/>
          <w:szCs w:val="22"/>
        </w:rPr>
      </w:pPr>
      <w:r w:rsidRPr="004C4BE4">
        <w:rPr>
          <w:sz w:val="22"/>
          <w:szCs w:val="22"/>
        </w:rPr>
        <w:t>Sosteric</w:t>
      </w:r>
      <w:r w:rsidRPr="003D79FA">
        <w:rPr>
          <w:sz w:val="22"/>
          <w:szCs w:val="22"/>
        </w:rPr>
        <w:t>, Mike</w:t>
      </w:r>
      <w:r w:rsidRPr="004C4BE4">
        <w:rPr>
          <w:sz w:val="22"/>
          <w:szCs w:val="22"/>
        </w:rPr>
        <w:t xml:space="preserve">, </w:t>
      </w:r>
      <w:r w:rsidRPr="003D79FA">
        <w:rPr>
          <w:sz w:val="22"/>
          <w:szCs w:val="22"/>
        </w:rPr>
        <w:t>‘</w:t>
      </w:r>
      <w:r w:rsidRPr="004C4BE4">
        <w:rPr>
          <w:sz w:val="22"/>
          <w:szCs w:val="22"/>
        </w:rPr>
        <w:t xml:space="preserve">A Sociology </w:t>
      </w:r>
      <w:r w:rsidRPr="00282319">
        <w:rPr>
          <w:sz w:val="22"/>
          <w:szCs w:val="22"/>
        </w:rPr>
        <w:t>O</w:t>
      </w:r>
      <w:r w:rsidRPr="004C4BE4">
        <w:rPr>
          <w:sz w:val="22"/>
          <w:szCs w:val="22"/>
        </w:rPr>
        <w:t>f Tarot</w:t>
      </w:r>
      <w:r w:rsidRPr="00282319">
        <w:rPr>
          <w:sz w:val="22"/>
          <w:szCs w:val="22"/>
        </w:rPr>
        <w:t>’,</w:t>
      </w:r>
      <w:r w:rsidRPr="004C4BE4">
        <w:rPr>
          <w:sz w:val="22"/>
          <w:szCs w:val="22"/>
        </w:rPr>
        <w:t xml:space="preserve"> </w:t>
      </w:r>
      <w:r w:rsidRPr="004C4BE4">
        <w:rPr>
          <w:i/>
          <w:iCs/>
          <w:sz w:val="22"/>
          <w:szCs w:val="22"/>
        </w:rPr>
        <w:t xml:space="preserve">The Canadian Journal of Sociology / Cahiers Canadiens </w:t>
      </w:r>
    </w:p>
    <w:p w14:paraId="1B1A6F63" w14:textId="3353A1A6" w:rsidR="00282319" w:rsidRPr="00282319" w:rsidRDefault="00282319" w:rsidP="00282319">
      <w:pPr>
        <w:ind w:firstLine="720"/>
        <w:rPr>
          <w:sz w:val="22"/>
          <w:szCs w:val="22"/>
        </w:rPr>
      </w:pPr>
      <w:r w:rsidRPr="004C4BE4">
        <w:rPr>
          <w:i/>
          <w:iCs/>
          <w:sz w:val="22"/>
          <w:szCs w:val="22"/>
        </w:rPr>
        <w:t>de Sociologie</w:t>
      </w:r>
      <w:r w:rsidRPr="004C4BE4">
        <w:rPr>
          <w:sz w:val="22"/>
          <w:szCs w:val="22"/>
        </w:rPr>
        <w:t>, 39</w:t>
      </w:r>
      <w:r w:rsidRPr="00282319">
        <w:rPr>
          <w:sz w:val="22"/>
          <w:szCs w:val="22"/>
        </w:rPr>
        <w:t>.</w:t>
      </w:r>
      <w:r w:rsidRPr="004C4BE4">
        <w:rPr>
          <w:sz w:val="22"/>
          <w:szCs w:val="22"/>
        </w:rPr>
        <w:t>3</w:t>
      </w:r>
      <w:r w:rsidRPr="00282319">
        <w:rPr>
          <w:sz w:val="22"/>
          <w:szCs w:val="22"/>
        </w:rPr>
        <w:t xml:space="preserve"> (</w:t>
      </w:r>
      <w:r w:rsidRPr="004C4BE4">
        <w:rPr>
          <w:sz w:val="22"/>
          <w:szCs w:val="22"/>
        </w:rPr>
        <w:t>2014</w:t>
      </w:r>
      <w:r w:rsidRPr="00282319">
        <w:rPr>
          <w:sz w:val="22"/>
          <w:szCs w:val="22"/>
        </w:rPr>
        <w:t>)</w:t>
      </w:r>
      <w:r w:rsidRPr="004C4BE4">
        <w:rPr>
          <w:sz w:val="22"/>
          <w:szCs w:val="22"/>
        </w:rPr>
        <w:t>, 357–</w:t>
      </w:r>
      <w:r w:rsidR="0044758B">
        <w:rPr>
          <w:sz w:val="22"/>
          <w:szCs w:val="22"/>
        </w:rPr>
        <w:t>3</w:t>
      </w:r>
      <w:r w:rsidRPr="004C4BE4">
        <w:rPr>
          <w:sz w:val="22"/>
          <w:szCs w:val="22"/>
        </w:rPr>
        <w:t>92</w:t>
      </w:r>
    </w:p>
    <w:p w14:paraId="46A853FE" w14:textId="4B52CAEC" w:rsidR="007F48FD" w:rsidRPr="007F48FD" w:rsidRDefault="007F48FD">
      <w:pPr>
        <w:pStyle w:val="NormalWeb"/>
        <w:ind w:right="-334"/>
        <w:rPr>
          <w:rFonts w:ascii="Times New Roman" w:hAnsi="Times New Roman"/>
          <w:sz w:val="22"/>
          <w:szCs w:val="22"/>
        </w:rPr>
      </w:pPr>
      <w:r w:rsidRPr="007F48FD">
        <w:rPr>
          <w:rFonts w:ascii="Times New Roman" w:hAnsi="Times New Roman"/>
          <w:sz w:val="22"/>
          <w:szCs w:val="22"/>
        </w:rPr>
        <w:t xml:space="preserve">Starhawk, </w:t>
      </w:r>
      <w:r w:rsidRPr="007F48FD">
        <w:rPr>
          <w:rFonts w:ascii="Times New Roman" w:hAnsi="Times New Roman"/>
          <w:i/>
          <w:iCs/>
          <w:sz w:val="22"/>
          <w:szCs w:val="22"/>
        </w:rPr>
        <w:t>The Spiral Dance</w:t>
      </w:r>
      <w:r w:rsidRPr="007F48FD">
        <w:rPr>
          <w:rFonts w:ascii="Times New Roman" w:hAnsi="Times New Roman"/>
          <w:sz w:val="22"/>
          <w:szCs w:val="22"/>
        </w:rPr>
        <w:t>, 20</w:t>
      </w:r>
      <w:r w:rsidRPr="007F48FD">
        <w:rPr>
          <w:rFonts w:ascii="Times New Roman" w:hAnsi="Times New Roman"/>
          <w:sz w:val="22"/>
          <w:szCs w:val="22"/>
          <w:vertAlign w:val="superscript"/>
        </w:rPr>
        <w:t>th</w:t>
      </w:r>
      <w:r w:rsidRPr="007F48FD">
        <w:rPr>
          <w:rFonts w:ascii="Times New Roman" w:hAnsi="Times New Roman"/>
          <w:sz w:val="22"/>
          <w:szCs w:val="22"/>
        </w:rPr>
        <w:t xml:space="preserve"> Anniversary edn. (Harper San Francisco, 1999</w:t>
      </w:r>
      <w:r>
        <w:rPr>
          <w:rFonts w:ascii="Times New Roman" w:hAnsi="Times New Roman"/>
          <w:sz w:val="22"/>
          <w:szCs w:val="22"/>
        </w:rPr>
        <w:t>)</w:t>
      </w:r>
    </w:p>
    <w:p w14:paraId="59644772" w14:textId="77777777" w:rsidR="0058152D" w:rsidRDefault="0058152D">
      <w:pPr>
        <w:pStyle w:val="NormalWeb"/>
        <w:ind w:right="-334"/>
        <w:rPr>
          <w:rFonts w:ascii="Times New Roman" w:hAnsi="Times New Roman"/>
          <w:sz w:val="22"/>
          <w:szCs w:val="22"/>
        </w:rPr>
      </w:pPr>
      <w:r w:rsidRPr="0058152D">
        <w:rPr>
          <w:rFonts w:ascii="Times New Roman" w:hAnsi="Times New Roman"/>
          <w:sz w:val="22"/>
          <w:szCs w:val="22"/>
        </w:rPr>
        <w:t>Stevenson,</w:t>
      </w:r>
      <w:r>
        <w:rPr>
          <w:rFonts w:ascii="Times New Roman" w:hAnsi="Times New Roman"/>
          <w:sz w:val="22"/>
          <w:szCs w:val="22"/>
        </w:rPr>
        <w:t xml:space="preserve"> Colman,</w:t>
      </w:r>
      <w:r w:rsidRPr="0058152D">
        <w:rPr>
          <w:rFonts w:ascii="Times New Roman" w:hAnsi="Times New Roman"/>
          <w:sz w:val="22"/>
          <w:szCs w:val="22"/>
        </w:rPr>
        <w:t xml:space="preserve"> </w:t>
      </w:r>
      <w:r w:rsidRPr="0058152D">
        <w:rPr>
          <w:rFonts w:ascii="Times New Roman" w:hAnsi="Times New Roman"/>
          <w:i/>
          <w:iCs/>
          <w:sz w:val="22"/>
          <w:szCs w:val="22"/>
        </w:rPr>
        <w:t>Tarot</w:t>
      </w:r>
      <w:r w:rsidRPr="0058152D">
        <w:rPr>
          <w:rFonts w:ascii="Times New Roman" w:hAnsi="Times New Roman"/>
          <w:sz w:val="22"/>
          <w:szCs w:val="22"/>
        </w:rPr>
        <w:t xml:space="preserve"> (2020) &lt;</w:t>
      </w:r>
      <w:r w:rsidRPr="0058152D">
        <w:rPr>
          <w:sz w:val="22"/>
          <w:szCs w:val="22"/>
        </w:rPr>
        <w:t xml:space="preserve"> </w:t>
      </w:r>
      <w:r w:rsidRPr="0058152D">
        <w:rPr>
          <w:rFonts w:ascii="Times New Roman" w:hAnsi="Times New Roman"/>
          <w:sz w:val="22"/>
          <w:szCs w:val="22"/>
        </w:rPr>
        <w:t xml:space="preserve">https://www.tarot.com/tarot/cards/the-tower/crystal-visions&gt; </w:t>
      </w:r>
    </w:p>
    <w:p w14:paraId="61810C78" w14:textId="2C2B96CC" w:rsidR="001352B7" w:rsidRDefault="0058152D" w:rsidP="0058152D">
      <w:pPr>
        <w:pStyle w:val="NormalWeb"/>
        <w:ind w:right="-334" w:firstLine="720"/>
        <w:rPr>
          <w:rFonts w:ascii="Times New Roman" w:hAnsi="Times New Roman"/>
          <w:sz w:val="22"/>
          <w:szCs w:val="22"/>
        </w:rPr>
      </w:pPr>
      <w:r w:rsidRPr="0058152D">
        <w:rPr>
          <w:rFonts w:ascii="Times New Roman" w:hAnsi="Times New Roman"/>
          <w:sz w:val="22"/>
          <w:szCs w:val="22"/>
        </w:rPr>
        <w:t>[accessed 19 March 2023]</w:t>
      </w:r>
    </w:p>
    <w:p w14:paraId="165ED0FC" w14:textId="77777777" w:rsidR="006D0895" w:rsidRDefault="006D0895">
      <w:pPr>
        <w:pStyle w:val="NormalWeb"/>
        <w:ind w:right="-334"/>
        <w:rPr>
          <w:rFonts w:ascii="Times New Roman" w:hAnsi="Times New Roman"/>
          <w:sz w:val="22"/>
          <w:szCs w:val="22"/>
        </w:rPr>
      </w:pPr>
      <w:r w:rsidRPr="006D0895">
        <w:rPr>
          <w:rFonts w:ascii="Times New Roman" w:hAnsi="Times New Roman"/>
          <w:sz w:val="22"/>
          <w:szCs w:val="22"/>
        </w:rPr>
        <w:t xml:space="preserve">The International Playing-Card Society, ‘Pattern Sheet 19: The Belgian Tarot’, ed. by Kay </w:t>
      </w:r>
    </w:p>
    <w:p w14:paraId="518DE9BC" w14:textId="4E841017" w:rsidR="006D0895" w:rsidRPr="006D0895" w:rsidRDefault="006D0895" w:rsidP="006D0895">
      <w:pPr>
        <w:pStyle w:val="NormalWeb"/>
        <w:ind w:right="-334" w:firstLine="720"/>
        <w:rPr>
          <w:rFonts w:ascii="Times New Roman" w:hAnsi="Times New Roman"/>
          <w:sz w:val="22"/>
          <w:szCs w:val="22"/>
        </w:rPr>
      </w:pPr>
      <w:r w:rsidRPr="006D0895">
        <w:rPr>
          <w:rFonts w:ascii="Times New Roman" w:hAnsi="Times New Roman"/>
          <w:sz w:val="22"/>
          <w:szCs w:val="22"/>
        </w:rPr>
        <w:t>Stolzenburg, (i-p-c-s.org, 1978)</w:t>
      </w:r>
    </w:p>
    <w:p w14:paraId="60C34E29" w14:textId="4DF3AB26" w:rsidR="0022105F" w:rsidRPr="00853E05" w:rsidRDefault="0022105F">
      <w:pPr>
        <w:pStyle w:val="NormalWeb"/>
        <w:ind w:right="-334"/>
        <w:rPr>
          <w:rFonts w:ascii="Times New Roman" w:hAnsi="Times New Roman"/>
          <w:sz w:val="22"/>
          <w:szCs w:val="22"/>
        </w:rPr>
      </w:pPr>
      <w:r w:rsidRPr="00853E05">
        <w:rPr>
          <w:rFonts w:ascii="Times New Roman" w:hAnsi="Times New Roman"/>
          <w:sz w:val="22"/>
          <w:szCs w:val="22"/>
        </w:rPr>
        <w:t>Vandenborre</w:t>
      </w:r>
      <w:r w:rsidRPr="00853E05">
        <w:rPr>
          <w:rFonts w:ascii="Times New Roman" w:hAnsi="Times New Roman"/>
          <w:sz w:val="22"/>
          <w:szCs w:val="22"/>
        </w:rPr>
        <w:t>, F. I.</w:t>
      </w:r>
      <w:r w:rsidRPr="00853E05">
        <w:rPr>
          <w:rFonts w:ascii="Times New Roman" w:hAnsi="Times New Roman"/>
          <w:sz w:val="22"/>
          <w:szCs w:val="22"/>
        </w:rPr>
        <w:t xml:space="preserve">, </w:t>
      </w:r>
      <w:r w:rsidRPr="00853E05">
        <w:rPr>
          <w:rFonts w:ascii="Times New Roman" w:hAnsi="Times New Roman"/>
          <w:i/>
          <w:iCs/>
          <w:sz w:val="22"/>
          <w:szCs w:val="22"/>
        </w:rPr>
        <w:t xml:space="preserve">La Foudre </w:t>
      </w:r>
      <w:r w:rsidRPr="00853E05">
        <w:rPr>
          <w:rFonts w:ascii="Times New Roman" w:hAnsi="Times New Roman"/>
          <w:sz w:val="22"/>
          <w:szCs w:val="22"/>
        </w:rPr>
        <w:t>[Illustration] (1780</w:t>
      </w:r>
      <w:r w:rsidRPr="00853E05">
        <w:rPr>
          <w:rFonts w:ascii="Times New Roman" w:hAnsi="Times New Roman"/>
          <w:sz w:val="22"/>
          <w:szCs w:val="22"/>
        </w:rPr>
        <w:t>)</w:t>
      </w:r>
    </w:p>
    <w:p w14:paraId="529F77E4" w14:textId="4D1A01EB" w:rsidR="00B236EB" w:rsidRPr="00853E05" w:rsidRDefault="00B236EB">
      <w:pPr>
        <w:pStyle w:val="NormalWeb"/>
        <w:ind w:right="-334"/>
        <w:rPr>
          <w:rFonts w:ascii="Times New Roman" w:hAnsi="Times New Roman"/>
          <w:sz w:val="22"/>
          <w:szCs w:val="22"/>
        </w:rPr>
      </w:pPr>
      <w:r w:rsidRPr="00853E05">
        <w:rPr>
          <w:rFonts w:ascii="Times New Roman" w:hAnsi="Times New Roman"/>
          <w:sz w:val="22"/>
          <w:szCs w:val="22"/>
        </w:rPr>
        <w:t>Waite,</w:t>
      </w:r>
      <w:r w:rsidRPr="00853E05">
        <w:rPr>
          <w:rFonts w:ascii="Times New Roman" w:hAnsi="Times New Roman"/>
          <w:sz w:val="22"/>
          <w:szCs w:val="22"/>
        </w:rPr>
        <w:t xml:space="preserve"> A.E.,</w:t>
      </w:r>
      <w:r w:rsidRPr="00853E05">
        <w:rPr>
          <w:rFonts w:ascii="Times New Roman" w:hAnsi="Times New Roman"/>
          <w:sz w:val="22"/>
          <w:szCs w:val="22"/>
        </w:rPr>
        <w:t xml:space="preserve"> </w:t>
      </w:r>
      <w:r w:rsidRPr="00853E05">
        <w:rPr>
          <w:rFonts w:ascii="Times New Roman" w:hAnsi="Times New Roman"/>
          <w:i/>
          <w:iCs/>
          <w:sz w:val="22"/>
          <w:szCs w:val="22"/>
        </w:rPr>
        <w:t>The Pictorial Key To The Tarot: An Illustrated Guide</w:t>
      </w:r>
      <w:r w:rsidRPr="00853E05">
        <w:rPr>
          <w:rFonts w:ascii="Times New Roman" w:hAnsi="Times New Roman"/>
          <w:sz w:val="22"/>
          <w:szCs w:val="22"/>
        </w:rPr>
        <w:t>, (London: Rider, 2021)</w:t>
      </w:r>
    </w:p>
    <w:p w14:paraId="773F7320" w14:textId="77777777" w:rsidR="003C30E7" w:rsidRPr="00853E05" w:rsidRDefault="003C30E7">
      <w:pPr>
        <w:pStyle w:val="NormalWeb"/>
        <w:ind w:right="-334"/>
        <w:rPr>
          <w:rFonts w:ascii="Times New Roman" w:hAnsi="Times New Roman"/>
          <w:sz w:val="22"/>
          <w:szCs w:val="22"/>
        </w:rPr>
      </w:pPr>
      <w:r w:rsidRPr="00853E05">
        <w:rPr>
          <w:rFonts w:ascii="Times New Roman" w:hAnsi="Times New Roman"/>
          <w:sz w:val="22"/>
          <w:szCs w:val="22"/>
        </w:rPr>
        <w:t xml:space="preserve">Walker, Barbara G., </w:t>
      </w:r>
      <w:r w:rsidRPr="00853E05">
        <w:rPr>
          <w:rFonts w:ascii="Times New Roman" w:hAnsi="Times New Roman"/>
          <w:i/>
          <w:iCs/>
          <w:sz w:val="22"/>
          <w:szCs w:val="22"/>
        </w:rPr>
        <w:t>The Woman’s Encyclopaedia Of Myths And Secrets</w:t>
      </w:r>
      <w:r w:rsidRPr="00853E05">
        <w:rPr>
          <w:rFonts w:ascii="Times New Roman" w:hAnsi="Times New Roman"/>
          <w:sz w:val="22"/>
          <w:szCs w:val="22"/>
        </w:rPr>
        <w:t xml:space="preserve">, (Harper San Francisco, </w:t>
      </w:r>
    </w:p>
    <w:p w14:paraId="1B60876C" w14:textId="2663E25E" w:rsidR="003C30E7" w:rsidRPr="00853E05" w:rsidRDefault="003C30E7" w:rsidP="003C30E7">
      <w:pPr>
        <w:pStyle w:val="NormalWeb"/>
        <w:ind w:right="-334" w:firstLine="720"/>
        <w:rPr>
          <w:rFonts w:ascii="Times New Roman" w:hAnsi="Times New Roman"/>
          <w:sz w:val="22"/>
          <w:szCs w:val="22"/>
        </w:rPr>
      </w:pPr>
      <w:r w:rsidRPr="00853E05">
        <w:rPr>
          <w:rFonts w:ascii="Times New Roman" w:hAnsi="Times New Roman"/>
          <w:sz w:val="22"/>
          <w:szCs w:val="22"/>
        </w:rPr>
        <w:t>1983)</w:t>
      </w:r>
    </w:p>
    <w:p w14:paraId="5ADE1730" w14:textId="77777777" w:rsidR="00853E05" w:rsidRDefault="00853E05">
      <w:pPr>
        <w:pStyle w:val="NormalWeb"/>
        <w:ind w:right="-334"/>
        <w:rPr>
          <w:rFonts w:ascii="Times New Roman" w:hAnsi="Times New Roman"/>
          <w:i/>
          <w:iCs/>
          <w:sz w:val="22"/>
          <w:szCs w:val="22"/>
        </w:rPr>
      </w:pPr>
      <w:r w:rsidRPr="00853E05">
        <w:rPr>
          <w:rFonts w:ascii="Times New Roman" w:hAnsi="Times New Roman"/>
          <w:sz w:val="22"/>
          <w:szCs w:val="22"/>
        </w:rPr>
        <w:t xml:space="preserve">Whorf, </w:t>
      </w:r>
      <w:r>
        <w:rPr>
          <w:rFonts w:ascii="Times New Roman" w:hAnsi="Times New Roman"/>
          <w:sz w:val="22"/>
          <w:szCs w:val="22"/>
        </w:rPr>
        <w:t xml:space="preserve">Benjamin Lee, </w:t>
      </w:r>
      <w:r w:rsidRPr="00853E05">
        <w:rPr>
          <w:rFonts w:ascii="Times New Roman" w:hAnsi="Times New Roman"/>
          <w:sz w:val="22"/>
          <w:szCs w:val="22"/>
        </w:rPr>
        <w:t xml:space="preserve">‘LANGUAGE, MIND, AND REALITY’, </w:t>
      </w:r>
      <w:r w:rsidRPr="00853E05">
        <w:rPr>
          <w:rFonts w:ascii="Times New Roman" w:hAnsi="Times New Roman"/>
          <w:i/>
          <w:iCs/>
          <w:sz w:val="22"/>
          <w:szCs w:val="22"/>
        </w:rPr>
        <w:t xml:space="preserve">ETC: A Review of General </w:t>
      </w:r>
    </w:p>
    <w:p w14:paraId="3A8766B4" w14:textId="152C7378" w:rsidR="003C30E7" w:rsidRPr="00853E05" w:rsidRDefault="00853E05" w:rsidP="00853E05">
      <w:pPr>
        <w:pStyle w:val="NormalWeb"/>
        <w:ind w:right="-334" w:firstLine="720"/>
        <w:rPr>
          <w:rFonts w:ascii="Times New Roman" w:hAnsi="Times New Roman"/>
          <w:sz w:val="22"/>
          <w:szCs w:val="22"/>
        </w:rPr>
      </w:pPr>
      <w:r w:rsidRPr="00853E05">
        <w:rPr>
          <w:rFonts w:ascii="Times New Roman" w:hAnsi="Times New Roman"/>
          <w:i/>
          <w:iCs/>
          <w:sz w:val="22"/>
          <w:szCs w:val="22"/>
        </w:rPr>
        <w:t>Semantics</w:t>
      </w:r>
      <w:r w:rsidRPr="00853E05">
        <w:rPr>
          <w:rFonts w:ascii="Times New Roman" w:hAnsi="Times New Roman"/>
          <w:sz w:val="22"/>
          <w:szCs w:val="22"/>
        </w:rPr>
        <w:t>, 9.3 (1952), 167–188</w:t>
      </w:r>
    </w:p>
    <w:p w14:paraId="1F89B9B1" w14:textId="77777777" w:rsidR="00430B08" w:rsidRPr="00853E05" w:rsidRDefault="00430B08">
      <w:pPr>
        <w:pStyle w:val="NormalWeb"/>
        <w:ind w:right="-334"/>
        <w:rPr>
          <w:rFonts w:ascii="Times New Roman" w:hAnsi="Times New Roman"/>
          <w:sz w:val="22"/>
          <w:szCs w:val="22"/>
        </w:rPr>
      </w:pPr>
      <w:r w:rsidRPr="00853E05">
        <w:rPr>
          <w:rFonts w:ascii="Times New Roman" w:hAnsi="Times New Roman"/>
          <w:sz w:val="22"/>
          <w:szCs w:val="22"/>
        </w:rPr>
        <w:t>Wood,</w:t>
      </w:r>
      <w:r w:rsidRPr="009E5799">
        <w:rPr>
          <w:rFonts w:ascii="Times New Roman" w:hAnsi="Times New Roman"/>
          <w:sz w:val="22"/>
          <w:szCs w:val="22"/>
        </w:rPr>
        <w:t xml:space="preserve"> </w:t>
      </w:r>
      <w:r w:rsidRPr="00853E05">
        <w:rPr>
          <w:rFonts w:ascii="Times New Roman" w:hAnsi="Times New Roman"/>
          <w:sz w:val="22"/>
          <w:szCs w:val="22"/>
        </w:rPr>
        <w:t xml:space="preserve">Juliette, </w:t>
      </w:r>
      <w:r w:rsidRPr="00853E05">
        <w:rPr>
          <w:rFonts w:ascii="Times New Roman" w:hAnsi="Times New Roman"/>
          <w:sz w:val="22"/>
          <w:szCs w:val="22"/>
        </w:rPr>
        <w:t>‘</w:t>
      </w:r>
      <w:r w:rsidRPr="009E5799">
        <w:rPr>
          <w:rFonts w:ascii="Times New Roman" w:hAnsi="Times New Roman"/>
          <w:sz w:val="22"/>
          <w:szCs w:val="22"/>
        </w:rPr>
        <w:t xml:space="preserve">The Celtic Tarot </w:t>
      </w:r>
      <w:r w:rsidRPr="00853E05">
        <w:rPr>
          <w:rFonts w:ascii="Times New Roman" w:hAnsi="Times New Roman"/>
          <w:sz w:val="22"/>
          <w:szCs w:val="22"/>
        </w:rPr>
        <w:t>A</w:t>
      </w:r>
      <w:r w:rsidRPr="009E5799">
        <w:rPr>
          <w:rFonts w:ascii="Times New Roman" w:hAnsi="Times New Roman"/>
          <w:sz w:val="22"/>
          <w:szCs w:val="22"/>
        </w:rPr>
        <w:t xml:space="preserve">nd </w:t>
      </w:r>
      <w:r w:rsidRPr="00853E05">
        <w:rPr>
          <w:rFonts w:ascii="Times New Roman" w:hAnsi="Times New Roman"/>
          <w:sz w:val="22"/>
          <w:szCs w:val="22"/>
        </w:rPr>
        <w:t>T</w:t>
      </w:r>
      <w:r w:rsidRPr="009E5799">
        <w:rPr>
          <w:rFonts w:ascii="Times New Roman" w:hAnsi="Times New Roman"/>
          <w:sz w:val="22"/>
          <w:szCs w:val="22"/>
        </w:rPr>
        <w:t xml:space="preserve">he Secret Tradition: A Study </w:t>
      </w:r>
      <w:r w:rsidRPr="00853E05">
        <w:rPr>
          <w:rFonts w:ascii="Times New Roman" w:hAnsi="Times New Roman"/>
          <w:sz w:val="22"/>
          <w:szCs w:val="22"/>
        </w:rPr>
        <w:t>I</w:t>
      </w:r>
      <w:r w:rsidRPr="009E5799">
        <w:rPr>
          <w:rFonts w:ascii="Times New Roman" w:hAnsi="Times New Roman"/>
          <w:sz w:val="22"/>
          <w:szCs w:val="22"/>
        </w:rPr>
        <w:t>n Modern Legend Making</w:t>
      </w:r>
      <w:r w:rsidRPr="00853E05">
        <w:rPr>
          <w:rFonts w:ascii="Times New Roman" w:hAnsi="Times New Roman"/>
          <w:sz w:val="22"/>
          <w:szCs w:val="22"/>
        </w:rPr>
        <w:t>’,</w:t>
      </w:r>
      <w:r w:rsidRPr="009E5799">
        <w:rPr>
          <w:rFonts w:ascii="Times New Roman" w:hAnsi="Times New Roman"/>
          <w:sz w:val="22"/>
          <w:szCs w:val="22"/>
        </w:rPr>
        <w:t xml:space="preserve"> </w:t>
      </w:r>
    </w:p>
    <w:p w14:paraId="09A604E6" w14:textId="01A58602" w:rsidR="00430B08" w:rsidRPr="00853E05" w:rsidRDefault="00430B08" w:rsidP="00430B08">
      <w:pPr>
        <w:pStyle w:val="NormalWeb"/>
        <w:ind w:right="-334" w:firstLine="720"/>
        <w:rPr>
          <w:rFonts w:ascii="Times New Roman" w:hAnsi="Times New Roman"/>
          <w:sz w:val="22"/>
          <w:szCs w:val="22"/>
        </w:rPr>
      </w:pPr>
      <w:r w:rsidRPr="009E5799">
        <w:rPr>
          <w:rFonts w:ascii="Times New Roman" w:hAnsi="Times New Roman"/>
          <w:i/>
          <w:iCs/>
          <w:sz w:val="22"/>
          <w:szCs w:val="22"/>
        </w:rPr>
        <w:t>Folklore</w:t>
      </w:r>
      <w:r w:rsidRPr="009E5799">
        <w:rPr>
          <w:rFonts w:ascii="Times New Roman" w:hAnsi="Times New Roman"/>
          <w:sz w:val="22"/>
          <w:szCs w:val="22"/>
        </w:rPr>
        <w:t>, 109</w:t>
      </w:r>
      <w:r w:rsidRPr="00853E05">
        <w:rPr>
          <w:rFonts w:ascii="Times New Roman" w:hAnsi="Times New Roman"/>
          <w:sz w:val="22"/>
          <w:szCs w:val="22"/>
        </w:rPr>
        <w:t xml:space="preserve"> (</w:t>
      </w:r>
      <w:r w:rsidRPr="009E5799">
        <w:rPr>
          <w:rFonts w:ascii="Times New Roman" w:hAnsi="Times New Roman"/>
          <w:sz w:val="22"/>
          <w:szCs w:val="22"/>
        </w:rPr>
        <w:t>1998</w:t>
      </w:r>
      <w:r w:rsidRPr="00853E05">
        <w:rPr>
          <w:rFonts w:ascii="Times New Roman" w:hAnsi="Times New Roman"/>
          <w:sz w:val="22"/>
          <w:szCs w:val="22"/>
        </w:rPr>
        <w:t>)</w:t>
      </w:r>
      <w:r w:rsidRPr="009E5799">
        <w:rPr>
          <w:rFonts w:ascii="Times New Roman" w:hAnsi="Times New Roman"/>
          <w:sz w:val="22"/>
          <w:szCs w:val="22"/>
        </w:rPr>
        <w:t>, 15–24</w:t>
      </w:r>
    </w:p>
    <w:sectPr w:rsidR="00430B08" w:rsidRPr="00853E05">
      <w:footerReference w:type="default" r:id="rId17"/>
      <w:pgSz w:w="12240" w:h="15840"/>
      <w:pgMar w:top="567" w:right="1797" w:bottom="567"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4FA4A" w14:textId="77777777" w:rsidR="00C53D9A" w:rsidRDefault="00C53D9A">
      <w:r>
        <w:separator/>
      </w:r>
    </w:p>
  </w:endnote>
  <w:endnote w:type="continuationSeparator" w:id="0">
    <w:p w14:paraId="7D9C54B6" w14:textId="77777777" w:rsidR="00C53D9A" w:rsidRDefault="00C5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lbertus">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699F1" w14:textId="77777777" w:rsidR="00912343" w:rsidRDefault="00000000">
    <w:pPr>
      <w:pStyle w:val="Footer"/>
    </w:pPr>
    <w:r>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FB7FC" w14:textId="77777777" w:rsidR="00C53D9A" w:rsidRDefault="00C53D9A">
      <w:r>
        <w:separator/>
      </w:r>
    </w:p>
  </w:footnote>
  <w:footnote w:type="continuationSeparator" w:id="0">
    <w:p w14:paraId="7C4347B9" w14:textId="77777777" w:rsidR="00C53D9A" w:rsidRDefault="00C53D9A">
      <w:r>
        <w:continuationSeparator/>
      </w:r>
    </w:p>
  </w:footnote>
  <w:footnote w:id="1">
    <w:p w14:paraId="10ADD7DB" w14:textId="77777777" w:rsidR="00F06B61" w:rsidRPr="00636359" w:rsidRDefault="00F06B61" w:rsidP="00F06B61">
      <w:pPr>
        <w:rPr>
          <w:sz w:val="20"/>
          <w:szCs w:val="20"/>
        </w:rPr>
      </w:pPr>
      <w:r w:rsidRPr="00636359">
        <w:rPr>
          <w:rStyle w:val="FootnoteReference"/>
          <w:sz w:val="20"/>
          <w:szCs w:val="20"/>
        </w:rPr>
        <w:footnoteRef/>
      </w:r>
      <w:r w:rsidRPr="00636359">
        <w:rPr>
          <w:sz w:val="20"/>
          <w:szCs w:val="20"/>
        </w:rPr>
        <w:t xml:space="preserve"> Aleister Crowley, </w:t>
      </w:r>
      <w:r w:rsidRPr="00636359">
        <w:rPr>
          <w:i/>
          <w:iCs/>
          <w:sz w:val="20"/>
          <w:szCs w:val="20"/>
        </w:rPr>
        <w:t>The Book Of Thoth: A Short Essay On The Tarot Of The Egyptians</w:t>
      </w:r>
      <w:r w:rsidRPr="00636359">
        <w:rPr>
          <w:sz w:val="20"/>
          <w:szCs w:val="20"/>
        </w:rPr>
        <w:t xml:space="preserve">, (San </w:t>
      </w:r>
    </w:p>
    <w:p w14:paraId="783E99BD" w14:textId="77777777" w:rsidR="00F06B61" w:rsidRPr="00636359" w:rsidRDefault="00F06B61" w:rsidP="00F06B61">
      <w:pPr>
        <w:pStyle w:val="FootnoteText"/>
        <w:rPr>
          <w:rFonts w:ascii="Times New Roman" w:hAnsi="Times New Roman" w:cs="Times New Roman"/>
        </w:rPr>
      </w:pPr>
      <w:r w:rsidRPr="00636359">
        <w:rPr>
          <w:rFonts w:ascii="Times New Roman" w:hAnsi="Times New Roman" w:cs="Times New Roman"/>
        </w:rPr>
        <w:t>Francisco: Weiser Books, 1944), p. 25.</w:t>
      </w:r>
    </w:p>
  </w:footnote>
  <w:footnote w:id="2">
    <w:p w14:paraId="149CD5C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4D2880">
        <w:rPr>
          <w:rFonts w:ascii="Times New Roman" w:eastAsia="Times New Roman" w:hAnsi="Times New Roman" w:cs="Times New Roman"/>
          <w:lang w:eastAsia="en-GB"/>
        </w:rPr>
        <w:t>Danny L.</w:t>
      </w:r>
      <w:r w:rsidRPr="00636359">
        <w:rPr>
          <w:rFonts w:ascii="Times New Roman" w:eastAsia="Times New Roman" w:hAnsi="Times New Roman" w:cs="Times New Roman"/>
          <w:lang w:eastAsia="en-GB"/>
        </w:rPr>
        <w:t xml:space="preserve"> Jorgensen</w:t>
      </w:r>
      <w:r w:rsidRPr="004D2880">
        <w:rPr>
          <w:rFonts w:ascii="Times New Roman" w:eastAsia="Times New Roman" w:hAnsi="Times New Roman" w:cs="Times New Roman"/>
          <w:lang w:eastAsia="en-GB"/>
        </w:rPr>
        <w:t xml:space="preserve"> and Lin Jorgensen</w:t>
      </w:r>
      <w:r w:rsidRPr="00636359">
        <w:rPr>
          <w:rFonts w:ascii="Times New Roman" w:eastAsia="Times New Roman" w:hAnsi="Times New Roman" w:cs="Times New Roman"/>
          <w:lang w:eastAsia="en-GB"/>
        </w:rPr>
        <w:t>,</w:t>
      </w:r>
      <w:r w:rsidRPr="004D2880">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4D2880">
        <w:rPr>
          <w:rFonts w:ascii="Times New Roman" w:eastAsia="Times New Roman" w:hAnsi="Times New Roman" w:cs="Times New Roman"/>
          <w:lang w:eastAsia="en-GB"/>
        </w:rPr>
        <w:t>Social Meanings of the Occult</w:t>
      </w:r>
      <w:r w:rsidRPr="00636359">
        <w:rPr>
          <w:rFonts w:ascii="Times New Roman" w:eastAsia="Times New Roman" w:hAnsi="Times New Roman" w:cs="Times New Roman"/>
          <w:lang w:eastAsia="en-GB"/>
        </w:rPr>
        <w:t>’,</w:t>
      </w:r>
      <w:r w:rsidRPr="004D2880">
        <w:rPr>
          <w:rFonts w:ascii="Times New Roman" w:eastAsia="Times New Roman" w:hAnsi="Times New Roman" w:cs="Times New Roman"/>
          <w:lang w:eastAsia="en-GB"/>
        </w:rPr>
        <w:t xml:space="preserve"> </w:t>
      </w:r>
      <w:r w:rsidRPr="004D2880">
        <w:rPr>
          <w:rFonts w:ascii="Times New Roman" w:eastAsia="Times New Roman" w:hAnsi="Times New Roman" w:cs="Times New Roman"/>
          <w:i/>
          <w:iCs/>
          <w:lang w:eastAsia="en-GB"/>
        </w:rPr>
        <w:t>The Sociological Quarterly</w:t>
      </w:r>
      <w:r w:rsidRPr="004D2880">
        <w:rPr>
          <w:rFonts w:ascii="Times New Roman" w:eastAsia="Times New Roman" w:hAnsi="Times New Roman" w:cs="Times New Roman"/>
          <w:lang w:eastAsia="en-GB"/>
        </w:rPr>
        <w:t>, 23</w:t>
      </w:r>
      <w:r w:rsidRPr="00636359">
        <w:rPr>
          <w:rFonts w:ascii="Times New Roman" w:eastAsia="Times New Roman" w:hAnsi="Times New Roman" w:cs="Times New Roman"/>
          <w:lang w:eastAsia="en-GB"/>
        </w:rPr>
        <w:t>.</w:t>
      </w:r>
      <w:r w:rsidRPr="004D2880">
        <w:rPr>
          <w:rFonts w:ascii="Times New Roman" w:eastAsia="Times New Roman" w:hAnsi="Times New Roman" w:cs="Times New Roman"/>
          <w:lang w:eastAsia="en-GB"/>
        </w:rPr>
        <w:t>3</w:t>
      </w:r>
      <w:r w:rsidRPr="00636359">
        <w:rPr>
          <w:rFonts w:ascii="Times New Roman" w:eastAsia="Times New Roman" w:hAnsi="Times New Roman" w:cs="Times New Roman"/>
          <w:lang w:eastAsia="en-GB"/>
        </w:rPr>
        <w:t xml:space="preserve"> (</w:t>
      </w:r>
      <w:r w:rsidRPr="004D2880">
        <w:rPr>
          <w:rFonts w:ascii="Times New Roman" w:eastAsia="Times New Roman" w:hAnsi="Times New Roman" w:cs="Times New Roman"/>
          <w:lang w:eastAsia="en-GB"/>
        </w:rPr>
        <w:t>1982</w:t>
      </w:r>
      <w:r w:rsidRPr="00636359">
        <w:rPr>
          <w:rFonts w:ascii="Times New Roman" w:eastAsia="Times New Roman" w:hAnsi="Times New Roman" w:cs="Times New Roman"/>
          <w:lang w:eastAsia="en-GB"/>
        </w:rPr>
        <w:t>)</w:t>
      </w:r>
      <w:r w:rsidRPr="004D2880">
        <w:rPr>
          <w:rFonts w:ascii="Times New Roman" w:eastAsia="Times New Roman" w:hAnsi="Times New Roman" w:cs="Times New Roman"/>
          <w:lang w:eastAsia="en-GB"/>
        </w:rPr>
        <w:t>,</w:t>
      </w:r>
      <w:r w:rsidRPr="00636359">
        <w:rPr>
          <w:rFonts w:ascii="Times New Roman" w:eastAsia="Times New Roman" w:hAnsi="Times New Roman" w:cs="Times New Roman"/>
          <w:lang w:eastAsia="en-GB"/>
        </w:rPr>
        <w:t xml:space="preserve"> </w:t>
      </w:r>
      <w:r w:rsidRPr="004D2880">
        <w:rPr>
          <w:rFonts w:ascii="Times New Roman" w:eastAsia="Times New Roman" w:hAnsi="Times New Roman" w:cs="Times New Roman"/>
          <w:lang w:eastAsia="en-GB"/>
        </w:rPr>
        <w:t>373–</w:t>
      </w:r>
      <w:r w:rsidRPr="00636359">
        <w:rPr>
          <w:rFonts w:ascii="Times New Roman" w:eastAsia="Times New Roman" w:hAnsi="Times New Roman" w:cs="Times New Roman"/>
          <w:lang w:eastAsia="en-GB"/>
        </w:rPr>
        <w:t>3</w:t>
      </w:r>
      <w:r w:rsidRPr="004D2880">
        <w:rPr>
          <w:rFonts w:ascii="Times New Roman" w:eastAsia="Times New Roman" w:hAnsi="Times New Roman" w:cs="Times New Roman"/>
          <w:lang w:eastAsia="en-GB"/>
        </w:rPr>
        <w:t>89</w:t>
      </w:r>
      <w:r w:rsidRPr="00636359">
        <w:rPr>
          <w:rFonts w:ascii="Times New Roman" w:eastAsia="Times New Roman" w:hAnsi="Times New Roman" w:cs="Times New Roman"/>
          <w:lang w:eastAsia="en-GB"/>
        </w:rPr>
        <w:t xml:space="preserve"> (p. 373).</w:t>
      </w:r>
    </w:p>
  </w:footnote>
  <w:footnote w:id="3">
    <w:p w14:paraId="5FC31A46"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‘Divination’, in </w:t>
      </w:r>
      <w:r w:rsidRPr="00636359">
        <w:rPr>
          <w:rFonts w:ascii="Times New Roman" w:hAnsi="Times New Roman" w:cs="Times New Roman"/>
          <w:i/>
          <w:iCs/>
        </w:rPr>
        <w:t>The Gutenberg Webster’s Unabridged Dictionary: Section D And E</w:t>
      </w:r>
      <w:r w:rsidRPr="00636359">
        <w:rPr>
          <w:rFonts w:ascii="Times New Roman" w:hAnsi="Times New Roman" w:cs="Times New Roman"/>
        </w:rPr>
        <w:t>, by Project Gutenberg and Noah Webster, (Project Gutenberg, 2015), np ebook.</w:t>
      </w:r>
    </w:p>
  </w:footnote>
  <w:footnote w:id="4">
    <w:p w14:paraId="5AD3D27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Mike </w:t>
      </w:r>
      <w:r w:rsidRPr="004C4BE4">
        <w:rPr>
          <w:rFonts w:ascii="Times New Roman" w:eastAsia="Times New Roman" w:hAnsi="Times New Roman" w:cs="Times New Roman"/>
          <w:lang w:eastAsia="en-GB"/>
        </w:rPr>
        <w:t xml:space="preserve">Sosteric, </w:t>
      </w:r>
      <w:r w:rsidRPr="00636359">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xml:space="preserve">A Sociology </w:t>
      </w:r>
      <w:r w:rsidRPr="00636359">
        <w:rPr>
          <w:rFonts w:ascii="Times New Roman" w:eastAsia="Times New Roman" w:hAnsi="Times New Roman" w:cs="Times New Roman"/>
          <w:lang w:eastAsia="en-GB"/>
        </w:rPr>
        <w:t>O</w:t>
      </w:r>
      <w:r w:rsidRPr="004C4BE4">
        <w:rPr>
          <w:rFonts w:ascii="Times New Roman" w:eastAsia="Times New Roman" w:hAnsi="Times New Roman" w:cs="Times New Roman"/>
          <w:lang w:eastAsia="en-GB"/>
        </w:rPr>
        <w:t>f Tarot</w:t>
      </w:r>
      <w:r w:rsidRPr="00636359">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xml:space="preserve"> </w:t>
      </w:r>
      <w:r w:rsidRPr="004C4BE4">
        <w:rPr>
          <w:rFonts w:ascii="Times New Roman" w:eastAsia="Times New Roman" w:hAnsi="Times New Roman" w:cs="Times New Roman"/>
          <w:i/>
          <w:iCs/>
          <w:lang w:eastAsia="en-GB"/>
        </w:rPr>
        <w:t>The Canadian Journal of Sociology / Cahiers Canadiens de Sociologie</w:t>
      </w:r>
      <w:r w:rsidRPr="004C4BE4">
        <w:rPr>
          <w:rFonts w:ascii="Times New Roman" w:eastAsia="Times New Roman" w:hAnsi="Times New Roman" w:cs="Times New Roman"/>
          <w:lang w:eastAsia="en-GB"/>
        </w:rPr>
        <w:t>, 39</w:t>
      </w:r>
      <w:r w:rsidRPr="00636359">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3</w:t>
      </w:r>
      <w:r w:rsidRPr="00636359">
        <w:rPr>
          <w:rFonts w:ascii="Times New Roman" w:eastAsia="Times New Roman" w:hAnsi="Times New Roman" w:cs="Times New Roman"/>
          <w:lang w:eastAsia="en-GB"/>
        </w:rPr>
        <w:t xml:space="preserve"> (</w:t>
      </w:r>
      <w:r w:rsidRPr="004C4BE4">
        <w:rPr>
          <w:rFonts w:ascii="Times New Roman" w:eastAsia="Times New Roman" w:hAnsi="Times New Roman" w:cs="Times New Roman"/>
          <w:lang w:eastAsia="en-GB"/>
        </w:rPr>
        <w:t>2014</w:t>
      </w:r>
      <w:r w:rsidRPr="00636359">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357–</w:t>
      </w:r>
      <w:r w:rsidRPr="00636359">
        <w:rPr>
          <w:rFonts w:ascii="Times New Roman" w:eastAsia="Times New Roman" w:hAnsi="Times New Roman" w:cs="Times New Roman"/>
          <w:lang w:eastAsia="en-GB"/>
        </w:rPr>
        <w:t>3</w:t>
      </w:r>
      <w:r w:rsidRPr="004C4BE4">
        <w:rPr>
          <w:rFonts w:ascii="Times New Roman" w:eastAsia="Times New Roman" w:hAnsi="Times New Roman" w:cs="Times New Roman"/>
          <w:lang w:eastAsia="en-GB"/>
        </w:rPr>
        <w:t>92</w:t>
      </w:r>
      <w:r w:rsidRPr="00636359">
        <w:rPr>
          <w:rFonts w:ascii="Times New Roman" w:eastAsia="Times New Roman" w:hAnsi="Times New Roman" w:cs="Times New Roman"/>
          <w:lang w:eastAsia="en-GB"/>
        </w:rPr>
        <w:t xml:space="preserve"> (p. 357).</w:t>
      </w:r>
    </w:p>
  </w:footnote>
  <w:footnote w:id="5">
    <w:p w14:paraId="0B3EBDD6"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9E5799">
        <w:rPr>
          <w:rFonts w:ascii="Times New Roman" w:eastAsia="Times New Roman" w:hAnsi="Times New Roman" w:cs="Times New Roman"/>
          <w:lang w:eastAsia="en-GB"/>
        </w:rPr>
        <w:t>Juliette</w:t>
      </w:r>
      <w:r w:rsidRPr="00636359">
        <w:rPr>
          <w:rFonts w:ascii="Times New Roman" w:eastAsia="Times New Roman" w:hAnsi="Times New Roman" w:cs="Times New Roman"/>
          <w:lang w:eastAsia="en-GB"/>
        </w:rPr>
        <w:t xml:space="preserve"> Wood,</w:t>
      </w:r>
      <w:r w:rsidRPr="009E5799">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9E5799">
        <w:rPr>
          <w:rFonts w:ascii="Times New Roman" w:eastAsia="Times New Roman" w:hAnsi="Times New Roman" w:cs="Times New Roman"/>
          <w:lang w:eastAsia="en-GB"/>
        </w:rPr>
        <w:t xml:space="preserve">The Celtic Tarot </w:t>
      </w:r>
      <w:r w:rsidRPr="00636359">
        <w:rPr>
          <w:rFonts w:ascii="Times New Roman" w:eastAsia="Times New Roman" w:hAnsi="Times New Roman" w:cs="Times New Roman"/>
          <w:lang w:eastAsia="en-GB"/>
        </w:rPr>
        <w:t>A</w:t>
      </w:r>
      <w:r w:rsidRPr="009E5799">
        <w:rPr>
          <w:rFonts w:ascii="Times New Roman" w:eastAsia="Times New Roman" w:hAnsi="Times New Roman" w:cs="Times New Roman"/>
          <w:lang w:eastAsia="en-GB"/>
        </w:rPr>
        <w:t xml:space="preserve">nd </w:t>
      </w:r>
      <w:r w:rsidRPr="00636359">
        <w:rPr>
          <w:rFonts w:ascii="Times New Roman" w:eastAsia="Times New Roman" w:hAnsi="Times New Roman" w:cs="Times New Roman"/>
          <w:lang w:eastAsia="en-GB"/>
        </w:rPr>
        <w:t>T</w:t>
      </w:r>
      <w:r w:rsidRPr="009E5799">
        <w:rPr>
          <w:rFonts w:ascii="Times New Roman" w:eastAsia="Times New Roman" w:hAnsi="Times New Roman" w:cs="Times New Roman"/>
          <w:lang w:eastAsia="en-GB"/>
        </w:rPr>
        <w:t xml:space="preserve">he Secret Tradition: A Study </w:t>
      </w:r>
      <w:r w:rsidRPr="00636359">
        <w:rPr>
          <w:rFonts w:ascii="Times New Roman" w:eastAsia="Times New Roman" w:hAnsi="Times New Roman" w:cs="Times New Roman"/>
          <w:lang w:eastAsia="en-GB"/>
        </w:rPr>
        <w:t>I</w:t>
      </w:r>
      <w:r w:rsidRPr="009E5799">
        <w:rPr>
          <w:rFonts w:ascii="Times New Roman" w:eastAsia="Times New Roman" w:hAnsi="Times New Roman" w:cs="Times New Roman"/>
          <w:lang w:eastAsia="en-GB"/>
        </w:rPr>
        <w:t>n Modern Legend Making</w:t>
      </w:r>
      <w:r w:rsidRPr="00636359">
        <w:rPr>
          <w:rFonts w:ascii="Times New Roman" w:eastAsia="Times New Roman" w:hAnsi="Times New Roman" w:cs="Times New Roman"/>
          <w:lang w:eastAsia="en-GB"/>
        </w:rPr>
        <w:t>’,</w:t>
      </w:r>
      <w:r w:rsidRPr="009E5799">
        <w:rPr>
          <w:rFonts w:ascii="Times New Roman" w:eastAsia="Times New Roman" w:hAnsi="Times New Roman" w:cs="Times New Roman"/>
          <w:lang w:eastAsia="en-GB"/>
        </w:rPr>
        <w:t xml:space="preserve"> </w:t>
      </w:r>
      <w:r w:rsidRPr="009E5799">
        <w:rPr>
          <w:rFonts w:ascii="Times New Roman" w:eastAsia="Times New Roman" w:hAnsi="Times New Roman" w:cs="Times New Roman"/>
          <w:i/>
          <w:iCs/>
          <w:lang w:eastAsia="en-GB"/>
        </w:rPr>
        <w:t>Folklore</w:t>
      </w:r>
      <w:r w:rsidRPr="009E5799">
        <w:rPr>
          <w:rFonts w:ascii="Times New Roman" w:eastAsia="Times New Roman" w:hAnsi="Times New Roman" w:cs="Times New Roman"/>
          <w:lang w:eastAsia="en-GB"/>
        </w:rPr>
        <w:t>, 109</w:t>
      </w:r>
      <w:r w:rsidRPr="00636359">
        <w:rPr>
          <w:rFonts w:ascii="Times New Roman" w:eastAsia="Times New Roman" w:hAnsi="Times New Roman" w:cs="Times New Roman"/>
          <w:lang w:eastAsia="en-GB"/>
        </w:rPr>
        <w:t xml:space="preserve"> (</w:t>
      </w:r>
      <w:r w:rsidRPr="009E5799">
        <w:rPr>
          <w:rFonts w:ascii="Times New Roman" w:eastAsia="Times New Roman" w:hAnsi="Times New Roman" w:cs="Times New Roman"/>
          <w:lang w:eastAsia="en-GB"/>
        </w:rPr>
        <w:t>1998</w:t>
      </w:r>
      <w:r w:rsidRPr="00636359">
        <w:rPr>
          <w:rFonts w:ascii="Times New Roman" w:eastAsia="Times New Roman" w:hAnsi="Times New Roman" w:cs="Times New Roman"/>
          <w:lang w:eastAsia="en-GB"/>
        </w:rPr>
        <w:t>)</w:t>
      </w:r>
      <w:r w:rsidRPr="009E5799">
        <w:rPr>
          <w:rFonts w:ascii="Times New Roman" w:eastAsia="Times New Roman" w:hAnsi="Times New Roman" w:cs="Times New Roman"/>
          <w:lang w:eastAsia="en-GB"/>
        </w:rPr>
        <w:t>, 15–24</w:t>
      </w:r>
      <w:r w:rsidRPr="00636359">
        <w:rPr>
          <w:rFonts w:ascii="Times New Roman" w:eastAsia="Times New Roman" w:hAnsi="Times New Roman" w:cs="Times New Roman"/>
          <w:lang w:eastAsia="en-GB"/>
        </w:rPr>
        <w:t xml:space="preserve"> (p. 15).</w:t>
      </w:r>
    </w:p>
  </w:footnote>
  <w:footnote w:id="6">
    <w:p w14:paraId="0105659B"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Pamela Colman Smith, </w:t>
      </w:r>
      <w:r w:rsidRPr="00636359">
        <w:rPr>
          <w:rFonts w:ascii="Times New Roman" w:hAnsi="Times New Roman" w:cs="Times New Roman"/>
          <w:i/>
          <w:iCs/>
        </w:rPr>
        <w:t xml:space="preserve">The Tower </w:t>
      </w:r>
      <w:r w:rsidRPr="00636359">
        <w:rPr>
          <w:rFonts w:ascii="Times New Roman" w:hAnsi="Times New Roman" w:cs="Times New Roman"/>
        </w:rPr>
        <w:t>[Illustration] (1909, U.S. Games Systems).</w:t>
      </w:r>
    </w:p>
  </w:footnote>
  <w:footnote w:id="7">
    <w:p w14:paraId="47179AE3"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Pamela Colman Smith, </w:t>
      </w:r>
      <w:r w:rsidRPr="00636359">
        <w:rPr>
          <w:rFonts w:ascii="Times New Roman" w:hAnsi="Times New Roman" w:cs="Times New Roman"/>
          <w:i/>
          <w:iCs/>
        </w:rPr>
        <w:t xml:space="preserve">The Star </w:t>
      </w:r>
      <w:r w:rsidRPr="00636359">
        <w:rPr>
          <w:rFonts w:ascii="Times New Roman" w:hAnsi="Times New Roman" w:cs="Times New Roman"/>
        </w:rPr>
        <w:t>[Illustration] (1909, U.S. Games Systems).</w:t>
      </w:r>
    </w:p>
  </w:footnote>
  <w:footnote w:id="8">
    <w:p w14:paraId="6F9DDD6A"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Starhawk, </w:t>
      </w:r>
      <w:r w:rsidRPr="00636359">
        <w:rPr>
          <w:rFonts w:ascii="Times New Roman" w:hAnsi="Times New Roman" w:cs="Times New Roman"/>
          <w:i/>
          <w:iCs/>
        </w:rPr>
        <w:t>The Spiral Dance</w:t>
      </w:r>
      <w:r w:rsidRPr="00636359">
        <w:rPr>
          <w:rFonts w:ascii="Times New Roman" w:hAnsi="Times New Roman" w:cs="Times New Roman"/>
        </w:rPr>
        <w:t>, 20</w:t>
      </w:r>
      <w:r w:rsidRPr="00636359">
        <w:rPr>
          <w:rFonts w:ascii="Times New Roman" w:hAnsi="Times New Roman" w:cs="Times New Roman"/>
          <w:vertAlign w:val="superscript"/>
        </w:rPr>
        <w:t>th</w:t>
      </w:r>
      <w:r w:rsidRPr="00636359">
        <w:rPr>
          <w:rFonts w:ascii="Times New Roman" w:hAnsi="Times New Roman" w:cs="Times New Roman"/>
        </w:rPr>
        <w:t xml:space="preserve"> Anniversary edn. (Harper San Francisco, 1999), p. 51.</w:t>
      </w:r>
    </w:p>
  </w:footnote>
  <w:footnote w:id="9">
    <w:p w14:paraId="164426D8"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Barbara G. Walker, </w:t>
      </w:r>
      <w:r w:rsidRPr="00636359">
        <w:rPr>
          <w:rFonts w:ascii="Times New Roman" w:hAnsi="Times New Roman" w:cs="Times New Roman"/>
          <w:i/>
          <w:iCs/>
        </w:rPr>
        <w:t>The Woman’s Encyclopaedia Of Myths And Secrets</w:t>
      </w:r>
      <w:r w:rsidRPr="00636359">
        <w:rPr>
          <w:rFonts w:ascii="Times New Roman" w:hAnsi="Times New Roman" w:cs="Times New Roman"/>
        </w:rPr>
        <w:t>, (Harper San Francisco, 1983), p. 219.</w:t>
      </w:r>
    </w:p>
  </w:footnote>
  <w:footnote w:id="10">
    <w:p w14:paraId="4F92DF58" w14:textId="77777777" w:rsidR="00F06B61" w:rsidRDefault="00F06B61" w:rsidP="00F06B61">
      <w:pPr>
        <w:pStyle w:val="FootnoteText"/>
      </w:pPr>
      <w:r w:rsidRPr="00636359">
        <w:rPr>
          <w:rStyle w:val="FootnoteReference"/>
          <w:rFonts w:ascii="Times New Roman" w:hAnsi="Times New Roman" w:cs="Times New Roman"/>
        </w:rPr>
        <w:footnoteRef/>
      </w:r>
      <w:r w:rsidRPr="00636359">
        <w:rPr>
          <w:rFonts w:ascii="Times New Roman" w:hAnsi="Times New Roman" w:cs="Times New Roman"/>
        </w:rPr>
        <w:t xml:space="preserve"> Crowley, </w:t>
      </w:r>
      <w:r w:rsidRPr="00636359">
        <w:rPr>
          <w:rFonts w:ascii="Times New Roman" w:hAnsi="Times New Roman" w:cs="Times New Roman"/>
          <w:i/>
          <w:iCs/>
        </w:rPr>
        <w:t>The Book Of Thoth</w:t>
      </w:r>
      <w:r w:rsidRPr="00636359">
        <w:rPr>
          <w:rFonts w:ascii="Times New Roman" w:hAnsi="Times New Roman" w:cs="Times New Roman"/>
        </w:rPr>
        <w:t>, p. 20.</w:t>
      </w:r>
    </w:p>
  </w:footnote>
  <w:footnote w:id="11">
    <w:p w14:paraId="508F199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Jessica Hundley, ‘The Sacred &amp; The Arcane: A Brief History Of The Tarot’, in </w:t>
      </w:r>
      <w:r w:rsidRPr="00636359">
        <w:rPr>
          <w:rFonts w:ascii="Times New Roman" w:hAnsi="Times New Roman" w:cs="Times New Roman"/>
          <w:i/>
          <w:iCs/>
        </w:rPr>
        <w:t>The Library Of Esoterica: Tarot,</w:t>
      </w:r>
      <w:r w:rsidRPr="00636359">
        <w:rPr>
          <w:rFonts w:ascii="Times New Roman" w:hAnsi="Times New Roman" w:cs="Times New Roman"/>
        </w:rPr>
        <w:t xml:space="preserve"> ed. by Jessica Hundley (Taschen, 2022), pp. 10-19 (p. 13).</w:t>
      </w:r>
    </w:p>
  </w:footnote>
  <w:footnote w:id="12">
    <w:p w14:paraId="1CD6BCC2"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Wood,</w:t>
      </w:r>
      <w:r w:rsidRPr="009E5799">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9E5799">
        <w:rPr>
          <w:rFonts w:ascii="Times New Roman" w:eastAsia="Times New Roman" w:hAnsi="Times New Roman" w:cs="Times New Roman"/>
          <w:lang w:eastAsia="en-GB"/>
        </w:rPr>
        <w:t>The Celtic Tarot</w:t>
      </w:r>
      <w:r w:rsidRPr="00636359">
        <w:rPr>
          <w:rFonts w:ascii="Times New Roman" w:eastAsia="Times New Roman" w:hAnsi="Times New Roman" w:cs="Times New Roman"/>
          <w:lang w:eastAsia="en-GB"/>
        </w:rPr>
        <w:t>’, p. 15.</w:t>
      </w:r>
    </w:p>
  </w:footnote>
  <w:footnote w:id="13">
    <w:p w14:paraId="751429B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Jessica Hundley, ‘The Sacred &amp; The Arcane’, p. 14.</w:t>
      </w:r>
    </w:p>
  </w:footnote>
  <w:footnote w:id="14">
    <w:p w14:paraId="2190C651"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4C4BE4">
        <w:rPr>
          <w:rFonts w:ascii="Times New Roman" w:eastAsia="Times New Roman" w:hAnsi="Times New Roman" w:cs="Times New Roman"/>
          <w:lang w:eastAsia="en-GB"/>
        </w:rPr>
        <w:t xml:space="preserve">Sosteric, </w:t>
      </w:r>
      <w:r w:rsidRPr="00636359">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xml:space="preserve">A Sociology </w:t>
      </w:r>
      <w:r w:rsidRPr="00636359">
        <w:rPr>
          <w:rFonts w:ascii="Times New Roman" w:eastAsia="Times New Roman" w:hAnsi="Times New Roman" w:cs="Times New Roman"/>
          <w:lang w:eastAsia="en-GB"/>
        </w:rPr>
        <w:t>O</w:t>
      </w:r>
      <w:r w:rsidRPr="004C4BE4">
        <w:rPr>
          <w:rFonts w:ascii="Times New Roman" w:eastAsia="Times New Roman" w:hAnsi="Times New Roman" w:cs="Times New Roman"/>
          <w:lang w:eastAsia="en-GB"/>
        </w:rPr>
        <w:t>f Tarot</w:t>
      </w:r>
      <w:r w:rsidRPr="00636359">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p. 361.</w:t>
      </w:r>
    </w:p>
  </w:footnote>
  <w:footnote w:id="15">
    <w:p w14:paraId="4A14E8DE"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Wood,</w:t>
      </w:r>
      <w:r w:rsidRPr="009E5799">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9E5799">
        <w:rPr>
          <w:rFonts w:ascii="Times New Roman" w:eastAsia="Times New Roman" w:hAnsi="Times New Roman" w:cs="Times New Roman"/>
          <w:lang w:eastAsia="en-GB"/>
        </w:rPr>
        <w:t>The Celtic Tarot</w:t>
      </w:r>
      <w:r w:rsidRPr="00636359">
        <w:rPr>
          <w:rFonts w:ascii="Times New Roman" w:eastAsia="Times New Roman" w:hAnsi="Times New Roman" w:cs="Times New Roman"/>
          <w:lang w:eastAsia="en-GB"/>
        </w:rPr>
        <w:t>’, p. 15.</w:t>
      </w:r>
    </w:p>
  </w:footnote>
  <w:footnote w:id="16">
    <w:p w14:paraId="1F36658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‘The Sacred &amp; The Arcane’, p. 17.</w:t>
      </w:r>
    </w:p>
  </w:footnote>
  <w:footnote w:id="17">
    <w:p w14:paraId="04E13CC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4C4BE4">
        <w:rPr>
          <w:rFonts w:ascii="Times New Roman" w:eastAsia="Times New Roman" w:hAnsi="Times New Roman" w:cs="Times New Roman"/>
          <w:lang w:eastAsia="en-GB"/>
        </w:rPr>
        <w:t xml:space="preserve">Sosteric, </w:t>
      </w:r>
      <w:r w:rsidRPr="00636359">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xml:space="preserve">A Sociology </w:t>
      </w:r>
      <w:r w:rsidRPr="00636359">
        <w:rPr>
          <w:rFonts w:ascii="Times New Roman" w:eastAsia="Times New Roman" w:hAnsi="Times New Roman" w:cs="Times New Roman"/>
          <w:lang w:eastAsia="en-GB"/>
        </w:rPr>
        <w:t>O</w:t>
      </w:r>
      <w:r w:rsidRPr="004C4BE4">
        <w:rPr>
          <w:rFonts w:ascii="Times New Roman" w:eastAsia="Times New Roman" w:hAnsi="Times New Roman" w:cs="Times New Roman"/>
          <w:lang w:eastAsia="en-GB"/>
        </w:rPr>
        <w:t>f Tarot</w:t>
      </w:r>
      <w:r w:rsidRPr="00636359">
        <w:rPr>
          <w:rFonts w:ascii="Times New Roman" w:eastAsia="Times New Roman" w:hAnsi="Times New Roman" w:cs="Times New Roman"/>
          <w:lang w:eastAsia="en-GB"/>
        </w:rPr>
        <w:t>’,</w:t>
      </w:r>
      <w:r w:rsidRPr="00636359">
        <w:rPr>
          <w:rFonts w:ascii="Times New Roman" w:eastAsia="Times New Roman" w:hAnsi="Times New Roman" w:cs="Times New Roman"/>
          <w:i/>
          <w:iCs/>
          <w:lang w:eastAsia="en-GB"/>
        </w:rPr>
        <w:t xml:space="preserve"> </w:t>
      </w:r>
      <w:r w:rsidRPr="00636359">
        <w:rPr>
          <w:rFonts w:ascii="Times New Roman" w:eastAsia="Times New Roman" w:hAnsi="Times New Roman" w:cs="Times New Roman"/>
          <w:lang w:eastAsia="en-GB"/>
        </w:rPr>
        <w:t>p. 358.</w:t>
      </w:r>
    </w:p>
  </w:footnote>
  <w:footnote w:id="18">
    <w:p w14:paraId="4FE4ED70"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w:t>
      </w:r>
      <w:r w:rsidRPr="00636359">
        <w:rPr>
          <w:rFonts w:ascii="Times New Roman" w:eastAsia="Times New Roman" w:hAnsi="Times New Roman" w:cs="Times New Roman"/>
          <w:lang w:eastAsia="en-GB"/>
        </w:rPr>
        <w:t>p. 358.</w:t>
      </w:r>
    </w:p>
  </w:footnote>
  <w:footnote w:id="19">
    <w:p w14:paraId="1C75D168"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w:t>
      </w:r>
      <w:r w:rsidRPr="00636359">
        <w:rPr>
          <w:rFonts w:ascii="Times New Roman" w:eastAsia="Times New Roman" w:hAnsi="Times New Roman" w:cs="Times New Roman"/>
          <w:lang w:eastAsia="en-GB"/>
        </w:rPr>
        <w:t>p. 358.</w:t>
      </w:r>
    </w:p>
  </w:footnote>
  <w:footnote w:id="20">
    <w:p w14:paraId="6EEF55F3"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color w:val="000000"/>
          <w:spacing w:val="-5"/>
          <w:lang w:eastAsia="en-GB"/>
        </w:rPr>
        <w:t xml:space="preserve">Victoria Lee Erickson, ‘Back To The Basics: Feminist Social Theory, Durkheim and Religion’, </w:t>
      </w:r>
      <w:r w:rsidRPr="00636359">
        <w:rPr>
          <w:rFonts w:ascii="Times New Roman" w:eastAsia="Times New Roman" w:hAnsi="Times New Roman" w:cs="Times New Roman"/>
          <w:i/>
          <w:iCs/>
          <w:color w:val="000000"/>
          <w:spacing w:val="-5"/>
          <w:lang w:eastAsia="en-GB"/>
        </w:rPr>
        <w:t>Journal of Feminist Studies in Religion,</w:t>
      </w:r>
      <w:r w:rsidRPr="00636359">
        <w:rPr>
          <w:rFonts w:ascii="Times New Roman" w:eastAsia="Times New Roman" w:hAnsi="Times New Roman" w:cs="Times New Roman"/>
          <w:color w:val="000000"/>
          <w:spacing w:val="-5"/>
          <w:lang w:eastAsia="en-GB"/>
        </w:rPr>
        <w:t xml:space="preserve"> 8.1 (1992), 35-46 (p. 46).</w:t>
      </w:r>
    </w:p>
  </w:footnote>
  <w:footnote w:id="21">
    <w:p w14:paraId="6EC13CF1"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hAnsi="Times New Roman" w:cs="Times New Roman"/>
          <w:color w:val="000000"/>
          <w:spacing w:val="-5"/>
        </w:rPr>
        <w:t xml:space="preserve">Nancy Jay, ‘Gender And Dichotomy’, </w:t>
      </w:r>
      <w:r w:rsidRPr="00636359">
        <w:rPr>
          <w:rStyle w:val="HTMLCite"/>
          <w:rFonts w:ascii="Times New Roman" w:hAnsi="Times New Roman" w:cs="Times New Roman"/>
          <w:color w:val="000000"/>
          <w:spacing w:val="-5"/>
        </w:rPr>
        <w:t>Feminist Studies</w:t>
      </w:r>
      <w:r w:rsidRPr="00636359">
        <w:rPr>
          <w:rFonts w:ascii="Times New Roman" w:hAnsi="Times New Roman" w:cs="Times New Roman"/>
          <w:color w:val="000000"/>
          <w:spacing w:val="-5"/>
        </w:rPr>
        <w:t>, 7.1 (1981), 38-56 (p. 52).</w:t>
      </w:r>
    </w:p>
  </w:footnote>
  <w:footnote w:id="22">
    <w:p w14:paraId="064BD886"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Jorgensen</w:t>
      </w:r>
      <w:r w:rsidRPr="004D2880">
        <w:rPr>
          <w:rFonts w:ascii="Times New Roman" w:eastAsia="Times New Roman" w:hAnsi="Times New Roman" w:cs="Times New Roman"/>
          <w:lang w:eastAsia="en-GB"/>
        </w:rPr>
        <w:t xml:space="preserve"> and Jorgensen</w:t>
      </w:r>
      <w:r w:rsidRPr="00636359">
        <w:rPr>
          <w:rFonts w:ascii="Times New Roman" w:eastAsia="Times New Roman" w:hAnsi="Times New Roman" w:cs="Times New Roman"/>
          <w:lang w:eastAsia="en-GB"/>
        </w:rPr>
        <w:t>,</w:t>
      </w:r>
      <w:r w:rsidRPr="004D2880">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4D2880">
        <w:rPr>
          <w:rFonts w:ascii="Times New Roman" w:eastAsia="Times New Roman" w:hAnsi="Times New Roman" w:cs="Times New Roman"/>
          <w:lang w:eastAsia="en-GB"/>
        </w:rPr>
        <w:t>Social Meanings of the Occult</w:t>
      </w:r>
      <w:r w:rsidRPr="00636359">
        <w:rPr>
          <w:rFonts w:ascii="Times New Roman" w:eastAsia="Times New Roman" w:hAnsi="Times New Roman" w:cs="Times New Roman"/>
          <w:lang w:eastAsia="en-GB"/>
        </w:rPr>
        <w:t>’,</w:t>
      </w:r>
      <w:r w:rsidRPr="004D2880">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p. 373.</w:t>
      </w:r>
    </w:p>
  </w:footnote>
  <w:footnote w:id="23">
    <w:p w14:paraId="26BE409B"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Wood,</w:t>
      </w:r>
      <w:r w:rsidRPr="009E5799">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9E5799">
        <w:rPr>
          <w:rFonts w:ascii="Times New Roman" w:eastAsia="Times New Roman" w:hAnsi="Times New Roman" w:cs="Times New Roman"/>
          <w:lang w:eastAsia="en-GB"/>
        </w:rPr>
        <w:t>The Celtic Tarot</w:t>
      </w:r>
      <w:r w:rsidRPr="00636359">
        <w:rPr>
          <w:rFonts w:ascii="Times New Roman" w:eastAsia="Times New Roman" w:hAnsi="Times New Roman" w:cs="Times New Roman"/>
          <w:lang w:eastAsia="en-GB"/>
        </w:rPr>
        <w:t>’, p. 17.</w:t>
      </w:r>
    </w:p>
  </w:footnote>
  <w:footnote w:id="24">
    <w:p w14:paraId="6BC14F6D"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Ibid. p. 15.</w:t>
      </w:r>
    </w:p>
  </w:footnote>
  <w:footnote w:id="25">
    <w:p w14:paraId="7210EF9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Ibid. p. 17.</w:t>
      </w:r>
    </w:p>
  </w:footnote>
  <w:footnote w:id="26">
    <w:p w14:paraId="0EC59DAD"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Ibid. p. 20.</w:t>
      </w:r>
    </w:p>
  </w:footnote>
  <w:footnote w:id="27">
    <w:p w14:paraId="4E3EB383"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4C4BE4">
        <w:rPr>
          <w:rFonts w:ascii="Times New Roman" w:eastAsia="Times New Roman" w:hAnsi="Times New Roman" w:cs="Times New Roman"/>
          <w:lang w:eastAsia="en-GB"/>
        </w:rPr>
        <w:t xml:space="preserve">Sosteric, </w:t>
      </w:r>
      <w:r w:rsidRPr="00636359">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xml:space="preserve">A Sociology </w:t>
      </w:r>
      <w:r w:rsidRPr="00636359">
        <w:rPr>
          <w:rFonts w:ascii="Times New Roman" w:eastAsia="Times New Roman" w:hAnsi="Times New Roman" w:cs="Times New Roman"/>
          <w:lang w:eastAsia="en-GB"/>
        </w:rPr>
        <w:t>O</w:t>
      </w:r>
      <w:r w:rsidRPr="004C4BE4">
        <w:rPr>
          <w:rFonts w:ascii="Times New Roman" w:eastAsia="Times New Roman" w:hAnsi="Times New Roman" w:cs="Times New Roman"/>
          <w:lang w:eastAsia="en-GB"/>
        </w:rPr>
        <w:t>f Tarot</w:t>
      </w:r>
      <w:r w:rsidRPr="00636359">
        <w:rPr>
          <w:rFonts w:ascii="Times New Roman" w:eastAsia="Times New Roman" w:hAnsi="Times New Roman" w:cs="Times New Roman"/>
          <w:lang w:eastAsia="en-GB"/>
        </w:rPr>
        <w:t>’,</w:t>
      </w:r>
      <w:r w:rsidRPr="00636359">
        <w:rPr>
          <w:rFonts w:ascii="Times New Roman" w:eastAsia="Times New Roman" w:hAnsi="Times New Roman" w:cs="Times New Roman"/>
          <w:i/>
          <w:iCs/>
          <w:lang w:eastAsia="en-GB"/>
        </w:rPr>
        <w:t xml:space="preserve"> </w:t>
      </w:r>
      <w:r w:rsidRPr="00636359">
        <w:rPr>
          <w:rFonts w:ascii="Times New Roman" w:eastAsia="Times New Roman" w:hAnsi="Times New Roman" w:cs="Times New Roman"/>
          <w:lang w:eastAsia="en-GB"/>
        </w:rPr>
        <w:t>p. 359.</w:t>
      </w:r>
    </w:p>
  </w:footnote>
  <w:footnote w:id="28">
    <w:p w14:paraId="5679953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Ibid.</w:t>
      </w:r>
      <w:r w:rsidRPr="004C4BE4">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p. 359.</w:t>
      </w:r>
    </w:p>
  </w:footnote>
  <w:footnote w:id="29">
    <w:p w14:paraId="115F072D" w14:textId="77777777" w:rsidR="00F06B61" w:rsidRPr="00985AF7"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00273F">
        <w:rPr>
          <w:rFonts w:ascii="Times New Roman" w:eastAsia="Times New Roman" w:hAnsi="Times New Roman" w:cs="Times New Roman"/>
          <w:lang w:eastAsia="en-GB"/>
        </w:rPr>
        <w:t>Coralee</w:t>
      </w:r>
      <w:r w:rsidRPr="00636359">
        <w:rPr>
          <w:rFonts w:ascii="Times New Roman" w:eastAsia="Times New Roman" w:hAnsi="Times New Roman" w:cs="Times New Roman"/>
          <w:lang w:eastAsia="en-GB"/>
        </w:rPr>
        <w:t xml:space="preserve"> Grebe,</w:t>
      </w:r>
      <w:r w:rsidRPr="0000273F">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00273F">
        <w:rPr>
          <w:rFonts w:ascii="Times New Roman" w:eastAsia="Times New Roman" w:hAnsi="Times New Roman" w:cs="Times New Roman"/>
          <w:lang w:eastAsia="en-GB"/>
        </w:rPr>
        <w:t xml:space="preserve">Tarot Card Symbolism </w:t>
      </w:r>
      <w:r w:rsidRPr="00636359">
        <w:rPr>
          <w:rFonts w:ascii="Times New Roman" w:eastAsia="Times New Roman" w:hAnsi="Times New Roman" w:cs="Times New Roman"/>
          <w:lang w:eastAsia="en-GB"/>
        </w:rPr>
        <w:t>I</w:t>
      </w:r>
      <w:r w:rsidRPr="0000273F">
        <w:rPr>
          <w:rFonts w:ascii="Times New Roman" w:eastAsia="Times New Roman" w:hAnsi="Times New Roman" w:cs="Times New Roman"/>
          <w:lang w:eastAsia="en-GB"/>
        </w:rPr>
        <w:t>n The ‘Star Wars’ Films</w:t>
      </w:r>
      <w:r w:rsidRPr="00636359">
        <w:rPr>
          <w:rFonts w:ascii="Times New Roman" w:eastAsia="Times New Roman" w:hAnsi="Times New Roman" w:cs="Times New Roman"/>
          <w:lang w:eastAsia="en-GB"/>
        </w:rPr>
        <w:t>’,</w:t>
      </w:r>
      <w:r w:rsidRPr="0000273F">
        <w:rPr>
          <w:rFonts w:ascii="Times New Roman" w:eastAsia="Times New Roman" w:hAnsi="Times New Roman" w:cs="Times New Roman"/>
          <w:lang w:eastAsia="en-GB"/>
        </w:rPr>
        <w:t xml:space="preserve"> </w:t>
      </w:r>
      <w:proofErr w:type="spellStart"/>
      <w:r w:rsidRPr="0000273F">
        <w:rPr>
          <w:rFonts w:ascii="Times New Roman" w:eastAsia="Times New Roman" w:hAnsi="Times New Roman" w:cs="Times New Roman"/>
          <w:i/>
          <w:iCs/>
          <w:lang w:eastAsia="en-GB"/>
        </w:rPr>
        <w:t>Mythlore</w:t>
      </w:r>
      <w:proofErr w:type="spellEnd"/>
      <w:r w:rsidRPr="0000273F">
        <w:rPr>
          <w:rFonts w:ascii="Times New Roman" w:eastAsia="Times New Roman" w:hAnsi="Times New Roman" w:cs="Times New Roman"/>
          <w:lang w:eastAsia="en-GB"/>
        </w:rPr>
        <w:t>, 20</w:t>
      </w:r>
      <w:r w:rsidRPr="00636359">
        <w:rPr>
          <w:rFonts w:ascii="Times New Roman" w:eastAsia="Times New Roman" w:hAnsi="Times New Roman" w:cs="Times New Roman"/>
          <w:lang w:eastAsia="en-GB"/>
        </w:rPr>
        <w:t>.</w:t>
      </w:r>
      <w:r w:rsidRPr="0000273F">
        <w:rPr>
          <w:rFonts w:ascii="Times New Roman" w:eastAsia="Times New Roman" w:hAnsi="Times New Roman" w:cs="Times New Roman"/>
          <w:lang w:eastAsia="en-GB"/>
        </w:rPr>
        <w:t xml:space="preserve">2 (76), </w:t>
      </w:r>
      <w:r w:rsidRPr="00636359">
        <w:rPr>
          <w:rFonts w:ascii="Times New Roman" w:eastAsia="Times New Roman" w:hAnsi="Times New Roman" w:cs="Times New Roman"/>
          <w:lang w:eastAsia="en-GB"/>
        </w:rPr>
        <w:t>(</w:t>
      </w:r>
      <w:r w:rsidRPr="0000273F">
        <w:rPr>
          <w:rFonts w:ascii="Times New Roman" w:eastAsia="Times New Roman" w:hAnsi="Times New Roman" w:cs="Times New Roman"/>
          <w:lang w:eastAsia="en-GB"/>
        </w:rPr>
        <w:t>1994</w:t>
      </w:r>
      <w:r w:rsidRPr="00636359">
        <w:rPr>
          <w:rFonts w:ascii="Times New Roman" w:eastAsia="Times New Roman" w:hAnsi="Times New Roman" w:cs="Times New Roman"/>
          <w:lang w:eastAsia="en-GB"/>
        </w:rPr>
        <w:t>)</w:t>
      </w:r>
      <w:r w:rsidRPr="0000273F">
        <w:rPr>
          <w:rFonts w:ascii="Times New Roman" w:eastAsia="Times New Roman" w:hAnsi="Times New Roman" w:cs="Times New Roman"/>
          <w:lang w:eastAsia="en-GB"/>
        </w:rPr>
        <w:t>, 27–31</w:t>
      </w:r>
      <w:r w:rsidRPr="00636359">
        <w:rPr>
          <w:rFonts w:ascii="Times New Roman" w:eastAsia="Times New Roman" w:hAnsi="Times New Roman" w:cs="Times New Roman"/>
          <w:lang w:eastAsia="en-GB"/>
        </w:rPr>
        <w:t xml:space="preserve"> (p. 27).</w:t>
      </w:r>
    </w:p>
  </w:footnote>
  <w:footnote w:id="30">
    <w:p w14:paraId="05A2FDCD"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‘The Sacred &amp; The Arcane’, p. 13.</w:t>
      </w:r>
    </w:p>
  </w:footnote>
  <w:footnote w:id="31">
    <w:p w14:paraId="58EF5AA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Crowley, </w:t>
      </w:r>
      <w:r w:rsidRPr="00636359">
        <w:rPr>
          <w:rFonts w:ascii="Times New Roman" w:hAnsi="Times New Roman" w:cs="Times New Roman"/>
          <w:i/>
          <w:iCs/>
        </w:rPr>
        <w:t>The Book Of Thoth,</w:t>
      </w:r>
      <w:r w:rsidRPr="00636359">
        <w:rPr>
          <w:rFonts w:ascii="Times New Roman" w:hAnsi="Times New Roman" w:cs="Times New Roman"/>
        </w:rPr>
        <w:t xml:space="preserve"> p. 35.</w:t>
      </w:r>
    </w:p>
  </w:footnote>
  <w:footnote w:id="32">
    <w:p w14:paraId="7175361E"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36.</w:t>
      </w:r>
    </w:p>
  </w:footnote>
  <w:footnote w:id="33">
    <w:p w14:paraId="38AA165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21.</w:t>
      </w:r>
    </w:p>
  </w:footnote>
  <w:footnote w:id="34">
    <w:p w14:paraId="70288BD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25.</w:t>
      </w:r>
    </w:p>
  </w:footnote>
  <w:footnote w:id="35">
    <w:p w14:paraId="5E893DF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Grebe,</w:t>
      </w:r>
      <w:r w:rsidRPr="0000273F">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00273F">
        <w:rPr>
          <w:rFonts w:ascii="Times New Roman" w:eastAsia="Times New Roman" w:hAnsi="Times New Roman" w:cs="Times New Roman"/>
          <w:lang w:eastAsia="en-GB"/>
        </w:rPr>
        <w:t>Tarot Card Symbolism</w:t>
      </w:r>
      <w:r w:rsidRPr="00636359">
        <w:rPr>
          <w:rFonts w:ascii="Times New Roman" w:eastAsia="Times New Roman" w:hAnsi="Times New Roman" w:cs="Times New Roman"/>
          <w:lang w:eastAsia="en-GB"/>
        </w:rPr>
        <w:t>’, p. 27.</w:t>
      </w:r>
    </w:p>
  </w:footnote>
  <w:footnote w:id="36">
    <w:p w14:paraId="521C54C0"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‘The Sacred &amp; The Arcane’, p. 18.</w:t>
      </w:r>
    </w:p>
  </w:footnote>
  <w:footnote w:id="37">
    <w:p w14:paraId="23EC1FEB"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18.</w:t>
      </w:r>
    </w:p>
  </w:footnote>
  <w:footnote w:id="38">
    <w:p w14:paraId="34914FDE" w14:textId="77777777" w:rsidR="00F06B61" w:rsidRPr="00636359" w:rsidRDefault="00F06B61" w:rsidP="00F06B61">
      <w:r w:rsidRPr="00636359">
        <w:rPr>
          <w:rStyle w:val="FootnoteReference"/>
          <w:sz w:val="20"/>
          <w:szCs w:val="20"/>
        </w:rPr>
        <w:footnoteRef/>
      </w:r>
      <w:r w:rsidRPr="00636359">
        <w:rPr>
          <w:sz w:val="20"/>
          <w:szCs w:val="20"/>
        </w:rPr>
        <w:t xml:space="preserve"> Emily E. Auger, ‘Women Tarot Artists Inspired by the Golden Dawn: Recent Publications’, </w:t>
      </w:r>
      <w:proofErr w:type="spellStart"/>
      <w:r w:rsidRPr="00636359">
        <w:rPr>
          <w:i/>
          <w:iCs/>
          <w:sz w:val="20"/>
          <w:szCs w:val="20"/>
        </w:rPr>
        <w:t>Mythlore</w:t>
      </w:r>
      <w:proofErr w:type="spellEnd"/>
      <w:r w:rsidRPr="00636359">
        <w:rPr>
          <w:sz w:val="20"/>
          <w:szCs w:val="20"/>
        </w:rPr>
        <w:t xml:space="preserve">, 40.1 (2021), 242–248 (p. 244). </w:t>
      </w:r>
    </w:p>
  </w:footnote>
  <w:footnote w:id="39">
    <w:p w14:paraId="45B1B4CA" w14:textId="77777777" w:rsidR="00F06B61" w:rsidRPr="00636359" w:rsidRDefault="00F06B61" w:rsidP="00F06B61">
      <w:pPr>
        <w:rPr>
          <w:sz w:val="20"/>
          <w:szCs w:val="20"/>
        </w:rPr>
      </w:pPr>
      <w:r w:rsidRPr="00636359">
        <w:rPr>
          <w:rStyle w:val="FootnoteReference"/>
          <w:sz w:val="20"/>
          <w:szCs w:val="20"/>
        </w:rPr>
        <w:footnoteRef/>
      </w:r>
      <w:r w:rsidRPr="00636359">
        <w:rPr>
          <w:sz w:val="20"/>
          <w:szCs w:val="20"/>
        </w:rPr>
        <w:t xml:space="preserve"> Wood, ‘The Celtic Tarot’, p. 16.</w:t>
      </w:r>
    </w:p>
  </w:footnote>
  <w:footnote w:id="40">
    <w:p w14:paraId="4D718B9D" w14:textId="77777777" w:rsidR="00F06B61" w:rsidRDefault="00F06B61" w:rsidP="00F06B61">
      <w:pPr>
        <w:pStyle w:val="FootnoteText"/>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‘The Sacred &amp; The Arcane’, p. 19.</w:t>
      </w:r>
    </w:p>
  </w:footnote>
  <w:footnote w:id="41">
    <w:p w14:paraId="1805E4E6" w14:textId="77777777" w:rsidR="00F06B61" w:rsidRPr="00906274" w:rsidRDefault="00F06B61" w:rsidP="00F06B61">
      <w:pPr>
        <w:pStyle w:val="FootnoteText"/>
        <w:rPr>
          <w:rFonts w:ascii="Times New Roman" w:hAnsi="Times New Roman" w:cs="Times New Roman"/>
        </w:rPr>
      </w:pPr>
      <w:r w:rsidRPr="00906274">
        <w:rPr>
          <w:rStyle w:val="FootnoteReference"/>
          <w:rFonts w:ascii="Times New Roman" w:hAnsi="Times New Roman" w:cs="Times New Roman"/>
        </w:rPr>
        <w:footnoteRef/>
      </w:r>
      <w:r w:rsidRPr="00906274">
        <w:rPr>
          <w:rFonts w:ascii="Times New Roman" w:hAnsi="Times New Roman" w:cs="Times New Roman"/>
        </w:rPr>
        <w:t xml:space="preserve">Fiona Bowie, ‘Mountains As Sources Of Power In Seen And Unseen Worlds’, in </w:t>
      </w:r>
      <w:r w:rsidRPr="00906274">
        <w:rPr>
          <w:rFonts w:ascii="Times New Roman" w:hAnsi="Times New Roman" w:cs="Times New Roman"/>
          <w:i/>
          <w:iCs/>
        </w:rPr>
        <w:t>Space, Place and Religious Landscapes: Living Mountains</w:t>
      </w:r>
      <w:r w:rsidRPr="00906274">
        <w:rPr>
          <w:rFonts w:ascii="Times New Roman" w:hAnsi="Times New Roman" w:cs="Times New Roman"/>
        </w:rPr>
        <w:t>, ed. by</w:t>
      </w:r>
      <w:r>
        <w:rPr>
          <w:rFonts w:ascii="Times New Roman" w:hAnsi="Times New Roman" w:cs="Times New Roman"/>
        </w:rPr>
        <w:t xml:space="preserve"> Darrelyn Gunzburg and Bernadette Brady, (Great Britain: Bloomsbury Academic, 2021), p. 134.</w:t>
      </w:r>
    </w:p>
  </w:footnote>
  <w:footnote w:id="42">
    <w:p w14:paraId="352AFD62" w14:textId="77777777" w:rsidR="00F06B61" w:rsidRPr="00917AEE" w:rsidRDefault="00F06B61" w:rsidP="00F06B61">
      <w:pPr>
        <w:pStyle w:val="FootnoteText"/>
        <w:rPr>
          <w:rFonts w:ascii="Times New Roman" w:hAnsi="Times New Roman" w:cs="Times New Roman"/>
        </w:rPr>
      </w:pPr>
      <w:r w:rsidRPr="00917AEE">
        <w:rPr>
          <w:rStyle w:val="FootnoteReference"/>
          <w:rFonts w:ascii="Times New Roman" w:hAnsi="Times New Roman" w:cs="Times New Roman"/>
        </w:rPr>
        <w:footnoteRef/>
      </w:r>
      <w:r w:rsidRPr="00917AEE">
        <w:rPr>
          <w:rFonts w:ascii="Times New Roman" w:hAnsi="Times New Roman" w:cs="Times New Roman"/>
        </w:rPr>
        <w:t xml:space="preserve"> Helen Farley, ‘The Evolution Of The “Mother” In Tarot’, </w:t>
      </w:r>
      <w:r w:rsidRPr="00917AEE">
        <w:rPr>
          <w:rFonts w:ascii="Times New Roman" w:hAnsi="Times New Roman" w:cs="Times New Roman"/>
          <w:i/>
          <w:iCs/>
        </w:rPr>
        <w:t>Hecate</w:t>
      </w:r>
      <w:r w:rsidRPr="00917AEE">
        <w:rPr>
          <w:rFonts w:ascii="Times New Roman" w:hAnsi="Times New Roman" w:cs="Times New Roman"/>
        </w:rPr>
        <w:t>, 32.2 (2006), 68–87 (p. 6</w:t>
      </w:r>
      <w:r>
        <w:rPr>
          <w:rFonts w:ascii="Times New Roman" w:hAnsi="Times New Roman" w:cs="Times New Roman"/>
        </w:rPr>
        <w:t>9</w:t>
      </w:r>
      <w:r w:rsidRPr="00917AEE">
        <w:rPr>
          <w:rFonts w:ascii="Times New Roman" w:hAnsi="Times New Roman" w:cs="Times New Roman"/>
        </w:rPr>
        <w:t>).</w:t>
      </w:r>
    </w:p>
  </w:footnote>
  <w:footnote w:id="43">
    <w:p w14:paraId="4D476A6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Farley, ‘The Evolution Of The “Mother”’, pp. 69-70.</w:t>
      </w:r>
    </w:p>
  </w:footnote>
  <w:footnote w:id="44">
    <w:p w14:paraId="47CA988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70.</w:t>
      </w:r>
    </w:p>
  </w:footnote>
  <w:footnote w:id="45">
    <w:p w14:paraId="424B924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Robert M. Place, </w:t>
      </w:r>
      <w:r w:rsidRPr="00636359">
        <w:rPr>
          <w:rFonts w:ascii="Times New Roman" w:hAnsi="Times New Roman" w:cs="Times New Roman"/>
          <w:i/>
          <w:iCs/>
        </w:rPr>
        <w:t>The Tarot: History, Symbolism, And Divination</w:t>
      </w:r>
      <w:r w:rsidRPr="00636359">
        <w:rPr>
          <w:rFonts w:ascii="Times New Roman" w:hAnsi="Times New Roman" w:cs="Times New Roman"/>
        </w:rPr>
        <w:t>, (Jeremey P. Tarcher/Penguin, 2005), p. 155.</w:t>
      </w:r>
    </w:p>
  </w:footnote>
  <w:footnote w:id="46">
    <w:p w14:paraId="68383A1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Place, </w:t>
      </w:r>
      <w:r w:rsidRPr="00636359">
        <w:rPr>
          <w:rFonts w:ascii="Times New Roman" w:hAnsi="Times New Roman" w:cs="Times New Roman"/>
          <w:i/>
          <w:iCs/>
        </w:rPr>
        <w:t>The Tarot’,</w:t>
      </w:r>
      <w:r w:rsidRPr="00636359">
        <w:rPr>
          <w:rFonts w:ascii="Times New Roman" w:hAnsi="Times New Roman" w:cs="Times New Roman"/>
        </w:rPr>
        <w:t xml:space="preserve"> p. 155.</w:t>
      </w:r>
    </w:p>
  </w:footnote>
  <w:footnote w:id="47">
    <w:p w14:paraId="501A2F78"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F. I. Vandenborre, </w:t>
      </w:r>
      <w:r w:rsidRPr="00636359">
        <w:rPr>
          <w:rFonts w:ascii="Times New Roman" w:hAnsi="Times New Roman" w:cs="Times New Roman"/>
          <w:i/>
          <w:iCs/>
        </w:rPr>
        <w:t xml:space="preserve">La Foudre </w:t>
      </w:r>
      <w:r w:rsidRPr="00636359">
        <w:rPr>
          <w:rFonts w:ascii="Times New Roman" w:hAnsi="Times New Roman" w:cs="Times New Roman"/>
        </w:rPr>
        <w:t>[Illustration] (1780).</w:t>
      </w:r>
    </w:p>
  </w:footnote>
  <w:footnote w:id="48">
    <w:p w14:paraId="179BECA2"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The International Playing-Card Society, ‘Pattern Sheet 19: The Belgian Tarot’, ed. by Kay Stolzenburg, (i-p-c-s.org, 1978)</w:t>
      </w:r>
    </w:p>
  </w:footnote>
  <w:footnote w:id="49">
    <w:p w14:paraId="53D1B4C1" w14:textId="77777777" w:rsidR="00F06B61" w:rsidRPr="00636359" w:rsidRDefault="00F06B61" w:rsidP="00F06B61">
      <w:pPr>
        <w:rPr>
          <w:sz w:val="20"/>
          <w:szCs w:val="20"/>
        </w:rPr>
      </w:pPr>
      <w:r w:rsidRPr="00636359">
        <w:rPr>
          <w:rStyle w:val="FootnoteReference"/>
          <w:sz w:val="20"/>
          <w:szCs w:val="20"/>
        </w:rPr>
        <w:footnoteRef/>
      </w:r>
      <w:r w:rsidRPr="00636359">
        <w:rPr>
          <w:sz w:val="20"/>
          <w:szCs w:val="20"/>
        </w:rPr>
        <w:t xml:space="preserve"> The Count Emiliano di Parravicino, ‘Three Packs Of Italian Tarocco Cards’, </w:t>
      </w:r>
      <w:r w:rsidRPr="00636359">
        <w:rPr>
          <w:i/>
          <w:iCs/>
          <w:sz w:val="20"/>
          <w:szCs w:val="20"/>
        </w:rPr>
        <w:t>The Burlington Magazine for Connoisseurs</w:t>
      </w:r>
      <w:r w:rsidRPr="00636359">
        <w:rPr>
          <w:sz w:val="20"/>
          <w:szCs w:val="20"/>
        </w:rPr>
        <w:t>, 3.9 (1903), 237–51 (p. 238).</w:t>
      </w:r>
    </w:p>
  </w:footnote>
  <w:footnote w:id="50">
    <w:p w14:paraId="2F1028E8" w14:textId="77777777" w:rsidR="00F06B61" w:rsidRPr="00636359" w:rsidRDefault="00F06B61" w:rsidP="00F06B61">
      <w:pPr>
        <w:rPr>
          <w:sz w:val="20"/>
          <w:szCs w:val="20"/>
        </w:rPr>
      </w:pPr>
      <w:r w:rsidRPr="00636359">
        <w:rPr>
          <w:rStyle w:val="FootnoteReference"/>
          <w:sz w:val="20"/>
          <w:szCs w:val="20"/>
        </w:rPr>
        <w:footnoteRef/>
      </w:r>
      <w:r w:rsidRPr="00636359">
        <w:rPr>
          <w:sz w:val="20"/>
          <w:szCs w:val="20"/>
        </w:rPr>
        <w:t xml:space="preserve"> Karl Rosenkranz and Anna C. Brackett, ‘THE SECOND PART OF FAUST’, </w:t>
      </w:r>
      <w:r w:rsidRPr="00636359">
        <w:rPr>
          <w:i/>
          <w:iCs/>
          <w:sz w:val="20"/>
          <w:szCs w:val="20"/>
        </w:rPr>
        <w:t>The Journal of Speculative Philosophy</w:t>
      </w:r>
      <w:r w:rsidRPr="00636359">
        <w:rPr>
          <w:sz w:val="20"/>
          <w:szCs w:val="20"/>
        </w:rPr>
        <w:t>, 11.2 (1877), 113–122 (p. 115).</w:t>
      </w:r>
    </w:p>
  </w:footnote>
  <w:footnote w:id="51">
    <w:p w14:paraId="19FE0920"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Sallie Nichols, </w:t>
      </w:r>
      <w:r w:rsidRPr="00636359">
        <w:rPr>
          <w:rFonts w:ascii="Times New Roman" w:hAnsi="Times New Roman" w:cs="Times New Roman"/>
          <w:i/>
          <w:iCs/>
        </w:rPr>
        <w:t>Jung And Tarot: An Archetypal Journey</w:t>
      </w:r>
      <w:r w:rsidRPr="00636359">
        <w:rPr>
          <w:rFonts w:ascii="Times New Roman" w:hAnsi="Times New Roman" w:cs="Times New Roman"/>
        </w:rPr>
        <w:t>, 3</w:t>
      </w:r>
      <w:r w:rsidRPr="00636359">
        <w:rPr>
          <w:rFonts w:ascii="Times New Roman" w:hAnsi="Times New Roman" w:cs="Times New Roman"/>
          <w:vertAlign w:val="superscript"/>
        </w:rPr>
        <w:t>rd</w:t>
      </w:r>
      <w:r w:rsidRPr="00636359">
        <w:rPr>
          <w:rFonts w:ascii="Times New Roman" w:hAnsi="Times New Roman" w:cs="Times New Roman"/>
        </w:rPr>
        <w:t xml:space="preserve"> edn. (Maine: Samuel Weiser, Inc., 1987), p. 285.</w:t>
      </w:r>
    </w:p>
  </w:footnote>
  <w:footnote w:id="52">
    <w:p w14:paraId="41B0D6F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A. E. Waite, </w:t>
      </w:r>
      <w:r w:rsidRPr="00636359">
        <w:rPr>
          <w:rFonts w:ascii="Times New Roman" w:hAnsi="Times New Roman" w:cs="Times New Roman"/>
          <w:i/>
          <w:iCs/>
        </w:rPr>
        <w:t>The Pictorial Key To The Tarot: An Illustrated Guide</w:t>
      </w:r>
      <w:r w:rsidRPr="00636359">
        <w:rPr>
          <w:rFonts w:ascii="Times New Roman" w:hAnsi="Times New Roman" w:cs="Times New Roman"/>
        </w:rPr>
        <w:t>, (London: Rider, 2021), p. 145.</w:t>
      </w:r>
    </w:p>
  </w:footnote>
  <w:footnote w:id="53">
    <w:p w14:paraId="38344A87" w14:textId="77777777" w:rsidR="00F06B61" w:rsidRPr="00177A43"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Crowley, </w:t>
      </w:r>
      <w:r w:rsidRPr="00636359">
        <w:rPr>
          <w:rFonts w:ascii="Times New Roman" w:hAnsi="Times New Roman" w:cs="Times New Roman"/>
          <w:i/>
          <w:iCs/>
        </w:rPr>
        <w:t>The Book Of Thoth</w:t>
      </w:r>
      <w:r w:rsidRPr="00636359">
        <w:rPr>
          <w:rFonts w:ascii="Times New Roman" w:hAnsi="Times New Roman" w:cs="Times New Roman"/>
        </w:rPr>
        <w:t>, p. 107.</w:t>
      </w:r>
    </w:p>
  </w:footnote>
  <w:footnote w:id="54">
    <w:p w14:paraId="491BF3BC" w14:textId="77777777" w:rsidR="00F06B61" w:rsidRPr="000A3AD0" w:rsidRDefault="00F06B61" w:rsidP="00F06B61">
      <w:pPr>
        <w:pStyle w:val="FootnoteText"/>
        <w:rPr>
          <w:rFonts w:ascii="Times New Roman" w:hAnsi="Times New Roman" w:cs="Times New Roman"/>
        </w:rPr>
      </w:pPr>
      <w:r w:rsidRPr="00177A43">
        <w:rPr>
          <w:rStyle w:val="FootnoteReference"/>
          <w:rFonts w:ascii="Times New Roman" w:hAnsi="Times New Roman" w:cs="Times New Roman"/>
        </w:rPr>
        <w:footnoteRef/>
      </w:r>
      <w:r w:rsidRPr="00177A43">
        <w:rPr>
          <w:rFonts w:ascii="Times New Roman" w:hAnsi="Times New Roman" w:cs="Times New Roman"/>
        </w:rPr>
        <w:t xml:space="preserve"> A. E. Waite, </w:t>
      </w:r>
      <w:r w:rsidRPr="00177A43">
        <w:rPr>
          <w:rFonts w:ascii="Times New Roman" w:hAnsi="Times New Roman" w:cs="Times New Roman"/>
          <w:i/>
          <w:iCs/>
        </w:rPr>
        <w:t xml:space="preserve">The Pictorial Key, </w:t>
      </w:r>
      <w:r w:rsidRPr="00177A43">
        <w:rPr>
          <w:rFonts w:ascii="Times New Roman" w:hAnsi="Times New Roman" w:cs="Times New Roman"/>
        </w:rPr>
        <w:t>p. 145.</w:t>
      </w:r>
    </w:p>
  </w:footnote>
  <w:footnote w:id="55">
    <w:p w14:paraId="50625334" w14:textId="77777777" w:rsidR="00F06B61" w:rsidRPr="000A3AD0" w:rsidRDefault="00F06B61" w:rsidP="00F06B61">
      <w:pPr>
        <w:pStyle w:val="FootnoteText"/>
        <w:rPr>
          <w:rFonts w:ascii="Times New Roman" w:hAnsi="Times New Roman" w:cs="Times New Roman"/>
        </w:rPr>
      </w:pPr>
      <w:r w:rsidRPr="000A3AD0">
        <w:rPr>
          <w:rStyle w:val="FootnoteReference"/>
          <w:rFonts w:ascii="Times New Roman" w:hAnsi="Times New Roman" w:cs="Times New Roman"/>
        </w:rPr>
        <w:footnoteRef/>
      </w:r>
      <w:r w:rsidRPr="000A3AD0">
        <w:rPr>
          <w:rFonts w:ascii="Times New Roman" w:hAnsi="Times New Roman" w:cs="Times New Roman"/>
        </w:rPr>
        <w:t xml:space="preserve"> </w:t>
      </w:r>
      <w:r>
        <w:rPr>
          <w:rFonts w:ascii="Times New Roman" w:hAnsi="Times New Roman" w:cs="Times New Roman"/>
        </w:rPr>
        <w:t>Ibid.</w:t>
      </w:r>
      <w:r>
        <w:rPr>
          <w:rFonts w:ascii="Times New Roman" w:hAnsi="Times New Roman" w:cs="Times New Roman"/>
          <w:i/>
          <w:iCs/>
        </w:rPr>
        <w:t xml:space="preserve"> </w:t>
      </w:r>
      <w:r w:rsidRPr="000A3AD0">
        <w:rPr>
          <w:rFonts w:ascii="Times New Roman" w:hAnsi="Times New Roman" w:cs="Times New Roman"/>
        </w:rPr>
        <w:t>p. 146.</w:t>
      </w:r>
    </w:p>
  </w:footnote>
  <w:footnote w:id="56">
    <w:p w14:paraId="671EDEE9" w14:textId="77777777" w:rsidR="00F06B61" w:rsidRPr="000A3AD0" w:rsidRDefault="00F06B61" w:rsidP="00F06B61">
      <w:pPr>
        <w:pStyle w:val="FootnoteText"/>
        <w:rPr>
          <w:rFonts w:ascii="Times New Roman" w:hAnsi="Times New Roman" w:cs="Times New Roman"/>
        </w:rPr>
      </w:pPr>
      <w:r w:rsidRPr="000A3AD0">
        <w:rPr>
          <w:rStyle w:val="FootnoteReference"/>
          <w:rFonts w:ascii="Times New Roman" w:hAnsi="Times New Roman" w:cs="Times New Roman"/>
        </w:rPr>
        <w:footnoteRef/>
      </w:r>
      <w:r w:rsidRPr="000A3AD0">
        <w:rPr>
          <w:rFonts w:ascii="Times New Roman" w:hAnsi="Times New Roman" w:cs="Times New Roman"/>
        </w:rPr>
        <w:t xml:space="preserve"> </w:t>
      </w:r>
      <w:r>
        <w:rPr>
          <w:rFonts w:ascii="Times New Roman" w:hAnsi="Times New Roman" w:cs="Times New Roman"/>
        </w:rPr>
        <w:t>Ibid.</w:t>
      </w:r>
      <w:r w:rsidRPr="000A3AD0">
        <w:rPr>
          <w:rFonts w:ascii="Times New Roman" w:hAnsi="Times New Roman" w:cs="Times New Roman"/>
        </w:rPr>
        <w:t xml:space="preserve"> p. 146.</w:t>
      </w:r>
    </w:p>
  </w:footnote>
  <w:footnote w:id="57">
    <w:p w14:paraId="265A7580" w14:textId="77777777" w:rsidR="00F06B61" w:rsidRPr="00B568E6" w:rsidRDefault="00F06B61" w:rsidP="00F06B61">
      <w:pPr>
        <w:pStyle w:val="FootnoteText"/>
        <w:rPr>
          <w:rFonts w:ascii="Times New Roman" w:hAnsi="Times New Roman" w:cs="Times New Roman"/>
        </w:rPr>
      </w:pPr>
      <w:r w:rsidRPr="00B568E6">
        <w:rPr>
          <w:rStyle w:val="FootnoteReference"/>
          <w:rFonts w:ascii="Times New Roman" w:hAnsi="Times New Roman" w:cs="Times New Roman"/>
        </w:rPr>
        <w:footnoteRef/>
      </w:r>
      <w:r w:rsidRPr="00B568E6">
        <w:rPr>
          <w:rFonts w:ascii="Times New Roman" w:hAnsi="Times New Roman" w:cs="Times New Roman"/>
        </w:rPr>
        <w:t xml:space="preserve"> Crowley, </w:t>
      </w:r>
      <w:r w:rsidRPr="00B568E6">
        <w:rPr>
          <w:rFonts w:ascii="Times New Roman" w:hAnsi="Times New Roman" w:cs="Times New Roman"/>
          <w:i/>
          <w:iCs/>
        </w:rPr>
        <w:t>The Book Of Thoth</w:t>
      </w:r>
      <w:r w:rsidRPr="00B568E6">
        <w:rPr>
          <w:rFonts w:ascii="Times New Roman" w:hAnsi="Times New Roman" w:cs="Times New Roman"/>
        </w:rPr>
        <w:t>, p. 108.</w:t>
      </w:r>
    </w:p>
  </w:footnote>
  <w:footnote w:id="58">
    <w:p w14:paraId="775A75B4" w14:textId="77777777" w:rsidR="00F06B61" w:rsidRPr="00906274" w:rsidRDefault="00F06B61" w:rsidP="00F06B61">
      <w:pPr>
        <w:pStyle w:val="FootnoteText"/>
        <w:rPr>
          <w:rFonts w:ascii="Times New Roman" w:hAnsi="Times New Roman" w:cs="Times New Roman"/>
        </w:rPr>
      </w:pPr>
      <w:r w:rsidRPr="004F0747">
        <w:rPr>
          <w:rStyle w:val="FootnoteReference"/>
          <w:rFonts w:ascii="Times New Roman" w:hAnsi="Times New Roman" w:cs="Times New Roman"/>
        </w:rPr>
        <w:footnoteRef/>
      </w:r>
      <w:r w:rsidRPr="004F0747">
        <w:rPr>
          <w:rFonts w:ascii="Times New Roman" w:hAnsi="Times New Roman" w:cs="Times New Roman"/>
        </w:rPr>
        <w:t xml:space="preserve"> Place</w:t>
      </w:r>
      <w:r>
        <w:rPr>
          <w:rFonts w:ascii="Times New Roman" w:hAnsi="Times New Roman" w:cs="Times New Roman"/>
        </w:rPr>
        <w:t xml:space="preserve">, </w:t>
      </w:r>
      <w:r w:rsidRPr="004F0747">
        <w:rPr>
          <w:rFonts w:ascii="Times New Roman" w:hAnsi="Times New Roman" w:cs="Times New Roman"/>
          <w:i/>
          <w:iCs/>
        </w:rPr>
        <w:t>The Tarot</w:t>
      </w:r>
      <w:r>
        <w:rPr>
          <w:rFonts w:ascii="Times New Roman" w:hAnsi="Times New Roman" w:cs="Times New Roman"/>
          <w:i/>
          <w:iCs/>
        </w:rPr>
        <w:t>’,</w:t>
      </w:r>
      <w:r>
        <w:rPr>
          <w:rFonts w:ascii="Times New Roman" w:hAnsi="Times New Roman" w:cs="Times New Roman"/>
        </w:rPr>
        <w:t xml:space="preserve"> p. 156.</w:t>
      </w:r>
    </w:p>
  </w:footnote>
  <w:footnote w:id="59">
    <w:p w14:paraId="64628229" w14:textId="77777777" w:rsidR="00F06B61" w:rsidRPr="00B31BAC" w:rsidRDefault="00F06B61" w:rsidP="00F06B61">
      <w:pPr>
        <w:pStyle w:val="FootnoteText"/>
        <w:rPr>
          <w:rFonts w:ascii="Times New Roman" w:hAnsi="Times New Roman" w:cs="Times New Roman"/>
        </w:rPr>
      </w:pPr>
      <w:r w:rsidRPr="00B31BAC">
        <w:rPr>
          <w:rStyle w:val="FootnoteReference"/>
          <w:rFonts w:ascii="Times New Roman" w:hAnsi="Times New Roman" w:cs="Times New Roman"/>
        </w:rPr>
        <w:footnoteRef/>
      </w:r>
      <w:r w:rsidRPr="00B31BAC">
        <w:rPr>
          <w:rFonts w:ascii="Times New Roman" w:hAnsi="Times New Roman" w:cs="Times New Roman"/>
        </w:rPr>
        <w:t xml:space="preserve"> Rachel</w:t>
      </w:r>
      <w:r>
        <w:rPr>
          <w:rFonts w:ascii="Times New Roman" w:hAnsi="Times New Roman" w:cs="Times New Roman"/>
        </w:rPr>
        <w:t xml:space="preserve"> Pollack, </w:t>
      </w:r>
      <w:r w:rsidRPr="00B31BAC">
        <w:rPr>
          <w:rFonts w:ascii="Times New Roman" w:hAnsi="Times New Roman" w:cs="Times New Roman"/>
          <w:i/>
          <w:iCs/>
        </w:rPr>
        <w:t>Seventy-Eight Degrees of Wisdom: A Book Of Tarot</w:t>
      </w:r>
      <w:r>
        <w:rPr>
          <w:rFonts w:ascii="Times New Roman" w:hAnsi="Times New Roman" w:cs="Times New Roman"/>
        </w:rPr>
        <w:t>, 3</w:t>
      </w:r>
      <w:r w:rsidRPr="00B31BAC">
        <w:rPr>
          <w:rFonts w:ascii="Times New Roman" w:hAnsi="Times New Roman" w:cs="Times New Roman"/>
          <w:vertAlign w:val="superscript"/>
        </w:rPr>
        <w:t>rd</w:t>
      </w:r>
      <w:r>
        <w:rPr>
          <w:rFonts w:ascii="Times New Roman" w:hAnsi="Times New Roman" w:cs="Times New Roman"/>
        </w:rPr>
        <w:t xml:space="preserve"> edn. (Thorsons, 1997), p. 118.</w:t>
      </w:r>
    </w:p>
  </w:footnote>
  <w:footnote w:id="60">
    <w:p w14:paraId="32283DD4" w14:textId="77777777" w:rsidR="00F06B61" w:rsidRPr="009B2B30" w:rsidRDefault="00F06B61" w:rsidP="00F06B61">
      <w:pPr>
        <w:pStyle w:val="FootnoteText"/>
        <w:rPr>
          <w:rFonts w:ascii="Times New Roman" w:hAnsi="Times New Roman" w:cs="Times New Roman"/>
        </w:rPr>
      </w:pPr>
      <w:r w:rsidRPr="00B568E6">
        <w:rPr>
          <w:rStyle w:val="FootnoteReference"/>
          <w:rFonts w:ascii="Times New Roman" w:hAnsi="Times New Roman" w:cs="Times New Roman"/>
        </w:rPr>
        <w:footnoteRef/>
      </w:r>
      <w:r w:rsidRPr="00B568E6">
        <w:rPr>
          <w:rFonts w:ascii="Times New Roman" w:hAnsi="Times New Roman" w:cs="Times New Roman"/>
        </w:rPr>
        <w:t xml:space="preserve"> Jessica Hundley, ‘The Liberation Of Destruction’,</w:t>
      </w:r>
      <w:r>
        <w:rPr>
          <w:rFonts w:ascii="Times New Roman" w:hAnsi="Times New Roman" w:cs="Times New Roman"/>
        </w:rPr>
        <w:t xml:space="preserve"> in</w:t>
      </w:r>
      <w:r w:rsidRPr="00B568E6">
        <w:rPr>
          <w:rFonts w:ascii="Times New Roman" w:hAnsi="Times New Roman" w:cs="Times New Roman"/>
        </w:rPr>
        <w:t xml:space="preserve"> </w:t>
      </w:r>
      <w:r w:rsidRPr="00B568E6">
        <w:rPr>
          <w:rFonts w:ascii="Times New Roman" w:hAnsi="Times New Roman" w:cs="Times New Roman"/>
          <w:i/>
          <w:iCs/>
        </w:rPr>
        <w:t>The Library of Esoterica: Tarot</w:t>
      </w:r>
      <w:r w:rsidRPr="00B568E6">
        <w:rPr>
          <w:rFonts w:ascii="Times New Roman" w:hAnsi="Times New Roman" w:cs="Times New Roman"/>
        </w:rPr>
        <w:t xml:space="preserve">, ed. by Jessica Hundley, </w:t>
      </w:r>
      <w:r w:rsidRPr="009B2B30">
        <w:rPr>
          <w:rFonts w:ascii="Times New Roman" w:hAnsi="Times New Roman" w:cs="Times New Roman"/>
        </w:rPr>
        <w:t>(Taschen, 2022), pp. 310-323 (p. 310).</w:t>
      </w:r>
    </w:p>
  </w:footnote>
  <w:footnote w:id="61">
    <w:p w14:paraId="4CD8CD2D" w14:textId="77777777" w:rsidR="00F06B61" w:rsidRPr="009B2B30" w:rsidRDefault="00F06B61" w:rsidP="00F06B61">
      <w:pPr>
        <w:pStyle w:val="FootnoteText"/>
        <w:rPr>
          <w:rFonts w:ascii="Times New Roman" w:hAnsi="Times New Roman" w:cs="Times New Roman"/>
        </w:rPr>
      </w:pPr>
      <w:r w:rsidRPr="009B2B30">
        <w:rPr>
          <w:rStyle w:val="FootnoteReference"/>
          <w:rFonts w:ascii="Times New Roman" w:hAnsi="Times New Roman" w:cs="Times New Roman"/>
        </w:rPr>
        <w:footnoteRef/>
      </w:r>
      <w:r w:rsidRPr="009B2B30">
        <w:rPr>
          <w:rFonts w:ascii="Times New Roman" w:hAnsi="Times New Roman" w:cs="Times New Roman"/>
        </w:rPr>
        <w:t xml:space="preserve"> Hundley, ‘The Liberation Of Destruction’,</w:t>
      </w:r>
      <w:r>
        <w:rPr>
          <w:rFonts w:ascii="Times New Roman" w:hAnsi="Times New Roman" w:cs="Times New Roman"/>
        </w:rPr>
        <w:t xml:space="preserve"> p</w:t>
      </w:r>
      <w:r w:rsidRPr="009B2B30">
        <w:rPr>
          <w:rFonts w:ascii="Times New Roman" w:hAnsi="Times New Roman" w:cs="Times New Roman"/>
        </w:rPr>
        <w:t>. 310.</w:t>
      </w:r>
    </w:p>
  </w:footnote>
  <w:footnote w:id="62">
    <w:p w14:paraId="3444050D" w14:textId="77777777" w:rsidR="00F06B61" w:rsidRPr="008A57BE" w:rsidRDefault="00F06B61" w:rsidP="00F06B61">
      <w:pPr>
        <w:pStyle w:val="FootnoteText"/>
        <w:rPr>
          <w:rFonts w:ascii="Times New Roman" w:hAnsi="Times New Roman" w:cs="Times New Roman"/>
        </w:rPr>
      </w:pPr>
      <w:r w:rsidRPr="008A57BE">
        <w:rPr>
          <w:rStyle w:val="FootnoteReference"/>
          <w:rFonts w:ascii="Times New Roman" w:hAnsi="Times New Roman" w:cs="Times New Roman"/>
        </w:rPr>
        <w:footnoteRef/>
      </w:r>
      <w:r w:rsidRPr="008A57BE">
        <w:rPr>
          <w:rFonts w:ascii="Times New Roman" w:hAnsi="Times New Roman" w:cs="Times New Roman"/>
        </w:rPr>
        <w:t xml:space="preserve"> </w:t>
      </w:r>
      <w:r w:rsidRPr="004C4BE4">
        <w:rPr>
          <w:rFonts w:ascii="Times New Roman" w:eastAsia="Times New Roman" w:hAnsi="Times New Roman" w:cs="Times New Roman"/>
          <w:lang w:eastAsia="en-GB"/>
        </w:rPr>
        <w:t xml:space="preserve">Sosteric, </w:t>
      </w:r>
      <w:r w:rsidRPr="008A57BE">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xml:space="preserve">A Sociology </w:t>
      </w:r>
      <w:r w:rsidRPr="008A57BE">
        <w:rPr>
          <w:rFonts w:ascii="Times New Roman" w:eastAsia="Times New Roman" w:hAnsi="Times New Roman" w:cs="Times New Roman"/>
          <w:lang w:eastAsia="en-GB"/>
        </w:rPr>
        <w:t>O</w:t>
      </w:r>
      <w:r w:rsidRPr="004C4BE4">
        <w:rPr>
          <w:rFonts w:ascii="Times New Roman" w:eastAsia="Times New Roman" w:hAnsi="Times New Roman" w:cs="Times New Roman"/>
          <w:lang w:eastAsia="en-GB"/>
        </w:rPr>
        <w:t>f Tarot</w:t>
      </w:r>
      <w:r w:rsidRPr="008A57BE">
        <w:rPr>
          <w:rFonts w:ascii="Times New Roman" w:eastAsia="Times New Roman" w:hAnsi="Times New Roman" w:cs="Times New Roman"/>
          <w:lang w:eastAsia="en-GB"/>
        </w:rPr>
        <w:t>’,</w:t>
      </w:r>
      <w:r w:rsidRPr="004C4BE4">
        <w:rPr>
          <w:rFonts w:ascii="Times New Roman" w:eastAsia="Times New Roman" w:hAnsi="Times New Roman" w:cs="Times New Roman"/>
          <w:lang w:eastAsia="en-GB"/>
        </w:rPr>
        <w:t xml:space="preserve"> </w:t>
      </w:r>
      <w:r w:rsidRPr="008A57BE">
        <w:rPr>
          <w:rFonts w:ascii="Times New Roman" w:eastAsia="Times New Roman" w:hAnsi="Times New Roman" w:cs="Times New Roman"/>
          <w:lang w:eastAsia="en-GB"/>
        </w:rPr>
        <w:t>p. 360.</w:t>
      </w:r>
    </w:p>
  </w:footnote>
  <w:footnote w:id="63">
    <w:p w14:paraId="30828510" w14:textId="77777777" w:rsidR="00F06B61" w:rsidRPr="004F0141" w:rsidRDefault="00F06B61" w:rsidP="00F06B61">
      <w:pPr>
        <w:rPr>
          <w:sz w:val="20"/>
          <w:szCs w:val="20"/>
        </w:rPr>
      </w:pPr>
      <w:r w:rsidRPr="004F0141">
        <w:rPr>
          <w:rStyle w:val="FootnoteReference"/>
          <w:sz w:val="20"/>
          <w:szCs w:val="20"/>
        </w:rPr>
        <w:footnoteRef/>
      </w:r>
      <w:r w:rsidRPr="004F0141">
        <w:rPr>
          <w:sz w:val="20"/>
          <w:szCs w:val="20"/>
        </w:rPr>
        <w:t xml:space="preserve"> Emily E. Augur, ‘An Annotated List Of Fantasy Novels Incorporating Tarot (1968–1989)’, </w:t>
      </w:r>
      <w:proofErr w:type="spellStart"/>
      <w:r w:rsidRPr="004F0141">
        <w:rPr>
          <w:i/>
          <w:iCs/>
          <w:sz w:val="20"/>
          <w:szCs w:val="20"/>
        </w:rPr>
        <w:t>Mythlore</w:t>
      </w:r>
      <w:proofErr w:type="spellEnd"/>
      <w:r w:rsidRPr="004F0141">
        <w:rPr>
          <w:sz w:val="20"/>
          <w:szCs w:val="20"/>
        </w:rPr>
        <w:t xml:space="preserve">, 36.2 (132), (2018), 231–250 (p. 232). </w:t>
      </w:r>
    </w:p>
  </w:footnote>
  <w:footnote w:id="64">
    <w:p w14:paraId="1A377947" w14:textId="77777777" w:rsidR="00F06B61" w:rsidRDefault="00F06B61" w:rsidP="00F06B61">
      <w:pPr>
        <w:pStyle w:val="FootnoteText"/>
      </w:pPr>
      <w:r w:rsidRPr="004F0141">
        <w:rPr>
          <w:rStyle w:val="FootnoteReference"/>
          <w:rFonts w:ascii="Times New Roman" w:hAnsi="Times New Roman" w:cs="Times New Roman"/>
        </w:rPr>
        <w:footnoteRef/>
      </w:r>
      <w:r w:rsidRPr="004F0141">
        <w:rPr>
          <w:rFonts w:ascii="Times New Roman" w:hAnsi="Times New Roman" w:cs="Times New Roman"/>
        </w:rPr>
        <w:t xml:space="preserve"> Jessica Hundley, ‘Birth To Redemption: A Tarot Timeline’, in </w:t>
      </w:r>
      <w:r w:rsidRPr="004F0141">
        <w:rPr>
          <w:rFonts w:ascii="Times New Roman" w:hAnsi="Times New Roman" w:cs="Times New Roman"/>
          <w:i/>
          <w:iCs/>
        </w:rPr>
        <w:t>The Library of Esoterica: Tarot</w:t>
      </w:r>
      <w:r w:rsidRPr="004F0141">
        <w:rPr>
          <w:rFonts w:ascii="Times New Roman" w:hAnsi="Times New Roman" w:cs="Times New Roman"/>
        </w:rPr>
        <w:t>, ed. by Jessica Hundley, (Taschen, 2022), pp</w:t>
      </w:r>
      <w:r>
        <w:rPr>
          <w:rFonts w:ascii="Times New Roman" w:hAnsi="Times New Roman" w:cs="Times New Roman"/>
        </w:rPr>
        <w:t>. 40-45 (p. 45).</w:t>
      </w:r>
    </w:p>
  </w:footnote>
  <w:footnote w:id="65">
    <w:p w14:paraId="5D3450B0" w14:textId="77777777" w:rsidR="00F06B61" w:rsidRPr="00A072E9" w:rsidRDefault="00F06B61" w:rsidP="00F06B61">
      <w:pPr>
        <w:pStyle w:val="FootnoteText"/>
        <w:rPr>
          <w:rFonts w:ascii="Times New Roman" w:hAnsi="Times New Roman" w:cs="Times New Roman"/>
        </w:rPr>
      </w:pPr>
      <w:r w:rsidRPr="00A072E9">
        <w:rPr>
          <w:rStyle w:val="FootnoteReference"/>
          <w:rFonts w:ascii="Times New Roman" w:hAnsi="Times New Roman" w:cs="Times New Roman"/>
        </w:rPr>
        <w:footnoteRef/>
      </w:r>
      <w:r w:rsidRPr="00A072E9">
        <w:rPr>
          <w:rFonts w:ascii="Times New Roman" w:hAnsi="Times New Roman" w:cs="Times New Roman"/>
        </w:rPr>
        <w:t xml:space="preserve"> </w:t>
      </w:r>
      <w:r w:rsidRPr="00A072E9">
        <w:rPr>
          <w:rFonts w:ascii="Times New Roman" w:eastAsia="Times New Roman" w:hAnsi="Times New Roman" w:cs="Times New Roman"/>
          <w:lang w:eastAsia="en-GB"/>
        </w:rPr>
        <w:t>Grebe,</w:t>
      </w:r>
      <w:r w:rsidRPr="0000273F">
        <w:rPr>
          <w:rFonts w:ascii="Times New Roman" w:eastAsia="Times New Roman" w:hAnsi="Times New Roman" w:cs="Times New Roman"/>
          <w:lang w:eastAsia="en-GB"/>
        </w:rPr>
        <w:t xml:space="preserve"> </w:t>
      </w:r>
      <w:r w:rsidRPr="00A072E9">
        <w:rPr>
          <w:rFonts w:ascii="Times New Roman" w:eastAsia="Times New Roman" w:hAnsi="Times New Roman" w:cs="Times New Roman"/>
          <w:lang w:eastAsia="en-GB"/>
        </w:rPr>
        <w:t>‘</w:t>
      </w:r>
      <w:r w:rsidRPr="0000273F">
        <w:rPr>
          <w:rFonts w:ascii="Times New Roman" w:eastAsia="Times New Roman" w:hAnsi="Times New Roman" w:cs="Times New Roman"/>
          <w:lang w:eastAsia="en-GB"/>
        </w:rPr>
        <w:t>Tarot Card Symbolism</w:t>
      </w:r>
      <w:r>
        <w:rPr>
          <w:rFonts w:ascii="Times New Roman" w:eastAsia="Times New Roman" w:hAnsi="Times New Roman" w:cs="Times New Roman"/>
          <w:lang w:eastAsia="en-GB"/>
        </w:rPr>
        <w:t xml:space="preserve">’, </w:t>
      </w:r>
      <w:r w:rsidRPr="00A072E9">
        <w:rPr>
          <w:rFonts w:ascii="Times New Roman" w:eastAsia="Times New Roman" w:hAnsi="Times New Roman" w:cs="Times New Roman"/>
          <w:lang w:eastAsia="en-GB"/>
        </w:rPr>
        <w:t>p. 27.</w:t>
      </w:r>
    </w:p>
  </w:footnote>
  <w:footnote w:id="66">
    <w:p w14:paraId="3B085D1C" w14:textId="77777777" w:rsidR="00F06B61" w:rsidRPr="00F022AE" w:rsidRDefault="00F06B61" w:rsidP="00F06B61">
      <w:pPr>
        <w:pStyle w:val="FootnoteText"/>
        <w:rPr>
          <w:rFonts w:ascii="Times New Roman" w:hAnsi="Times New Roman" w:cs="Times New Roman"/>
        </w:rPr>
      </w:pPr>
      <w:r w:rsidRPr="00F022AE">
        <w:rPr>
          <w:rStyle w:val="FootnoteReference"/>
          <w:rFonts w:ascii="Times New Roman" w:hAnsi="Times New Roman" w:cs="Times New Roman"/>
        </w:rPr>
        <w:footnoteRef/>
      </w:r>
      <w:r w:rsidRPr="00F022AE">
        <w:rPr>
          <w:rFonts w:ascii="Times New Roman" w:hAnsi="Times New Roman" w:cs="Times New Roman"/>
        </w:rPr>
        <w:t xml:space="preserve"> Evvie “Evvin” Marin, </w:t>
      </w:r>
      <w:r w:rsidRPr="00F022AE">
        <w:rPr>
          <w:rFonts w:ascii="Times New Roman" w:hAnsi="Times New Roman" w:cs="Times New Roman"/>
          <w:i/>
          <w:iCs/>
        </w:rPr>
        <w:t>The Spirit Vertigo Tarot: The Tower</w:t>
      </w:r>
      <w:r w:rsidRPr="00F022AE">
        <w:rPr>
          <w:rFonts w:ascii="Times New Roman" w:hAnsi="Times New Roman" w:cs="Times New Roman"/>
        </w:rPr>
        <w:t xml:space="preserve"> [Black marker ink] (2015)</w:t>
      </w:r>
      <w:r>
        <w:rPr>
          <w:rFonts w:ascii="Times New Roman" w:hAnsi="Times New Roman" w:cs="Times New Roman"/>
        </w:rPr>
        <w:t>.</w:t>
      </w:r>
    </w:p>
  </w:footnote>
  <w:footnote w:id="67">
    <w:p w14:paraId="4AE8C799" w14:textId="77777777" w:rsidR="00F06B61" w:rsidRPr="00F022AE" w:rsidRDefault="00F06B61" w:rsidP="00F06B61">
      <w:pPr>
        <w:pStyle w:val="FootnoteText"/>
        <w:rPr>
          <w:rFonts w:ascii="Times New Roman" w:hAnsi="Times New Roman" w:cs="Times New Roman"/>
        </w:rPr>
      </w:pPr>
      <w:r w:rsidRPr="00F022AE">
        <w:rPr>
          <w:rStyle w:val="FootnoteReference"/>
          <w:rFonts w:ascii="Times New Roman" w:hAnsi="Times New Roman" w:cs="Times New Roman"/>
        </w:rPr>
        <w:footnoteRef/>
      </w:r>
      <w:r w:rsidRPr="00F022AE">
        <w:rPr>
          <w:rFonts w:ascii="Times New Roman" w:hAnsi="Times New Roman" w:cs="Times New Roman"/>
        </w:rPr>
        <w:t xml:space="preserve"> Evvie “Evvin” Marin, </w:t>
      </w:r>
      <w:r w:rsidRPr="00F022AE">
        <w:rPr>
          <w:rFonts w:ascii="Times New Roman" w:hAnsi="Times New Roman" w:cs="Times New Roman"/>
          <w:i/>
          <w:iCs/>
        </w:rPr>
        <w:t>Evvie Marin</w:t>
      </w:r>
      <w:r w:rsidRPr="00F022AE">
        <w:rPr>
          <w:rFonts w:ascii="Times New Roman" w:hAnsi="Times New Roman" w:cs="Times New Roman"/>
        </w:rPr>
        <w:t xml:space="preserve"> (2015) &lt; https://www.evviemarin.com/black-ink&gt; [accessed 19 April 2023].</w:t>
      </w:r>
    </w:p>
  </w:footnote>
  <w:footnote w:id="68">
    <w:p w14:paraId="5F3E1CE9" w14:textId="77777777" w:rsidR="00F06B61" w:rsidRPr="00F022AE" w:rsidRDefault="00F06B61" w:rsidP="00F06B61">
      <w:pPr>
        <w:pStyle w:val="FootnoteText"/>
        <w:rPr>
          <w:rFonts w:ascii="Times New Roman" w:hAnsi="Times New Roman" w:cs="Times New Roman"/>
        </w:rPr>
      </w:pPr>
      <w:r w:rsidRPr="00F022AE">
        <w:rPr>
          <w:rStyle w:val="FootnoteReference"/>
          <w:rFonts w:ascii="Times New Roman" w:hAnsi="Times New Roman" w:cs="Times New Roman"/>
        </w:rPr>
        <w:footnoteRef/>
      </w:r>
      <w:r w:rsidRPr="00F022AE">
        <w:rPr>
          <w:rFonts w:ascii="Times New Roman" w:hAnsi="Times New Roman" w:cs="Times New Roman"/>
        </w:rPr>
        <w:t xml:space="preserve"> </w:t>
      </w:r>
      <w:r w:rsidRPr="000B6B14">
        <w:rPr>
          <w:rFonts w:ascii="Times New Roman" w:hAnsi="Times New Roman" w:cs="Times New Roman"/>
        </w:rPr>
        <w:t>Jen</w:t>
      </w:r>
      <w:r>
        <w:rPr>
          <w:rFonts w:ascii="Times New Roman" w:hAnsi="Times New Roman" w:cs="Times New Roman"/>
        </w:rPr>
        <w:t xml:space="preserve">nifer Galasso, </w:t>
      </w:r>
      <w:r w:rsidRPr="00D16133">
        <w:rPr>
          <w:rFonts w:ascii="Times New Roman" w:hAnsi="Times New Roman" w:cs="Times New Roman"/>
          <w:i/>
          <w:iCs/>
        </w:rPr>
        <w:t>Crystal Visions Tarot: The Tower</w:t>
      </w:r>
      <w:r>
        <w:rPr>
          <w:rFonts w:ascii="Times New Roman" w:hAnsi="Times New Roman" w:cs="Times New Roman"/>
        </w:rPr>
        <w:t xml:space="preserve"> [Acrylic </w:t>
      </w:r>
      <w:r w:rsidRPr="000B6B14">
        <w:rPr>
          <w:rFonts w:ascii="Times New Roman" w:hAnsi="Times New Roman" w:cs="Times New Roman"/>
        </w:rPr>
        <w:t>Paint</w:t>
      </w:r>
      <w:r>
        <w:rPr>
          <w:rFonts w:ascii="Times New Roman" w:hAnsi="Times New Roman" w:cs="Times New Roman"/>
        </w:rPr>
        <w:t xml:space="preserve"> and Ink] (2011, </w:t>
      </w:r>
      <w:r w:rsidRPr="00F022AE">
        <w:rPr>
          <w:rFonts w:ascii="Times New Roman" w:hAnsi="Times New Roman" w:cs="Times New Roman"/>
        </w:rPr>
        <w:t>U.S. Games Systems, Inc</w:t>
      </w:r>
      <w:r>
        <w:rPr>
          <w:rFonts w:ascii="Times New Roman" w:hAnsi="Times New Roman" w:cs="Times New Roman"/>
        </w:rPr>
        <w:t>)</w:t>
      </w:r>
      <w:r w:rsidRPr="00F022AE">
        <w:rPr>
          <w:rFonts w:ascii="Times New Roman" w:hAnsi="Times New Roman" w:cs="Times New Roman"/>
        </w:rPr>
        <w:t>.</w:t>
      </w:r>
    </w:p>
  </w:footnote>
  <w:footnote w:id="69">
    <w:p w14:paraId="6CE7F8CC" w14:textId="77777777" w:rsidR="00F06B61" w:rsidRPr="006050EC" w:rsidRDefault="00F06B61" w:rsidP="00F06B61">
      <w:pPr>
        <w:rPr>
          <w:sz w:val="20"/>
          <w:szCs w:val="20"/>
        </w:rPr>
      </w:pPr>
      <w:r w:rsidRPr="006050EC">
        <w:rPr>
          <w:rStyle w:val="FootnoteReference"/>
          <w:sz w:val="20"/>
          <w:szCs w:val="20"/>
        </w:rPr>
        <w:footnoteRef/>
      </w:r>
      <w:r w:rsidRPr="006050EC">
        <w:rPr>
          <w:sz w:val="20"/>
          <w:szCs w:val="20"/>
        </w:rPr>
        <w:t xml:space="preserve"> </w:t>
      </w:r>
      <w:r>
        <w:rPr>
          <w:sz w:val="20"/>
          <w:szCs w:val="20"/>
        </w:rPr>
        <w:t>Benjamin Lee Whorf, ‘</w:t>
      </w:r>
      <w:r w:rsidRPr="006050EC">
        <w:rPr>
          <w:sz w:val="20"/>
          <w:szCs w:val="20"/>
        </w:rPr>
        <w:t>LANGUAGE, MIND, AND REALITY</w:t>
      </w:r>
      <w:r>
        <w:rPr>
          <w:sz w:val="20"/>
          <w:szCs w:val="20"/>
        </w:rPr>
        <w:t>’,</w:t>
      </w:r>
      <w:r w:rsidRPr="006050EC">
        <w:rPr>
          <w:sz w:val="20"/>
          <w:szCs w:val="20"/>
        </w:rPr>
        <w:t xml:space="preserve"> </w:t>
      </w:r>
      <w:r w:rsidRPr="006050EC">
        <w:rPr>
          <w:i/>
          <w:iCs/>
          <w:sz w:val="20"/>
          <w:szCs w:val="20"/>
        </w:rPr>
        <w:t>ETC: A Review of General Semantics</w:t>
      </w:r>
      <w:r w:rsidRPr="006050EC">
        <w:rPr>
          <w:sz w:val="20"/>
          <w:szCs w:val="20"/>
        </w:rPr>
        <w:t>, 9</w:t>
      </w:r>
      <w:r>
        <w:rPr>
          <w:sz w:val="20"/>
          <w:szCs w:val="20"/>
        </w:rPr>
        <w:t>.</w:t>
      </w:r>
      <w:r w:rsidRPr="006050EC">
        <w:rPr>
          <w:sz w:val="20"/>
          <w:szCs w:val="20"/>
        </w:rPr>
        <w:t xml:space="preserve">3 </w:t>
      </w:r>
      <w:r>
        <w:rPr>
          <w:sz w:val="20"/>
          <w:szCs w:val="20"/>
        </w:rPr>
        <w:t>(</w:t>
      </w:r>
      <w:r w:rsidRPr="006050EC">
        <w:rPr>
          <w:sz w:val="20"/>
          <w:szCs w:val="20"/>
        </w:rPr>
        <w:t>1952</w:t>
      </w:r>
      <w:r>
        <w:rPr>
          <w:sz w:val="20"/>
          <w:szCs w:val="20"/>
        </w:rPr>
        <w:t>)</w:t>
      </w:r>
      <w:r w:rsidRPr="006050EC">
        <w:rPr>
          <w:sz w:val="20"/>
          <w:szCs w:val="20"/>
        </w:rPr>
        <w:t>, 167–</w:t>
      </w:r>
      <w:r>
        <w:rPr>
          <w:sz w:val="20"/>
          <w:szCs w:val="20"/>
        </w:rPr>
        <w:t>1</w:t>
      </w:r>
      <w:r w:rsidRPr="006050EC">
        <w:rPr>
          <w:sz w:val="20"/>
          <w:szCs w:val="20"/>
        </w:rPr>
        <w:t>88</w:t>
      </w:r>
      <w:r>
        <w:rPr>
          <w:sz w:val="20"/>
          <w:szCs w:val="20"/>
        </w:rPr>
        <w:t xml:space="preserve"> (p. 177).</w:t>
      </w:r>
    </w:p>
  </w:footnote>
  <w:footnote w:id="70">
    <w:p w14:paraId="1A40A85E" w14:textId="77777777" w:rsidR="00F06B61" w:rsidRPr="00570FDF" w:rsidRDefault="00F06B61" w:rsidP="00F06B61">
      <w:pPr>
        <w:pStyle w:val="FootnoteText"/>
        <w:rPr>
          <w:rFonts w:ascii="Times New Roman" w:hAnsi="Times New Roman" w:cs="Times New Roman"/>
        </w:rPr>
      </w:pPr>
      <w:r w:rsidRPr="00570FDF">
        <w:rPr>
          <w:rStyle w:val="FootnoteReference"/>
          <w:rFonts w:ascii="Times New Roman" w:hAnsi="Times New Roman" w:cs="Times New Roman"/>
        </w:rPr>
        <w:footnoteRef/>
      </w:r>
      <w:r w:rsidRPr="00570FDF">
        <w:rPr>
          <w:rFonts w:ascii="Times New Roman" w:hAnsi="Times New Roman" w:cs="Times New Roman"/>
        </w:rPr>
        <w:t xml:space="preserve"> Crowley, </w:t>
      </w:r>
      <w:r w:rsidRPr="00570FDF">
        <w:rPr>
          <w:rFonts w:ascii="Times New Roman" w:hAnsi="Times New Roman" w:cs="Times New Roman"/>
          <w:i/>
          <w:iCs/>
        </w:rPr>
        <w:t>The Book Of Thoth</w:t>
      </w:r>
      <w:r w:rsidRPr="00570FDF">
        <w:rPr>
          <w:rFonts w:ascii="Times New Roman" w:hAnsi="Times New Roman" w:cs="Times New Roman"/>
        </w:rPr>
        <w:t>, p. 3.</w:t>
      </w:r>
    </w:p>
  </w:footnote>
  <w:footnote w:id="71">
    <w:p w14:paraId="3D87D42C" w14:textId="77777777" w:rsidR="00F06B61" w:rsidRPr="00570FDF" w:rsidRDefault="00F06B61" w:rsidP="00F06B61">
      <w:pPr>
        <w:rPr>
          <w:sz w:val="20"/>
          <w:szCs w:val="20"/>
        </w:rPr>
      </w:pPr>
      <w:r w:rsidRPr="00570FDF">
        <w:rPr>
          <w:rStyle w:val="FootnoteReference"/>
          <w:sz w:val="20"/>
          <w:szCs w:val="20"/>
        </w:rPr>
        <w:footnoteRef/>
      </w:r>
      <w:r w:rsidRPr="00570FDF">
        <w:rPr>
          <w:sz w:val="20"/>
          <w:szCs w:val="20"/>
        </w:rPr>
        <w:t xml:space="preserve"> Bernadette Brady, ‘Star Phases: The Naked-Eye Astronomy Of The Old Kingdom Pyramid Texts’, </w:t>
      </w:r>
      <w:r w:rsidRPr="00570FDF">
        <w:rPr>
          <w:i/>
          <w:iCs/>
          <w:sz w:val="20"/>
          <w:szCs w:val="20"/>
        </w:rPr>
        <w:t>Skyscapes: The Role and Importance of the Sky in Archaeology</w:t>
      </w:r>
      <w:r w:rsidRPr="00570FDF">
        <w:rPr>
          <w:sz w:val="20"/>
          <w:szCs w:val="20"/>
        </w:rPr>
        <w:t>, ed. by Fabio Silva and Nicholas Campion, (Oxbow Books, 2015), pp. 76–86 (p. 77).</w:t>
      </w:r>
    </w:p>
  </w:footnote>
  <w:footnote w:id="72">
    <w:p w14:paraId="1EE37467" w14:textId="77777777" w:rsidR="00F06B61" w:rsidRPr="00570FDF" w:rsidRDefault="00F06B61" w:rsidP="00F06B61">
      <w:pPr>
        <w:rPr>
          <w:sz w:val="20"/>
          <w:szCs w:val="20"/>
        </w:rPr>
      </w:pPr>
      <w:r w:rsidRPr="00570FDF">
        <w:rPr>
          <w:rStyle w:val="FootnoteReference"/>
          <w:sz w:val="20"/>
          <w:szCs w:val="20"/>
        </w:rPr>
        <w:footnoteRef/>
      </w:r>
      <w:r w:rsidRPr="00570FDF">
        <w:rPr>
          <w:sz w:val="20"/>
          <w:szCs w:val="20"/>
        </w:rPr>
        <w:t xml:space="preserve"> Jiri</w:t>
      </w:r>
      <w:r>
        <w:rPr>
          <w:sz w:val="20"/>
          <w:szCs w:val="20"/>
        </w:rPr>
        <w:t xml:space="preserve"> </w:t>
      </w:r>
      <w:proofErr w:type="spellStart"/>
      <w:r>
        <w:rPr>
          <w:sz w:val="20"/>
          <w:szCs w:val="20"/>
        </w:rPr>
        <w:t>Janak</w:t>
      </w:r>
      <w:proofErr w:type="spellEnd"/>
      <w:r>
        <w:rPr>
          <w:sz w:val="20"/>
          <w:szCs w:val="20"/>
        </w:rPr>
        <w:t>,</w:t>
      </w:r>
      <w:r w:rsidRPr="00570FDF">
        <w:rPr>
          <w:sz w:val="20"/>
          <w:szCs w:val="20"/>
        </w:rPr>
        <w:t xml:space="preserve"> “A Question </w:t>
      </w:r>
      <w:r>
        <w:rPr>
          <w:sz w:val="20"/>
          <w:szCs w:val="20"/>
        </w:rPr>
        <w:t>O</w:t>
      </w:r>
      <w:r w:rsidRPr="00570FDF">
        <w:rPr>
          <w:sz w:val="20"/>
          <w:szCs w:val="20"/>
        </w:rPr>
        <w:t xml:space="preserve">f Size. A Remark </w:t>
      </w:r>
      <w:r>
        <w:rPr>
          <w:sz w:val="20"/>
          <w:szCs w:val="20"/>
        </w:rPr>
        <w:t>O</w:t>
      </w:r>
      <w:r w:rsidRPr="00570FDF">
        <w:rPr>
          <w:sz w:val="20"/>
          <w:szCs w:val="20"/>
        </w:rPr>
        <w:t xml:space="preserve">n Early Attestations </w:t>
      </w:r>
      <w:r>
        <w:rPr>
          <w:sz w:val="20"/>
          <w:szCs w:val="20"/>
        </w:rPr>
        <w:t>O</w:t>
      </w:r>
      <w:r w:rsidRPr="00570FDF">
        <w:rPr>
          <w:sz w:val="20"/>
          <w:szCs w:val="20"/>
        </w:rPr>
        <w:t xml:space="preserve">f </w:t>
      </w:r>
      <w:r>
        <w:rPr>
          <w:sz w:val="20"/>
          <w:szCs w:val="20"/>
        </w:rPr>
        <w:t>T</w:t>
      </w:r>
      <w:r w:rsidRPr="00570FDF">
        <w:rPr>
          <w:sz w:val="20"/>
          <w:szCs w:val="20"/>
        </w:rPr>
        <w:t>he Ba Hieroglyph</w:t>
      </w:r>
      <w:r>
        <w:rPr>
          <w:sz w:val="20"/>
          <w:szCs w:val="20"/>
        </w:rPr>
        <w:t>’,</w:t>
      </w:r>
      <w:r w:rsidRPr="00570FDF">
        <w:rPr>
          <w:sz w:val="20"/>
          <w:szCs w:val="20"/>
        </w:rPr>
        <w:t xml:space="preserve"> </w:t>
      </w:r>
      <w:proofErr w:type="spellStart"/>
      <w:r w:rsidRPr="00570FDF">
        <w:rPr>
          <w:i/>
          <w:iCs/>
          <w:sz w:val="20"/>
          <w:szCs w:val="20"/>
        </w:rPr>
        <w:t>Studien</w:t>
      </w:r>
      <w:proofErr w:type="spellEnd"/>
      <w:r w:rsidRPr="00570FDF">
        <w:rPr>
          <w:i/>
          <w:iCs/>
          <w:sz w:val="20"/>
          <w:szCs w:val="20"/>
        </w:rPr>
        <w:t xml:space="preserve"> </w:t>
      </w:r>
      <w:proofErr w:type="spellStart"/>
      <w:r w:rsidRPr="00570FDF">
        <w:rPr>
          <w:i/>
          <w:iCs/>
          <w:sz w:val="20"/>
          <w:szCs w:val="20"/>
        </w:rPr>
        <w:t>Zur</w:t>
      </w:r>
      <w:proofErr w:type="spellEnd"/>
      <w:r w:rsidRPr="00570FDF">
        <w:rPr>
          <w:i/>
          <w:iCs/>
          <w:sz w:val="20"/>
          <w:szCs w:val="20"/>
        </w:rPr>
        <w:t xml:space="preserve"> </w:t>
      </w:r>
      <w:proofErr w:type="spellStart"/>
      <w:r w:rsidRPr="00570FDF">
        <w:rPr>
          <w:i/>
          <w:iCs/>
          <w:sz w:val="20"/>
          <w:szCs w:val="20"/>
        </w:rPr>
        <w:t>Altägyptischen</w:t>
      </w:r>
      <w:proofErr w:type="spellEnd"/>
      <w:r w:rsidRPr="00570FDF">
        <w:rPr>
          <w:i/>
          <w:iCs/>
          <w:sz w:val="20"/>
          <w:szCs w:val="20"/>
        </w:rPr>
        <w:t xml:space="preserve"> Kultur</w:t>
      </w:r>
      <w:r w:rsidRPr="00570FDF">
        <w:rPr>
          <w:sz w:val="20"/>
          <w:szCs w:val="20"/>
        </w:rPr>
        <w:t>, 40</w:t>
      </w:r>
      <w:r>
        <w:rPr>
          <w:sz w:val="20"/>
          <w:szCs w:val="20"/>
        </w:rPr>
        <w:t xml:space="preserve"> (</w:t>
      </w:r>
      <w:r w:rsidRPr="00570FDF">
        <w:rPr>
          <w:sz w:val="20"/>
          <w:szCs w:val="20"/>
        </w:rPr>
        <w:t>2011</w:t>
      </w:r>
      <w:r>
        <w:rPr>
          <w:sz w:val="20"/>
          <w:szCs w:val="20"/>
        </w:rPr>
        <w:t>)</w:t>
      </w:r>
      <w:r w:rsidRPr="00570FDF">
        <w:rPr>
          <w:sz w:val="20"/>
          <w:szCs w:val="20"/>
        </w:rPr>
        <w:t>,</w:t>
      </w:r>
      <w:r>
        <w:rPr>
          <w:sz w:val="20"/>
          <w:szCs w:val="20"/>
        </w:rPr>
        <w:t xml:space="preserve"> </w:t>
      </w:r>
      <w:r w:rsidRPr="00570FDF">
        <w:rPr>
          <w:sz w:val="20"/>
          <w:szCs w:val="20"/>
        </w:rPr>
        <w:t>143–</w:t>
      </w:r>
      <w:r>
        <w:rPr>
          <w:sz w:val="20"/>
          <w:szCs w:val="20"/>
        </w:rPr>
        <w:t>1</w:t>
      </w:r>
      <w:r w:rsidRPr="00570FDF">
        <w:rPr>
          <w:sz w:val="20"/>
          <w:szCs w:val="20"/>
        </w:rPr>
        <w:t>53</w:t>
      </w:r>
      <w:r>
        <w:rPr>
          <w:sz w:val="20"/>
          <w:szCs w:val="20"/>
        </w:rPr>
        <w:t xml:space="preserve"> (p</w:t>
      </w:r>
      <w:r w:rsidRPr="00570FDF">
        <w:rPr>
          <w:sz w:val="20"/>
          <w:szCs w:val="20"/>
        </w:rPr>
        <w:t>.</w:t>
      </w:r>
      <w:r>
        <w:rPr>
          <w:sz w:val="20"/>
          <w:szCs w:val="20"/>
        </w:rPr>
        <w:t xml:space="preserve"> 143).</w:t>
      </w:r>
    </w:p>
  </w:footnote>
  <w:footnote w:id="73">
    <w:p w14:paraId="16F553C9" w14:textId="77777777" w:rsidR="00F06B61" w:rsidRPr="00E54265" w:rsidRDefault="00F06B61" w:rsidP="00F06B61">
      <w:pPr>
        <w:rPr>
          <w:sz w:val="20"/>
          <w:szCs w:val="20"/>
        </w:rPr>
      </w:pPr>
      <w:r w:rsidRPr="00570FDF">
        <w:rPr>
          <w:rStyle w:val="FootnoteReference"/>
          <w:sz w:val="20"/>
          <w:szCs w:val="20"/>
        </w:rPr>
        <w:footnoteRef/>
      </w:r>
      <w:r w:rsidRPr="00570FDF">
        <w:rPr>
          <w:sz w:val="20"/>
          <w:szCs w:val="20"/>
        </w:rPr>
        <w:t xml:space="preserve"> Emanuele</w:t>
      </w:r>
      <w:r>
        <w:rPr>
          <w:sz w:val="20"/>
          <w:szCs w:val="20"/>
        </w:rPr>
        <w:t xml:space="preserve"> </w:t>
      </w:r>
      <w:proofErr w:type="spellStart"/>
      <w:r>
        <w:rPr>
          <w:sz w:val="20"/>
          <w:szCs w:val="20"/>
        </w:rPr>
        <w:t>Casini</w:t>
      </w:r>
      <w:proofErr w:type="spellEnd"/>
      <w:r>
        <w:rPr>
          <w:sz w:val="20"/>
          <w:szCs w:val="20"/>
        </w:rPr>
        <w:t>,</w:t>
      </w:r>
      <w:r w:rsidRPr="00570FDF">
        <w:rPr>
          <w:sz w:val="20"/>
          <w:szCs w:val="20"/>
        </w:rPr>
        <w:t xml:space="preserve"> </w:t>
      </w:r>
      <w:r>
        <w:rPr>
          <w:sz w:val="20"/>
          <w:szCs w:val="20"/>
        </w:rPr>
        <w:t>‘</w:t>
      </w:r>
      <w:r w:rsidRPr="00570FDF">
        <w:rPr>
          <w:sz w:val="20"/>
          <w:szCs w:val="20"/>
        </w:rPr>
        <w:t xml:space="preserve">THE THREE-DIMENSIONAL REPRESENTATIONS OF THE HUMAN-HEADED </w:t>
      </w:r>
      <w:r w:rsidRPr="00570FDF">
        <w:rPr>
          <w:i/>
          <w:iCs/>
          <w:sz w:val="20"/>
          <w:szCs w:val="20"/>
        </w:rPr>
        <w:t>B3</w:t>
      </w:r>
      <w:r w:rsidRPr="00570FDF">
        <w:rPr>
          <w:sz w:val="20"/>
          <w:szCs w:val="20"/>
        </w:rPr>
        <w:t>-BIRD: SOME REMARKS ABOUT THEIR ORIGIN AND FUNCTION</w:t>
      </w:r>
      <w:r>
        <w:rPr>
          <w:sz w:val="20"/>
          <w:szCs w:val="20"/>
        </w:rPr>
        <w:t>’,</w:t>
      </w:r>
      <w:r w:rsidRPr="00570FDF">
        <w:rPr>
          <w:sz w:val="20"/>
          <w:szCs w:val="20"/>
        </w:rPr>
        <w:t xml:space="preserve"> </w:t>
      </w:r>
      <w:proofErr w:type="spellStart"/>
      <w:r w:rsidRPr="00570FDF">
        <w:rPr>
          <w:i/>
          <w:iCs/>
          <w:sz w:val="20"/>
          <w:szCs w:val="20"/>
        </w:rPr>
        <w:t>Egitto</w:t>
      </w:r>
      <w:proofErr w:type="spellEnd"/>
      <w:r w:rsidRPr="00570FDF">
        <w:rPr>
          <w:i/>
          <w:iCs/>
          <w:sz w:val="20"/>
          <w:szCs w:val="20"/>
        </w:rPr>
        <w:t xml:space="preserve"> e </w:t>
      </w:r>
      <w:proofErr w:type="spellStart"/>
      <w:r w:rsidRPr="00570FDF">
        <w:rPr>
          <w:i/>
          <w:iCs/>
          <w:sz w:val="20"/>
          <w:szCs w:val="20"/>
        </w:rPr>
        <w:t>Vicino</w:t>
      </w:r>
      <w:proofErr w:type="spellEnd"/>
      <w:r w:rsidRPr="00570FDF">
        <w:rPr>
          <w:i/>
          <w:iCs/>
          <w:sz w:val="20"/>
          <w:szCs w:val="20"/>
        </w:rPr>
        <w:t xml:space="preserve"> </w:t>
      </w:r>
      <w:proofErr w:type="spellStart"/>
      <w:r w:rsidRPr="00570FDF">
        <w:rPr>
          <w:i/>
          <w:iCs/>
          <w:sz w:val="20"/>
          <w:szCs w:val="20"/>
        </w:rPr>
        <w:t>Oriente</w:t>
      </w:r>
      <w:proofErr w:type="spellEnd"/>
      <w:r w:rsidRPr="00570FDF">
        <w:rPr>
          <w:sz w:val="20"/>
          <w:szCs w:val="20"/>
        </w:rPr>
        <w:t>, 38</w:t>
      </w:r>
      <w:r>
        <w:rPr>
          <w:sz w:val="20"/>
          <w:szCs w:val="20"/>
        </w:rPr>
        <w:t xml:space="preserve"> (</w:t>
      </w:r>
      <w:r w:rsidRPr="00570FDF">
        <w:rPr>
          <w:sz w:val="20"/>
          <w:szCs w:val="20"/>
        </w:rPr>
        <w:t>2015</w:t>
      </w:r>
      <w:r>
        <w:rPr>
          <w:sz w:val="20"/>
          <w:szCs w:val="20"/>
        </w:rPr>
        <w:t>)</w:t>
      </w:r>
      <w:r w:rsidRPr="00570FDF">
        <w:rPr>
          <w:sz w:val="20"/>
          <w:szCs w:val="20"/>
        </w:rPr>
        <w:t xml:space="preserve">, </w:t>
      </w:r>
      <w:r w:rsidRPr="00E54265">
        <w:rPr>
          <w:sz w:val="20"/>
          <w:szCs w:val="20"/>
        </w:rPr>
        <w:t>9–32 (p. 13).</w:t>
      </w:r>
    </w:p>
  </w:footnote>
  <w:footnote w:id="74">
    <w:p w14:paraId="5C9BFA9E" w14:textId="77777777" w:rsidR="00F06B61" w:rsidRPr="00E54265" w:rsidRDefault="00F06B61" w:rsidP="00F06B61">
      <w:pPr>
        <w:rPr>
          <w:sz w:val="20"/>
          <w:szCs w:val="20"/>
        </w:rPr>
      </w:pPr>
      <w:r w:rsidRPr="00E54265">
        <w:rPr>
          <w:rStyle w:val="FootnoteReference"/>
          <w:sz w:val="20"/>
          <w:szCs w:val="20"/>
        </w:rPr>
        <w:footnoteRef/>
      </w:r>
      <w:r w:rsidRPr="00E54265">
        <w:rPr>
          <w:sz w:val="20"/>
          <w:szCs w:val="20"/>
        </w:rPr>
        <w:t xml:space="preserve"> </w:t>
      </w:r>
      <w:proofErr w:type="spellStart"/>
      <w:r w:rsidRPr="00E54265">
        <w:rPr>
          <w:sz w:val="20"/>
          <w:szCs w:val="20"/>
        </w:rPr>
        <w:t>Janak</w:t>
      </w:r>
      <w:proofErr w:type="spellEnd"/>
      <w:r w:rsidRPr="00E54265">
        <w:rPr>
          <w:sz w:val="20"/>
          <w:szCs w:val="20"/>
        </w:rPr>
        <w:t xml:space="preserve">, “A Question Of </w:t>
      </w:r>
      <w:proofErr w:type="spellStart"/>
      <w:r w:rsidRPr="00E54265">
        <w:rPr>
          <w:sz w:val="20"/>
          <w:szCs w:val="20"/>
        </w:rPr>
        <w:t>Size</w:t>
      </w:r>
      <w:proofErr w:type="gramStart"/>
      <w:r>
        <w:rPr>
          <w:sz w:val="20"/>
          <w:szCs w:val="20"/>
        </w:rPr>
        <w:t>’,</w:t>
      </w:r>
      <w:r w:rsidRPr="00E54265">
        <w:rPr>
          <w:sz w:val="20"/>
          <w:szCs w:val="20"/>
        </w:rPr>
        <w:t>p</w:t>
      </w:r>
      <w:proofErr w:type="spellEnd"/>
      <w:r w:rsidRPr="00E54265">
        <w:rPr>
          <w:sz w:val="20"/>
          <w:szCs w:val="20"/>
        </w:rPr>
        <w:t>.</w:t>
      </w:r>
      <w:proofErr w:type="gramEnd"/>
      <w:r w:rsidRPr="00E54265">
        <w:rPr>
          <w:sz w:val="20"/>
          <w:szCs w:val="20"/>
        </w:rPr>
        <w:t xml:space="preserve"> 143.</w:t>
      </w:r>
    </w:p>
  </w:footnote>
  <w:footnote w:id="75">
    <w:p w14:paraId="66EA6CDE" w14:textId="77777777" w:rsidR="00F06B61" w:rsidRDefault="00F06B61" w:rsidP="00F06B61">
      <w:r w:rsidRPr="00E54265">
        <w:rPr>
          <w:rStyle w:val="FootnoteReference"/>
          <w:sz w:val="20"/>
          <w:szCs w:val="20"/>
        </w:rPr>
        <w:footnoteRef/>
      </w:r>
      <w:r w:rsidRPr="00E54265">
        <w:rPr>
          <w:sz w:val="20"/>
          <w:szCs w:val="20"/>
        </w:rPr>
        <w:t xml:space="preserve"> Elaine </w:t>
      </w:r>
      <w:proofErr w:type="spellStart"/>
      <w:r w:rsidRPr="00E54265">
        <w:rPr>
          <w:sz w:val="20"/>
          <w:szCs w:val="20"/>
        </w:rPr>
        <w:t>Shefer</w:t>
      </w:r>
      <w:proofErr w:type="spellEnd"/>
      <w:r w:rsidRPr="00E54265">
        <w:rPr>
          <w:sz w:val="20"/>
          <w:szCs w:val="20"/>
        </w:rPr>
        <w:t xml:space="preserve">, “The ‘Bird </w:t>
      </w:r>
      <w:r>
        <w:rPr>
          <w:sz w:val="20"/>
          <w:szCs w:val="20"/>
        </w:rPr>
        <w:t>I</w:t>
      </w:r>
      <w:r w:rsidRPr="00E54265">
        <w:rPr>
          <w:sz w:val="20"/>
          <w:szCs w:val="20"/>
        </w:rPr>
        <w:t xml:space="preserve">n </w:t>
      </w:r>
      <w:r>
        <w:rPr>
          <w:sz w:val="20"/>
          <w:szCs w:val="20"/>
        </w:rPr>
        <w:t>T</w:t>
      </w:r>
      <w:r w:rsidRPr="00E54265">
        <w:rPr>
          <w:sz w:val="20"/>
          <w:szCs w:val="20"/>
        </w:rPr>
        <w:t xml:space="preserve">he Cage’ </w:t>
      </w:r>
      <w:r>
        <w:rPr>
          <w:sz w:val="20"/>
          <w:szCs w:val="20"/>
        </w:rPr>
        <w:t>I</w:t>
      </w:r>
      <w:r w:rsidRPr="00E54265">
        <w:rPr>
          <w:sz w:val="20"/>
          <w:szCs w:val="20"/>
        </w:rPr>
        <w:t xml:space="preserve">n </w:t>
      </w:r>
      <w:r>
        <w:rPr>
          <w:sz w:val="20"/>
          <w:szCs w:val="20"/>
        </w:rPr>
        <w:t>T</w:t>
      </w:r>
      <w:r w:rsidRPr="00E54265">
        <w:rPr>
          <w:sz w:val="20"/>
          <w:szCs w:val="20"/>
        </w:rPr>
        <w:t xml:space="preserve">he History </w:t>
      </w:r>
      <w:r>
        <w:rPr>
          <w:sz w:val="20"/>
          <w:szCs w:val="20"/>
        </w:rPr>
        <w:t>O</w:t>
      </w:r>
      <w:r w:rsidRPr="00E54265">
        <w:rPr>
          <w:sz w:val="20"/>
          <w:szCs w:val="20"/>
        </w:rPr>
        <w:t xml:space="preserve">f Sexuality: Sir John Everett Millais </w:t>
      </w:r>
      <w:r>
        <w:rPr>
          <w:sz w:val="20"/>
          <w:szCs w:val="20"/>
        </w:rPr>
        <w:t>A</w:t>
      </w:r>
      <w:r w:rsidRPr="00E54265">
        <w:rPr>
          <w:sz w:val="20"/>
          <w:szCs w:val="20"/>
        </w:rPr>
        <w:t>nd William Holman Hunt</w:t>
      </w:r>
      <w:r>
        <w:rPr>
          <w:sz w:val="20"/>
          <w:szCs w:val="20"/>
        </w:rPr>
        <w:t>’,</w:t>
      </w:r>
      <w:r w:rsidRPr="00E54265">
        <w:rPr>
          <w:sz w:val="20"/>
          <w:szCs w:val="20"/>
        </w:rPr>
        <w:t xml:space="preserve"> </w:t>
      </w:r>
      <w:r w:rsidRPr="00E54265">
        <w:rPr>
          <w:i/>
          <w:iCs/>
          <w:sz w:val="20"/>
          <w:szCs w:val="20"/>
        </w:rPr>
        <w:t>Journal of the History of Sexuality</w:t>
      </w:r>
      <w:r w:rsidRPr="00E54265">
        <w:rPr>
          <w:sz w:val="20"/>
          <w:szCs w:val="20"/>
        </w:rPr>
        <w:t>, 1</w:t>
      </w:r>
      <w:r>
        <w:rPr>
          <w:sz w:val="20"/>
          <w:szCs w:val="20"/>
        </w:rPr>
        <w:t>.</w:t>
      </w:r>
      <w:r w:rsidRPr="00E54265">
        <w:rPr>
          <w:sz w:val="20"/>
          <w:szCs w:val="20"/>
        </w:rPr>
        <w:t>3</w:t>
      </w:r>
      <w:r>
        <w:rPr>
          <w:sz w:val="20"/>
          <w:szCs w:val="20"/>
        </w:rPr>
        <w:t xml:space="preserve"> (</w:t>
      </w:r>
      <w:r w:rsidRPr="00E54265">
        <w:rPr>
          <w:sz w:val="20"/>
          <w:szCs w:val="20"/>
        </w:rPr>
        <w:t>1991</w:t>
      </w:r>
      <w:r>
        <w:rPr>
          <w:sz w:val="20"/>
          <w:szCs w:val="20"/>
        </w:rPr>
        <w:t>)</w:t>
      </w:r>
      <w:r w:rsidRPr="00E54265">
        <w:rPr>
          <w:sz w:val="20"/>
          <w:szCs w:val="20"/>
        </w:rPr>
        <w:t>, 446–</w:t>
      </w:r>
      <w:r>
        <w:rPr>
          <w:sz w:val="20"/>
          <w:szCs w:val="20"/>
        </w:rPr>
        <w:t>4</w:t>
      </w:r>
      <w:r w:rsidRPr="00E54265">
        <w:rPr>
          <w:sz w:val="20"/>
          <w:szCs w:val="20"/>
        </w:rPr>
        <w:t>80</w:t>
      </w:r>
      <w:r>
        <w:rPr>
          <w:sz w:val="20"/>
          <w:szCs w:val="20"/>
        </w:rPr>
        <w:t xml:space="preserve"> (p. 448).</w:t>
      </w:r>
    </w:p>
  </w:footnote>
  <w:footnote w:id="76">
    <w:p w14:paraId="4A5F68F3" w14:textId="77777777" w:rsidR="00F06B61" w:rsidRPr="006050EC" w:rsidRDefault="00F06B61" w:rsidP="00F06B61">
      <w:pPr>
        <w:rPr>
          <w:sz w:val="20"/>
          <w:szCs w:val="20"/>
        </w:rPr>
      </w:pPr>
      <w:r w:rsidRPr="006050EC">
        <w:rPr>
          <w:rStyle w:val="FootnoteReference"/>
          <w:sz w:val="20"/>
          <w:szCs w:val="20"/>
        </w:rPr>
        <w:footnoteRef/>
      </w:r>
      <w:r w:rsidRPr="006050EC">
        <w:rPr>
          <w:sz w:val="20"/>
          <w:szCs w:val="20"/>
        </w:rPr>
        <w:t xml:space="preserve"> Caroline</w:t>
      </w:r>
      <w:r>
        <w:rPr>
          <w:sz w:val="20"/>
          <w:szCs w:val="20"/>
        </w:rPr>
        <w:t xml:space="preserve"> Malim,</w:t>
      </w:r>
      <w:r w:rsidRPr="006050EC">
        <w:rPr>
          <w:sz w:val="20"/>
          <w:szCs w:val="20"/>
        </w:rPr>
        <w:t xml:space="preserve"> </w:t>
      </w:r>
      <w:r>
        <w:rPr>
          <w:sz w:val="20"/>
          <w:szCs w:val="20"/>
        </w:rPr>
        <w:t>‘</w:t>
      </w:r>
      <w:r w:rsidRPr="006050EC">
        <w:rPr>
          <w:sz w:val="20"/>
          <w:szCs w:val="20"/>
        </w:rPr>
        <w:t>As Above, So Below: St Melangell and the Celestial Journey</w:t>
      </w:r>
      <w:r>
        <w:rPr>
          <w:sz w:val="20"/>
          <w:szCs w:val="20"/>
        </w:rPr>
        <w:t>’, in</w:t>
      </w:r>
      <w:r w:rsidRPr="006050EC">
        <w:rPr>
          <w:sz w:val="20"/>
          <w:szCs w:val="20"/>
        </w:rPr>
        <w:t xml:space="preserve"> </w:t>
      </w:r>
      <w:r w:rsidRPr="006050EC">
        <w:rPr>
          <w:i/>
          <w:iCs/>
          <w:sz w:val="20"/>
          <w:szCs w:val="20"/>
        </w:rPr>
        <w:t>Lands of the Shamans: Archaeology, Landscape</w:t>
      </w:r>
      <w:r>
        <w:rPr>
          <w:i/>
          <w:iCs/>
          <w:sz w:val="20"/>
          <w:szCs w:val="20"/>
        </w:rPr>
        <w:t xml:space="preserve"> a</w:t>
      </w:r>
      <w:r w:rsidRPr="006050EC">
        <w:rPr>
          <w:i/>
          <w:iCs/>
          <w:sz w:val="20"/>
          <w:szCs w:val="20"/>
        </w:rPr>
        <w:t>nd Cosmology</w:t>
      </w:r>
      <w:r w:rsidRPr="006050EC">
        <w:rPr>
          <w:sz w:val="20"/>
          <w:szCs w:val="20"/>
        </w:rPr>
        <w:t>, ed</w:t>
      </w:r>
      <w:r>
        <w:rPr>
          <w:sz w:val="20"/>
          <w:szCs w:val="20"/>
        </w:rPr>
        <w:t>.</w:t>
      </w:r>
      <w:r w:rsidRPr="006050EC">
        <w:rPr>
          <w:sz w:val="20"/>
          <w:szCs w:val="20"/>
        </w:rPr>
        <w:t xml:space="preserve"> by Dragoş Gheorghiu et al., </w:t>
      </w:r>
      <w:r>
        <w:rPr>
          <w:sz w:val="20"/>
          <w:szCs w:val="20"/>
        </w:rPr>
        <w:t>(</w:t>
      </w:r>
      <w:r w:rsidRPr="006050EC">
        <w:rPr>
          <w:sz w:val="20"/>
          <w:szCs w:val="20"/>
        </w:rPr>
        <w:t>Oxbow Books, 2018</w:t>
      </w:r>
      <w:r>
        <w:rPr>
          <w:sz w:val="20"/>
          <w:szCs w:val="20"/>
        </w:rPr>
        <w:t>)</w:t>
      </w:r>
      <w:r w:rsidRPr="006050EC">
        <w:rPr>
          <w:sz w:val="20"/>
          <w:szCs w:val="20"/>
        </w:rPr>
        <w:t>, pp. 89–110</w:t>
      </w:r>
      <w:r>
        <w:rPr>
          <w:sz w:val="20"/>
          <w:szCs w:val="20"/>
        </w:rPr>
        <w:t xml:space="preserve"> (p. 91).</w:t>
      </w:r>
    </w:p>
  </w:footnote>
  <w:footnote w:id="77">
    <w:p w14:paraId="494A061F" w14:textId="77777777" w:rsidR="00F06B61" w:rsidRPr="00852E79" w:rsidRDefault="00F06B61" w:rsidP="00F06B61">
      <w:pPr>
        <w:pStyle w:val="FootnoteText"/>
        <w:rPr>
          <w:rFonts w:ascii="Times New Roman" w:hAnsi="Times New Roman" w:cs="Times New Roman"/>
        </w:rPr>
      </w:pPr>
      <w:r w:rsidRPr="008B6B0C">
        <w:rPr>
          <w:rStyle w:val="FootnoteReference"/>
          <w:rFonts w:ascii="Times New Roman" w:hAnsi="Times New Roman" w:cs="Times New Roman"/>
        </w:rPr>
        <w:footnoteRef/>
      </w:r>
      <w:r w:rsidRPr="008B6B0C">
        <w:rPr>
          <w:rFonts w:ascii="Times New Roman" w:hAnsi="Times New Roman" w:cs="Times New Roman"/>
        </w:rPr>
        <w:t xml:space="preserve"> </w:t>
      </w:r>
      <w:r>
        <w:rPr>
          <w:rFonts w:ascii="Times New Roman" w:hAnsi="Times New Roman" w:cs="Times New Roman"/>
        </w:rPr>
        <w:t xml:space="preserve">Colman Stevenson, </w:t>
      </w:r>
      <w:r w:rsidRPr="008B6B0C">
        <w:rPr>
          <w:rFonts w:ascii="Times New Roman" w:hAnsi="Times New Roman" w:cs="Times New Roman"/>
          <w:i/>
          <w:iCs/>
        </w:rPr>
        <w:t>Tarot</w:t>
      </w:r>
      <w:r>
        <w:rPr>
          <w:rFonts w:ascii="Times New Roman" w:hAnsi="Times New Roman" w:cs="Times New Roman"/>
        </w:rPr>
        <w:t xml:space="preserve"> (2020) &lt;</w:t>
      </w:r>
      <w:r w:rsidRPr="008B6B0C">
        <w:t xml:space="preserve"> </w:t>
      </w:r>
      <w:r w:rsidRPr="008B6B0C">
        <w:rPr>
          <w:rFonts w:ascii="Times New Roman" w:hAnsi="Times New Roman" w:cs="Times New Roman"/>
        </w:rPr>
        <w:t>https://www.tarot.com/tarot/cards/the-tower/crystal-visions</w:t>
      </w:r>
      <w:r>
        <w:rPr>
          <w:rFonts w:ascii="Times New Roman" w:hAnsi="Times New Roman" w:cs="Times New Roman"/>
        </w:rPr>
        <w:t>&gt; [accessed 19 April 2023].</w:t>
      </w:r>
    </w:p>
  </w:footnote>
  <w:footnote w:id="78">
    <w:p w14:paraId="37D9B6EB"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Jessica Hundley, ‘Purity In Illumination’, in </w:t>
      </w:r>
      <w:r w:rsidRPr="00636359">
        <w:rPr>
          <w:rFonts w:ascii="Times New Roman" w:hAnsi="Times New Roman" w:cs="Times New Roman"/>
          <w:i/>
          <w:iCs/>
        </w:rPr>
        <w:t>The Library of Esoterica: Tarot</w:t>
      </w:r>
      <w:r w:rsidRPr="00636359">
        <w:rPr>
          <w:rFonts w:ascii="Times New Roman" w:hAnsi="Times New Roman" w:cs="Times New Roman"/>
        </w:rPr>
        <w:t>, ed. by Jessica Hundley, (Taschen, 2022), pp. 326-339 (p. 326).</w:t>
      </w:r>
    </w:p>
  </w:footnote>
  <w:footnote w:id="79">
    <w:p w14:paraId="364B1F2D"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di Parravicino, ‘Three Packs Of Italian Tarocco Cards’, p. 238.</w:t>
      </w:r>
    </w:p>
  </w:footnote>
  <w:footnote w:id="80">
    <w:p w14:paraId="7AF7D7F6"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Crowley, </w:t>
      </w:r>
      <w:r w:rsidRPr="00636359">
        <w:rPr>
          <w:rFonts w:ascii="Times New Roman" w:hAnsi="Times New Roman" w:cs="Times New Roman"/>
          <w:i/>
          <w:iCs/>
        </w:rPr>
        <w:t>The Book Of Thoth</w:t>
      </w:r>
      <w:r w:rsidRPr="00636359">
        <w:rPr>
          <w:rFonts w:ascii="Times New Roman" w:hAnsi="Times New Roman" w:cs="Times New Roman"/>
        </w:rPr>
        <w:t>, p. 109.</w:t>
      </w:r>
    </w:p>
  </w:footnote>
  <w:footnote w:id="81">
    <w:p w14:paraId="1124F7A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107.</w:t>
      </w:r>
    </w:p>
  </w:footnote>
  <w:footnote w:id="82">
    <w:p w14:paraId="523E4C56" w14:textId="77777777" w:rsidR="00F06B61" w:rsidRPr="00636359" w:rsidRDefault="00F06B61" w:rsidP="00F06B61">
      <w:r w:rsidRPr="00636359">
        <w:rPr>
          <w:rStyle w:val="FootnoteReference"/>
          <w:sz w:val="20"/>
          <w:szCs w:val="20"/>
        </w:rPr>
        <w:footnoteRef/>
      </w:r>
      <w:r w:rsidRPr="00636359">
        <w:rPr>
          <w:sz w:val="20"/>
          <w:szCs w:val="20"/>
        </w:rPr>
        <w:t xml:space="preserve"> S. A. S., </w:t>
      </w:r>
      <w:r w:rsidRPr="00636359">
        <w:rPr>
          <w:i/>
          <w:iCs/>
          <w:sz w:val="20"/>
          <w:szCs w:val="20"/>
        </w:rPr>
        <w:t>The Review of Metaphysics</w:t>
      </w:r>
      <w:r w:rsidRPr="00636359">
        <w:rPr>
          <w:sz w:val="20"/>
          <w:szCs w:val="20"/>
        </w:rPr>
        <w:t>, 23.2 (1969), 348–348 (p. 348).</w:t>
      </w:r>
    </w:p>
  </w:footnote>
  <w:footnote w:id="83">
    <w:p w14:paraId="3B036AB1"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Waite, </w:t>
      </w:r>
      <w:r w:rsidRPr="00636359">
        <w:rPr>
          <w:rFonts w:ascii="Times New Roman" w:hAnsi="Times New Roman" w:cs="Times New Roman"/>
          <w:i/>
          <w:iCs/>
        </w:rPr>
        <w:t>The Pictorial Key</w:t>
      </w:r>
      <w:r w:rsidRPr="00636359">
        <w:rPr>
          <w:rFonts w:ascii="Times New Roman" w:hAnsi="Times New Roman" w:cs="Times New Roman"/>
        </w:rPr>
        <w:t>, p. 149.</w:t>
      </w:r>
    </w:p>
  </w:footnote>
  <w:footnote w:id="84">
    <w:p w14:paraId="0D20CDEA"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150.</w:t>
      </w:r>
    </w:p>
  </w:footnote>
  <w:footnote w:id="85">
    <w:p w14:paraId="3E8833AB"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di Parravicino, ‘Three Packs Of Italian Tarocco Cards’, p. 238.</w:t>
      </w:r>
    </w:p>
  </w:footnote>
  <w:footnote w:id="86">
    <w:p w14:paraId="0A3300AA"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Crowley, </w:t>
      </w:r>
      <w:r w:rsidRPr="00636359">
        <w:rPr>
          <w:rFonts w:ascii="Times New Roman" w:hAnsi="Times New Roman" w:cs="Times New Roman"/>
          <w:i/>
          <w:iCs/>
        </w:rPr>
        <w:t>The Book Of Thoth</w:t>
      </w:r>
      <w:r w:rsidRPr="00636359">
        <w:rPr>
          <w:rFonts w:ascii="Times New Roman" w:hAnsi="Times New Roman" w:cs="Times New Roman"/>
        </w:rPr>
        <w:t>, p. 109.</w:t>
      </w:r>
    </w:p>
  </w:footnote>
  <w:footnote w:id="87">
    <w:p w14:paraId="61AD2F8E"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AC2D41">
        <w:rPr>
          <w:rFonts w:ascii="Times New Roman" w:eastAsia="Times New Roman" w:hAnsi="Times New Roman" w:cs="Times New Roman"/>
          <w:lang w:eastAsia="en-GB"/>
        </w:rPr>
        <w:t>Gadi</w:t>
      </w:r>
      <w:r w:rsidRPr="00636359">
        <w:rPr>
          <w:rFonts w:ascii="Times New Roman" w:eastAsia="Times New Roman" w:hAnsi="Times New Roman" w:cs="Times New Roman"/>
          <w:lang w:eastAsia="en-GB"/>
        </w:rPr>
        <w:t xml:space="preserve"> Sagiv,</w:t>
      </w:r>
      <w:r w:rsidRPr="00AC2D41">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AC2D41">
        <w:rPr>
          <w:rFonts w:ascii="Times New Roman" w:eastAsia="Times New Roman" w:hAnsi="Times New Roman" w:cs="Times New Roman"/>
          <w:lang w:eastAsia="en-GB"/>
        </w:rPr>
        <w:t xml:space="preserve">Dazzling Blue: Color Symbolism, Kabbalistic Myth, </w:t>
      </w:r>
      <w:r w:rsidRPr="00636359">
        <w:rPr>
          <w:rFonts w:ascii="Times New Roman" w:eastAsia="Times New Roman" w:hAnsi="Times New Roman" w:cs="Times New Roman"/>
          <w:lang w:eastAsia="en-GB"/>
        </w:rPr>
        <w:t>A</w:t>
      </w:r>
      <w:r w:rsidRPr="00AC2D41">
        <w:rPr>
          <w:rFonts w:ascii="Times New Roman" w:eastAsia="Times New Roman" w:hAnsi="Times New Roman" w:cs="Times New Roman"/>
          <w:lang w:eastAsia="en-GB"/>
        </w:rPr>
        <w:t xml:space="preserve">nd </w:t>
      </w:r>
      <w:r w:rsidRPr="00636359">
        <w:rPr>
          <w:rFonts w:ascii="Times New Roman" w:eastAsia="Times New Roman" w:hAnsi="Times New Roman" w:cs="Times New Roman"/>
          <w:lang w:eastAsia="en-GB"/>
        </w:rPr>
        <w:t>T</w:t>
      </w:r>
      <w:r w:rsidRPr="00AC2D41">
        <w:rPr>
          <w:rFonts w:ascii="Times New Roman" w:eastAsia="Times New Roman" w:hAnsi="Times New Roman" w:cs="Times New Roman"/>
          <w:lang w:eastAsia="en-GB"/>
        </w:rPr>
        <w:t xml:space="preserve">he Evil Eye </w:t>
      </w:r>
      <w:r w:rsidRPr="00636359">
        <w:rPr>
          <w:rFonts w:ascii="Times New Roman" w:eastAsia="Times New Roman" w:hAnsi="Times New Roman" w:cs="Times New Roman"/>
          <w:lang w:eastAsia="en-GB"/>
        </w:rPr>
        <w:t>I</w:t>
      </w:r>
      <w:r w:rsidRPr="00AC2D41">
        <w:rPr>
          <w:rFonts w:ascii="Times New Roman" w:eastAsia="Times New Roman" w:hAnsi="Times New Roman" w:cs="Times New Roman"/>
          <w:lang w:eastAsia="en-GB"/>
        </w:rPr>
        <w:t>n Judaism</w:t>
      </w:r>
      <w:r w:rsidRPr="00636359">
        <w:rPr>
          <w:rFonts w:ascii="Times New Roman" w:eastAsia="Times New Roman" w:hAnsi="Times New Roman" w:cs="Times New Roman"/>
          <w:lang w:eastAsia="en-GB"/>
        </w:rPr>
        <w:t xml:space="preserve">’, </w:t>
      </w:r>
      <w:r w:rsidRPr="00636359">
        <w:rPr>
          <w:rFonts w:ascii="Times New Roman" w:eastAsia="Times New Roman" w:hAnsi="Times New Roman" w:cs="Times New Roman"/>
          <w:i/>
          <w:iCs/>
          <w:lang w:eastAsia="en-GB"/>
        </w:rPr>
        <w:t>Numen</w:t>
      </w:r>
      <w:r w:rsidRPr="00636359">
        <w:rPr>
          <w:rFonts w:ascii="Times New Roman" w:eastAsia="Times New Roman" w:hAnsi="Times New Roman" w:cs="Times New Roman"/>
          <w:lang w:eastAsia="en-GB"/>
        </w:rPr>
        <w:t xml:space="preserve">, </w:t>
      </w:r>
      <w:r w:rsidRPr="00AC2D41">
        <w:rPr>
          <w:rFonts w:ascii="Times New Roman" w:eastAsia="Times New Roman" w:hAnsi="Times New Roman" w:cs="Times New Roman"/>
          <w:lang w:eastAsia="en-GB"/>
        </w:rPr>
        <w:t>64</w:t>
      </w:r>
      <w:r w:rsidRPr="00636359">
        <w:rPr>
          <w:rFonts w:ascii="Times New Roman" w:eastAsia="Times New Roman" w:hAnsi="Times New Roman" w:cs="Times New Roman"/>
          <w:lang w:eastAsia="en-GB"/>
        </w:rPr>
        <w:t>.</w:t>
      </w:r>
      <w:r w:rsidRPr="00AC2D41">
        <w:rPr>
          <w:rFonts w:ascii="Times New Roman" w:eastAsia="Times New Roman" w:hAnsi="Times New Roman" w:cs="Times New Roman"/>
          <w:lang w:eastAsia="en-GB"/>
        </w:rPr>
        <w:t xml:space="preserve">2/3 </w:t>
      </w:r>
      <w:r w:rsidRPr="00636359">
        <w:rPr>
          <w:rFonts w:ascii="Times New Roman" w:eastAsia="Times New Roman" w:hAnsi="Times New Roman" w:cs="Times New Roman"/>
          <w:lang w:eastAsia="en-GB"/>
        </w:rPr>
        <w:t>(</w:t>
      </w:r>
      <w:r w:rsidRPr="00AC2D41">
        <w:rPr>
          <w:rFonts w:ascii="Times New Roman" w:eastAsia="Times New Roman" w:hAnsi="Times New Roman" w:cs="Times New Roman"/>
          <w:lang w:eastAsia="en-GB"/>
        </w:rPr>
        <w:t>2017</w:t>
      </w:r>
      <w:r w:rsidRPr="00636359">
        <w:rPr>
          <w:rFonts w:ascii="Times New Roman" w:eastAsia="Times New Roman" w:hAnsi="Times New Roman" w:cs="Times New Roman"/>
          <w:lang w:eastAsia="en-GB"/>
        </w:rPr>
        <w:t>)</w:t>
      </w:r>
      <w:r w:rsidRPr="00AC2D41">
        <w:rPr>
          <w:rFonts w:ascii="Times New Roman" w:eastAsia="Times New Roman" w:hAnsi="Times New Roman" w:cs="Times New Roman"/>
          <w:lang w:eastAsia="en-GB"/>
        </w:rPr>
        <w:t>,</w:t>
      </w:r>
      <w:r w:rsidRPr="00636359">
        <w:rPr>
          <w:rFonts w:ascii="Times New Roman" w:eastAsia="Times New Roman" w:hAnsi="Times New Roman" w:cs="Times New Roman"/>
          <w:lang w:eastAsia="en-GB"/>
        </w:rPr>
        <w:t xml:space="preserve"> </w:t>
      </w:r>
      <w:r w:rsidRPr="00AC2D41">
        <w:rPr>
          <w:rFonts w:ascii="Times New Roman" w:eastAsia="Times New Roman" w:hAnsi="Times New Roman" w:cs="Times New Roman"/>
          <w:lang w:eastAsia="en-GB"/>
        </w:rPr>
        <w:t>183–208</w:t>
      </w:r>
      <w:r w:rsidRPr="00636359">
        <w:rPr>
          <w:rFonts w:ascii="Times New Roman" w:eastAsia="Times New Roman" w:hAnsi="Times New Roman" w:cs="Times New Roman"/>
          <w:lang w:eastAsia="en-GB"/>
        </w:rPr>
        <w:t xml:space="preserve"> (p. 183).</w:t>
      </w:r>
    </w:p>
  </w:footnote>
  <w:footnote w:id="88">
    <w:p w14:paraId="4C064476"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‘Purity In Illumination’, p. 326.</w:t>
      </w:r>
    </w:p>
  </w:footnote>
  <w:footnote w:id="89">
    <w:p w14:paraId="277D2F98"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326.</w:t>
      </w:r>
    </w:p>
  </w:footnote>
  <w:footnote w:id="90">
    <w:p w14:paraId="0897B410"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Pollack, </w:t>
      </w:r>
      <w:r w:rsidRPr="00636359">
        <w:rPr>
          <w:rFonts w:ascii="Times New Roman" w:hAnsi="Times New Roman" w:cs="Times New Roman"/>
          <w:i/>
          <w:iCs/>
        </w:rPr>
        <w:t>Seventy-Eight Degrees</w:t>
      </w:r>
      <w:r w:rsidRPr="00636359">
        <w:rPr>
          <w:rFonts w:ascii="Times New Roman" w:hAnsi="Times New Roman" w:cs="Times New Roman"/>
        </w:rPr>
        <w:t>, p. 124.</w:t>
      </w:r>
    </w:p>
  </w:footnote>
  <w:footnote w:id="91">
    <w:p w14:paraId="3EE3751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Place, </w:t>
      </w:r>
      <w:r w:rsidRPr="00636359">
        <w:rPr>
          <w:rFonts w:ascii="Times New Roman" w:hAnsi="Times New Roman" w:cs="Times New Roman"/>
          <w:i/>
          <w:iCs/>
        </w:rPr>
        <w:t>The Tarot</w:t>
      </w:r>
      <w:r w:rsidRPr="00636359">
        <w:rPr>
          <w:rFonts w:ascii="Times New Roman" w:hAnsi="Times New Roman" w:cs="Times New Roman"/>
        </w:rPr>
        <w:t>, p. 208.</w:t>
      </w:r>
    </w:p>
  </w:footnote>
  <w:footnote w:id="92">
    <w:p w14:paraId="3710FFA7"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C. G. Jung, </w:t>
      </w:r>
      <w:r w:rsidRPr="00636359">
        <w:rPr>
          <w:rFonts w:ascii="Times New Roman" w:hAnsi="Times New Roman" w:cs="Times New Roman"/>
          <w:i/>
          <w:iCs/>
        </w:rPr>
        <w:t>The Archetypes Of The Collective Unconscious, Collected Works, Vol. 9</w:t>
      </w:r>
      <w:r w:rsidRPr="00636359">
        <w:rPr>
          <w:rFonts w:ascii="Times New Roman" w:hAnsi="Times New Roman" w:cs="Times New Roman"/>
        </w:rPr>
        <w:t>, (Princeton: Princeton University Press, 1959), p. 199.</w:t>
      </w:r>
    </w:p>
  </w:footnote>
  <w:footnote w:id="93">
    <w:p w14:paraId="222C77E5"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Nichols, </w:t>
      </w:r>
      <w:r w:rsidRPr="00636359">
        <w:rPr>
          <w:rFonts w:ascii="Times New Roman" w:hAnsi="Times New Roman" w:cs="Times New Roman"/>
          <w:i/>
          <w:iCs/>
        </w:rPr>
        <w:t>Jung And Tarot</w:t>
      </w:r>
      <w:r w:rsidRPr="00636359">
        <w:rPr>
          <w:rFonts w:ascii="Times New Roman" w:hAnsi="Times New Roman" w:cs="Times New Roman"/>
        </w:rPr>
        <w:t>, p. 299.</w:t>
      </w:r>
    </w:p>
  </w:footnote>
  <w:footnote w:id="94">
    <w:p w14:paraId="1F0057F2" w14:textId="77777777" w:rsidR="00F06B61" w:rsidRDefault="00F06B61" w:rsidP="00F06B61">
      <w:pPr>
        <w:pStyle w:val="FootnoteText"/>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296.</w:t>
      </w:r>
    </w:p>
  </w:footnote>
  <w:footnote w:id="95">
    <w:p w14:paraId="6B3AAAE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297.</w:t>
      </w:r>
    </w:p>
  </w:footnote>
  <w:footnote w:id="96">
    <w:p w14:paraId="44BACDB6"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Lady Frieda Harris, </w:t>
      </w:r>
      <w:r w:rsidRPr="00636359">
        <w:rPr>
          <w:rFonts w:ascii="Times New Roman" w:hAnsi="Times New Roman" w:cs="Times New Roman"/>
          <w:i/>
          <w:iCs/>
        </w:rPr>
        <w:t xml:space="preserve">Thoth Tarot: The Star </w:t>
      </w:r>
      <w:r w:rsidRPr="00636359">
        <w:rPr>
          <w:rFonts w:ascii="Times New Roman" w:hAnsi="Times New Roman" w:cs="Times New Roman"/>
        </w:rPr>
        <w:t>[Paint] (1944, Warburg Institute).</w:t>
      </w:r>
    </w:p>
  </w:footnote>
  <w:footnote w:id="97">
    <w:p w14:paraId="4D7293B6"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Jessica Hundley, ‘The Sacred &amp; The Arcane’, p. 19.</w:t>
      </w:r>
    </w:p>
  </w:footnote>
  <w:footnote w:id="98">
    <w:p w14:paraId="3F9989BB" w14:textId="77777777" w:rsidR="00F06B61" w:rsidRPr="007827F8"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Crowley, </w:t>
      </w:r>
      <w:r w:rsidRPr="00636359">
        <w:rPr>
          <w:rFonts w:ascii="Times New Roman" w:hAnsi="Times New Roman" w:cs="Times New Roman"/>
          <w:i/>
          <w:iCs/>
        </w:rPr>
        <w:t>The Book Of Thoth</w:t>
      </w:r>
      <w:r w:rsidRPr="00636359">
        <w:rPr>
          <w:rFonts w:ascii="Times New Roman" w:hAnsi="Times New Roman" w:cs="Times New Roman"/>
        </w:rPr>
        <w:t>, p. 109.</w:t>
      </w:r>
    </w:p>
  </w:footnote>
  <w:footnote w:id="99">
    <w:p w14:paraId="004591E5"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110.</w:t>
      </w:r>
    </w:p>
  </w:footnote>
  <w:footnote w:id="100">
    <w:p w14:paraId="07FAB232"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110.</w:t>
      </w:r>
    </w:p>
  </w:footnote>
  <w:footnote w:id="101">
    <w:p w14:paraId="3792DDE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Manzel Bowman, </w:t>
      </w:r>
      <w:r w:rsidRPr="00636359">
        <w:rPr>
          <w:rFonts w:ascii="Times New Roman" w:hAnsi="Times New Roman" w:cs="Times New Roman"/>
          <w:i/>
          <w:iCs/>
        </w:rPr>
        <w:t>Manzel’s Tarot I: The Star</w:t>
      </w:r>
      <w:r w:rsidRPr="00636359">
        <w:rPr>
          <w:rFonts w:ascii="Times New Roman" w:hAnsi="Times New Roman" w:cs="Times New Roman"/>
        </w:rPr>
        <w:t xml:space="preserve"> [Digital Art] (2017, Manzel Bowman).</w:t>
      </w:r>
    </w:p>
  </w:footnote>
  <w:footnote w:id="102">
    <w:p w14:paraId="18573EC0"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‘Purity In Illumination’, p. 326.</w:t>
      </w:r>
    </w:p>
  </w:footnote>
  <w:footnote w:id="103">
    <w:p w14:paraId="660F088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332.</w:t>
      </w:r>
    </w:p>
  </w:footnote>
  <w:footnote w:id="104">
    <w:p w14:paraId="69C695B4"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Bri Luna, </w:t>
      </w:r>
      <w:r w:rsidRPr="00636359">
        <w:rPr>
          <w:rFonts w:ascii="Times New Roman" w:hAnsi="Times New Roman" w:cs="Times New Roman"/>
          <w:i/>
          <w:iCs/>
        </w:rPr>
        <w:t>The Hoodwitch</w:t>
      </w:r>
      <w:r w:rsidRPr="00636359">
        <w:rPr>
          <w:rFonts w:ascii="Times New Roman" w:hAnsi="Times New Roman" w:cs="Times New Roman"/>
        </w:rPr>
        <w:t xml:space="preserve"> (2018), &lt;https://www.thehoodwitch.com/blog/2018/2/20/dhmsrb0zmwecrvc4ota0n135ktw5l8&gt; [accessed 20 April 2023].</w:t>
      </w:r>
    </w:p>
  </w:footnote>
  <w:footnote w:id="105">
    <w:p w14:paraId="026A0DD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‘Purity In Illumination’, p. 326.</w:t>
      </w:r>
    </w:p>
  </w:footnote>
  <w:footnote w:id="106">
    <w:p w14:paraId="39A260E0"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Waite, </w:t>
      </w:r>
      <w:r w:rsidRPr="00636359">
        <w:rPr>
          <w:rFonts w:ascii="Times New Roman" w:hAnsi="Times New Roman" w:cs="Times New Roman"/>
          <w:i/>
          <w:iCs/>
        </w:rPr>
        <w:t>The Pictorial Key</w:t>
      </w:r>
      <w:r w:rsidRPr="00636359">
        <w:rPr>
          <w:rFonts w:ascii="Times New Roman" w:hAnsi="Times New Roman" w:cs="Times New Roman"/>
        </w:rPr>
        <w:t>, p. 149.</w:t>
      </w:r>
    </w:p>
  </w:footnote>
  <w:footnote w:id="107">
    <w:p w14:paraId="256B54C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Place, </w:t>
      </w:r>
      <w:r w:rsidRPr="00636359">
        <w:rPr>
          <w:rFonts w:ascii="Times New Roman" w:hAnsi="Times New Roman" w:cs="Times New Roman"/>
          <w:i/>
          <w:iCs/>
        </w:rPr>
        <w:t>The Tarot</w:t>
      </w:r>
      <w:r w:rsidRPr="00636359">
        <w:rPr>
          <w:rFonts w:ascii="Times New Roman" w:hAnsi="Times New Roman" w:cs="Times New Roman"/>
        </w:rPr>
        <w:t>, p. 208.</w:t>
      </w:r>
    </w:p>
  </w:footnote>
  <w:footnote w:id="108">
    <w:p w14:paraId="21A1551B"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Pollack, </w:t>
      </w:r>
      <w:r w:rsidRPr="00636359">
        <w:rPr>
          <w:rFonts w:ascii="Times New Roman" w:hAnsi="Times New Roman" w:cs="Times New Roman"/>
          <w:i/>
          <w:iCs/>
        </w:rPr>
        <w:t>Seventy-Eight Degrees</w:t>
      </w:r>
      <w:r w:rsidRPr="00636359">
        <w:rPr>
          <w:rFonts w:ascii="Times New Roman" w:hAnsi="Times New Roman" w:cs="Times New Roman"/>
        </w:rPr>
        <w:t>, p. 124.</w:t>
      </w:r>
    </w:p>
  </w:footnote>
  <w:footnote w:id="109">
    <w:p w14:paraId="454AA05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Nichols, </w:t>
      </w:r>
      <w:r w:rsidRPr="00636359">
        <w:rPr>
          <w:rFonts w:ascii="Times New Roman" w:hAnsi="Times New Roman" w:cs="Times New Roman"/>
          <w:i/>
          <w:iCs/>
        </w:rPr>
        <w:t>Jung And Tarot</w:t>
      </w:r>
      <w:r w:rsidRPr="00636359">
        <w:rPr>
          <w:rFonts w:ascii="Times New Roman" w:hAnsi="Times New Roman" w:cs="Times New Roman"/>
        </w:rPr>
        <w:t>, p. 296.</w:t>
      </w:r>
    </w:p>
  </w:footnote>
  <w:footnote w:id="110">
    <w:p w14:paraId="5AF6C210"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110.</w:t>
      </w:r>
    </w:p>
  </w:footnote>
  <w:footnote w:id="111">
    <w:p w14:paraId="477FB515"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‘Purity In Illumination’, p. 326.</w:t>
      </w:r>
    </w:p>
  </w:footnote>
  <w:footnote w:id="112">
    <w:p w14:paraId="0952B53B"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326.</w:t>
      </w:r>
    </w:p>
  </w:footnote>
  <w:footnote w:id="113">
    <w:p w14:paraId="44FF60AA"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Luna, 2018. </w:t>
      </w:r>
    </w:p>
  </w:footnote>
  <w:footnote w:id="114">
    <w:p w14:paraId="142C377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2018.</w:t>
      </w:r>
    </w:p>
  </w:footnote>
  <w:footnote w:id="115">
    <w:p w14:paraId="7F59BF86" w14:textId="77777777" w:rsidR="00F06B61" w:rsidRPr="000057B4"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Hundley, ‘Purity In Illumination’, p. 326.</w:t>
      </w:r>
    </w:p>
  </w:footnote>
  <w:footnote w:id="116">
    <w:p w14:paraId="31158752" w14:textId="77777777" w:rsidR="00F06B61" w:rsidRPr="00906274" w:rsidRDefault="00F06B61" w:rsidP="00F06B61">
      <w:pPr>
        <w:pStyle w:val="FootnoteText"/>
        <w:rPr>
          <w:rFonts w:ascii="Times New Roman" w:hAnsi="Times New Roman" w:cs="Times New Roman"/>
        </w:rPr>
      </w:pPr>
      <w:r w:rsidRPr="00906274">
        <w:rPr>
          <w:rStyle w:val="FootnoteReference"/>
          <w:rFonts w:ascii="Times New Roman" w:hAnsi="Times New Roman" w:cs="Times New Roman"/>
        </w:rPr>
        <w:footnoteRef/>
      </w:r>
      <w:r w:rsidRPr="00906274">
        <w:rPr>
          <w:rFonts w:ascii="Times New Roman" w:hAnsi="Times New Roman" w:cs="Times New Roman"/>
        </w:rPr>
        <w:t xml:space="preserve"> Bowie, ‘Mountains As Sources Of Power</w:t>
      </w:r>
      <w:r>
        <w:rPr>
          <w:rFonts w:ascii="Times New Roman" w:hAnsi="Times New Roman" w:cs="Times New Roman"/>
        </w:rPr>
        <w:t>’, p. 134.</w:t>
      </w:r>
    </w:p>
  </w:footnote>
  <w:footnote w:id="117">
    <w:p w14:paraId="21F51036" w14:textId="77777777" w:rsidR="00F06B61" w:rsidRPr="00906274" w:rsidRDefault="00F06B61" w:rsidP="00F06B61">
      <w:pPr>
        <w:pStyle w:val="FootnoteText"/>
        <w:rPr>
          <w:rFonts w:ascii="Times New Roman" w:hAnsi="Times New Roman" w:cs="Times New Roman"/>
        </w:rPr>
      </w:pPr>
      <w:r w:rsidRPr="00906274">
        <w:rPr>
          <w:rStyle w:val="FootnoteReference"/>
          <w:rFonts w:ascii="Times New Roman" w:hAnsi="Times New Roman" w:cs="Times New Roman"/>
        </w:rPr>
        <w:footnoteRef/>
      </w:r>
      <w:r w:rsidRPr="00906274">
        <w:rPr>
          <w:rFonts w:ascii="Times New Roman" w:hAnsi="Times New Roman" w:cs="Times New Roman"/>
        </w:rPr>
        <w:t xml:space="preserve"> </w:t>
      </w:r>
      <w:r>
        <w:rPr>
          <w:rFonts w:ascii="Times New Roman" w:hAnsi="Times New Roman" w:cs="Times New Roman"/>
        </w:rPr>
        <w:t>Ibid. p. 134.</w:t>
      </w:r>
    </w:p>
  </w:footnote>
  <w:footnote w:id="118">
    <w:p w14:paraId="517B9CAA" w14:textId="77777777" w:rsidR="00F06B61" w:rsidRPr="00222DC7" w:rsidRDefault="00F06B61" w:rsidP="00F06B61">
      <w:pPr>
        <w:pStyle w:val="FootnoteText"/>
        <w:rPr>
          <w:rFonts w:ascii="Times New Roman" w:hAnsi="Times New Roman" w:cs="Times New Roman"/>
        </w:rPr>
      </w:pPr>
      <w:r w:rsidRPr="00222DC7">
        <w:rPr>
          <w:rStyle w:val="FootnoteReference"/>
          <w:rFonts w:ascii="Times New Roman" w:hAnsi="Times New Roman" w:cs="Times New Roman"/>
        </w:rPr>
        <w:footnoteRef/>
      </w:r>
      <w:r w:rsidRPr="00222DC7">
        <w:rPr>
          <w:rFonts w:ascii="Times New Roman" w:hAnsi="Times New Roman" w:cs="Times New Roman"/>
        </w:rPr>
        <w:t xml:space="preserve"> </w:t>
      </w:r>
      <w:r w:rsidRPr="00467A83">
        <w:rPr>
          <w:rFonts w:ascii="Times New Roman" w:eastAsia="Times New Roman" w:hAnsi="Times New Roman" w:cs="Times New Roman"/>
          <w:lang w:eastAsia="en-GB"/>
        </w:rPr>
        <w:t>Lionel</w:t>
      </w:r>
      <w:r w:rsidRPr="00222DC7">
        <w:rPr>
          <w:rFonts w:ascii="Times New Roman" w:eastAsia="Times New Roman" w:hAnsi="Times New Roman" w:cs="Times New Roman"/>
          <w:lang w:eastAsia="en-GB"/>
        </w:rPr>
        <w:t xml:space="preserve"> Sims,</w:t>
      </w:r>
      <w:r w:rsidRPr="00467A83">
        <w:rPr>
          <w:rFonts w:ascii="Times New Roman" w:eastAsia="Times New Roman" w:hAnsi="Times New Roman" w:cs="Times New Roman"/>
          <w:lang w:eastAsia="en-GB"/>
        </w:rPr>
        <w:t xml:space="preserve"> </w:t>
      </w:r>
      <w:r w:rsidRPr="00222DC7">
        <w:rPr>
          <w:rFonts w:ascii="Times New Roman" w:eastAsia="Times New Roman" w:hAnsi="Times New Roman" w:cs="Times New Roman"/>
          <w:lang w:eastAsia="en-GB"/>
        </w:rPr>
        <w:t>‘</w:t>
      </w:r>
      <w:r w:rsidRPr="00467A83">
        <w:rPr>
          <w:rFonts w:ascii="Times New Roman" w:eastAsia="Times New Roman" w:hAnsi="Times New Roman" w:cs="Times New Roman"/>
          <w:lang w:eastAsia="en-GB"/>
        </w:rPr>
        <w:t xml:space="preserve">30b – </w:t>
      </w:r>
      <w:r w:rsidRPr="00222DC7">
        <w:rPr>
          <w:rFonts w:ascii="Times New Roman" w:eastAsia="Times New Roman" w:hAnsi="Times New Roman" w:cs="Times New Roman"/>
          <w:lang w:eastAsia="en-GB"/>
        </w:rPr>
        <w:t>T</w:t>
      </w:r>
      <w:r w:rsidRPr="00467A83">
        <w:rPr>
          <w:rFonts w:ascii="Times New Roman" w:eastAsia="Times New Roman" w:hAnsi="Times New Roman" w:cs="Times New Roman"/>
          <w:lang w:eastAsia="en-GB"/>
        </w:rPr>
        <w:t xml:space="preserve">he West Kennet Avenue Stone That Never Was: Interpretation </w:t>
      </w:r>
      <w:r w:rsidRPr="00222DC7">
        <w:rPr>
          <w:rFonts w:ascii="Times New Roman" w:eastAsia="Times New Roman" w:hAnsi="Times New Roman" w:cs="Times New Roman"/>
          <w:lang w:eastAsia="en-GB"/>
        </w:rPr>
        <w:t>B</w:t>
      </w:r>
      <w:r w:rsidRPr="00467A83">
        <w:rPr>
          <w:rFonts w:ascii="Times New Roman" w:eastAsia="Times New Roman" w:hAnsi="Times New Roman" w:cs="Times New Roman"/>
          <w:lang w:eastAsia="en-GB"/>
        </w:rPr>
        <w:t xml:space="preserve">y Multidisciplinary Triangulation </w:t>
      </w:r>
      <w:r w:rsidRPr="00222DC7">
        <w:rPr>
          <w:rFonts w:ascii="Times New Roman" w:eastAsia="Times New Roman" w:hAnsi="Times New Roman" w:cs="Times New Roman"/>
          <w:lang w:eastAsia="en-GB"/>
        </w:rPr>
        <w:t>A</w:t>
      </w:r>
      <w:r w:rsidRPr="00467A83">
        <w:rPr>
          <w:rFonts w:ascii="Times New Roman" w:eastAsia="Times New Roman" w:hAnsi="Times New Roman" w:cs="Times New Roman"/>
          <w:lang w:eastAsia="en-GB"/>
        </w:rPr>
        <w:t xml:space="preserve">nd Emergence </w:t>
      </w:r>
      <w:r w:rsidRPr="00222DC7">
        <w:rPr>
          <w:rFonts w:ascii="Times New Roman" w:eastAsia="Times New Roman" w:hAnsi="Times New Roman" w:cs="Times New Roman"/>
          <w:lang w:eastAsia="en-GB"/>
        </w:rPr>
        <w:t>T</w:t>
      </w:r>
      <w:r w:rsidRPr="00467A83">
        <w:rPr>
          <w:rFonts w:ascii="Times New Roman" w:eastAsia="Times New Roman" w:hAnsi="Times New Roman" w:cs="Times New Roman"/>
          <w:lang w:eastAsia="en-GB"/>
        </w:rPr>
        <w:t>hrough Four Field Anthropology</w:t>
      </w:r>
      <w:r w:rsidRPr="00222DC7">
        <w:rPr>
          <w:rFonts w:ascii="Times New Roman" w:eastAsia="Times New Roman" w:hAnsi="Times New Roman" w:cs="Times New Roman"/>
          <w:lang w:eastAsia="en-GB"/>
        </w:rPr>
        <w:t>’, in</w:t>
      </w:r>
      <w:r w:rsidRPr="00467A83">
        <w:rPr>
          <w:rFonts w:ascii="Times New Roman" w:eastAsia="Times New Roman" w:hAnsi="Times New Roman" w:cs="Times New Roman"/>
          <w:lang w:eastAsia="en-GB"/>
        </w:rPr>
        <w:t xml:space="preserve"> </w:t>
      </w:r>
      <w:r w:rsidRPr="00467A83">
        <w:rPr>
          <w:rFonts w:ascii="Times New Roman" w:eastAsia="Times New Roman" w:hAnsi="Times New Roman" w:cs="Times New Roman"/>
          <w:i/>
          <w:iCs/>
          <w:lang w:eastAsia="en-GB"/>
        </w:rPr>
        <w:t>Skyscapes:</w:t>
      </w:r>
      <w:r w:rsidRPr="00222DC7">
        <w:rPr>
          <w:rFonts w:ascii="Times New Roman" w:eastAsia="Times New Roman" w:hAnsi="Times New Roman" w:cs="Times New Roman"/>
          <w:i/>
          <w:iCs/>
          <w:lang w:eastAsia="en-GB"/>
        </w:rPr>
        <w:t xml:space="preserve"> </w:t>
      </w:r>
      <w:r w:rsidRPr="00467A83">
        <w:rPr>
          <w:rFonts w:ascii="Times New Roman" w:eastAsia="Times New Roman" w:hAnsi="Times New Roman" w:cs="Times New Roman"/>
          <w:i/>
          <w:iCs/>
          <w:lang w:eastAsia="en-GB"/>
        </w:rPr>
        <w:t>The Role and Importance of the Sky in Archaeology</w:t>
      </w:r>
      <w:r w:rsidRPr="00467A83">
        <w:rPr>
          <w:rFonts w:ascii="Times New Roman" w:eastAsia="Times New Roman" w:hAnsi="Times New Roman" w:cs="Times New Roman"/>
          <w:lang w:eastAsia="en-GB"/>
        </w:rPr>
        <w:t>, ed</w:t>
      </w:r>
      <w:r w:rsidRPr="00222DC7">
        <w:rPr>
          <w:rFonts w:ascii="Times New Roman" w:eastAsia="Times New Roman" w:hAnsi="Times New Roman" w:cs="Times New Roman"/>
          <w:lang w:eastAsia="en-GB"/>
        </w:rPr>
        <w:t>.</w:t>
      </w:r>
      <w:r w:rsidRPr="00467A83">
        <w:rPr>
          <w:rFonts w:ascii="Times New Roman" w:eastAsia="Times New Roman" w:hAnsi="Times New Roman" w:cs="Times New Roman"/>
          <w:lang w:eastAsia="en-GB"/>
        </w:rPr>
        <w:t xml:space="preserve"> by Fabio Silva and Nicholas Campion, </w:t>
      </w:r>
      <w:r w:rsidRPr="00222DC7">
        <w:rPr>
          <w:rFonts w:ascii="Times New Roman" w:eastAsia="Times New Roman" w:hAnsi="Times New Roman" w:cs="Times New Roman"/>
          <w:lang w:eastAsia="en-GB"/>
        </w:rPr>
        <w:t>(</w:t>
      </w:r>
      <w:r w:rsidRPr="00467A83">
        <w:rPr>
          <w:rFonts w:ascii="Times New Roman" w:eastAsia="Times New Roman" w:hAnsi="Times New Roman" w:cs="Times New Roman"/>
          <w:lang w:eastAsia="en-GB"/>
        </w:rPr>
        <w:t>Oxbow Books, 2015</w:t>
      </w:r>
      <w:r w:rsidRPr="00222DC7">
        <w:rPr>
          <w:rFonts w:ascii="Times New Roman" w:eastAsia="Times New Roman" w:hAnsi="Times New Roman" w:cs="Times New Roman"/>
          <w:lang w:eastAsia="en-GB"/>
        </w:rPr>
        <w:t>)</w:t>
      </w:r>
      <w:r w:rsidRPr="00467A83">
        <w:rPr>
          <w:rFonts w:ascii="Times New Roman" w:eastAsia="Times New Roman" w:hAnsi="Times New Roman" w:cs="Times New Roman"/>
          <w:lang w:eastAsia="en-GB"/>
        </w:rPr>
        <w:t>, pp. 42–58</w:t>
      </w:r>
      <w:r w:rsidRPr="00222DC7">
        <w:rPr>
          <w:rFonts w:ascii="Times New Roman" w:eastAsia="Times New Roman" w:hAnsi="Times New Roman" w:cs="Times New Roman"/>
          <w:lang w:eastAsia="en-GB"/>
        </w:rPr>
        <w:t xml:space="preserve"> (p.</w:t>
      </w:r>
      <w:r>
        <w:rPr>
          <w:rFonts w:ascii="Times New Roman" w:eastAsia="Times New Roman" w:hAnsi="Times New Roman" w:cs="Times New Roman"/>
          <w:lang w:eastAsia="en-GB"/>
        </w:rPr>
        <w:t xml:space="preserve"> 56</w:t>
      </w:r>
      <w:r w:rsidRPr="00222DC7">
        <w:rPr>
          <w:rFonts w:ascii="Times New Roman" w:eastAsia="Times New Roman" w:hAnsi="Times New Roman" w:cs="Times New Roman"/>
          <w:lang w:eastAsia="en-GB"/>
        </w:rPr>
        <w:t>).</w:t>
      </w:r>
    </w:p>
  </w:footnote>
  <w:footnote w:id="119">
    <w:p w14:paraId="0E3616AE" w14:textId="77777777" w:rsidR="00F06B61" w:rsidRPr="00222DC7" w:rsidRDefault="00F06B61" w:rsidP="00F06B61">
      <w:pPr>
        <w:pStyle w:val="FootnoteText"/>
        <w:rPr>
          <w:rFonts w:ascii="Times New Roman" w:hAnsi="Times New Roman" w:cs="Times New Roman"/>
        </w:rPr>
      </w:pPr>
      <w:r w:rsidRPr="00222DC7">
        <w:rPr>
          <w:rStyle w:val="FootnoteReference"/>
          <w:rFonts w:ascii="Times New Roman" w:hAnsi="Times New Roman" w:cs="Times New Roman"/>
        </w:rPr>
        <w:footnoteRef/>
      </w:r>
      <w:r w:rsidRPr="00222DC7">
        <w:rPr>
          <w:rFonts w:ascii="Times New Roman" w:hAnsi="Times New Roman" w:cs="Times New Roman"/>
        </w:rPr>
        <w:t xml:space="preserve"> Sims, ‘30b – The West Kennet Avenue Stone’, p. 50.</w:t>
      </w:r>
    </w:p>
  </w:footnote>
  <w:footnote w:id="120">
    <w:p w14:paraId="4C10BA6C" w14:textId="77777777" w:rsidR="00F06B61" w:rsidRPr="00222DC7" w:rsidRDefault="00F06B61" w:rsidP="00F06B61">
      <w:pPr>
        <w:pStyle w:val="FootnoteText"/>
        <w:rPr>
          <w:rFonts w:ascii="Times New Roman" w:hAnsi="Times New Roman" w:cs="Times New Roman"/>
        </w:rPr>
      </w:pPr>
      <w:r w:rsidRPr="00222DC7">
        <w:rPr>
          <w:rStyle w:val="FootnoteReference"/>
          <w:rFonts w:ascii="Times New Roman" w:hAnsi="Times New Roman" w:cs="Times New Roman"/>
        </w:rPr>
        <w:footnoteRef/>
      </w:r>
      <w:r w:rsidRPr="00222DC7">
        <w:rPr>
          <w:rFonts w:ascii="Times New Roman" w:hAnsi="Times New Roman" w:cs="Times New Roman"/>
        </w:rPr>
        <w:t xml:space="preserve"> Ibid. p. 49.</w:t>
      </w:r>
    </w:p>
  </w:footnote>
  <w:footnote w:id="121">
    <w:p w14:paraId="38CC9754" w14:textId="77777777" w:rsidR="00F06B61" w:rsidRPr="00BA4693" w:rsidRDefault="00F06B61" w:rsidP="00F06B61">
      <w:pPr>
        <w:pStyle w:val="FootnoteText"/>
        <w:rPr>
          <w:rFonts w:ascii="Times New Roman" w:hAnsi="Times New Roman" w:cs="Times New Roman"/>
        </w:rPr>
      </w:pPr>
      <w:r w:rsidRPr="00222DC7">
        <w:rPr>
          <w:rStyle w:val="FootnoteReference"/>
          <w:rFonts w:ascii="Times New Roman" w:hAnsi="Times New Roman" w:cs="Times New Roman"/>
        </w:rPr>
        <w:footnoteRef/>
      </w:r>
      <w:r w:rsidRPr="00222DC7">
        <w:rPr>
          <w:rFonts w:ascii="Times New Roman" w:hAnsi="Times New Roman" w:cs="Times New Roman"/>
        </w:rPr>
        <w:t xml:space="preserve"> Ibid</w:t>
      </w:r>
      <w:r w:rsidRPr="00BA4693">
        <w:rPr>
          <w:rFonts w:ascii="Times New Roman" w:hAnsi="Times New Roman" w:cs="Times New Roman"/>
        </w:rPr>
        <w:t>. p. 49.</w:t>
      </w:r>
    </w:p>
  </w:footnote>
  <w:footnote w:id="122">
    <w:p w14:paraId="1BD6400B" w14:textId="77777777" w:rsidR="00F06B61" w:rsidRPr="00BA4693" w:rsidRDefault="00F06B61" w:rsidP="00F06B61">
      <w:pPr>
        <w:pStyle w:val="FootnoteText"/>
        <w:rPr>
          <w:rFonts w:ascii="Times New Roman" w:hAnsi="Times New Roman" w:cs="Times New Roman"/>
        </w:rPr>
      </w:pPr>
      <w:r w:rsidRPr="00BA4693">
        <w:rPr>
          <w:rStyle w:val="FootnoteReference"/>
          <w:rFonts w:ascii="Times New Roman" w:hAnsi="Times New Roman" w:cs="Times New Roman"/>
        </w:rPr>
        <w:footnoteRef/>
      </w:r>
      <w:r w:rsidRPr="00BA4693">
        <w:rPr>
          <w:rFonts w:ascii="Times New Roman" w:hAnsi="Times New Roman" w:cs="Times New Roman"/>
        </w:rPr>
        <w:t xml:space="preserve"> Ibid. p. 50.</w:t>
      </w:r>
    </w:p>
  </w:footnote>
  <w:footnote w:id="123">
    <w:p w14:paraId="0563A743" w14:textId="77777777" w:rsidR="00F06B61" w:rsidRPr="00BA4693" w:rsidRDefault="00F06B61" w:rsidP="00F06B61">
      <w:pPr>
        <w:pStyle w:val="FootnoteText"/>
        <w:rPr>
          <w:rFonts w:ascii="Times New Roman" w:hAnsi="Times New Roman" w:cs="Times New Roman"/>
        </w:rPr>
      </w:pPr>
      <w:r w:rsidRPr="00BA4693">
        <w:rPr>
          <w:rStyle w:val="FootnoteReference"/>
          <w:rFonts w:ascii="Times New Roman" w:hAnsi="Times New Roman" w:cs="Times New Roman"/>
        </w:rPr>
        <w:footnoteRef/>
      </w:r>
      <w:r w:rsidRPr="00BA4693">
        <w:rPr>
          <w:rFonts w:ascii="Times New Roman" w:hAnsi="Times New Roman" w:cs="Times New Roman"/>
        </w:rPr>
        <w:t xml:space="preserve"> Ibid. p. 50.</w:t>
      </w:r>
    </w:p>
  </w:footnote>
  <w:footnote w:id="124">
    <w:p w14:paraId="5B1470D5"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107.</w:t>
      </w:r>
    </w:p>
  </w:footnote>
  <w:footnote w:id="125">
    <w:p w14:paraId="3A397DC3"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Crowley, </w:t>
      </w:r>
      <w:r w:rsidRPr="00636359">
        <w:rPr>
          <w:rFonts w:ascii="Times New Roman" w:hAnsi="Times New Roman" w:cs="Times New Roman"/>
          <w:i/>
          <w:iCs/>
        </w:rPr>
        <w:t>The Book Of Thoth</w:t>
      </w:r>
      <w:r w:rsidRPr="00636359">
        <w:rPr>
          <w:rFonts w:ascii="Times New Roman" w:hAnsi="Times New Roman" w:cs="Times New Roman"/>
        </w:rPr>
        <w:t>, p. 109.</w:t>
      </w:r>
    </w:p>
  </w:footnote>
  <w:footnote w:id="126">
    <w:p w14:paraId="4A9A6846"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di Parravicino, ‘Three Packs Of Italian Tarocco Cards’, p. 238.</w:t>
      </w:r>
    </w:p>
  </w:footnote>
  <w:footnote w:id="127">
    <w:p w14:paraId="209F1561"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Crowley, </w:t>
      </w:r>
      <w:r w:rsidRPr="00636359">
        <w:rPr>
          <w:rFonts w:ascii="Times New Roman" w:hAnsi="Times New Roman" w:cs="Times New Roman"/>
          <w:i/>
          <w:iCs/>
        </w:rPr>
        <w:t>The Book Of Thoth</w:t>
      </w:r>
      <w:r w:rsidRPr="00636359">
        <w:rPr>
          <w:rFonts w:ascii="Times New Roman" w:hAnsi="Times New Roman" w:cs="Times New Roman"/>
        </w:rPr>
        <w:t>, p. 109.</w:t>
      </w:r>
    </w:p>
  </w:footnote>
  <w:footnote w:id="128">
    <w:p w14:paraId="1203FCD0"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109.</w:t>
      </w:r>
    </w:p>
  </w:footnote>
  <w:footnote w:id="129">
    <w:p w14:paraId="3E06717C"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Ibid. p. 150.</w:t>
      </w:r>
    </w:p>
  </w:footnote>
  <w:footnote w:id="130">
    <w:p w14:paraId="183C652F"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w:t>
      </w:r>
      <w:r w:rsidRPr="00636359">
        <w:rPr>
          <w:rFonts w:ascii="Times New Roman" w:eastAsia="Times New Roman" w:hAnsi="Times New Roman" w:cs="Times New Roman"/>
          <w:lang w:eastAsia="en-GB"/>
        </w:rPr>
        <w:t>Sagiv,</w:t>
      </w:r>
      <w:r w:rsidRPr="00AC2D41">
        <w:rPr>
          <w:rFonts w:ascii="Times New Roman" w:eastAsia="Times New Roman" w:hAnsi="Times New Roman" w:cs="Times New Roman"/>
          <w:lang w:eastAsia="en-GB"/>
        </w:rPr>
        <w:t xml:space="preserve"> </w:t>
      </w:r>
      <w:r w:rsidRPr="00636359">
        <w:rPr>
          <w:rFonts w:ascii="Times New Roman" w:eastAsia="Times New Roman" w:hAnsi="Times New Roman" w:cs="Times New Roman"/>
          <w:lang w:eastAsia="en-GB"/>
        </w:rPr>
        <w:t>‘</w:t>
      </w:r>
      <w:r w:rsidRPr="00AC2D41">
        <w:rPr>
          <w:rFonts w:ascii="Times New Roman" w:eastAsia="Times New Roman" w:hAnsi="Times New Roman" w:cs="Times New Roman"/>
          <w:lang w:eastAsia="en-GB"/>
        </w:rPr>
        <w:t>Dazzling Blue</w:t>
      </w:r>
      <w:r w:rsidRPr="00636359">
        <w:rPr>
          <w:rFonts w:ascii="Times New Roman" w:eastAsia="Times New Roman" w:hAnsi="Times New Roman" w:cs="Times New Roman"/>
          <w:lang w:eastAsia="en-GB"/>
        </w:rPr>
        <w:t>’, p. 183.</w:t>
      </w:r>
    </w:p>
  </w:footnote>
  <w:footnote w:id="131">
    <w:p w14:paraId="60028C52" w14:textId="77777777" w:rsidR="00F06B61" w:rsidRPr="00636359"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Bowie, ‘Mountains As Sources Of Power’, p. 134.</w:t>
      </w:r>
    </w:p>
  </w:footnote>
  <w:footnote w:id="132">
    <w:p w14:paraId="5CCE143B" w14:textId="77777777" w:rsidR="00F06B61" w:rsidRPr="00C84EF0" w:rsidRDefault="00F06B61" w:rsidP="00F06B61">
      <w:pPr>
        <w:pStyle w:val="FootnoteText"/>
        <w:rPr>
          <w:rFonts w:ascii="Times New Roman" w:hAnsi="Times New Roman" w:cs="Times New Roman"/>
        </w:rPr>
      </w:pPr>
      <w:r w:rsidRPr="00636359">
        <w:rPr>
          <w:rStyle w:val="FootnoteReference"/>
          <w:rFonts w:ascii="Times New Roman" w:hAnsi="Times New Roman" w:cs="Times New Roman"/>
        </w:rPr>
        <w:footnoteRef/>
      </w:r>
      <w:r w:rsidRPr="00636359">
        <w:rPr>
          <w:rFonts w:ascii="Times New Roman" w:hAnsi="Times New Roman" w:cs="Times New Roman"/>
        </w:rPr>
        <w:t xml:space="preserve"> Sims, ‘30b – The West Kennet Avenue Stone’, p. 56.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90B"/>
    <w:multiLevelType w:val="hybridMultilevel"/>
    <w:tmpl w:val="BF1649B8"/>
    <w:lvl w:ilvl="0" w:tplc="A5E256E6">
      <w:numFmt w:val="bullet"/>
      <w:lvlText w:val=""/>
      <w:lvlJc w:val="left"/>
      <w:pPr>
        <w:ind w:left="720" w:hanging="360"/>
      </w:pPr>
      <w:rPr>
        <w:rFonts w:ascii="Symbol" w:hAnsi="Symbol"/>
      </w:rPr>
    </w:lvl>
    <w:lvl w:ilvl="1" w:tplc="2C9EFF98">
      <w:numFmt w:val="bullet"/>
      <w:lvlText w:val="o"/>
      <w:lvlJc w:val="left"/>
      <w:pPr>
        <w:ind w:left="1440" w:hanging="360"/>
      </w:pPr>
      <w:rPr>
        <w:rFonts w:ascii="Courier New" w:hAnsi="Courier New"/>
      </w:rPr>
    </w:lvl>
    <w:lvl w:ilvl="2" w:tplc="2F60E5F8">
      <w:numFmt w:val="bullet"/>
      <w:lvlText w:val=""/>
      <w:lvlJc w:val="left"/>
      <w:pPr>
        <w:ind w:left="2160" w:hanging="360"/>
      </w:pPr>
      <w:rPr>
        <w:rFonts w:ascii="Wingdings" w:hAnsi="Wingdings"/>
      </w:rPr>
    </w:lvl>
    <w:lvl w:ilvl="3" w:tplc="DC9A9DDC">
      <w:numFmt w:val="bullet"/>
      <w:lvlText w:val=""/>
      <w:lvlJc w:val="left"/>
      <w:pPr>
        <w:ind w:left="2880" w:hanging="360"/>
      </w:pPr>
      <w:rPr>
        <w:rFonts w:ascii="Symbol" w:hAnsi="Symbol"/>
      </w:rPr>
    </w:lvl>
    <w:lvl w:ilvl="4" w:tplc="8B20B612">
      <w:numFmt w:val="bullet"/>
      <w:lvlText w:val="o"/>
      <w:lvlJc w:val="left"/>
      <w:pPr>
        <w:ind w:left="3600" w:hanging="360"/>
      </w:pPr>
      <w:rPr>
        <w:rFonts w:ascii="Courier New" w:hAnsi="Courier New"/>
      </w:rPr>
    </w:lvl>
    <w:lvl w:ilvl="5" w:tplc="7F5436B8">
      <w:numFmt w:val="bullet"/>
      <w:lvlText w:val=""/>
      <w:lvlJc w:val="left"/>
      <w:pPr>
        <w:ind w:left="4320" w:hanging="360"/>
      </w:pPr>
      <w:rPr>
        <w:rFonts w:ascii="Wingdings" w:hAnsi="Wingdings"/>
      </w:rPr>
    </w:lvl>
    <w:lvl w:ilvl="6" w:tplc="BA62DD88">
      <w:numFmt w:val="bullet"/>
      <w:lvlText w:val=""/>
      <w:lvlJc w:val="left"/>
      <w:pPr>
        <w:ind w:left="5040" w:hanging="360"/>
      </w:pPr>
      <w:rPr>
        <w:rFonts w:ascii="Symbol" w:hAnsi="Symbol"/>
      </w:rPr>
    </w:lvl>
    <w:lvl w:ilvl="7" w:tplc="62524F2E">
      <w:numFmt w:val="bullet"/>
      <w:lvlText w:val="o"/>
      <w:lvlJc w:val="left"/>
      <w:pPr>
        <w:ind w:left="5760" w:hanging="360"/>
      </w:pPr>
      <w:rPr>
        <w:rFonts w:ascii="Courier New" w:hAnsi="Courier New"/>
      </w:rPr>
    </w:lvl>
    <w:lvl w:ilvl="8" w:tplc="1C881634">
      <w:numFmt w:val="bullet"/>
      <w:lvlText w:val=""/>
      <w:lvlJc w:val="left"/>
      <w:pPr>
        <w:ind w:left="6480" w:hanging="360"/>
      </w:pPr>
      <w:rPr>
        <w:rFonts w:ascii="Wingdings" w:hAnsi="Wingdings"/>
      </w:rPr>
    </w:lvl>
  </w:abstractNum>
  <w:abstractNum w:abstractNumId="1" w15:restartNumberingAfterBreak="0">
    <w:nsid w:val="081843C8"/>
    <w:multiLevelType w:val="hybridMultilevel"/>
    <w:tmpl w:val="46883B12"/>
    <w:lvl w:ilvl="0" w:tplc="723C04C0">
      <w:numFmt w:val="bullet"/>
      <w:lvlText w:val=""/>
      <w:lvlJc w:val="left"/>
      <w:pPr>
        <w:ind w:left="540" w:hanging="360"/>
      </w:pPr>
      <w:rPr>
        <w:rFonts w:ascii="Symbol" w:hAnsi="Symbol"/>
      </w:rPr>
    </w:lvl>
    <w:lvl w:ilvl="1" w:tplc="8D78A1CA">
      <w:numFmt w:val="bullet"/>
      <w:lvlText w:val="o"/>
      <w:lvlJc w:val="left"/>
      <w:pPr>
        <w:ind w:left="1260" w:hanging="360"/>
      </w:pPr>
      <w:rPr>
        <w:rFonts w:ascii="Courier New" w:hAnsi="Courier New"/>
      </w:rPr>
    </w:lvl>
    <w:lvl w:ilvl="2" w:tplc="58647CFE">
      <w:numFmt w:val="bullet"/>
      <w:lvlText w:val=""/>
      <w:lvlJc w:val="left"/>
      <w:pPr>
        <w:ind w:left="1980" w:hanging="360"/>
      </w:pPr>
      <w:rPr>
        <w:rFonts w:ascii="Wingdings" w:hAnsi="Wingdings"/>
      </w:rPr>
    </w:lvl>
    <w:lvl w:ilvl="3" w:tplc="9A4249A0">
      <w:numFmt w:val="bullet"/>
      <w:lvlText w:val=""/>
      <w:lvlJc w:val="left"/>
      <w:pPr>
        <w:ind w:left="2700" w:hanging="360"/>
      </w:pPr>
      <w:rPr>
        <w:rFonts w:ascii="Symbol" w:hAnsi="Symbol"/>
      </w:rPr>
    </w:lvl>
    <w:lvl w:ilvl="4" w:tplc="E2E619B0">
      <w:numFmt w:val="bullet"/>
      <w:lvlText w:val="o"/>
      <w:lvlJc w:val="left"/>
      <w:pPr>
        <w:ind w:left="3420" w:hanging="360"/>
      </w:pPr>
      <w:rPr>
        <w:rFonts w:ascii="Courier New" w:hAnsi="Courier New"/>
      </w:rPr>
    </w:lvl>
    <w:lvl w:ilvl="5" w:tplc="D8FA8522">
      <w:numFmt w:val="bullet"/>
      <w:lvlText w:val=""/>
      <w:lvlJc w:val="left"/>
      <w:pPr>
        <w:ind w:left="4140" w:hanging="360"/>
      </w:pPr>
      <w:rPr>
        <w:rFonts w:ascii="Wingdings" w:hAnsi="Wingdings"/>
      </w:rPr>
    </w:lvl>
    <w:lvl w:ilvl="6" w:tplc="F3883BB2">
      <w:numFmt w:val="bullet"/>
      <w:lvlText w:val=""/>
      <w:lvlJc w:val="left"/>
      <w:pPr>
        <w:ind w:left="4860" w:hanging="360"/>
      </w:pPr>
      <w:rPr>
        <w:rFonts w:ascii="Symbol" w:hAnsi="Symbol"/>
      </w:rPr>
    </w:lvl>
    <w:lvl w:ilvl="7" w:tplc="6CFECB8A">
      <w:numFmt w:val="bullet"/>
      <w:lvlText w:val="o"/>
      <w:lvlJc w:val="left"/>
      <w:pPr>
        <w:ind w:left="5580" w:hanging="360"/>
      </w:pPr>
      <w:rPr>
        <w:rFonts w:ascii="Courier New" w:hAnsi="Courier New"/>
      </w:rPr>
    </w:lvl>
    <w:lvl w:ilvl="8" w:tplc="0C962CF2">
      <w:numFmt w:val="bullet"/>
      <w:lvlText w:val=""/>
      <w:lvlJc w:val="left"/>
      <w:pPr>
        <w:ind w:left="6300" w:hanging="360"/>
      </w:pPr>
      <w:rPr>
        <w:rFonts w:ascii="Wingdings" w:hAnsi="Wingdings"/>
      </w:rPr>
    </w:lvl>
  </w:abstractNum>
  <w:abstractNum w:abstractNumId="2" w15:restartNumberingAfterBreak="0">
    <w:nsid w:val="0984435B"/>
    <w:multiLevelType w:val="hybridMultilevel"/>
    <w:tmpl w:val="74D0DD28"/>
    <w:lvl w:ilvl="0" w:tplc="F7B47620">
      <w:numFmt w:val="bullet"/>
      <w:lvlText w:val="*"/>
      <w:lvlJc w:val="left"/>
      <w:pPr>
        <w:ind w:left="540" w:hanging="360"/>
      </w:pPr>
      <w:rPr>
        <w:rFonts w:ascii="Albertus" w:hAnsi="Albertus"/>
      </w:rPr>
    </w:lvl>
    <w:lvl w:ilvl="1" w:tplc="43160C02">
      <w:numFmt w:val="bullet"/>
      <w:lvlText w:val="o"/>
      <w:lvlJc w:val="left"/>
      <w:pPr>
        <w:ind w:left="1440" w:hanging="360"/>
      </w:pPr>
      <w:rPr>
        <w:rFonts w:ascii="Courier New" w:hAnsi="Courier New"/>
      </w:rPr>
    </w:lvl>
    <w:lvl w:ilvl="2" w:tplc="1910B9D6">
      <w:numFmt w:val="bullet"/>
      <w:lvlText w:val=""/>
      <w:lvlJc w:val="left"/>
      <w:pPr>
        <w:ind w:left="2160" w:hanging="360"/>
      </w:pPr>
      <w:rPr>
        <w:rFonts w:ascii="Wingdings" w:hAnsi="Wingdings"/>
      </w:rPr>
    </w:lvl>
    <w:lvl w:ilvl="3" w:tplc="D0B09A44">
      <w:numFmt w:val="bullet"/>
      <w:lvlText w:val=""/>
      <w:lvlJc w:val="left"/>
      <w:pPr>
        <w:ind w:left="2880" w:hanging="360"/>
      </w:pPr>
      <w:rPr>
        <w:rFonts w:ascii="Symbol" w:hAnsi="Symbol"/>
      </w:rPr>
    </w:lvl>
    <w:lvl w:ilvl="4" w:tplc="881AAD16">
      <w:numFmt w:val="bullet"/>
      <w:lvlText w:val="o"/>
      <w:lvlJc w:val="left"/>
      <w:pPr>
        <w:ind w:left="3600" w:hanging="360"/>
      </w:pPr>
      <w:rPr>
        <w:rFonts w:ascii="Courier New" w:hAnsi="Courier New"/>
      </w:rPr>
    </w:lvl>
    <w:lvl w:ilvl="5" w:tplc="BB30D9A4">
      <w:numFmt w:val="bullet"/>
      <w:lvlText w:val=""/>
      <w:lvlJc w:val="left"/>
      <w:pPr>
        <w:ind w:left="4320" w:hanging="360"/>
      </w:pPr>
      <w:rPr>
        <w:rFonts w:ascii="Wingdings" w:hAnsi="Wingdings"/>
      </w:rPr>
    </w:lvl>
    <w:lvl w:ilvl="6" w:tplc="0BB696A8">
      <w:numFmt w:val="bullet"/>
      <w:lvlText w:val=""/>
      <w:lvlJc w:val="left"/>
      <w:pPr>
        <w:ind w:left="5040" w:hanging="360"/>
      </w:pPr>
      <w:rPr>
        <w:rFonts w:ascii="Symbol" w:hAnsi="Symbol"/>
      </w:rPr>
    </w:lvl>
    <w:lvl w:ilvl="7" w:tplc="416E7580">
      <w:numFmt w:val="bullet"/>
      <w:lvlText w:val="o"/>
      <w:lvlJc w:val="left"/>
      <w:pPr>
        <w:ind w:left="5760" w:hanging="360"/>
      </w:pPr>
      <w:rPr>
        <w:rFonts w:ascii="Courier New" w:hAnsi="Courier New"/>
      </w:rPr>
    </w:lvl>
    <w:lvl w:ilvl="8" w:tplc="0C568FC6">
      <w:numFmt w:val="bullet"/>
      <w:lvlText w:val=""/>
      <w:lvlJc w:val="left"/>
      <w:pPr>
        <w:ind w:left="6480" w:hanging="360"/>
      </w:pPr>
      <w:rPr>
        <w:rFonts w:ascii="Wingdings" w:hAnsi="Wingdings"/>
      </w:rPr>
    </w:lvl>
  </w:abstractNum>
  <w:abstractNum w:abstractNumId="3" w15:restartNumberingAfterBreak="0">
    <w:nsid w:val="0B4B795A"/>
    <w:multiLevelType w:val="hybridMultilevel"/>
    <w:tmpl w:val="0809001D"/>
    <w:lvl w:ilvl="0" w:tplc="86D2C9CC">
      <w:start w:val="1"/>
      <w:numFmt w:val="decimal"/>
      <w:lvlText w:val="%1)"/>
      <w:lvlJc w:val="left"/>
      <w:pPr>
        <w:ind w:left="360" w:hanging="360"/>
      </w:pPr>
    </w:lvl>
    <w:lvl w:ilvl="1" w:tplc="4F888B28">
      <w:start w:val="1"/>
      <w:numFmt w:val="lowerLetter"/>
      <w:lvlText w:val="%2)"/>
      <w:lvlJc w:val="left"/>
      <w:pPr>
        <w:ind w:left="720" w:hanging="360"/>
      </w:pPr>
    </w:lvl>
    <w:lvl w:ilvl="2" w:tplc="234EAFCE">
      <w:start w:val="1"/>
      <w:numFmt w:val="lowerRoman"/>
      <w:lvlText w:val="%3)"/>
      <w:lvlJc w:val="left"/>
      <w:pPr>
        <w:ind w:left="1080" w:hanging="360"/>
      </w:pPr>
    </w:lvl>
    <w:lvl w:ilvl="3" w:tplc="03D08A64">
      <w:start w:val="1"/>
      <w:numFmt w:val="decimal"/>
      <w:lvlText w:val="(%4)"/>
      <w:lvlJc w:val="left"/>
      <w:pPr>
        <w:ind w:left="1440" w:hanging="360"/>
      </w:pPr>
    </w:lvl>
    <w:lvl w:ilvl="4" w:tplc="8512AB94">
      <w:start w:val="1"/>
      <w:numFmt w:val="lowerLetter"/>
      <w:lvlText w:val="(%5)"/>
      <w:lvlJc w:val="left"/>
      <w:pPr>
        <w:ind w:left="1800" w:hanging="360"/>
      </w:pPr>
    </w:lvl>
    <w:lvl w:ilvl="5" w:tplc="CD1A134C">
      <w:start w:val="1"/>
      <w:numFmt w:val="lowerRoman"/>
      <w:lvlText w:val="(%6)"/>
      <w:lvlJc w:val="left"/>
      <w:pPr>
        <w:ind w:left="2160" w:hanging="360"/>
      </w:pPr>
    </w:lvl>
    <w:lvl w:ilvl="6" w:tplc="88B05EBA">
      <w:start w:val="1"/>
      <w:numFmt w:val="decimal"/>
      <w:lvlText w:val="%7."/>
      <w:lvlJc w:val="left"/>
      <w:pPr>
        <w:ind w:left="2520" w:hanging="360"/>
      </w:pPr>
    </w:lvl>
    <w:lvl w:ilvl="7" w:tplc="711CA4A8">
      <w:start w:val="1"/>
      <w:numFmt w:val="lowerLetter"/>
      <w:lvlText w:val="%8."/>
      <w:lvlJc w:val="left"/>
      <w:pPr>
        <w:ind w:left="2880" w:hanging="360"/>
      </w:pPr>
    </w:lvl>
    <w:lvl w:ilvl="8" w:tplc="4300BCA0">
      <w:start w:val="1"/>
      <w:numFmt w:val="lowerRoman"/>
      <w:lvlText w:val="%9."/>
      <w:lvlJc w:val="left"/>
      <w:pPr>
        <w:ind w:left="3240" w:hanging="360"/>
      </w:pPr>
    </w:lvl>
  </w:abstractNum>
  <w:abstractNum w:abstractNumId="4" w15:restartNumberingAfterBreak="0">
    <w:nsid w:val="12016857"/>
    <w:multiLevelType w:val="hybridMultilevel"/>
    <w:tmpl w:val="449C772C"/>
    <w:lvl w:ilvl="0" w:tplc="6C62554E">
      <w:start w:val="1"/>
      <w:numFmt w:val="decimal"/>
      <w:lvlText w:val="%1."/>
      <w:lvlJc w:val="left"/>
      <w:pPr>
        <w:ind w:left="720" w:hanging="360"/>
      </w:pPr>
    </w:lvl>
    <w:lvl w:ilvl="1" w:tplc="2B48EF3E">
      <w:start w:val="1"/>
      <w:numFmt w:val="lowerLetter"/>
      <w:lvlText w:val="%2."/>
      <w:lvlJc w:val="left"/>
      <w:pPr>
        <w:ind w:left="1440" w:hanging="360"/>
      </w:pPr>
    </w:lvl>
    <w:lvl w:ilvl="2" w:tplc="CDDAE068">
      <w:start w:val="1"/>
      <w:numFmt w:val="lowerRoman"/>
      <w:lvlText w:val="%3."/>
      <w:lvlJc w:val="right"/>
      <w:pPr>
        <w:ind w:left="2160" w:hanging="180"/>
      </w:pPr>
    </w:lvl>
    <w:lvl w:ilvl="3" w:tplc="8410FEA6">
      <w:start w:val="1"/>
      <w:numFmt w:val="decimal"/>
      <w:lvlText w:val="%4."/>
      <w:lvlJc w:val="left"/>
      <w:pPr>
        <w:ind w:left="2880" w:hanging="360"/>
      </w:pPr>
    </w:lvl>
    <w:lvl w:ilvl="4" w:tplc="DDDE3272">
      <w:start w:val="1"/>
      <w:numFmt w:val="lowerLetter"/>
      <w:lvlText w:val="%5."/>
      <w:lvlJc w:val="left"/>
      <w:pPr>
        <w:ind w:left="3600" w:hanging="360"/>
      </w:pPr>
    </w:lvl>
    <w:lvl w:ilvl="5" w:tplc="8AFC688E">
      <w:start w:val="1"/>
      <w:numFmt w:val="lowerRoman"/>
      <w:lvlText w:val="%6."/>
      <w:lvlJc w:val="right"/>
      <w:pPr>
        <w:ind w:left="4320" w:hanging="180"/>
      </w:pPr>
    </w:lvl>
    <w:lvl w:ilvl="6" w:tplc="86B67CDA">
      <w:start w:val="1"/>
      <w:numFmt w:val="decimal"/>
      <w:lvlText w:val="%7."/>
      <w:lvlJc w:val="left"/>
      <w:pPr>
        <w:ind w:left="5040" w:hanging="360"/>
      </w:pPr>
    </w:lvl>
    <w:lvl w:ilvl="7" w:tplc="3D762770">
      <w:start w:val="1"/>
      <w:numFmt w:val="lowerLetter"/>
      <w:lvlText w:val="%8."/>
      <w:lvlJc w:val="left"/>
      <w:pPr>
        <w:ind w:left="5760" w:hanging="360"/>
      </w:pPr>
    </w:lvl>
    <w:lvl w:ilvl="8" w:tplc="7E5299A0">
      <w:start w:val="1"/>
      <w:numFmt w:val="lowerRoman"/>
      <w:lvlText w:val="%9."/>
      <w:lvlJc w:val="right"/>
      <w:pPr>
        <w:ind w:left="6480" w:hanging="180"/>
      </w:pPr>
    </w:lvl>
  </w:abstractNum>
  <w:abstractNum w:abstractNumId="5" w15:restartNumberingAfterBreak="0">
    <w:nsid w:val="194F1CC4"/>
    <w:multiLevelType w:val="singleLevel"/>
    <w:tmpl w:val="5E9AC60E"/>
    <w:lvl w:ilvl="0">
      <w:numFmt w:val="decimal"/>
      <w:lvlText w:val="*"/>
      <w:lvlJc w:val="left"/>
    </w:lvl>
  </w:abstractNum>
  <w:abstractNum w:abstractNumId="6" w15:restartNumberingAfterBreak="0">
    <w:nsid w:val="1B9E33CA"/>
    <w:multiLevelType w:val="singleLevel"/>
    <w:tmpl w:val="2FDC5AB8"/>
    <w:lvl w:ilvl="0">
      <w:numFmt w:val="bullet"/>
      <w:lvlText w:val=""/>
      <w:lvlJc w:val="left"/>
      <w:pPr>
        <w:ind w:left="360" w:hanging="288"/>
      </w:pPr>
      <w:rPr>
        <w:rFonts w:ascii="Symbol" w:hAnsi="Symbol"/>
      </w:rPr>
    </w:lvl>
  </w:abstractNum>
  <w:abstractNum w:abstractNumId="7" w15:restartNumberingAfterBreak="0">
    <w:nsid w:val="1F391868"/>
    <w:multiLevelType w:val="hybridMultilevel"/>
    <w:tmpl w:val="EF0A0640"/>
    <w:lvl w:ilvl="0" w:tplc="254EA09C">
      <w:numFmt w:val="bullet"/>
      <w:lvlText w:val=""/>
      <w:lvlJc w:val="left"/>
      <w:pPr>
        <w:ind w:left="1080" w:hanging="360"/>
      </w:pPr>
      <w:rPr>
        <w:rFonts w:ascii="Symbol" w:hAnsi="Symbol"/>
      </w:rPr>
    </w:lvl>
    <w:lvl w:ilvl="1" w:tplc="2006D25E">
      <w:numFmt w:val="bullet"/>
      <w:lvlText w:val="o"/>
      <w:lvlJc w:val="left"/>
      <w:pPr>
        <w:ind w:left="1800" w:hanging="360"/>
      </w:pPr>
      <w:rPr>
        <w:rFonts w:ascii="Courier New" w:hAnsi="Courier New"/>
      </w:rPr>
    </w:lvl>
    <w:lvl w:ilvl="2" w:tplc="D9EA7850">
      <w:numFmt w:val="bullet"/>
      <w:lvlText w:val=""/>
      <w:lvlJc w:val="left"/>
      <w:pPr>
        <w:ind w:left="2520" w:hanging="360"/>
      </w:pPr>
      <w:rPr>
        <w:rFonts w:ascii="Wingdings" w:hAnsi="Wingdings"/>
      </w:rPr>
    </w:lvl>
    <w:lvl w:ilvl="3" w:tplc="09F085CC">
      <w:numFmt w:val="bullet"/>
      <w:lvlText w:val=""/>
      <w:lvlJc w:val="left"/>
      <w:pPr>
        <w:ind w:left="3240" w:hanging="360"/>
      </w:pPr>
      <w:rPr>
        <w:rFonts w:ascii="Symbol" w:hAnsi="Symbol"/>
      </w:rPr>
    </w:lvl>
    <w:lvl w:ilvl="4" w:tplc="4386FFCE">
      <w:numFmt w:val="bullet"/>
      <w:lvlText w:val="o"/>
      <w:lvlJc w:val="left"/>
      <w:pPr>
        <w:ind w:left="3960" w:hanging="360"/>
      </w:pPr>
      <w:rPr>
        <w:rFonts w:ascii="Courier New" w:hAnsi="Courier New"/>
      </w:rPr>
    </w:lvl>
    <w:lvl w:ilvl="5" w:tplc="0532B6D6">
      <w:numFmt w:val="bullet"/>
      <w:lvlText w:val=""/>
      <w:lvlJc w:val="left"/>
      <w:pPr>
        <w:ind w:left="4680" w:hanging="360"/>
      </w:pPr>
      <w:rPr>
        <w:rFonts w:ascii="Wingdings" w:hAnsi="Wingdings"/>
      </w:rPr>
    </w:lvl>
    <w:lvl w:ilvl="6" w:tplc="CFBABEDC">
      <w:numFmt w:val="bullet"/>
      <w:lvlText w:val=""/>
      <w:lvlJc w:val="left"/>
      <w:pPr>
        <w:ind w:left="5400" w:hanging="360"/>
      </w:pPr>
      <w:rPr>
        <w:rFonts w:ascii="Symbol" w:hAnsi="Symbol"/>
      </w:rPr>
    </w:lvl>
    <w:lvl w:ilvl="7" w:tplc="81146A60">
      <w:numFmt w:val="bullet"/>
      <w:lvlText w:val="o"/>
      <w:lvlJc w:val="left"/>
      <w:pPr>
        <w:ind w:left="6120" w:hanging="360"/>
      </w:pPr>
      <w:rPr>
        <w:rFonts w:ascii="Courier New" w:hAnsi="Courier New"/>
      </w:rPr>
    </w:lvl>
    <w:lvl w:ilvl="8" w:tplc="85B4BA00">
      <w:numFmt w:val="bullet"/>
      <w:lvlText w:val=""/>
      <w:lvlJc w:val="left"/>
      <w:pPr>
        <w:ind w:left="6840" w:hanging="360"/>
      </w:pPr>
      <w:rPr>
        <w:rFonts w:ascii="Wingdings" w:hAnsi="Wingdings"/>
      </w:rPr>
    </w:lvl>
  </w:abstractNum>
  <w:abstractNum w:abstractNumId="8" w15:restartNumberingAfterBreak="0">
    <w:nsid w:val="24D77300"/>
    <w:multiLevelType w:val="hybridMultilevel"/>
    <w:tmpl w:val="52F4CE9C"/>
    <w:lvl w:ilvl="0" w:tplc="C4C2010A">
      <w:numFmt w:val="bullet"/>
      <w:lvlText w:val=""/>
      <w:lvlJc w:val="left"/>
      <w:pPr>
        <w:ind w:left="1080" w:hanging="360"/>
      </w:pPr>
      <w:rPr>
        <w:rFonts w:ascii="Symbol" w:hAnsi="Symbol"/>
      </w:rPr>
    </w:lvl>
    <w:lvl w:ilvl="1" w:tplc="2D7EAB32">
      <w:numFmt w:val="bullet"/>
      <w:lvlText w:val=""/>
      <w:lvlJc w:val="left"/>
      <w:pPr>
        <w:ind w:left="1800" w:hanging="360"/>
      </w:pPr>
      <w:rPr>
        <w:rFonts w:ascii="Symbol" w:hAnsi="Symbol"/>
      </w:rPr>
    </w:lvl>
    <w:lvl w:ilvl="2" w:tplc="3E0CAB06">
      <w:start w:val="1"/>
      <w:numFmt w:val="lowerRoman"/>
      <w:lvlText w:val="%3."/>
      <w:lvlJc w:val="right"/>
      <w:pPr>
        <w:ind w:left="2520" w:hanging="180"/>
      </w:pPr>
    </w:lvl>
    <w:lvl w:ilvl="3" w:tplc="B7746ACA">
      <w:start w:val="1"/>
      <w:numFmt w:val="decimal"/>
      <w:lvlText w:val="%4."/>
      <w:lvlJc w:val="left"/>
      <w:pPr>
        <w:ind w:left="3240" w:hanging="360"/>
      </w:pPr>
    </w:lvl>
    <w:lvl w:ilvl="4" w:tplc="445CD16E">
      <w:start w:val="1"/>
      <w:numFmt w:val="lowerLetter"/>
      <w:lvlText w:val="%5."/>
      <w:lvlJc w:val="left"/>
      <w:pPr>
        <w:ind w:left="3960" w:hanging="360"/>
      </w:pPr>
    </w:lvl>
    <w:lvl w:ilvl="5" w:tplc="224AB476">
      <w:start w:val="1"/>
      <w:numFmt w:val="lowerRoman"/>
      <w:lvlText w:val="%6."/>
      <w:lvlJc w:val="right"/>
      <w:pPr>
        <w:ind w:left="4680" w:hanging="180"/>
      </w:pPr>
    </w:lvl>
    <w:lvl w:ilvl="6" w:tplc="BD4A44F0">
      <w:start w:val="1"/>
      <w:numFmt w:val="decimal"/>
      <w:lvlText w:val="%7."/>
      <w:lvlJc w:val="left"/>
      <w:pPr>
        <w:ind w:left="5400" w:hanging="360"/>
      </w:pPr>
    </w:lvl>
    <w:lvl w:ilvl="7" w:tplc="2D6C13FE">
      <w:start w:val="1"/>
      <w:numFmt w:val="lowerLetter"/>
      <w:lvlText w:val="%8."/>
      <w:lvlJc w:val="left"/>
      <w:pPr>
        <w:ind w:left="6120" w:hanging="360"/>
      </w:pPr>
    </w:lvl>
    <w:lvl w:ilvl="8" w:tplc="35F0934E">
      <w:start w:val="1"/>
      <w:numFmt w:val="lowerRoman"/>
      <w:lvlText w:val="%9."/>
      <w:lvlJc w:val="right"/>
      <w:pPr>
        <w:ind w:left="6840" w:hanging="180"/>
      </w:pPr>
    </w:lvl>
  </w:abstractNum>
  <w:abstractNum w:abstractNumId="9" w15:restartNumberingAfterBreak="0">
    <w:nsid w:val="25C108DE"/>
    <w:multiLevelType w:val="hybridMultilevel"/>
    <w:tmpl w:val="B2AE638E"/>
    <w:lvl w:ilvl="0" w:tplc="CA744B76">
      <w:numFmt w:val="bullet"/>
      <w:lvlText w:val=""/>
      <w:lvlJc w:val="left"/>
      <w:pPr>
        <w:ind w:left="720" w:hanging="360"/>
      </w:pPr>
      <w:rPr>
        <w:rFonts w:ascii="Symbol" w:hAnsi="Symbol"/>
      </w:rPr>
    </w:lvl>
    <w:lvl w:ilvl="1" w:tplc="7ED05760">
      <w:numFmt w:val="bullet"/>
      <w:lvlText w:val="o"/>
      <w:lvlJc w:val="left"/>
      <w:pPr>
        <w:ind w:left="1440" w:hanging="360"/>
      </w:pPr>
      <w:rPr>
        <w:rFonts w:ascii="Courier New" w:hAnsi="Courier New"/>
      </w:rPr>
    </w:lvl>
    <w:lvl w:ilvl="2" w:tplc="70A853E8">
      <w:numFmt w:val="bullet"/>
      <w:lvlText w:val=""/>
      <w:lvlJc w:val="left"/>
      <w:pPr>
        <w:ind w:left="2160" w:hanging="360"/>
      </w:pPr>
      <w:rPr>
        <w:rFonts w:ascii="Wingdings" w:hAnsi="Wingdings"/>
      </w:rPr>
    </w:lvl>
    <w:lvl w:ilvl="3" w:tplc="7F5C8412">
      <w:numFmt w:val="bullet"/>
      <w:lvlText w:val=""/>
      <w:lvlJc w:val="left"/>
      <w:pPr>
        <w:ind w:left="2880" w:hanging="360"/>
      </w:pPr>
      <w:rPr>
        <w:rFonts w:ascii="Symbol" w:hAnsi="Symbol"/>
      </w:rPr>
    </w:lvl>
    <w:lvl w:ilvl="4" w:tplc="2CDEB2A0">
      <w:numFmt w:val="bullet"/>
      <w:lvlText w:val="o"/>
      <w:lvlJc w:val="left"/>
      <w:pPr>
        <w:ind w:left="3600" w:hanging="360"/>
      </w:pPr>
      <w:rPr>
        <w:rFonts w:ascii="Courier New" w:hAnsi="Courier New"/>
      </w:rPr>
    </w:lvl>
    <w:lvl w:ilvl="5" w:tplc="453EC596">
      <w:numFmt w:val="bullet"/>
      <w:lvlText w:val=""/>
      <w:lvlJc w:val="left"/>
      <w:pPr>
        <w:ind w:left="4320" w:hanging="360"/>
      </w:pPr>
      <w:rPr>
        <w:rFonts w:ascii="Wingdings" w:hAnsi="Wingdings"/>
      </w:rPr>
    </w:lvl>
    <w:lvl w:ilvl="6" w:tplc="857EA1AE">
      <w:numFmt w:val="bullet"/>
      <w:lvlText w:val=""/>
      <w:lvlJc w:val="left"/>
      <w:pPr>
        <w:ind w:left="5040" w:hanging="360"/>
      </w:pPr>
      <w:rPr>
        <w:rFonts w:ascii="Symbol" w:hAnsi="Symbol"/>
      </w:rPr>
    </w:lvl>
    <w:lvl w:ilvl="7" w:tplc="3FE003F2">
      <w:numFmt w:val="bullet"/>
      <w:lvlText w:val="o"/>
      <w:lvlJc w:val="left"/>
      <w:pPr>
        <w:ind w:left="5760" w:hanging="360"/>
      </w:pPr>
      <w:rPr>
        <w:rFonts w:ascii="Courier New" w:hAnsi="Courier New"/>
      </w:rPr>
    </w:lvl>
    <w:lvl w:ilvl="8" w:tplc="C9A2CDF6">
      <w:numFmt w:val="bullet"/>
      <w:lvlText w:val=""/>
      <w:lvlJc w:val="left"/>
      <w:pPr>
        <w:ind w:left="6480" w:hanging="360"/>
      </w:pPr>
      <w:rPr>
        <w:rFonts w:ascii="Wingdings" w:hAnsi="Wingdings"/>
      </w:rPr>
    </w:lvl>
  </w:abstractNum>
  <w:abstractNum w:abstractNumId="10" w15:restartNumberingAfterBreak="0">
    <w:nsid w:val="25DA54A5"/>
    <w:multiLevelType w:val="singleLevel"/>
    <w:tmpl w:val="2BAA64B6"/>
    <w:lvl w:ilvl="0">
      <w:numFmt w:val="bullet"/>
      <w:lvlText w:val=""/>
      <w:lvlJc w:val="left"/>
      <w:pPr>
        <w:ind w:left="360" w:hanging="288"/>
      </w:pPr>
      <w:rPr>
        <w:rFonts w:ascii="Symbol" w:hAnsi="Symbol"/>
      </w:rPr>
    </w:lvl>
  </w:abstractNum>
  <w:abstractNum w:abstractNumId="11" w15:restartNumberingAfterBreak="0">
    <w:nsid w:val="2B1B7817"/>
    <w:multiLevelType w:val="hybridMultilevel"/>
    <w:tmpl w:val="C8F62136"/>
    <w:lvl w:ilvl="0" w:tplc="91E8FDA2">
      <w:numFmt w:val="bullet"/>
      <w:lvlText w:val=""/>
      <w:lvlJc w:val="left"/>
      <w:pPr>
        <w:ind w:left="1080" w:hanging="360"/>
      </w:pPr>
      <w:rPr>
        <w:rFonts w:ascii="Symbol" w:hAnsi="Symbol"/>
      </w:rPr>
    </w:lvl>
    <w:lvl w:ilvl="1" w:tplc="EE5E1340">
      <w:numFmt w:val="bullet"/>
      <w:lvlText w:val="o"/>
      <w:lvlJc w:val="left"/>
      <w:pPr>
        <w:ind w:left="1800" w:hanging="360"/>
      </w:pPr>
      <w:rPr>
        <w:rFonts w:ascii="Courier New" w:hAnsi="Courier New"/>
      </w:rPr>
    </w:lvl>
    <w:lvl w:ilvl="2" w:tplc="CC4AB242">
      <w:numFmt w:val="bullet"/>
      <w:lvlText w:val=""/>
      <w:lvlJc w:val="left"/>
      <w:pPr>
        <w:ind w:left="2520" w:hanging="360"/>
      </w:pPr>
      <w:rPr>
        <w:rFonts w:ascii="Wingdings" w:hAnsi="Wingdings"/>
      </w:rPr>
    </w:lvl>
    <w:lvl w:ilvl="3" w:tplc="11EE50CC">
      <w:numFmt w:val="bullet"/>
      <w:lvlText w:val=""/>
      <w:lvlJc w:val="left"/>
      <w:pPr>
        <w:ind w:left="3240" w:hanging="360"/>
      </w:pPr>
      <w:rPr>
        <w:rFonts w:ascii="Symbol" w:hAnsi="Symbol"/>
      </w:rPr>
    </w:lvl>
    <w:lvl w:ilvl="4" w:tplc="16200D7C">
      <w:numFmt w:val="bullet"/>
      <w:lvlText w:val="o"/>
      <w:lvlJc w:val="left"/>
      <w:pPr>
        <w:ind w:left="3960" w:hanging="360"/>
      </w:pPr>
      <w:rPr>
        <w:rFonts w:ascii="Courier New" w:hAnsi="Courier New"/>
      </w:rPr>
    </w:lvl>
    <w:lvl w:ilvl="5" w:tplc="C0C859DC">
      <w:numFmt w:val="bullet"/>
      <w:lvlText w:val=""/>
      <w:lvlJc w:val="left"/>
      <w:pPr>
        <w:ind w:left="4680" w:hanging="360"/>
      </w:pPr>
      <w:rPr>
        <w:rFonts w:ascii="Wingdings" w:hAnsi="Wingdings"/>
      </w:rPr>
    </w:lvl>
    <w:lvl w:ilvl="6" w:tplc="A9ACD0B6">
      <w:numFmt w:val="bullet"/>
      <w:lvlText w:val=""/>
      <w:lvlJc w:val="left"/>
      <w:pPr>
        <w:ind w:left="5400" w:hanging="360"/>
      </w:pPr>
      <w:rPr>
        <w:rFonts w:ascii="Symbol" w:hAnsi="Symbol"/>
      </w:rPr>
    </w:lvl>
    <w:lvl w:ilvl="7" w:tplc="61B03388">
      <w:numFmt w:val="bullet"/>
      <w:lvlText w:val="o"/>
      <w:lvlJc w:val="left"/>
      <w:pPr>
        <w:ind w:left="6120" w:hanging="360"/>
      </w:pPr>
      <w:rPr>
        <w:rFonts w:ascii="Courier New" w:hAnsi="Courier New"/>
      </w:rPr>
    </w:lvl>
    <w:lvl w:ilvl="8" w:tplc="35C8CB84">
      <w:numFmt w:val="bullet"/>
      <w:lvlText w:val=""/>
      <w:lvlJc w:val="left"/>
      <w:pPr>
        <w:ind w:left="6840" w:hanging="360"/>
      </w:pPr>
      <w:rPr>
        <w:rFonts w:ascii="Wingdings" w:hAnsi="Wingdings"/>
      </w:rPr>
    </w:lvl>
  </w:abstractNum>
  <w:abstractNum w:abstractNumId="12" w15:restartNumberingAfterBreak="0">
    <w:nsid w:val="31304406"/>
    <w:multiLevelType w:val="hybridMultilevel"/>
    <w:tmpl w:val="B9BCFE4E"/>
    <w:lvl w:ilvl="0" w:tplc="A8F8E4F0">
      <w:numFmt w:val="bullet"/>
      <w:lvlText w:val=""/>
      <w:lvlJc w:val="left"/>
      <w:pPr>
        <w:ind w:left="720" w:hanging="360"/>
      </w:pPr>
      <w:rPr>
        <w:rFonts w:ascii="Symbol" w:hAnsi="Symbol"/>
      </w:rPr>
    </w:lvl>
    <w:lvl w:ilvl="1" w:tplc="5CB4DBDE">
      <w:numFmt w:val="bullet"/>
      <w:lvlText w:val="o"/>
      <w:lvlJc w:val="left"/>
      <w:pPr>
        <w:ind w:left="1440" w:hanging="360"/>
      </w:pPr>
      <w:rPr>
        <w:rFonts w:ascii="Courier New" w:hAnsi="Courier New"/>
      </w:rPr>
    </w:lvl>
    <w:lvl w:ilvl="2" w:tplc="636447BA">
      <w:numFmt w:val="bullet"/>
      <w:lvlText w:val=""/>
      <w:lvlJc w:val="left"/>
      <w:pPr>
        <w:ind w:left="2160" w:hanging="360"/>
      </w:pPr>
      <w:rPr>
        <w:rFonts w:ascii="Wingdings" w:hAnsi="Wingdings"/>
      </w:rPr>
    </w:lvl>
    <w:lvl w:ilvl="3" w:tplc="0600A652">
      <w:numFmt w:val="bullet"/>
      <w:lvlText w:val=""/>
      <w:lvlJc w:val="left"/>
      <w:pPr>
        <w:ind w:left="2880" w:hanging="360"/>
      </w:pPr>
      <w:rPr>
        <w:rFonts w:ascii="Symbol" w:hAnsi="Symbol"/>
      </w:rPr>
    </w:lvl>
    <w:lvl w:ilvl="4" w:tplc="3C8E89E6">
      <w:numFmt w:val="bullet"/>
      <w:lvlText w:val="o"/>
      <w:lvlJc w:val="left"/>
      <w:pPr>
        <w:ind w:left="3600" w:hanging="360"/>
      </w:pPr>
      <w:rPr>
        <w:rFonts w:ascii="Courier New" w:hAnsi="Courier New"/>
      </w:rPr>
    </w:lvl>
    <w:lvl w:ilvl="5" w:tplc="DEC862AE">
      <w:numFmt w:val="bullet"/>
      <w:lvlText w:val=""/>
      <w:lvlJc w:val="left"/>
      <w:pPr>
        <w:ind w:left="4320" w:hanging="360"/>
      </w:pPr>
      <w:rPr>
        <w:rFonts w:ascii="Wingdings" w:hAnsi="Wingdings"/>
      </w:rPr>
    </w:lvl>
    <w:lvl w:ilvl="6" w:tplc="019E83A2">
      <w:numFmt w:val="bullet"/>
      <w:lvlText w:val=""/>
      <w:lvlJc w:val="left"/>
      <w:pPr>
        <w:ind w:left="5040" w:hanging="360"/>
      </w:pPr>
      <w:rPr>
        <w:rFonts w:ascii="Symbol" w:hAnsi="Symbol"/>
      </w:rPr>
    </w:lvl>
    <w:lvl w:ilvl="7" w:tplc="847AAA54">
      <w:numFmt w:val="bullet"/>
      <w:lvlText w:val="o"/>
      <w:lvlJc w:val="left"/>
      <w:pPr>
        <w:ind w:left="5760" w:hanging="360"/>
      </w:pPr>
      <w:rPr>
        <w:rFonts w:ascii="Courier New" w:hAnsi="Courier New"/>
      </w:rPr>
    </w:lvl>
    <w:lvl w:ilvl="8" w:tplc="E606045A">
      <w:numFmt w:val="bullet"/>
      <w:lvlText w:val=""/>
      <w:lvlJc w:val="left"/>
      <w:pPr>
        <w:ind w:left="6480" w:hanging="360"/>
      </w:pPr>
      <w:rPr>
        <w:rFonts w:ascii="Wingdings" w:hAnsi="Wingdings"/>
      </w:rPr>
    </w:lvl>
  </w:abstractNum>
  <w:abstractNum w:abstractNumId="13" w15:restartNumberingAfterBreak="0">
    <w:nsid w:val="38857E70"/>
    <w:multiLevelType w:val="hybridMultilevel"/>
    <w:tmpl w:val="A7AE3FFE"/>
    <w:lvl w:ilvl="0" w:tplc="46C44EDE">
      <w:numFmt w:val="bullet"/>
      <w:lvlText w:val=""/>
      <w:lvlJc w:val="left"/>
      <w:pPr>
        <w:ind w:left="1080" w:hanging="360"/>
      </w:pPr>
      <w:rPr>
        <w:rFonts w:ascii="Symbol" w:hAnsi="Symbol"/>
      </w:rPr>
    </w:lvl>
    <w:lvl w:ilvl="1" w:tplc="24A64900">
      <w:numFmt w:val="bullet"/>
      <w:lvlText w:val="o"/>
      <w:lvlJc w:val="left"/>
      <w:pPr>
        <w:ind w:left="1800" w:hanging="360"/>
      </w:pPr>
      <w:rPr>
        <w:rFonts w:ascii="Courier New" w:hAnsi="Courier New"/>
      </w:rPr>
    </w:lvl>
    <w:lvl w:ilvl="2" w:tplc="E80A8BFA">
      <w:numFmt w:val="bullet"/>
      <w:lvlText w:val=""/>
      <w:lvlJc w:val="left"/>
      <w:pPr>
        <w:ind w:left="2520" w:hanging="360"/>
      </w:pPr>
      <w:rPr>
        <w:rFonts w:ascii="Wingdings" w:hAnsi="Wingdings"/>
      </w:rPr>
    </w:lvl>
    <w:lvl w:ilvl="3" w:tplc="947A9412">
      <w:numFmt w:val="bullet"/>
      <w:lvlText w:val=""/>
      <w:lvlJc w:val="left"/>
      <w:pPr>
        <w:ind w:left="3240" w:hanging="360"/>
      </w:pPr>
      <w:rPr>
        <w:rFonts w:ascii="Symbol" w:hAnsi="Symbol"/>
      </w:rPr>
    </w:lvl>
    <w:lvl w:ilvl="4" w:tplc="0EE6CF30">
      <w:numFmt w:val="bullet"/>
      <w:lvlText w:val="o"/>
      <w:lvlJc w:val="left"/>
      <w:pPr>
        <w:ind w:left="3960" w:hanging="360"/>
      </w:pPr>
      <w:rPr>
        <w:rFonts w:ascii="Courier New" w:hAnsi="Courier New"/>
      </w:rPr>
    </w:lvl>
    <w:lvl w:ilvl="5" w:tplc="2194A472">
      <w:numFmt w:val="bullet"/>
      <w:lvlText w:val=""/>
      <w:lvlJc w:val="left"/>
      <w:pPr>
        <w:ind w:left="4680" w:hanging="360"/>
      </w:pPr>
      <w:rPr>
        <w:rFonts w:ascii="Wingdings" w:hAnsi="Wingdings"/>
      </w:rPr>
    </w:lvl>
    <w:lvl w:ilvl="6" w:tplc="4072E766">
      <w:numFmt w:val="bullet"/>
      <w:lvlText w:val=""/>
      <w:lvlJc w:val="left"/>
      <w:pPr>
        <w:ind w:left="5400" w:hanging="360"/>
      </w:pPr>
      <w:rPr>
        <w:rFonts w:ascii="Symbol" w:hAnsi="Symbol"/>
      </w:rPr>
    </w:lvl>
    <w:lvl w:ilvl="7" w:tplc="F9C22358">
      <w:numFmt w:val="bullet"/>
      <w:lvlText w:val="o"/>
      <w:lvlJc w:val="left"/>
      <w:pPr>
        <w:ind w:left="6120" w:hanging="360"/>
      </w:pPr>
      <w:rPr>
        <w:rFonts w:ascii="Courier New" w:hAnsi="Courier New"/>
      </w:rPr>
    </w:lvl>
    <w:lvl w:ilvl="8" w:tplc="34642B6A">
      <w:numFmt w:val="bullet"/>
      <w:lvlText w:val=""/>
      <w:lvlJc w:val="left"/>
      <w:pPr>
        <w:ind w:left="6840" w:hanging="360"/>
      </w:pPr>
      <w:rPr>
        <w:rFonts w:ascii="Wingdings" w:hAnsi="Wingdings"/>
      </w:rPr>
    </w:lvl>
  </w:abstractNum>
  <w:abstractNum w:abstractNumId="14" w15:restartNumberingAfterBreak="0">
    <w:nsid w:val="3F112516"/>
    <w:multiLevelType w:val="hybridMultilevel"/>
    <w:tmpl w:val="E7343346"/>
    <w:lvl w:ilvl="0" w:tplc="4CBE6F58">
      <w:numFmt w:val="bullet"/>
      <w:lvlText w:val=""/>
      <w:lvlJc w:val="left"/>
      <w:pPr>
        <w:ind w:left="720" w:hanging="360"/>
      </w:pPr>
      <w:rPr>
        <w:rFonts w:ascii="Symbol" w:hAnsi="Symbol"/>
      </w:rPr>
    </w:lvl>
    <w:lvl w:ilvl="1" w:tplc="1932D1CA">
      <w:numFmt w:val="bullet"/>
      <w:lvlText w:val="o"/>
      <w:lvlJc w:val="left"/>
      <w:pPr>
        <w:ind w:left="1440" w:hanging="360"/>
      </w:pPr>
      <w:rPr>
        <w:rFonts w:ascii="Courier New" w:hAnsi="Courier New"/>
      </w:rPr>
    </w:lvl>
    <w:lvl w:ilvl="2" w:tplc="CA443A22">
      <w:numFmt w:val="bullet"/>
      <w:lvlText w:val=""/>
      <w:lvlJc w:val="left"/>
      <w:pPr>
        <w:ind w:left="2160" w:hanging="360"/>
      </w:pPr>
      <w:rPr>
        <w:rFonts w:ascii="Wingdings" w:hAnsi="Wingdings"/>
      </w:rPr>
    </w:lvl>
    <w:lvl w:ilvl="3" w:tplc="9A74CEE6">
      <w:numFmt w:val="bullet"/>
      <w:lvlText w:val=""/>
      <w:lvlJc w:val="left"/>
      <w:pPr>
        <w:ind w:left="2880" w:hanging="360"/>
      </w:pPr>
      <w:rPr>
        <w:rFonts w:ascii="Symbol" w:hAnsi="Symbol"/>
      </w:rPr>
    </w:lvl>
    <w:lvl w:ilvl="4" w:tplc="E5C8AB36">
      <w:numFmt w:val="bullet"/>
      <w:lvlText w:val="o"/>
      <w:lvlJc w:val="left"/>
      <w:pPr>
        <w:ind w:left="3600" w:hanging="360"/>
      </w:pPr>
      <w:rPr>
        <w:rFonts w:ascii="Courier New" w:hAnsi="Courier New"/>
      </w:rPr>
    </w:lvl>
    <w:lvl w:ilvl="5" w:tplc="C608BBF4">
      <w:numFmt w:val="bullet"/>
      <w:lvlText w:val=""/>
      <w:lvlJc w:val="left"/>
      <w:pPr>
        <w:ind w:left="4320" w:hanging="360"/>
      </w:pPr>
      <w:rPr>
        <w:rFonts w:ascii="Wingdings" w:hAnsi="Wingdings"/>
      </w:rPr>
    </w:lvl>
    <w:lvl w:ilvl="6" w:tplc="16AC4524">
      <w:numFmt w:val="bullet"/>
      <w:lvlText w:val=""/>
      <w:lvlJc w:val="left"/>
      <w:pPr>
        <w:ind w:left="5040" w:hanging="360"/>
      </w:pPr>
      <w:rPr>
        <w:rFonts w:ascii="Symbol" w:hAnsi="Symbol"/>
      </w:rPr>
    </w:lvl>
    <w:lvl w:ilvl="7" w:tplc="E69EBE34">
      <w:numFmt w:val="bullet"/>
      <w:lvlText w:val="o"/>
      <w:lvlJc w:val="left"/>
      <w:pPr>
        <w:ind w:left="5760" w:hanging="360"/>
      </w:pPr>
      <w:rPr>
        <w:rFonts w:ascii="Courier New" w:hAnsi="Courier New"/>
      </w:rPr>
    </w:lvl>
    <w:lvl w:ilvl="8" w:tplc="75A491D0">
      <w:numFmt w:val="bullet"/>
      <w:lvlText w:val=""/>
      <w:lvlJc w:val="left"/>
      <w:pPr>
        <w:ind w:left="6480" w:hanging="360"/>
      </w:pPr>
      <w:rPr>
        <w:rFonts w:ascii="Wingdings" w:hAnsi="Wingdings"/>
      </w:rPr>
    </w:lvl>
  </w:abstractNum>
  <w:abstractNum w:abstractNumId="15" w15:restartNumberingAfterBreak="0">
    <w:nsid w:val="434A2B58"/>
    <w:multiLevelType w:val="singleLevel"/>
    <w:tmpl w:val="25048D26"/>
    <w:lvl w:ilvl="0">
      <w:numFmt w:val="bullet"/>
      <w:lvlText w:val=""/>
      <w:lvlJc w:val="left"/>
      <w:pPr>
        <w:ind w:left="360" w:hanging="288"/>
      </w:pPr>
      <w:rPr>
        <w:rFonts w:ascii="Symbol" w:hAnsi="Symbol"/>
      </w:rPr>
    </w:lvl>
  </w:abstractNum>
  <w:abstractNum w:abstractNumId="16" w15:restartNumberingAfterBreak="0">
    <w:nsid w:val="461D10E3"/>
    <w:multiLevelType w:val="hybridMultilevel"/>
    <w:tmpl w:val="1FFAFF3A"/>
    <w:lvl w:ilvl="0" w:tplc="EF645112">
      <w:numFmt w:val="bullet"/>
      <w:lvlText w:val=""/>
      <w:lvlJc w:val="left"/>
      <w:pPr>
        <w:ind w:left="1080" w:hanging="360"/>
      </w:pPr>
      <w:rPr>
        <w:rFonts w:ascii="Symbol" w:hAnsi="Symbol"/>
      </w:rPr>
    </w:lvl>
    <w:lvl w:ilvl="1" w:tplc="9BEC51B8">
      <w:numFmt w:val="bullet"/>
      <w:lvlText w:val="o"/>
      <w:lvlJc w:val="left"/>
      <w:pPr>
        <w:ind w:left="1800" w:hanging="360"/>
      </w:pPr>
      <w:rPr>
        <w:rFonts w:ascii="Courier New" w:hAnsi="Courier New"/>
      </w:rPr>
    </w:lvl>
    <w:lvl w:ilvl="2" w:tplc="879C0948">
      <w:numFmt w:val="bullet"/>
      <w:lvlText w:val=""/>
      <w:lvlJc w:val="left"/>
      <w:pPr>
        <w:ind w:left="2520" w:hanging="360"/>
      </w:pPr>
      <w:rPr>
        <w:rFonts w:ascii="Wingdings" w:hAnsi="Wingdings"/>
      </w:rPr>
    </w:lvl>
    <w:lvl w:ilvl="3" w:tplc="5502AA86">
      <w:numFmt w:val="bullet"/>
      <w:lvlText w:val=""/>
      <w:lvlJc w:val="left"/>
      <w:pPr>
        <w:ind w:left="3240" w:hanging="360"/>
      </w:pPr>
      <w:rPr>
        <w:rFonts w:ascii="Symbol" w:hAnsi="Symbol"/>
      </w:rPr>
    </w:lvl>
    <w:lvl w:ilvl="4" w:tplc="530C5972">
      <w:numFmt w:val="bullet"/>
      <w:lvlText w:val="o"/>
      <w:lvlJc w:val="left"/>
      <w:pPr>
        <w:ind w:left="3960" w:hanging="360"/>
      </w:pPr>
      <w:rPr>
        <w:rFonts w:ascii="Courier New" w:hAnsi="Courier New"/>
      </w:rPr>
    </w:lvl>
    <w:lvl w:ilvl="5" w:tplc="FB268136">
      <w:numFmt w:val="bullet"/>
      <w:lvlText w:val=""/>
      <w:lvlJc w:val="left"/>
      <w:pPr>
        <w:ind w:left="4680" w:hanging="360"/>
      </w:pPr>
      <w:rPr>
        <w:rFonts w:ascii="Wingdings" w:hAnsi="Wingdings"/>
      </w:rPr>
    </w:lvl>
    <w:lvl w:ilvl="6" w:tplc="73947622">
      <w:numFmt w:val="bullet"/>
      <w:lvlText w:val=""/>
      <w:lvlJc w:val="left"/>
      <w:pPr>
        <w:ind w:left="5400" w:hanging="360"/>
      </w:pPr>
      <w:rPr>
        <w:rFonts w:ascii="Symbol" w:hAnsi="Symbol"/>
      </w:rPr>
    </w:lvl>
    <w:lvl w:ilvl="7" w:tplc="68DA00C6">
      <w:numFmt w:val="bullet"/>
      <w:lvlText w:val="o"/>
      <w:lvlJc w:val="left"/>
      <w:pPr>
        <w:ind w:left="6120" w:hanging="360"/>
      </w:pPr>
      <w:rPr>
        <w:rFonts w:ascii="Courier New" w:hAnsi="Courier New"/>
      </w:rPr>
    </w:lvl>
    <w:lvl w:ilvl="8" w:tplc="F34E8418">
      <w:numFmt w:val="bullet"/>
      <w:lvlText w:val=""/>
      <w:lvlJc w:val="left"/>
      <w:pPr>
        <w:ind w:left="6840" w:hanging="360"/>
      </w:pPr>
      <w:rPr>
        <w:rFonts w:ascii="Wingdings" w:hAnsi="Wingdings"/>
      </w:rPr>
    </w:lvl>
  </w:abstractNum>
  <w:abstractNum w:abstractNumId="17" w15:restartNumberingAfterBreak="0">
    <w:nsid w:val="47670093"/>
    <w:multiLevelType w:val="singleLevel"/>
    <w:tmpl w:val="5C34CB60"/>
    <w:lvl w:ilvl="0">
      <w:numFmt w:val="bullet"/>
      <w:lvlText w:val=""/>
      <w:lvlJc w:val="left"/>
      <w:pPr>
        <w:ind w:left="360" w:hanging="288"/>
      </w:pPr>
      <w:rPr>
        <w:rFonts w:ascii="Symbol" w:hAnsi="Symbol"/>
      </w:rPr>
    </w:lvl>
  </w:abstractNum>
  <w:abstractNum w:abstractNumId="18" w15:restartNumberingAfterBreak="0">
    <w:nsid w:val="482E535F"/>
    <w:multiLevelType w:val="singleLevel"/>
    <w:tmpl w:val="65328C64"/>
    <w:lvl w:ilvl="0">
      <w:numFmt w:val="bullet"/>
      <w:lvlText w:val=""/>
      <w:lvlJc w:val="left"/>
      <w:pPr>
        <w:ind w:left="360" w:hanging="288"/>
      </w:pPr>
      <w:rPr>
        <w:rFonts w:ascii="Symbol" w:hAnsi="Symbol"/>
      </w:rPr>
    </w:lvl>
  </w:abstractNum>
  <w:abstractNum w:abstractNumId="19" w15:restartNumberingAfterBreak="0">
    <w:nsid w:val="516E2A6A"/>
    <w:multiLevelType w:val="hybridMultilevel"/>
    <w:tmpl w:val="B73E58DA"/>
    <w:lvl w:ilvl="0" w:tplc="36863C4A">
      <w:start w:val="1"/>
      <w:numFmt w:val="lowerRoman"/>
      <w:lvlText w:val="(%1)"/>
      <w:lvlJc w:val="left"/>
      <w:pPr>
        <w:ind w:left="540" w:hanging="720"/>
      </w:pPr>
      <w:rPr>
        <w:sz w:val="20"/>
      </w:rPr>
    </w:lvl>
    <w:lvl w:ilvl="1" w:tplc="3A24C656">
      <w:start w:val="1"/>
      <w:numFmt w:val="lowerLetter"/>
      <w:lvlText w:val="%2."/>
      <w:lvlJc w:val="left"/>
      <w:pPr>
        <w:ind w:left="900" w:hanging="360"/>
      </w:pPr>
    </w:lvl>
    <w:lvl w:ilvl="2" w:tplc="87AA25FA">
      <w:start w:val="1"/>
      <w:numFmt w:val="lowerRoman"/>
      <w:lvlText w:val="%3."/>
      <w:lvlJc w:val="right"/>
      <w:pPr>
        <w:ind w:left="1620" w:hanging="180"/>
      </w:pPr>
    </w:lvl>
    <w:lvl w:ilvl="3" w:tplc="2F9487A8">
      <w:start w:val="1"/>
      <w:numFmt w:val="decimal"/>
      <w:lvlText w:val="%4."/>
      <w:lvlJc w:val="left"/>
      <w:pPr>
        <w:ind w:left="2340" w:hanging="360"/>
      </w:pPr>
    </w:lvl>
    <w:lvl w:ilvl="4" w:tplc="A692B604">
      <w:start w:val="1"/>
      <w:numFmt w:val="lowerLetter"/>
      <w:lvlText w:val="%5."/>
      <w:lvlJc w:val="left"/>
      <w:pPr>
        <w:ind w:left="3060" w:hanging="360"/>
      </w:pPr>
    </w:lvl>
    <w:lvl w:ilvl="5" w:tplc="49DE3234">
      <w:start w:val="1"/>
      <w:numFmt w:val="lowerRoman"/>
      <w:lvlText w:val="%6."/>
      <w:lvlJc w:val="right"/>
      <w:pPr>
        <w:ind w:left="3780" w:hanging="180"/>
      </w:pPr>
    </w:lvl>
    <w:lvl w:ilvl="6" w:tplc="6D84E4CE">
      <w:start w:val="1"/>
      <w:numFmt w:val="decimal"/>
      <w:lvlText w:val="%7."/>
      <w:lvlJc w:val="left"/>
      <w:pPr>
        <w:ind w:left="4500" w:hanging="360"/>
      </w:pPr>
    </w:lvl>
    <w:lvl w:ilvl="7" w:tplc="5D0E6676">
      <w:start w:val="1"/>
      <w:numFmt w:val="lowerLetter"/>
      <w:lvlText w:val="%8."/>
      <w:lvlJc w:val="left"/>
      <w:pPr>
        <w:ind w:left="5220" w:hanging="360"/>
      </w:pPr>
    </w:lvl>
    <w:lvl w:ilvl="8" w:tplc="239A2912">
      <w:start w:val="1"/>
      <w:numFmt w:val="lowerRoman"/>
      <w:lvlText w:val="%9."/>
      <w:lvlJc w:val="right"/>
      <w:pPr>
        <w:ind w:left="5940" w:hanging="180"/>
      </w:pPr>
    </w:lvl>
  </w:abstractNum>
  <w:abstractNum w:abstractNumId="20" w15:restartNumberingAfterBreak="0">
    <w:nsid w:val="5E744EB7"/>
    <w:multiLevelType w:val="hybridMultilevel"/>
    <w:tmpl w:val="21E6F81A"/>
    <w:lvl w:ilvl="0" w:tplc="CA9E8C4C">
      <w:numFmt w:val="bullet"/>
      <w:lvlText w:val=""/>
      <w:lvlJc w:val="left"/>
      <w:pPr>
        <w:ind w:left="720" w:hanging="360"/>
      </w:pPr>
      <w:rPr>
        <w:rFonts w:ascii="Symbol" w:hAnsi="Symbol"/>
      </w:rPr>
    </w:lvl>
    <w:lvl w:ilvl="1" w:tplc="A1C6910C">
      <w:numFmt w:val="bullet"/>
      <w:lvlText w:val="o"/>
      <w:lvlJc w:val="left"/>
      <w:pPr>
        <w:ind w:left="1440" w:hanging="360"/>
      </w:pPr>
      <w:rPr>
        <w:rFonts w:ascii="Courier New" w:hAnsi="Courier New"/>
      </w:rPr>
    </w:lvl>
    <w:lvl w:ilvl="2" w:tplc="22768824">
      <w:numFmt w:val="bullet"/>
      <w:lvlText w:val=""/>
      <w:lvlJc w:val="left"/>
      <w:pPr>
        <w:ind w:left="2160" w:hanging="360"/>
      </w:pPr>
      <w:rPr>
        <w:rFonts w:ascii="Wingdings" w:hAnsi="Wingdings"/>
      </w:rPr>
    </w:lvl>
    <w:lvl w:ilvl="3" w:tplc="382C3928">
      <w:numFmt w:val="bullet"/>
      <w:lvlText w:val=""/>
      <w:lvlJc w:val="left"/>
      <w:pPr>
        <w:ind w:left="2880" w:hanging="360"/>
      </w:pPr>
      <w:rPr>
        <w:rFonts w:ascii="Symbol" w:hAnsi="Symbol"/>
      </w:rPr>
    </w:lvl>
    <w:lvl w:ilvl="4" w:tplc="2D58CD44">
      <w:numFmt w:val="bullet"/>
      <w:lvlText w:val="o"/>
      <w:lvlJc w:val="left"/>
      <w:pPr>
        <w:ind w:left="3600" w:hanging="360"/>
      </w:pPr>
      <w:rPr>
        <w:rFonts w:ascii="Courier New" w:hAnsi="Courier New"/>
      </w:rPr>
    </w:lvl>
    <w:lvl w:ilvl="5" w:tplc="29FE698C">
      <w:numFmt w:val="bullet"/>
      <w:lvlText w:val=""/>
      <w:lvlJc w:val="left"/>
      <w:pPr>
        <w:ind w:left="4320" w:hanging="360"/>
      </w:pPr>
      <w:rPr>
        <w:rFonts w:ascii="Wingdings" w:hAnsi="Wingdings"/>
      </w:rPr>
    </w:lvl>
    <w:lvl w:ilvl="6" w:tplc="9262654C">
      <w:numFmt w:val="bullet"/>
      <w:lvlText w:val=""/>
      <w:lvlJc w:val="left"/>
      <w:pPr>
        <w:ind w:left="5040" w:hanging="360"/>
      </w:pPr>
      <w:rPr>
        <w:rFonts w:ascii="Symbol" w:hAnsi="Symbol"/>
      </w:rPr>
    </w:lvl>
    <w:lvl w:ilvl="7" w:tplc="70AA8C2A">
      <w:numFmt w:val="bullet"/>
      <w:lvlText w:val="o"/>
      <w:lvlJc w:val="left"/>
      <w:pPr>
        <w:ind w:left="5760" w:hanging="360"/>
      </w:pPr>
      <w:rPr>
        <w:rFonts w:ascii="Courier New" w:hAnsi="Courier New"/>
      </w:rPr>
    </w:lvl>
    <w:lvl w:ilvl="8" w:tplc="9F04F3B4">
      <w:numFmt w:val="bullet"/>
      <w:lvlText w:val=""/>
      <w:lvlJc w:val="left"/>
      <w:pPr>
        <w:ind w:left="6480" w:hanging="360"/>
      </w:pPr>
      <w:rPr>
        <w:rFonts w:ascii="Wingdings" w:hAnsi="Wingdings"/>
      </w:rPr>
    </w:lvl>
  </w:abstractNum>
  <w:abstractNum w:abstractNumId="21" w15:restartNumberingAfterBreak="0">
    <w:nsid w:val="6B20095E"/>
    <w:multiLevelType w:val="hybridMultilevel"/>
    <w:tmpl w:val="F4BA121E"/>
    <w:lvl w:ilvl="0" w:tplc="75A24BEE">
      <w:numFmt w:val="bullet"/>
      <w:lvlText w:val=""/>
      <w:lvlJc w:val="left"/>
      <w:pPr>
        <w:ind w:left="720" w:hanging="360"/>
      </w:pPr>
      <w:rPr>
        <w:rFonts w:ascii="Symbol" w:hAnsi="Symbol"/>
      </w:rPr>
    </w:lvl>
    <w:lvl w:ilvl="1" w:tplc="43E2A59E">
      <w:numFmt w:val="bullet"/>
      <w:lvlText w:val="o"/>
      <w:lvlJc w:val="left"/>
      <w:pPr>
        <w:ind w:left="1440" w:hanging="360"/>
      </w:pPr>
      <w:rPr>
        <w:rFonts w:ascii="Courier New" w:hAnsi="Courier New"/>
      </w:rPr>
    </w:lvl>
    <w:lvl w:ilvl="2" w:tplc="3FA29E28">
      <w:numFmt w:val="bullet"/>
      <w:lvlText w:val=""/>
      <w:lvlJc w:val="left"/>
      <w:pPr>
        <w:ind w:left="2160" w:hanging="360"/>
      </w:pPr>
      <w:rPr>
        <w:rFonts w:ascii="Wingdings" w:hAnsi="Wingdings"/>
      </w:rPr>
    </w:lvl>
    <w:lvl w:ilvl="3" w:tplc="CBB47572">
      <w:numFmt w:val="bullet"/>
      <w:lvlText w:val=""/>
      <w:lvlJc w:val="left"/>
      <w:pPr>
        <w:ind w:left="2880" w:hanging="360"/>
      </w:pPr>
      <w:rPr>
        <w:rFonts w:ascii="Symbol" w:hAnsi="Symbol"/>
      </w:rPr>
    </w:lvl>
    <w:lvl w:ilvl="4" w:tplc="341C8ABE">
      <w:numFmt w:val="bullet"/>
      <w:lvlText w:val="o"/>
      <w:lvlJc w:val="left"/>
      <w:pPr>
        <w:ind w:left="3600" w:hanging="360"/>
      </w:pPr>
      <w:rPr>
        <w:rFonts w:ascii="Courier New" w:hAnsi="Courier New"/>
      </w:rPr>
    </w:lvl>
    <w:lvl w:ilvl="5" w:tplc="1E9491BE">
      <w:numFmt w:val="bullet"/>
      <w:lvlText w:val=""/>
      <w:lvlJc w:val="left"/>
      <w:pPr>
        <w:ind w:left="4320" w:hanging="360"/>
      </w:pPr>
      <w:rPr>
        <w:rFonts w:ascii="Wingdings" w:hAnsi="Wingdings"/>
      </w:rPr>
    </w:lvl>
    <w:lvl w:ilvl="6" w:tplc="94004C7E">
      <w:numFmt w:val="bullet"/>
      <w:lvlText w:val=""/>
      <w:lvlJc w:val="left"/>
      <w:pPr>
        <w:ind w:left="5040" w:hanging="360"/>
      </w:pPr>
      <w:rPr>
        <w:rFonts w:ascii="Symbol" w:hAnsi="Symbol"/>
      </w:rPr>
    </w:lvl>
    <w:lvl w:ilvl="7" w:tplc="D5B29A7A">
      <w:numFmt w:val="bullet"/>
      <w:lvlText w:val="o"/>
      <w:lvlJc w:val="left"/>
      <w:pPr>
        <w:ind w:left="5760" w:hanging="360"/>
      </w:pPr>
      <w:rPr>
        <w:rFonts w:ascii="Courier New" w:hAnsi="Courier New"/>
      </w:rPr>
    </w:lvl>
    <w:lvl w:ilvl="8" w:tplc="E982C4F0">
      <w:numFmt w:val="bullet"/>
      <w:lvlText w:val=""/>
      <w:lvlJc w:val="left"/>
      <w:pPr>
        <w:ind w:left="6480" w:hanging="360"/>
      </w:pPr>
      <w:rPr>
        <w:rFonts w:ascii="Wingdings" w:hAnsi="Wingdings"/>
      </w:rPr>
    </w:lvl>
  </w:abstractNum>
  <w:abstractNum w:abstractNumId="22" w15:restartNumberingAfterBreak="0">
    <w:nsid w:val="787B517B"/>
    <w:multiLevelType w:val="hybridMultilevel"/>
    <w:tmpl w:val="45DEC7E0"/>
    <w:lvl w:ilvl="0" w:tplc="68A607CA">
      <w:start w:val="1"/>
      <w:numFmt w:val="decimal"/>
      <w:lvlText w:val="%1."/>
      <w:lvlJc w:val="left"/>
      <w:pPr>
        <w:ind w:left="720" w:hanging="360"/>
      </w:pPr>
    </w:lvl>
    <w:lvl w:ilvl="1" w:tplc="161A42EC">
      <w:start w:val="1"/>
      <w:numFmt w:val="decimal"/>
      <w:lvlText w:val="%2."/>
      <w:lvlJc w:val="left"/>
      <w:pPr>
        <w:ind w:left="1440" w:hanging="1080"/>
      </w:pPr>
    </w:lvl>
    <w:lvl w:ilvl="2" w:tplc="ADDA389A">
      <w:start w:val="1"/>
      <w:numFmt w:val="decimal"/>
      <w:lvlText w:val="%3."/>
      <w:lvlJc w:val="left"/>
      <w:pPr>
        <w:ind w:left="2160" w:hanging="1980"/>
      </w:pPr>
    </w:lvl>
    <w:lvl w:ilvl="3" w:tplc="C02CE5D4">
      <w:start w:val="1"/>
      <w:numFmt w:val="decimal"/>
      <w:lvlText w:val="%4."/>
      <w:lvlJc w:val="left"/>
      <w:pPr>
        <w:ind w:left="2880" w:hanging="2520"/>
      </w:pPr>
    </w:lvl>
    <w:lvl w:ilvl="4" w:tplc="AE9C24EA">
      <w:start w:val="1"/>
      <w:numFmt w:val="decimal"/>
      <w:lvlText w:val="%5."/>
      <w:lvlJc w:val="left"/>
      <w:pPr>
        <w:ind w:left="3600" w:hanging="3240"/>
      </w:pPr>
    </w:lvl>
    <w:lvl w:ilvl="5" w:tplc="87A655B4">
      <w:start w:val="1"/>
      <w:numFmt w:val="decimal"/>
      <w:lvlText w:val="%6."/>
      <w:lvlJc w:val="left"/>
      <w:pPr>
        <w:ind w:left="4320" w:hanging="4140"/>
      </w:pPr>
    </w:lvl>
    <w:lvl w:ilvl="6" w:tplc="56765AAE">
      <w:start w:val="1"/>
      <w:numFmt w:val="decimal"/>
      <w:lvlText w:val="%7."/>
      <w:lvlJc w:val="left"/>
      <w:pPr>
        <w:ind w:left="5040" w:hanging="4680"/>
      </w:pPr>
    </w:lvl>
    <w:lvl w:ilvl="7" w:tplc="1F6859EE">
      <w:start w:val="1"/>
      <w:numFmt w:val="decimal"/>
      <w:lvlText w:val="%8."/>
      <w:lvlJc w:val="left"/>
      <w:pPr>
        <w:ind w:left="5760" w:hanging="5400"/>
      </w:pPr>
    </w:lvl>
    <w:lvl w:ilvl="8" w:tplc="6B5C043E">
      <w:start w:val="1"/>
      <w:numFmt w:val="decimal"/>
      <w:lvlText w:val="%9."/>
      <w:lvlJc w:val="left"/>
      <w:pPr>
        <w:ind w:left="6480" w:hanging="6300"/>
      </w:pPr>
    </w:lvl>
  </w:abstractNum>
  <w:abstractNum w:abstractNumId="23" w15:restartNumberingAfterBreak="0">
    <w:nsid w:val="7C395BE5"/>
    <w:multiLevelType w:val="hybridMultilevel"/>
    <w:tmpl w:val="446C4368"/>
    <w:lvl w:ilvl="0" w:tplc="53C2C812">
      <w:start w:val="1"/>
      <w:numFmt w:val="upperRoman"/>
      <w:lvlText w:val="%1."/>
      <w:lvlJc w:val="right"/>
      <w:pPr>
        <w:ind w:left="540" w:hanging="360"/>
      </w:pPr>
    </w:lvl>
    <w:lvl w:ilvl="1" w:tplc="E0D60E3E">
      <w:start w:val="1"/>
      <w:numFmt w:val="lowerLetter"/>
      <w:lvlText w:val="%2."/>
      <w:lvlJc w:val="left"/>
      <w:pPr>
        <w:ind w:left="1260" w:hanging="360"/>
      </w:pPr>
    </w:lvl>
    <w:lvl w:ilvl="2" w:tplc="E0D6F098">
      <w:start w:val="1"/>
      <w:numFmt w:val="lowerRoman"/>
      <w:lvlText w:val="%3."/>
      <w:lvlJc w:val="right"/>
      <w:pPr>
        <w:ind w:left="1980" w:hanging="180"/>
      </w:pPr>
    </w:lvl>
    <w:lvl w:ilvl="3" w:tplc="8CF64546">
      <w:start w:val="1"/>
      <w:numFmt w:val="decimal"/>
      <w:lvlText w:val="%4."/>
      <w:lvlJc w:val="left"/>
      <w:pPr>
        <w:ind w:left="2700" w:hanging="360"/>
      </w:pPr>
    </w:lvl>
    <w:lvl w:ilvl="4" w:tplc="14F2F380">
      <w:start w:val="1"/>
      <w:numFmt w:val="lowerLetter"/>
      <w:lvlText w:val="%5."/>
      <w:lvlJc w:val="left"/>
      <w:pPr>
        <w:ind w:left="3420" w:hanging="360"/>
      </w:pPr>
    </w:lvl>
    <w:lvl w:ilvl="5" w:tplc="3AAAE6BA">
      <w:start w:val="1"/>
      <w:numFmt w:val="lowerRoman"/>
      <w:lvlText w:val="%6."/>
      <w:lvlJc w:val="right"/>
      <w:pPr>
        <w:ind w:left="4140" w:hanging="180"/>
      </w:pPr>
    </w:lvl>
    <w:lvl w:ilvl="6" w:tplc="0234E272">
      <w:start w:val="1"/>
      <w:numFmt w:val="decimal"/>
      <w:lvlText w:val="%7."/>
      <w:lvlJc w:val="left"/>
      <w:pPr>
        <w:ind w:left="4860" w:hanging="360"/>
      </w:pPr>
    </w:lvl>
    <w:lvl w:ilvl="7" w:tplc="F02C81D4">
      <w:start w:val="1"/>
      <w:numFmt w:val="lowerLetter"/>
      <w:lvlText w:val="%8."/>
      <w:lvlJc w:val="left"/>
      <w:pPr>
        <w:ind w:left="5580" w:hanging="360"/>
      </w:pPr>
    </w:lvl>
    <w:lvl w:ilvl="8" w:tplc="19AAF8FC">
      <w:start w:val="1"/>
      <w:numFmt w:val="lowerRoman"/>
      <w:lvlText w:val="%9."/>
      <w:lvlJc w:val="right"/>
      <w:pPr>
        <w:ind w:left="6300" w:hanging="180"/>
      </w:pPr>
    </w:lvl>
  </w:abstractNum>
  <w:abstractNum w:abstractNumId="24" w15:restartNumberingAfterBreak="0">
    <w:nsid w:val="7F512461"/>
    <w:multiLevelType w:val="singleLevel"/>
    <w:tmpl w:val="9CF008C2"/>
    <w:lvl w:ilvl="0">
      <w:numFmt w:val="bullet"/>
      <w:lvlText w:val=""/>
      <w:lvlJc w:val="left"/>
      <w:pPr>
        <w:ind w:left="360" w:hanging="288"/>
      </w:pPr>
      <w:rPr>
        <w:rFonts w:ascii="Symbol" w:hAnsi="Symbol"/>
      </w:rPr>
    </w:lvl>
  </w:abstractNum>
  <w:num w:numId="1" w16cid:durableId="1790054283">
    <w:abstractNumId w:val="5"/>
  </w:num>
  <w:num w:numId="2" w16cid:durableId="1458452359">
    <w:abstractNumId w:val="0"/>
  </w:num>
  <w:num w:numId="3" w16cid:durableId="30884897">
    <w:abstractNumId w:val="14"/>
  </w:num>
  <w:num w:numId="4" w16cid:durableId="1389568588">
    <w:abstractNumId w:val="8"/>
  </w:num>
  <w:num w:numId="5" w16cid:durableId="1460108038">
    <w:abstractNumId w:val="9"/>
  </w:num>
  <w:num w:numId="6" w16cid:durableId="1542354628">
    <w:abstractNumId w:val="11"/>
  </w:num>
  <w:num w:numId="7" w16cid:durableId="1966617463">
    <w:abstractNumId w:val="23"/>
  </w:num>
  <w:num w:numId="8" w16cid:durableId="184488234">
    <w:abstractNumId w:val="21"/>
  </w:num>
  <w:num w:numId="9" w16cid:durableId="1515730565">
    <w:abstractNumId w:val="4"/>
  </w:num>
  <w:num w:numId="10" w16cid:durableId="599680605">
    <w:abstractNumId w:val="19"/>
  </w:num>
  <w:num w:numId="11" w16cid:durableId="119998779">
    <w:abstractNumId w:val="6"/>
  </w:num>
  <w:num w:numId="12" w16cid:durableId="1780298561">
    <w:abstractNumId w:val="18"/>
  </w:num>
  <w:num w:numId="13" w16cid:durableId="1658460187">
    <w:abstractNumId w:val="15"/>
  </w:num>
  <w:num w:numId="14" w16cid:durableId="480082834">
    <w:abstractNumId w:val="20"/>
  </w:num>
  <w:num w:numId="15" w16cid:durableId="1482382214">
    <w:abstractNumId w:val="10"/>
  </w:num>
  <w:num w:numId="16" w16cid:durableId="812479525">
    <w:abstractNumId w:val="12"/>
  </w:num>
  <w:num w:numId="17" w16cid:durableId="1143546013">
    <w:abstractNumId w:val="17"/>
  </w:num>
  <w:num w:numId="18" w16cid:durableId="1150438233">
    <w:abstractNumId w:val="13"/>
  </w:num>
  <w:num w:numId="19" w16cid:durableId="1161048472">
    <w:abstractNumId w:val="2"/>
  </w:num>
  <w:num w:numId="20" w16cid:durableId="803736862">
    <w:abstractNumId w:val="3"/>
  </w:num>
  <w:num w:numId="21" w16cid:durableId="416247413">
    <w:abstractNumId w:val="1"/>
  </w:num>
  <w:num w:numId="22" w16cid:durableId="1227646133">
    <w:abstractNumId w:val="7"/>
  </w:num>
  <w:num w:numId="23" w16cid:durableId="355736796">
    <w:abstractNumId w:val="24"/>
  </w:num>
  <w:num w:numId="24" w16cid:durableId="1957370393">
    <w:abstractNumId w:val="16"/>
  </w:num>
  <w:num w:numId="25" w16cid:durableId="18274784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2343"/>
    <w:rsid w:val="0002664D"/>
    <w:rsid w:val="000403D7"/>
    <w:rsid w:val="00041D15"/>
    <w:rsid w:val="000A3A42"/>
    <w:rsid w:val="000D4F95"/>
    <w:rsid w:val="001352B7"/>
    <w:rsid w:val="001659DB"/>
    <w:rsid w:val="00174F11"/>
    <w:rsid w:val="00195113"/>
    <w:rsid w:val="001B6A3A"/>
    <w:rsid w:val="00204BFD"/>
    <w:rsid w:val="0022105F"/>
    <w:rsid w:val="002753A1"/>
    <w:rsid w:val="00280584"/>
    <w:rsid w:val="00282319"/>
    <w:rsid w:val="00297222"/>
    <w:rsid w:val="002C5234"/>
    <w:rsid w:val="003540B0"/>
    <w:rsid w:val="00396E01"/>
    <w:rsid w:val="003C30E7"/>
    <w:rsid w:val="003D79FA"/>
    <w:rsid w:val="00430839"/>
    <w:rsid w:val="00430B08"/>
    <w:rsid w:val="0044758B"/>
    <w:rsid w:val="004A2535"/>
    <w:rsid w:val="00547AE7"/>
    <w:rsid w:val="00572AC5"/>
    <w:rsid w:val="0058152D"/>
    <w:rsid w:val="005951A9"/>
    <w:rsid w:val="00605C7B"/>
    <w:rsid w:val="00607770"/>
    <w:rsid w:val="00620576"/>
    <w:rsid w:val="00670492"/>
    <w:rsid w:val="00671092"/>
    <w:rsid w:val="006D0895"/>
    <w:rsid w:val="007064E8"/>
    <w:rsid w:val="00717FF7"/>
    <w:rsid w:val="00726166"/>
    <w:rsid w:val="007E62AF"/>
    <w:rsid w:val="007F48FD"/>
    <w:rsid w:val="00853E05"/>
    <w:rsid w:val="00857BB6"/>
    <w:rsid w:val="0088695F"/>
    <w:rsid w:val="00912343"/>
    <w:rsid w:val="0091313B"/>
    <w:rsid w:val="009C7F45"/>
    <w:rsid w:val="00A57450"/>
    <w:rsid w:val="00A97EC4"/>
    <w:rsid w:val="00B03EAC"/>
    <w:rsid w:val="00B10E0F"/>
    <w:rsid w:val="00B236EB"/>
    <w:rsid w:val="00B44C9D"/>
    <w:rsid w:val="00B512AB"/>
    <w:rsid w:val="00B5517D"/>
    <w:rsid w:val="00BC4C24"/>
    <w:rsid w:val="00BD096E"/>
    <w:rsid w:val="00C35C48"/>
    <w:rsid w:val="00C53D9A"/>
    <w:rsid w:val="00C75339"/>
    <w:rsid w:val="00CB23FD"/>
    <w:rsid w:val="00CE2EC1"/>
    <w:rsid w:val="00CE394E"/>
    <w:rsid w:val="00CE7B3D"/>
    <w:rsid w:val="00DA2E4A"/>
    <w:rsid w:val="00DE0236"/>
    <w:rsid w:val="00E27DA2"/>
    <w:rsid w:val="00E60957"/>
    <w:rsid w:val="00EA0E26"/>
    <w:rsid w:val="00EB52BA"/>
    <w:rsid w:val="00EB74BB"/>
    <w:rsid w:val="00F06B61"/>
    <w:rsid w:val="00F56FCE"/>
    <w:rsid w:val="00F94037"/>
    <w:rsid w:val="00FA074E"/>
    <w:rsid w:val="00FB2760"/>
    <w:rsid w:val="00FC5776"/>
    <w:rsid w:val="00FD6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B05BF3"/>
  <w15:docId w15:val="{E088E7C0-8C09-474E-AB29-3116D996A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qFormat/>
    <w:pPr>
      <w:spacing w:before="240" w:after="60"/>
      <w:outlineLvl w:val="0"/>
    </w:pPr>
    <w:rPr>
      <w:rFonts w:ascii="Arial" w:hAnsi="Arial"/>
      <w:b/>
      <w:sz w:val="32"/>
      <w:szCs w:val="32"/>
    </w:rPr>
  </w:style>
  <w:style w:type="paragraph" w:styleId="Heading2">
    <w:name w:val="heading 2"/>
    <w:basedOn w:val="Normal"/>
    <w:qFormat/>
    <w:pPr>
      <w:spacing w:before="240" w:after="60"/>
      <w:outlineLvl w:val="1"/>
    </w:pPr>
    <w:rPr>
      <w:rFonts w:ascii="Arial" w:hAnsi="Arial"/>
      <w:b/>
      <w:i/>
      <w:sz w:val="28"/>
      <w:szCs w:val="28"/>
    </w:rPr>
  </w:style>
  <w:style w:type="paragraph" w:styleId="Heading3">
    <w:name w:val="heading 3"/>
    <w:basedOn w:val="Normal"/>
    <w:qFormat/>
    <w:pPr>
      <w:ind w:left="720"/>
      <w:jc w:val="both"/>
      <w:outlineLvl w:val="2"/>
    </w:pPr>
    <w:rPr>
      <w:rFonts w:ascii="Tahoma" w:hAnsi="Tahom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Pr>
      <w:rFonts w:ascii="Georgia" w:hAnsi="Georgia"/>
      <w:color w:val="000000"/>
      <w:sz w:val="21"/>
      <w:szCs w:val="21"/>
    </w:rPr>
  </w:style>
  <w:style w:type="character" w:styleId="CommentReference">
    <w:name w:val="annotation reference"/>
    <w:qFormat/>
    <w:rPr>
      <w:sz w:val="16"/>
      <w:szCs w:val="16"/>
    </w:rPr>
  </w:style>
  <w:style w:type="paragraph" w:styleId="CommentText">
    <w:name w:val="annotation text"/>
    <w:basedOn w:val="Normal"/>
    <w:qFormat/>
    <w:rPr>
      <w:sz w:val="20"/>
      <w:szCs w:val="20"/>
    </w:rPr>
  </w:style>
  <w:style w:type="character" w:customStyle="1" w:styleId="CommentTextChar">
    <w:name w:val="Comment Text Char"/>
    <w:qFormat/>
  </w:style>
  <w:style w:type="paragraph" w:styleId="CommentSubject">
    <w:name w:val="annotation subject"/>
    <w:basedOn w:val="CommentText"/>
    <w:qFormat/>
    <w:rPr>
      <w:b/>
    </w:rPr>
  </w:style>
  <w:style w:type="character" w:customStyle="1" w:styleId="CommentSubjectChar">
    <w:name w:val="Comment Subject Char"/>
    <w:qFormat/>
    <w:rPr>
      <w:b/>
    </w:rPr>
  </w:style>
  <w:style w:type="paragraph" w:styleId="BalloonText">
    <w:name w:val="Balloon Text"/>
    <w:basedOn w:val="Normal"/>
    <w:qFormat/>
    <w:rPr>
      <w:rFonts w:ascii="Tahoma" w:hAnsi="Tahoma"/>
      <w:sz w:val="16"/>
      <w:szCs w:val="16"/>
    </w:rPr>
  </w:style>
  <w:style w:type="character" w:customStyle="1" w:styleId="BalloonTextChar">
    <w:name w:val="Balloon Text Char"/>
    <w:qFormat/>
    <w:rPr>
      <w:rFonts w:ascii="Tahoma" w:hAnsi="Tahoma"/>
      <w:sz w:val="16"/>
      <w:szCs w:val="16"/>
    </w:rPr>
  </w:style>
  <w:style w:type="paragraph" w:styleId="Header">
    <w:name w:val="header"/>
    <w:basedOn w:val="Normal"/>
    <w:qFormat/>
    <w:rPr>
      <w:rFonts w:ascii="Trebuchet MS" w:hAnsi="Trebuchet MS"/>
      <w:sz w:val="22"/>
      <w:szCs w:val="20"/>
    </w:rPr>
  </w:style>
  <w:style w:type="character" w:customStyle="1" w:styleId="HeaderChar">
    <w:name w:val="Header Char"/>
    <w:qFormat/>
    <w:rPr>
      <w:rFonts w:ascii="Trebuchet MS" w:hAnsi="Trebuchet MS"/>
      <w:sz w:val="22"/>
    </w:rPr>
  </w:style>
  <w:style w:type="paragraph" w:styleId="Footer">
    <w:name w:val="footer"/>
    <w:basedOn w:val="Normal"/>
    <w:qFormat/>
  </w:style>
  <w:style w:type="character" w:customStyle="1" w:styleId="FooterChar">
    <w:name w:val="Footer Char"/>
    <w:qFormat/>
    <w:rPr>
      <w:sz w:val="24"/>
      <w:szCs w:val="24"/>
    </w:r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character" w:styleId="HTMLCite">
    <w:name w:val="HTML Cite"/>
    <w:basedOn w:val="DefaultParagraphFont"/>
    <w:uiPriority w:val="99"/>
    <w:semiHidden/>
    <w:unhideWhenUsed/>
    <w:rsid w:val="00FA074E"/>
    <w:rPr>
      <w:i/>
      <w:iCs/>
    </w:rPr>
  </w:style>
  <w:style w:type="paragraph" w:styleId="FootnoteText">
    <w:name w:val="footnote text"/>
    <w:basedOn w:val="Normal"/>
    <w:link w:val="FootnoteTextChar"/>
    <w:semiHidden/>
    <w:unhideWhenUsed/>
    <w:rsid w:val="00F06B61"/>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semiHidden/>
    <w:rsid w:val="00F06B61"/>
    <w:rPr>
      <w:rFonts w:asciiTheme="minorHAnsi" w:eastAsiaTheme="minorHAnsi" w:hAnsiTheme="minorHAnsi" w:cstheme="minorBidi"/>
      <w:lang w:eastAsia="en-US"/>
    </w:rPr>
  </w:style>
  <w:style w:type="character" w:styleId="FootnoteReference">
    <w:name w:val="footnote reference"/>
    <w:basedOn w:val="DefaultParagraphFont"/>
    <w:semiHidden/>
    <w:unhideWhenUsed/>
    <w:rsid w:val="00F06B61"/>
    <w:rPr>
      <w:vertAlign w:val="superscript"/>
    </w:rPr>
  </w:style>
  <w:style w:type="paragraph" w:styleId="EndnoteText">
    <w:name w:val="endnote text"/>
    <w:basedOn w:val="Normal"/>
    <w:link w:val="EndnoteTextChar"/>
    <w:uiPriority w:val="99"/>
    <w:semiHidden/>
    <w:unhideWhenUsed/>
    <w:rsid w:val="00F06B61"/>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F06B61"/>
    <w:rPr>
      <w:rFonts w:asciiTheme="minorHAnsi" w:eastAsiaTheme="minorHAnsi" w:hAnsiTheme="minorHAnsi" w:cstheme="minorBidi"/>
      <w:lang w:eastAsia="en-US"/>
    </w:rPr>
  </w:style>
  <w:style w:type="character" w:styleId="EndnoteReference">
    <w:name w:val="endnote reference"/>
    <w:basedOn w:val="DefaultParagraphFont"/>
    <w:uiPriority w:val="99"/>
    <w:semiHidden/>
    <w:unhideWhenUsed/>
    <w:rsid w:val="00F06B61"/>
    <w:rPr>
      <w:vertAlign w:val="superscript"/>
    </w:rPr>
  </w:style>
  <w:style w:type="paragraph" w:styleId="Caption">
    <w:name w:val="caption"/>
    <w:basedOn w:val="Normal"/>
    <w:next w:val="Normal"/>
    <w:uiPriority w:val="35"/>
    <w:unhideWhenUsed/>
    <w:qFormat/>
    <w:rsid w:val="00F06B61"/>
    <w:pPr>
      <w:spacing w:after="200"/>
    </w:pPr>
    <w:rPr>
      <w:rFonts w:asciiTheme="minorHAnsi" w:eastAsiaTheme="minorHAnsi" w:hAnsiTheme="minorHAnsi" w:cstheme="minorBidi"/>
      <w:i/>
      <w:iCs/>
      <w:color w:val="1F497D" w:themeColor="text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23T07:47:23.217"/>
    </inkml:context>
    <inkml:brush xml:id="br0">
      <inkml:brushProperty name="width" value="0.05" units="cm"/>
      <inkml:brushProperty name="height" value="0.05" units="cm"/>
    </inkml:brush>
  </inkml:definitions>
  <inkml:trace contextRef="#ctx0" brushRef="#br0">1 567 24575,'11'12'0,"4"3"0,7 8 0,6 5 0,1 3 0,1 2 0,-2 0 0,-5-4 0,-5-4 0,-3-9 0,-8-7 0,-1-3 0,-2-2 0,0 0 0,1-2 0,-1-1 0,-2-6 0,-2-4 0,0-3 0,3-4 0,1 0 0,4-2 0,4-3 0,1-1 0,2 0 0,0 0 0,2-2 0,2 1 0,3-1 0,4-2 0,1-3 0,1 0 0,-1-2 0,-2 0 0,1-3 0,-1-4 0,5-5 0,2-4 0,4-1 0,0 1 0,-1 4 0,-3 3 0,-4 7 0,-5 6 0,-5 4 0,-4 7 0,-2 4 0,-9 7 0,1 3 0,-5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17</Pages>
  <Words>5726</Words>
  <Characters>33385</Characters>
  <Application>Microsoft Office Word</Application>
  <DocSecurity>0</DocSecurity>
  <Lines>618</Lines>
  <Paragraphs>178</Paragraphs>
  <ScaleCrop>false</ScaleCrop>
  <Company/>
  <LinksUpToDate>false</LinksUpToDate>
  <CharactersWithSpaces>38933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Irene Re (2113125)</dc:creator>
  <cp:keywords/>
  <dc:description/>
  <cp:lastModifiedBy>Melissa Irene Re (2113125)</cp:lastModifiedBy>
  <cp:revision>13</cp:revision>
  <dcterms:created xsi:type="dcterms:W3CDTF">2023-05-04T15:39:00Z</dcterms:created>
  <dcterms:modified xsi:type="dcterms:W3CDTF">2023-05-04T16:30:00Z</dcterms:modified>
</cp:coreProperties>
</file>