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6AE9E" w14:textId="77777777" w:rsidR="001F2A53" w:rsidRDefault="00000000">
      <w:pPr>
        <w:widowControl w:val="0"/>
        <w:pBdr>
          <w:top w:val="nil"/>
          <w:left w:val="nil"/>
          <w:bottom w:val="nil"/>
          <w:right w:val="nil"/>
          <w:between w:val="nil"/>
        </w:pBdr>
        <w:spacing w:after="0"/>
      </w:pPr>
      <w:r>
        <w:pict w14:anchorId="2C391779">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26" type="#_x0000_t98" style="position:absolute;margin-left:0;margin-top:0;width:50pt;height:50pt;z-index:251661312;visibility:hidden">
            <o:lock v:ext="edit" selection="t"/>
          </v:shape>
        </w:pict>
      </w:r>
    </w:p>
    <w:p w14:paraId="6EB5C6AD" w14:textId="77777777" w:rsidR="001F2A53" w:rsidRDefault="00000000">
      <w:pPr>
        <w:pBdr>
          <w:top w:val="nil"/>
          <w:left w:val="nil"/>
          <w:bottom w:val="nil"/>
          <w:right w:val="nil"/>
          <w:between w:val="nil"/>
        </w:pBdr>
        <w:spacing w:after="0" w:line="240" w:lineRule="auto"/>
        <w:rPr>
          <w:rFonts w:ascii="Cambria" w:eastAsia="Cambria" w:hAnsi="Cambria" w:cs="Cambria"/>
          <w:color w:val="000000"/>
          <w:sz w:val="72"/>
          <w:szCs w:val="72"/>
        </w:rPr>
      </w:pPr>
      <w:r>
        <w:rPr>
          <w:noProof/>
          <w:color w:val="000000"/>
        </w:rPr>
        <mc:AlternateContent>
          <mc:Choice Requires="wps">
            <w:drawing>
              <wp:anchor distT="0" distB="0" distL="114300" distR="114300" simplePos="0" relativeHeight="251654144" behindDoc="0" locked="0" layoutInCell="1" hidden="0" allowOverlap="1" wp14:anchorId="25465141" wp14:editId="15A7EB5B">
                <wp:simplePos x="0" y="0"/>
                <wp:positionH relativeFrom="page">
                  <wp:align>center</wp:align>
                </wp:positionH>
                <wp:positionV relativeFrom="page">
                  <wp:align>bottom</wp:align>
                </wp:positionV>
                <wp:extent cx="8173719" cy="830580"/>
                <wp:effectExtent l="0" t="0" r="0" b="0"/>
                <wp:wrapNone/>
                <wp:docPr id="15" name="Rectangle 15"/>
                <wp:cNvGraphicFramePr/>
                <a:graphic xmlns:a="http://schemas.openxmlformats.org/drawingml/2006/main">
                  <a:graphicData uri="http://schemas.microsoft.com/office/word/2010/wordprocessingShape">
                    <wps:wsp>
                      <wps:cNvSpPr/>
                      <wps:spPr>
                        <a:xfrm>
                          <a:off x="1265491" y="3371060"/>
                          <a:ext cx="8161019" cy="817880"/>
                        </a:xfrm>
                        <a:prstGeom prst="rect">
                          <a:avLst/>
                        </a:prstGeom>
                        <a:solidFill>
                          <a:srgbClr val="4BACC6"/>
                        </a:solidFill>
                        <a:ln w="12700" cap="flat" cmpd="sng">
                          <a:solidFill>
                            <a:srgbClr val="4F81BD"/>
                          </a:solidFill>
                          <a:prstDash val="solid"/>
                          <a:round/>
                          <a:headEnd type="none" w="sm" len="sm"/>
                          <a:tailEnd type="none" w="sm" len="sm"/>
                        </a:ln>
                      </wps:spPr>
                      <wps:txbx>
                        <w:txbxContent>
                          <w:p w14:paraId="674A34EB" w14:textId="77777777" w:rsidR="001F2A53" w:rsidRDefault="001F2A5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5465141" id="Rectangle 15" o:spid="_x0000_s1026" style="position:absolute;margin-left:0;margin-top:0;width:643.6pt;height:65.4pt;z-index:251654144;visibility:visible;mso-wrap-style:square;mso-wrap-distance-left:9pt;mso-wrap-distance-top:0;mso-wrap-distance-right:9pt;mso-wrap-distance-bottom:0;mso-position-horizontal:center;mso-position-horizontal-relative:page;mso-position-vertical:bottom;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" fillcolor="#4bacc6" strokecolor="#4f81bd" strokeweight="1pt">
                <v:stroke startarrowwidth="narrow" startarrowlength="short" endarrowwidth="narrow" endarrowlength="short" joinstyle="round"/>
                <v:textbox inset="2.53958mm,2.53958mm,2.53958mm,2.53958mm">
                  <w:txbxContent>
                    <w:p w14:paraId="674A34EB" w14:textId="77777777" w:rsidR="001F2A53" w:rsidRDefault="001F2A53">
                      <w:pPr>
                        <w:spacing w:after="0" w:line="240" w:lineRule="auto"/>
                        <w:textDirection w:val="btLr"/>
                      </w:pPr>
                    </w:p>
                  </w:txbxContent>
                </v:textbox>
                <w10:wrap anchorx="page" anchory="page"/>
              </v:rect>
            </w:pict>
          </mc:Fallback>
        </mc:AlternateContent>
      </w:r>
      <w:r>
        <w:rPr>
          <w:noProof/>
          <w:color w:val="000000"/>
        </w:rPr>
        <mc:AlternateContent>
          <mc:Choice Requires="wps">
            <w:drawing>
              <wp:anchor distT="0" distB="0" distL="114300" distR="114300" simplePos="0" relativeHeight="251655168" behindDoc="0" locked="0" layoutInCell="1" hidden="0" allowOverlap="1" wp14:anchorId="65FCB322" wp14:editId="2A711E95">
                <wp:simplePos x="0" y="0"/>
                <wp:positionH relativeFrom="leftMargin">
                  <wp:align>center</wp:align>
                </wp:positionH>
                <wp:positionV relativeFrom="page">
                  <wp:align>center</wp:align>
                </wp:positionV>
                <wp:extent cx="103505" cy="10568940"/>
                <wp:effectExtent l="0" t="0" r="0" b="0"/>
                <wp:wrapNone/>
                <wp:docPr id="18" name="Rectangle 18"/>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12700" cap="flat" cmpd="sng">
                          <a:solidFill>
                            <a:srgbClr val="4F81BD"/>
                          </a:solidFill>
                          <a:prstDash val="solid"/>
                          <a:round/>
                          <a:headEnd type="none" w="sm" len="sm"/>
                          <a:tailEnd type="none" w="sm" len="sm"/>
                        </a:ln>
                      </wps:spPr>
                      <wps:txbx>
                        <w:txbxContent>
                          <w:p w14:paraId="4CF9DBCE" w14:textId="77777777" w:rsidR="001F2A53" w:rsidRDefault="001F2A5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5FCB322" id="Rectangle 18" o:spid="_x0000_s1027" style="position:absolute;margin-left:0;margin-top:0;width:8.15pt;height:832.2pt;z-index:251655168;visibility:visible;mso-wrap-style:square;mso-wrap-distance-left:9pt;mso-wrap-distance-top:0;mso-wrap-distance-right:9pt;mso-wrap-distance-bottom:0;mso-position-horizontal:center;mso-position-horizontal-relative:left-margin-area;mso-position-vertical:center;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" strokecolor="#4f81bd" strokeweight="1pt">
                <v:stroke startarrowwidth="narrow" startarrowlength="short" endarrowwidth="narrow" endarrowlength="short" joinstyle="round"/>
                <v:textbox inset="2.53958mm,2.53958mm,2.53958mm,2.53958mm">
                  <w:txbxContent>
                    <w:p w14:paraId="4CF9DBCE" w14:textId="77777777" w:rsidR="001F2A53" w:rsidRDefault="001F2A53">
                      <w:pPr>
                        <w:spacing w:after="0" w:line="240" w:lineRule="auto"/>
                        <w:textDirection w:val="btLr"/>
                      </w:pPr>
                    </w:p>
                  </w:txbxContent>
                </v:textbox>
                <w10:wrap anchorx="margin" anchory="page"/>
              </v:rect>
            </w:pict>
          </mc:Fallback>
        </mc:AlternateContent>
      </w:r>
      <w:r>
        <w:rPr>
          <w:noProof/>
          <w:color w:val="000000"/>
        </w:rPr>
        <mc:AlternateContent>
          <mc:Choice Requires="wps">
            <w:drawing>
              <wp:anchor distT="0" distB="0" distL="114300" distR="114300" simplePos="0" relativeHeight="251656192" behindDoc="0" locked="0" layoutInCell="1" hidden="0" allowOverlap="1" wp14:anchorId="50AEFDF0" wp14:editId="6450C8C9">
                <wp:simplePos x="0" y="0"/>
                <wp:positionH relativeFrom="rightMargin">
                  <wp:align>center</wp:align>
                </wp:positionH>
                <wp:positionV relativeFrom="page">
                  <wp:align>center</wp:align>
                </wp:positionV>
                <wp:extent cx="103505" cy="10568940"/>
                <wp:effectExtent l="0" t="0" r="0" b="0"/>
                <wp:wrapNone/>
                <wp:docPr id="20" name="Rectangle 20"/>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12700" cap="flat" cmpd="sng">
                          <a:solidFill>
                            <a:srgbClr val="4F81BD"/>
                          </a:solidFill>
                          <a:prstDash val="solid"/>
                          <a:round/>
                          <a:headEnd type="none" w="sm" len="sm"/>
                          <a:tailEnd type="none" w="sm" len="sm"/>
                        </a:ln>
                      </wps:spPr>
                      <wps:txbx>
                        <w:txbxContent>
                          <w:p w14:paraId="42F54C5D" w14:textId="77777777" w:rsidR="001F2A53" w:rsidRDefault="001F2A5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0AEFDF0" id="Rectangle 20" o:spid="_x0000_s1028" style="position:absolute;margin-left:0;margin-top:0;width:8.15pt;height:832.2pt;z-index:251656192;visibility:visible;mso-wrap-style:square;mso-wrap-distance-left:9pt;mso-wrap-distance-top:0;mso-wrap-distance-right:9pt;mso-wrap-distance-bottom:0;mso-position-horizontal:center;mso-position-horizontal-relative:right-margin-area;mso-position-vertical:center;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" strokecolor="#4f81bd" strokeweight="1pt">
                <v:stroke startarrowwidth="narrow" startarrowlength="short" endarrowwidth="narrow" endarrowlength="short" joinstyle="round"/>
                <v:textbox inset="2.53958mm,2.53958mm,2.53958mm,2.53958mm">
                  <w:txbxContent>
                    <w:p w14:paraId="42F54C5D" w14:textId="77777777" w:rsidR="001F2A53" w:rsidRDefault="001F2A53">
                      <w:pPr>
                        <w:spacing w:after="0" w:line="240" w:lineRule="auto"/>
                        <w:textDirection w:val="btLr"/>
                      </w:pPr>
                    </w:p>
                  </w:txbxContent>
                </v:textbox>
                <w10:wrap anchorx="margin" anchory="page"/>
              </v:rect>
            </w:pict>
          </mc:Fallback>
        </mc:AlternateContent>
      </w:r>
      <w:r>
        <w:rPr>
          <w:noProof/>
          <w:color w:val="000000"/>
        </w:rPr>
        <mc:AlternateContent>
          <mc:Choice Requires="wps">
            <w:drawing>
              <wp:anchor distT="0" distB="0" distL="114300" distR="114300" simplePos="0" relativeHeight="251657216" behindDoc="0" locked="0" layoutInCell="1" hidden="0" allowOverlap="1" wp14:anchorId="0A33B6BE" wp14:editId="7CF643D4">
                <wp:simplePos x="0" y="0"/>
                <wp:positionH relativeFrom="page">
                  <wp:align>center</wp:align>
                </wp:positionH>
                <wp:positionV relativeFrom="topMargin">
                  <wp:align>top</wp:align>
                </wp:positionV>
                <wp:extent cx="8173719" cy="835660"/>
                <wp:effectExtent l="0" t="0" r="0" b="0"/>
                <wp:wrapNone/>
                <wp:docPr id="14" name="Rectangle 14"/>
                <wp:cNvGraphicFramePr/>
                <a:graphic xmlns:a="http://schemas.openxmlformats.org/drawingml/2006/main">
                  <a:graphicData uri="http://schemas.microsoft.com/office/word/2010/wordprocessingShape">
                    <wps:wsp>
                      <wps:cNvSpPr/>
                      <wps:spPr>
                        <a:xfrm>
                          <a:off x="1265491" y="3368520"/>
                          <a:ext cx="8161019" cy="822960"/>
                        </a:xfrm>
                        <a:prstGeom prst="rect">
                          <a:avLst/>
                        </a:prstGeom>
                        <a:solidFill>
                          <a:srgbClr val="4BACC6"/>
                        </a:solidFill>
                        <a:ln w="12700" cap="flat" cmpd="sng">
                          <a:solidFill>
                            <a:srgbClr val="4F81BD"/>
                          </a:solidFill>
                          <a:prstDash val="solid"/>
                          <a:round/>
                          <a:headEnd type="none" w="sm" len="sm"/>
                          <a:tailEnd type="none" w="sm" len="sm"/>
                        </a:ln>
                      </wps:spPr>
                      <wps:txbx>
                        <w:txbxContent>
                          <w:p w14:paraId="4F6FE584" w14:textId="77777777" w:rsidR="001F2A53" w:rsidRDefault="001F2A53">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A33B6BE" id="Rectangle 14" o:spid="_x0000_s1029" style="position:absolute;margin-left:0;margin-top:0;width:643.6pt;height:65.8pt;z-index:251657216;visibility:visible;mso-wrap-style:square;mso-wrap-distance-left:9pt;mso-wrap-distance-top:0;mso-wrap-distance-right:9pt;mso-wrap-distance-bottom:0;mso-position-horizontal:center;mso-position-horizontal-relative:page;mso-position-vertical:top;mso-position-vertical-relative:top-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" fillcolor="#4bacc6" strokecolor="#4f81bd" strokeweight="1pt">
                <v:stroke startarrowwidth="narrow" startarrowlength="short" endarrowwidth="narrow" endarrowlength="short" joinstyle="round"/>
                <v:textbox inset="2.53958mm,2.53958mm,2.53958mm,2.53958mm">
                  <w:txbxContent>
                    <w:p w14:paraId="4F6FE584" w14:textId="77777777" w:rsidR="001F2A53" w:rsidRDefault="001F2A53">
                      <w:pPr>
                        <w:spacing w:after="0" w:line="240" w:lineRule="auto"/>
                        <w:textDirection w:val="btLr"/>
                      </w:pPr>
                    </w:p>
                  </w:txbxContent>
                </v:textbox>
                <w10:wrap anchorx="page" anchory="margin"/>
              </v:rect>
            </w:pict>
          </mc:Fallback>
        </mc:AlternateContent>
      </w:r>
    </w:p>
    <w:p w14:paraId="4E93CE89" w14:textId="77777777" w:rsidR="001F2A53" w:rsidRDefault="001F2A53"/>
    <w:p w14:paraId="176748FF" w14:textId="77777777" w:rsidR="001F2A53" w:rsidRDefault="00000000">
      <w:pPr>
        <w:rPr>
          <w:rFonts w:ascii="Arial" w:eastAsia="Arial" w:hAnsi="Arial" w:cs="Arial"/>
          <w:b/>
          <w:i/>
          <w:u w:val="single"/>
        </w:rPr>
      </w:pPr>
      <w:r>
        <w:br w:type="page"/>
      </w:r>
      <w:r>
        <w:rPr>
          <w:noProof/>
        </w:rPr>
        <mc:AlternateContent>
          <mc:Choice Requires="wps">
            <w:drawing>
              <wp:anchor distT="0" distB="0" distL="114300" distR="114300" simplePos="0" relativeHeight="251658240" behindDoc="0" locked="0" layoutInCell="1" hidden="0" allowOverlap="1" wp14:anchorId="0E950DAF" wp14:editId="073ABB2F">
                <wp:simplePos x="0" y="0"/>
                <wp:positionH relativeFrom="column">
                  <wp:posOffset>1092200</wp:posOffset>
                </wp:positionH>
                <wp:positionV relativeFrom="paragraph">
                  <wp:posOffset>101600</wp:posOffset>
                </wp:positionV>
                <wp:extent cx="3042285" cy="2524041"/>
                <wp:effectExtent l="0" t="0" r="0" b="0"/>
                <wp:wrapNone/>
                <wp:docPr id="16" name="Freeform: Shape 16"/>
                <wp:cNvGraphicFramePr/>
                <a:graphic xmlns:a="http://schemas.openxmlformats.org/drawingml/2006/main">
                  <a:graphicData uri="http://schemas.microsoft.com/office/word/2010/wordprocessingShape">
                    <wps:wsp>
                      <wps:cNvSpPr/>
                      <wps:spPr>
                        <a:xfrm>
                          <a:off x="3843908" y="2538893"/>
                          <a:ext cx="3004185" cy="2482215"/>
                        </a:xfrm>
                        <a:custGeom>
                          <a:avLst/>
                          <a:gdLst/>
                          <a:ahLst/>
                          <a:cxnLst/>
                          <a:rect l="l" t="t" r="r" b="b"/>
                          <a:pathLst>
                            <a:path w="3004185" h="2482215" fill="none" extrusionOk="0">
                              <a:moveTo>
                                <a:pt x="375523" y="465415"/>
                              </a:moveTo>
                              <a:lnTo>
                                <a:pt x="375523" y="2171938"/>
                              </a:lnTo>
                            </a:path>
                          </a:pathLst>
                        </a:custGeom>
                        <a:solidFill>
                          <a:srgbClr val="4BACC6"/>
                        </a:solidFill>
                        <a:ln w="38100" cap="flat" cmpd="sng">
                          <a:solidFill>
                            <a:srgbClr val="FFFFFF"/>
                          </a:solidFill>
                          <a:prstDash val="solid"/>
                          <a:round/>
                          <a:headEnd type="none" w="sm" len="sm"/>
                          <a:tailEnd type="none" w="sm" len="sm"/>
                        </a:ln>
                      </wps:spPr>
                      <wps:txbx>
                        <w:txbxContent>
                          <w:p w14:paraId="27979C3A" w14:textId="77777777" w:rsidR="001F2A53" w:rsidRDefault="00000000">
                            <w:pPr>
                              <w:spacing w:line="275" w:lineRule="auto"/>
                              <w:textDirection w:val="btLr"/>
                            </w:pPr>
                            <w:r>
                              <w:rPr>
                                <w:rFonts w:ascii="Arial" w:eastAsia="Arial" w:hAnsi="Arial" w:cs="Arial"/>
                                <w:b/>
                                <w:i/>
                                <w:color w:val="000000"/>
                                <w:sz w:val="24"/>
                              </w:rPr>
                              <w:t xml:space="preserve">Tittle: </w:t>
                            </w:r>
                            <w:r>
                              <w:rPr>
                                <w:rFonts w:ascii="Arial" w:eastAsia="Arial" w:hAnsi="Arial" w:cs="Arial"/>
                                <w:i/>
                                <w:color w:val="000000"/>
                              </w:rPr>
                              <w:t>Burj Al Arab</w:t>
                            </w:r>
                          </w:p>
                          <w:p w14:paraId="7E5114BD" w14:textId="77777777" w:rsidR="001F2A53" w:rsidRDefault="00000000">
                            <w:pPr>
                              <w:spacing w:line="275" w:lineRule="auto"/>
                              <w:textDirection w:val="btLr"/>
                            </w:pPr>
                            <w:r>
                              <w:rPr>
                                <w:rFonts w:ascii="Arial" w:eastAsia="Arial" w:hAnsi="Arial" w:cs="Arial"/>
                                <w:b/>
                                <w:i/>
                                <w:color w:val="000000"/>
                                <w:sz w:val="24"/>
                              </w:rPr>
                              <w:t>Student name:Nasima Khatun</w:t>
                            </w:r>
                          </w:p>
                          <w:p w14:paraId="0795954B" w14:textId="77777777" w:rsidR="001F2A53" w:rsidRDefault="00000000">
                            <w:pPr>
                              <w:spacing w:line="275" w:lineRule="auto"/>
                              <w:textDirection w:val="btLr"/>
                            </w:pPr>
                            <w:r>
                              <w:rPr>
                                <w:rFonts w:ascii="Arial" w:eastAsia="Arial" w:hAnsi="Arial" w:cs="Arial"/>
                                <w:b/>
                                <w:i/>
                                <w:color w:val="000000"/>
                                <w:sz w:val="24"/>
                              </w:rPr>
                              <w:t>Student id:2122790</w:t>
                            </w:r>
                          </w:p>
                          <w:p w14:paraId="108D10D3" w14:textId="77777777" w:rsidR="001F2A53" w:rsidRDefault="00000000">
                            <w:pPr>
                              <w:spacing w:line="275" w:lineRule="auto"/>
                              <w:textDirection w:val="btLr"/>
                            </w:pPr>
                            <w:r>
                              <w:rPr>
                                <w:rFonts w:ascii="Arial" w:eastAsia="Arial" w:hAnsi="Arial" w:cs="Arial"/>
                                <w:b/>
                                <w:i/>
                                <w:color w:val="000000"/>
                                <w:sz w:val="24"/>
                              </w:rPr>
                              <w:t>Lecturer: Philippa Fitzgerald</w:t>
                            </w:r>
                          </w:p>
                        </w:txbxContent>
                      </wps:txbx>
                      <wps:bodyPr spcFirstLastPara="1" wrap="square" lIns="114300" tIns="0" rIns="114300" bIns="0" anchor="ctr" anchorCtr="0">
                        <a:noAutofit/>
                      </wps:bodyPr>
                    </wps:wsp>
                  </a:graphicData>
                </a:graphic>
              </wp:anchor>
            </w:drawing>
          </mc:Choice>
          <mc:Fallback>
            <w:pict>
              <v:shape w14:anchorId="0E950DAF" id="Freeform: Shape 16" o:spid="_x0000_s1030" style="position:absolute;margin-left:86pt;margin-top:8pt;width:239.55pt;height:198.75pt;z-index:251658240;visibility:visible;mso-wrap-style:square;mso-wrap-distance-left:9pt;mso-wrap-distance-top:0;mso-wrap-distance-right:9pt;mso-wrap-distance-bottom:0;mso-position-horizontal:absolute;mso-position-horizontal-relative:text;mso-position-vertical:absolute;mso-position-vertical-relative:text;v-text-anchor:middle" coordsize="3004185,24822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" adj="-11796480,,5400" path="m375523,465415nfl375523,2171938e" fillcolor="#4bacc6" strokecolor="white" strokeweight="3pt">
                <v:stroke startarrowwidth="narrow" startarrowlength="short" endarrowwidth="narrow" endarrowlength="short" joinstyle="round"/>
                <v:formulas/>
                <v:path arrowok="t" o:extrusionok="f" o:connecttype="custom" textboxrect="0,0,3004185,2482215"/>
                <v:textbox inset="9pt,0,9pt,0">
                  <w:txbxContent>
                    <w:p w14:paraId="27979C3A" w14:textId="77777777" w:rsidR="001F2A53" w:rsidRDefault="00000000">
                      <w:pPr>
                        <w:spacing w:line="275" w:lineRule="auto"/>
                        <w:textDirection w:val="btLr"/>
                      </w:pPr>
                      <w:r>
                        <w:rPr>
                          <w:rFonts w:ascii="Arial" w:eastAsia="Arial" w:hAnsi="Arial" w:cs="Arial"/>
                          <w:b/>
                          <w:i/>
                          <w:color w:val="000000"/>
                          <w:sz w:val="24"/>
                        </w:rPr>
                        <w:t xml:space="preserve">Tittle: </w:t>
                      </w:r>
                      <w:r>
                        <w:rPr>
                          <w:rFonts w:ascii="Arial" w:eastAsia="Arial" w:hAnsi="Arial" w:cs="Arial"/>
                          <w:i/>
                          <w:color w:val="000000"/>
                        </w:rPr>
                        <w:t>Burj Al Arab</w:t>
                      </w:r>
                    </w:p>
                    <w:p w14:paraId="7E5114BD" w14:textId="77777777" w:rsidR="001F2A53" w:rsidRDefault="00000000">
                      <w:pPr>
                        <w:spacing w:line="275" w:lineRule="auto"/>
                        <w:textDirection w:val="btLr"/>
                      </w:pPr>
                      <w:r>
                        <w:rPr>
                          <w:rFonts w:ascii="Arial" w:eastAsia="Arial" w:hAnsi="Arial" w:cs="Arial"/>
                          <w:b/>
                          <w:i/>
                          <w:color w:val="000000"/>
                          <w:sz w:val="24"/>
                        </w:rPr>
                        <w:t>Student name:Nasima Khatun</w:t>
                      </w:r>
                    </w:p>
                    <w:p w14:paraId="0795954B" w14:textId="77777777" w:rsidR="001F2A53" w:rsidRDefault="00000000">
                      <w:pPr>
                        <w:spacing w:line="275" w:lineRule="auto"/>
                        <w:textDirection w:val="btLr"/>
                      </w:pPr>
                      <w:r>
                        <w:rPr>
                          <w:rFonts w:ascii="Arial" w:eastAsia="Arial" w:hAnsi="Arial" w:cs="Arial"/>
                          <w:b/>
                          <w:i/>
                          <w:color w:val="000000"/>
                          <w:sz w:val="24"/>
                        </w:rPr>
                        <w:t>Student id:2122790</w:t>
                      </w:r>
                    </w:p>
                    <w:p w14:paraId="108D10D3" w14:textId="77777777" w:rsidR="001F2A53" w:rsidRDefault="00000000">
                      <w:pPr>
                        <w:spacing w:line="275" w:lineRule="auto"/>
                        <w:textDirection w:val="btLr"/>
                      </w:pPr>
                      <w:r>
                        <w:rPr>
                          <w:rFonts w:ascii="Arial" w:eastAsia="Arial" w:hAnsi="Arial" w:cs="Arial"/>
                          <w:b/>
                          <w:i/>
                          <w:color w:val="000000"/>
                          <w:sz w:val="24"/>
                        </w:rPr>
                        <w:t>Lecturer: Philippa Fitzgerald</w:t>
                      </w:r>
                    </w:p>
                  </w:txbxContent>
                </v:textbox>
              </v:shape>
            </w:pict>
          </mc:Fallback>
        </mc:AlternateContent>
      </w:r>
    </w:p>
    <w:p w14:paraId="70680F56" w14:textId="77777777" w:rsidR="001F2A53" w:rsidRDefault="001F2A53">
      <w:pPr>
        <w:pStyle w:val="Heading1"/>
        <w:jc w:val="both"/>
        <w:rPr>
          <w:rFonts w:ascii="Arial" w:eastAsia="Arial" w:hAnsi="Arial" w:cs="Arial"/>
          <w:i/>
          <w:color w:val="000000"/>
          <w:sz w:val="22"/>
          <w:szCs w:val="22"/>
          <w:u w:val="single"/>
        </w:rPr>
      </w:pPr>
    </w:p>
    <w:p w14:paraId="632158FE" w14:textId="77777777" w:rsidR="001F2A53" w:rsidRDefault="001F2A53">
      <w:pPr>
        <w:jc w:val="both"/>
        <w:rPr>
          <w:rFonts w:ascii="Arial" w:eastAsia="Arial" w:hAnsi="Arial" w:cs="Arial"/>
          <w:b/>
        </w:rPr>
      </w:pPr>
    </w:p>
    <w:p w14:paraId="115FE0C4" w14:textId="77777777" w:rsidR="001F2A53" w:rsidRDefault="00000000">
      <w:pPr>
        <w:keepNext/>
        <w:keepLines/>
        <w:pBdr>
          <w:top w:val="nil"/>
          <w:left w:val="nil"/>
          <w:bottom w:val="nil"/>
          <w:right w:val="nil"/>
          <w:between w:val="nil"/>
        </w:pBdr>
        <w:spacing w:before="480" w:after="0"/>
        <w:rPr>
          <w:rFonts w:ascii="Cambria" w:eastAsia="Cambria" w:hAnsi="Cambria" w:cs="Cambria"/>
          <w:b/>
          <w:color w:val="366091"/>
          <w:sz w:val="28"/>
          <w:szCs w:val="28"/>
        </w:rPr>
      </w:pPr>
      <w:r>
        <w:rPr>
          <w:rFonts w:ascii="Cambria" w:eastAsia="Cambria" w:hAnsi="Cambria" w:cs="Cambria"/>
          <w:b/>
          <w:color w:val="366091"/>
          <w:sz w:val="28"/>
          <w:szCs w:val="28"/>
        </w:rPr>
        <w:t>Table of Contents</w:t>
      </w:r>
    </w:p>
    <w:sdt>
      <w:sdtPr>
        <w:id w:val="1021354597"/>
        <w:docPartObj>
          <w:docPartGallery w:val="Table of Contents"/>
          <w:docPartUnique/>
        </w:docPartObj>
      </w:sdtPr>
      <w:sdtContent>
        <w:p w14:paraId="263E8689" w14:textId="77777777" w:rsidR="001F2A53" w:rsidRDefault="00000000">
          <w:pPr>
            <w:pBdr>
              <w:top w:val="nil"/>
              <w:left w:val="nil"/>
              <w:bottom w:val="nil"/>
              <w:right w:val="nil"/>
              <w:between w:val="nil"/>
            </w:pBdr>
            <w:tabs>
              <w:tab w:val="right" w:leader="dot" w:pos="9016"/>
            </w:tabs>
            <w:spacing w:after="100"/>
            <w:rPr>
              <w:color w:val="000000"/>
            </w:rPr>
          </w:pPr>
          <w:r>
            <w:fldChar w:fldCharType="begin"/>
          </w:r>
          <w:r>
            <w:instrText xml:space="preserve"> TOC \h \u \z \t "Heading 1,1,Heading 2,2,Heading 3,3,"</w:instrText>
          </w:r>
          <w:r>
            <w:fldChar w:fldCharType="separate"/>
          </w:r>
          <w:hyperlink w:anchor="_heading=h.gjdgxs">
            <w:r>
              <w:rPr>
                <w:i/>
                <w:color w:val="000000"/>
              </w:rPr>
              <w:t>Executive Summary:</w:t>
            </w:r>
          </w:hyperlink>
          <w:hyperlink w:anchor="_heading=h.gjdgxs">
            <w:r>
              <w:rPr>
                <w:color w:val="000000"/>
              </w:rPr>
              <w:tab/>
              <w:t>2</w:t>
            </w:r>
          </w:hyperlink>
        </w:p>
        <w:p w14:paraId="47BC0C9C" w14:textId="77777777" w:rsidR="001F2A53" w:rsidRDefault="00000000">
          <w:pPr>
            <w:pBdr>
              <w:top w:val="nil"/>
              <w:left w:val="nil"/>
              <w:bottom w:val="nil"/>
              <w:right w:val="nil"/>
              <w:between w:val="nil"/>
            </w:pBdr>
            <w:tabs>
              <w:tab w:val="right" w:leader="dot" w:pos="9016"/>
            </w:tabs>
            <w:spacing w:after="100"/>
            <w:rPr>
              <w:color w:val="000000"/>
            </w:rPr>
          </w:pPr>
          <w:hyperlink w:anchor="_heading=h.30j0zll">
            <w:r>
              <w:rPr>
                <w:i/>
                <w:color w:val="000000"/>
              </w:rPr>
              <w:t>Introduction:</w:t>
            </w:r>
          </w:hyperlink>
          <w:hyperlink w:anchor="_heading=h.30j0zll">
            <w:r>
              <w:rPr>
                <w:color w:val="000000"/>
              </w:rPr>
              <w:tab/>
              <w:t>3</w:t>
            </w:r>
          </w:hyperlink>
        </w:p>
        <w:p w14:paraId="143CAA85" w14:textId="77777777" w:rsidR="001F2A53" w:rsidRDefault="00000000">
          <w:pPr>
            <w:pBdr>
              <w:top w:val="nil"/>
              <w:left w:val="nil"/>
              <w:bottom w:val="nil"/>
              <w:right w:val="nil"/>
              <w:between w:val="nil"/>
            </w:pBdr>
            <w:tabs>
              <w:tab w:val="right" w:leader="dot" w:pos="9016"/>
            </w:tabs>
            <w:spacing w:after="100"/>
            <w:rPr>
              <w:color w:val="000000"/>
            </w:rPr>
          </w:pPr>
          <w:hyperlink w:anchor="_heading=h.1fob9te">
            <w:r>
              <w:rPr>
                <w:i/>
                <w:color w:val="000000"/>
              </w:rPr>
              <w:t>Analysis:</w:t>
            </w:r>
          </w:hyperlink>
          <w:hyperlink w:anchor="_heading=h.1fob9te">
            <w:r>
              <w:rPr>
                <w:color w:val="000000"/>
              </w:rPr>
              <w:tab/>
              <w:t>4</w:t>
            </w:r>
          </w:hyperlink>
        </w:p>
        <w:p w14:paraId="76666EBB" w14:textId="77777777" w:rsidR="001F2A53" w:rsidRDefault="00000000">
          <w:pPr>
            <w:pBdr>
              <w:top w:val="nil"/>
              <w:left w:val="nil"/>
              <w:bottom w:val="nil"/>
              <w:right w:val="nil"/>
              <w:between w:val="nil"/>
            </w:pBdr>
            <w:tabs>
              <w:tab w:val="right" w:leader="dot" w:pos="9016"/>
            </w:tabs>
            <w:spacing w:after="100"/>
            <w:ind w:left="220"/>
            <w:rPr>
              <w:color w:val="000000"/>
            </w:rPr>
          </w:pPr>
          <w:hyperlink w:anchor="_heading=h.3znysh7">
            <w:r>
              <w:rPr>
                <w:i/>
                <w:color w:val="000000"/>
              </w:rPr>
              <w:t>Kotler's 8-Step Structure Analysis:</w:t>
            </w:r>
          </w:hyperlink>
          <w:hyperlink w:anchor="_heading=h.3znysh7">
            <w:r>
              <w:rPr>
                <w:color w:val="000000"/>
              </w:rPr>
              <w:tab/>
              <w:t>4</w:t>
            </w:r>
          </w:hyperlink>
        </w:p>
        <w:p w14:paraId="52B2E189" w14:textId="77777777" w:rsidR="001F2A53" w:rsidRDefault="00000000">
          <w:pPr>
            <w:pBdr>
              <w:top w:val="nil"/>
              <w:left w:val="nil"/>
              <w:bottom w:val="nil"/>
              <w:right w:val="nil"/>
              <w:between w:val="nil"/>
            </w:pBdr>
            <w:tabs>
              <w:tab w:val="right" w:leader="dot" w:pos="9016"/>
            </w:tabs>
            <w:spacing w:after="100"/>
            <w:ind w:left="220"/>
            <w:rPr>
              <w:color w:val="000000"/>
            </w:rPr>
          </w:pPr>
          <w:hyperlink w:anchor="_heading=h.2et92p0">
            <w:r>
              <w:rPr>
                <w:i/>
                <w:color w:val="000000"/>
              </w:rPr>
              <w:t>Lewin's 3-Stage Freeze, Change, Unfreeze Model Analysis:</w:t>
            </w:r>
          </w:hyperlink>
          <w:hyperlink w:anchor="_heading=h.2et92p0">
            <w:r>
              <w:rPr>
                <w:color w:val="000000"/>
              </w:rPr>
              <w:tab/>
              <w:t>6</w:t>
            </w:r>
          </w:hyperlink>
        </w:p>
        <w:p w14:paraId="33832A4C" w14:textId="77777777" w:rsidR="001F2A53" w:rsidRDefault="00000000">
          <w:pPr>
            <w:pBdr>
              <w:top w:val="nil"/>
              <w:left w:val="nil"/>
              <w:bottom w:val="nil"/>
              <w:right w:val="nil"/>
              <w:between w:val="nil"/>
            </w:pBdr>
            <w:tabs>
              <w:tab w:val="right" w:leader="dot" w:pos="9016"/>
            </w:tabs>
            <w:spacing w:after="100"/>
            <w:rPr>
              <w:color w:val="000000"/>
            </w:rPr>
          </w:pPr>
          <w:hyperlink w:anchor="_heading=h.tyjcwt">
            <w:r>
              <w:rPr>
                <w:rFonts w:ascii="Arial" w:eastAsia="Arial" w:hAnsi="Arial" w:cs="Arial"/>
                <w:i/>
                <w:color w:val="000000"/>
              </w:rPr>
              <w:t>Recommendations and Change Management:</w:t>
            </w:r>
          </w:hyperlink>
          <w:hyperlink w:anchor="_heading=h.tyjcwt">
            <w:r>
              <w:rPr>
                <w:color w:val="000000"/>
              </w:rPr>
              <w:tab/>
              <w:t>7</w:t>
            </w:r>
          </w:hyperlink>
        </w:p>
        <w:p w14:paraId="49FA842B" w14:textId="77777777" w:rsidR="001F2A53" w:rsidRDefault="00000000">
          <w:pPr>
            <w:pBdr>
              <w:top w:val="nil"/>
              <w:left w:val="nil"/>
              <w:bottom w:val="nil"/>
              <w:right w:val="nil"/>
              <w:between w:val="nil"/>
            </w:pBdr>
            <w:tabs>
              <w:tab w:val="right" w:leader="dot" w:pos="9016"/>
            </w:tabs>
            <w:spacing w:after="100"/>
            <w:ind w:left="220"/>
            <w:rPr>
              <w:color w:val="000000"/>
            </w:rPr>
          </w:pPr>
          <w:hyperlink w:anchor="_heading=h.3dy6vkm">
            <w:r>
              <w:rPr>
                <w:rFonts w:ascii="Arial" w:eastAsia="Arial" w:hAnsi="Arial" w:cs="Arial"/>
                <w:i/>
                <w:color w:val="000000"/>
              </w:rPr>
              <w:t>Recommendations</w:t>
            </w:r>
          </w:hyperlink>
          <w:hyperlink w:anchor="_heading=h.3dy6vkm">
            <w:r>
              <w:rPr>
                <w:color w:val="000000"/>
              </w:rPr>
              <w:tab/>
              <w:t>7</w:t>
            </w:r>
          </w:hyperlink>
        </w:p>
        <w:p w14:paraId="2AAD484E" w14:textId="77777777" w:rsidR="001F2A53" w:rsidRDefault="00000000">
          <w:pPr>
            <w:pBdr>
              <w:top w:val="nil"/>
              <w:left w:val="nil"/>
              <w:bottom w:val="nil"/>
              <w:right w:val="nil"/>
              <w:between w:val="nil"/>
            </w:pBdr>
            <w:tabs>
              <w:tab w:val="right" w:leader="dot" w:pos="9016"/>
            </w:tabs>
            <w:spacing w:after="100"/>
            <w:ind w:left="220"/>
            <w:rPr>
              <w:color w:val="000000"/>
            </w:rPr>
          </w:pPr>
          <w:hyperlink w:anchor="_heading=h.1t3h5sf">
            <w:r>
              <w:rPr>
                <w:rFonts w:ascii="Arial" w:eastAsia="Arial" w:hAnsi="Arial" w:cs="Arial"/>
                <w:i/>
                <w:color w:val="000000"/>
              </w:rPr>
              <w:t>Change Management Plan:</w:t>
            </w:r>
          </w:hyperlink>
          <w:hyperlink w:anchor="_heading=h.1t3h5sf">
            <w:r>
              <w:rPr>
                <w:color w:val="000000"/>
              </w:rPr>
              <w:tab/>
              <w:t>8</w:t>
            </w:r>
          </w:hyperlink>
        </w:p>
        <w:p w14:paraId="54BB9447" w14:textId="77777777" w:rsidR="001F2A53" w:rsidRDefault="00000000">
          <w:pPr>
            <w:pBdr>
              <w:top w:val="nil"/>
              <w:left w:val="nil"/>
              <w:bottom w:val="nil"/>
              <w:right w:val="nil"/>
              <w:between w:val="nil"/>
            </w:pBdr>
            <w:tabs>
              <w:tab w:val="right" w:leader="dot" w:pos="9016"/>
            </w:tabs>
            <w:spacing w:after="100"/>
            <w:rPr>
              <w:color w:val="000000"/>
            </w:rPr>
          </w:pPr>
          <w:hyperlink w:anchor="_heading=h.4d34og8">
            <w:r>
              <w:rPr>
                <w:rFonts w:ascii="Arial" w:eastAsia="Arial" w:hAnsi="Arial" w:cs="Arial"/>
                <w:i/>
                <w:color w:val="000000"/>
              </w:rPr>
              <w:t>Action Plan:</w:t>
            </w:r>
          </w:hyperlink>
          <w:hyperlink w:anchor="_heading=h.4d34og8">
            <w:r>
              <w:rPr>
                <w:color w:val="000000"/>
              </w:rPr>
              <w:tab/>
              <w:t>10</w:t>
            </w:r>
          </w:hyperlink>
        </w:p>
        <w:p w14:paraId="3B344D9F" w14:textId="77777777" w:rsidR="001F2A53" w:rsidRDefault="00000000">
          <w:pPr>
            <w:pBdr>
              <w:top w:val="nil"/>
              <w:left w:val="nil"/>
              <w:bottom w:val="nil"/>
              <w:right w:val="nil"/>
              <w:between w:val="nil"/>
            </w:pBdr>
            <w:tabs>
              <w:tab w:val="right" w:leader="dot" w:pos="9016"/>
            </w:tabs>
            <w:spacing w:after="100"/>
            <w:rPr>
              <w:color w:val="000000"/>
            </w:rPr>
          </w:pPr>
          <w:hyperlink w:anchor="_heading=h.2s8eyo1">
            <w:r>
              <w:rPr>
                <w:rFonts w:ascii="Arial" w:eastAsia="Arial" w:hAnsi="Arial" w:cs="Arial"/>
                <w:i/>
                <w:color w:val="000000"/>
              </w:rPr>
              <w:t>Conclusion:</w:t>
            </w:r>
          </w:hyperlink>
          <w:hyperlink w:anchor="_heading=h.2s8eyo1">
            <w:r>
              <w:rPr>
                <w:color w:val="000000"/>
              </w:rPr>
              <w:tab/>
              <w:t>11</w:t>
            </w:r>
          </w:hyperlink>
        </w:p>
        <w:p w14:paraId="6092A0D4" w14:textId="77777777" w:rsidR="001F2A53" w:rsidRDefault="00000000">
          <w:pPr>
            <w:pBdr>
              <w:top w:val="nil"/>
              <w:left w:val="nil"/>
              <w:bottom w:val="nil"/>
              <w:right w:val="nil"/>
              <w:between w:val="nil"/>
            </w:pBdr>
            <w:tabs>
              <w:tab w:val="right" w:leader="dot" w:pos="9016"/>
            </w:tabs>
            <w:spacing w:after="100"/>
            <w:rPr>
              <w:color w:val="000000"/>
            </w:rPr>
          </w:pPr>
          <w:hyperlink w:anchor="_heading=h.17dp8vu">
            <w:r>
              <w:rPr>
                <w:rFonts w:ascii="Arial" w:eastAsia="Arial" w:hAnsi="Arial" w:cs="Arial"/>
                <w:i/>
                <w:color w:val="000000"/>
              </w:rPr>
              <w:t>Reference:</w:t>
            </w:r>
          </w:hyperlink>
          <w:hyperlink w:anchor="_heading=h.17dp8vu">
            <w:r>
              <w:rPr>
                <w:color w:val="000000"/>
              </w:rPr>
              <w:tab/>
              <w:t>11</w:t>
            </w:r>
          </w:hyperlink>
        </w:p>
        <w:p w14:paraId="7430DD93" w14:textId="77777777" w:rsidR="001F2A53" w:rsidRDefault="00000000">
          <w:r>
            <w:fldChar w:fldCharType="end"/>
          </w:r>
        </w:p>
      </w:sdtContent>
    </w:sdt>
    <w:p w14:paraId="11B13436" w14:textId="77777777" w:rsidR="001F2A53" w:rsidRDefault="001F2A53">
      <w:pPr>
        <w:jc w:val="both"/>
        <w:rPr>
          <w:rFonts w:ascii="Arial" w:eastAsia="Arial" w:hAnsi="Arial" w:cs="Arial"/>
          <w:b/>
        </w:rPr>
      </w:pPr>
    </w:p>
    <w:p w14:paraId="562CACFE" w14:textId="77777777" w:rsidR="001F2A53" w:rsidRDefault="001F2A53">
      <w:pPr>
        <w:jc w:val="both"/>
        <w:rPr>
          <w:rFonts w:ascii="Arial" w:eastAsia="Arial" w:hAnsi="Arial" w:cs="Arial"/>
          <w:b/>
        </w:rPr>
      </w:pPr>
    </w:p>
    <w:p w14:paraId="0AF58104" w14:textId="77777777" w:rsidR="001F2A53" w:rsidRDefault="001F2A53">
      <w:pPr>
        <w:jc w:val="both"/>
        <w:rPr>
          <w:rFonts w:ascii="Arial" w:eastAsia="Arial" w:hAnsi="Arial" w:cs="Arial"/>
          <w:b/>
        </w:rPr>
      </w:pPr>
    </w:p>
    <w:p w14:paraId="076329C8" w14:textId="77777777" w:rsidR="001F2A53" w:rsidRDefault="001F2A53">
      <w:pPr>
        <w:jc w:val="both"/>
        <w:rPr>
          <w:rFonts w:ascii="Arial" w:eastAsia="Arial" w:hAnsi="Arial" w:cs="Arial"/>
          <w:b/>
        </w:rPr>
      </w:pPr>
    </w:p>
    <w:p w14:paraId="0246A165" w14:textId="77777777" w:rsidR="001F2A53" w:rsidRDefault="001F2A53">
      <w:pPr>
        <w:jc w:val="both"/>
        <w:rPr>
          <w:rFonts w:ascii="Arial" w:eastAsia="Arial" w:hAnsi="Arial" w:cs="Arial"/>
          <w:b/>
        </w:rPr>
      </w:pPr>
    </w:p>
    <w:p w14:paraId="6AAA5AF5" w14:textId="77777777" w:rsidR="001F2A53" w:rsidRDefault="001F2A53">
      <w:pPr>
        <w:jc w:val="both"/>
        <w:rPr>
          <w:rFonts w:ascii="Arial" w:eastAsia="Arial" w:hAnsi="Arial" w:cs="Arial"/>
          <w:b/>
        </w:rPr>
      </w:pPr>
    </w:p>
    <w:p w14:paraId="24705CD9" w14:textId="77777777" w:rsidR="001F2A53" w:rsidRDefault="001F2A53">
      <w:pPr>
        <w:jc w:val="both"/>
        <w:rPr>
          <w:rFonts w:ascii="Arial" w:eastAsia="Arial" w:hAnsi="Arial" w:cs="Arial"/>
          <w:b/>
        </w:rPr>
      </w:pPr>
    </w:p>
    <w:p w14:paraId="05A6B445" w14:textId="77777777" w:rsidR="001F2A53" w:rsidRDefault="001F2A53">
      <w:pPr>
        <w:jc w:val="both"/>
        <w:rPr>
          <w:rFonts w:ascii="Arial" w:eastAsia="Arial" w:hAnsi="Arial" w:cs="Arial"/>
          <w:b/>
        </w:rPr>
      </w:pPr>
    </w:p>
    <w:p w14:paraId="675E80D3" w14:textId="77777777" w:rsidR="001F2A53" w:rsidRDefault="001F2A53">
      <w:pPr>
        <w:jc w:val="both"/>
        <w:rPr>
          <w:rFonts w:ascii="Arial" w:eastAsia="Arial" w:hAnsi="Arial" w:cs="Arial"/>
          <w:b/>
        </w:rPr>
      </w:pPr>
    </w:p>
    <w:p w14:paraId="2F80FC9D" w14:textId="77777777" w:rsidR="001F2A53" w:rsidRDefault="001F2A53">
      <w:pPr>
        <w:jc w:val="both"/>
        <w:rPr>
          <w:rFonts w:ascii="Arial" w:eastAsia="Arial" w:hAnsi="Arial" w:cs="Arial"/>
          <w:b/>
        </w:rPr>
      </w:pPr>
    </w:p>
    <w:p w14:paraId="0267E456" w14:textId="77777777" w:rsidR="001F2A53" w:rsidRDefault="001F2A53">
      <w:pPr>
        <w:jc w:val="both"/>
        <w:rPr>
          <w:rFonts w:ascii="Arial" w:eastAsia="Arial" w:hAnsi="Arial" w:cs="Arial"/>
          <w:b/>
        </w:rPr>
      </w:pPr>
    </w:p>
    <w:p w14:paraId="66AF6DCA" w14:textId="77777777" w:rsidR="001F2A53" w:rsidRDefault="001F2A53">
      <w:pPr>
        <w:jc w:val="both"/>
        <w:rPr>
          <w:rFonts w:ascii="Arial" w:eastAsia="Arial" w:hAnsi="Arial" w:cs="Arial"/>
          <w:b/>
        </w:rPr>
      </w:pPr>
    </w:p>
    <w:p w14:paraId="7313C136" w14:textId="77777777" w:rsidR="001F2A53" w:rsidRDefault="001F2A53">
      <w:pPr>
        <w:jc w:val="both"/>
        <w:rPr>
          <w:rFonts w:ascii="Arial" w:eastAsia="Arial" w:hAnsi="Arial" w:cs="Arial"/>
          <w:b/>
        </w:rPr>
      </w:pPr>
    </w:p>
    <w:p w14:paraId="57E83BDD" w14:textId="77777777" w:rsidR="001F2A53" w:rsidRDefault="001F2A53">
      <w:pPr>
        <w:jc w:val="both"/>
        <w:rPr>
          <w:rFonts w:ascii="Arial" w:eastAsia="Arial" w:hAnsi="Arial" w:cs="Arial"/>
          <w:b/>
        </w:rPr>
      </w:pPr>
    </w:p>
    <w:p w14:paraId="034D61E2" w14:textId="77777777" w:rsidR="001F2A53" w:rsidRDefault="001F2A53">
      <w:pPr>
        <w:jc w:val="both"/>
        <w:rPr>
          <w:rFonts w:ascii="Arial" w:eastAsia="Arial" w:hAnsi="Arial" w:cs="Arial"/>
          <w:b/>
        </w:rPr>
      </w:pPr>
    </w:p>
    <w:p w14:paraId="4AB0D159" w14:textId="77777777" w:rsidR="001F2A53" w:rsidRDefault="001F2A53">
      <w:pPr>
        <w:jc w:val="both"/>
        <w:rPr>
          <w:rFonts w:ascii="Arial" w:eastAsia="Arial" w:hAnsi="Arial" w:cs="Arial"/>
          <w:b/>
        </w:rPr>
      </w:pPr>
    </w:p>
    <w:p w14:paraId="7C5C30A7" w14:textId="77777777" w:rsidR="001F2A53" w:rsidRDefault="001F2A53">
      <w:pPr>
        <w:jc w:val="both"/>
        <w:rPr>
          <w:rFonts w:ascii="Arial" w:eastAsia="Arial" w:hAnsi="Arial" w:cs="Arial"/>
          <w:b/>
        </w:rPr>
      </w:pPr>
    </w:p>
    <w:p w14:paraId="77C36808" w14:textId="77777777" w:rsidR="001F2A53" w:rsidRDefault="00000000">
      <w:pPr>
        <w:jc w:val="center"/>
        <w:rPr>
          <w:rFonts w:ascii="Arial" w:eastAsia="Arial" w:hAnsi="Arial" w:cs="Arial"/>
          <w:b/>
          <w:sz w:val="28"/>
          <w:szCs w:val="28"/>
        </w:rPr>
      </w:pPr>
      <w:r>
        <w:rPr>
          <w:rFonts w:ascii="Arial" w:eastAsia="Arial" w:hAnsi="Arial" w:cs="Arial"/>
          <w:b/>
          <w:sz w:val="28"/>
          <w:szCs w:val="28"/>
        </w:rPr>
        <w:t>Burj Al Arab</w:t>
      </w:r>
    </w:p>
    <w:p w14:paraId="1E7AF45E" w14:textId="77777777" w:rsidR="001F2A53" w:rsidRDefault="00000000">
      <w:pPr>
        <w:pStyle w:val="Heading1"/>
        <w:rPr>
          <w:i/>
          <w:color w:val="000000"/>
          <w:u w:val="single"/>
        </w:rPr>
      </w:pPr>
      <w:bookmarkStart w:id="0" w:name="_heading=h.gjdgxs" w:colFirst="0" w:colLast="0"/>
      <w:bookmarkEnd w:id="0"/>
      <w:r>
        <w:rPr>
          <w:i/>
          <w:color w:val="000000"/>
          <w:u w:val="single"/>
        </w:rPr>
        <w:t>Executive Summary:</w:t>
      </w:r>
    </w:p>
    <w:p w14:paraId="6DFD7E8E" w14:textId="49F81E02" w:rsidR="001F2A53" w:rsidRDefault="00000000">
      <w:pPr>
        <w:jc w:val="both"/>
        <w:rPr>
          <w:rFonts w:ascii="Cambria" w:eastAsia="Cambria" w:hAnsi="Cambria" w:cs="Cambria"/>
          <w:b/>
          <w:i/>
          <w:color w:val="000000"/>
          <w:sz w:val="28"/>
          <w:szCs w:val="28"/>
          <w:u w:val="single"/>
        </w:rPr>
      </w:pPr>
      <w:r>
        <w:rPr>
          <w:rFonts w:ascii="Arial" w:eastAsia="Arial" w:hAnsi="Arial" w:cs="Arial"/>
        </w:rPr>
        <w:t xml:space="preserve">When viewed against the backdrop of Dubai's skyline, the Burj Al Arab appears to be a beacon, giving a breathtaking display of architectural majesty and opulence that is unparalleled by any other skyscraper. Nothing else can compare to the Burj Al Arab. It is a structure that serves as an illustration of both of these characteristics, and the objective of this is to provide a more concrete example. The location of the establishment is going to be in the very center of the city, which is exactly where it is situated. Having anything that shines brightly as a beacon and shines vividly for everyone to see is a great indication of luxury. It is a terrific indication of luxury. There is a correlation between the quality of brightness and the quality of luxury. 1999 was the year that the well-known hotel initially opened its doors to guests, and ever since that time, it has been contributing to the evolution of hospitality standards that are commonly applied in the hospitality business. The hotel has earned a stellar reputation for the exceptional quality of service and hospitality that it offers to its guests. It is responsible for carrying out these tasks for the entirety of the time that it has been operating as a functioning entity. Because it caters to the sophisticated tastes of its visitors and offers them with an experience that goes beyond the ordinary expectations of its customers, the company is able to generate a substantial level of satisfaction for its consumers. This is because the firm is able to provide them with an experience that exceeds their expectations. Consequently, the establishment is in a position to feel a great deal of contentment in regard to the activities that are involved with it as a result of this. In order to create the impression that it is the sail of a dhow, the Burj Al Arab was intended to be an exceptionally attractive building. This was done with the purpose of appealing to the senses. In order to achieve the appearance that it currently possesses, this activity was carried out with the purpose of obtaining that appearance. Despite its recent construction, the structure continues to be magnificent in its own right. An extremely alluring appearance might be attributed to the architecture. In addition to the fact that it is instantly recognizable due to its distinctive design, the peculiar profile of this tower acts as a symbol of Dubai's aspirational aims and its dedication to achieving excellence. Guests are immediately transported to a realm of luxury the moment they step foot inside the towering atrium, which is available to them upon entering the building. This takes place once they have entered the building. This occurs after they have entered the building on their own accord. When they have entered the building of their own accord, this happens after they have entered. More specifically, this is due to the fact that each and every component has been meticulously designed in order to instill a sense of grandeur and refinement in the tourists who are arriving. This explains the current situation. Within the existing context, it clarifies why things are as they are. The sphere of opulence that we are currently experiencing is truly astounding, and this is something that cannot be argued. There is no way to ignore the fact that this is the case. Two examples that illustrate the hotel's dedication to achieving perfection are the extraordinary service that is offered by the Burj Al Arab, in which personal butlers attend to each and every requirement, and the luxurious suites, each of which offers breathtaking views of the Arabian Gulf. Both of these examples are evidence of the hotel's devotion to achieving perfection. These two examples are excellent </w:t>
      </w:r>
      <w:r>
        <w:rPr>
          <w:rFonts w:ascii="Arial" w:eastAsia="Arial" w:hAnsi="Arial" w:cs="Arial"/>
        </w:rPr>
        <w:lastRenderedPageBreak/>
        <w:t>illustrations of the hotel's commitment to achieving the highest possible level of perfection. Both of these examples are indicative of the incredible dedication that the hotel has made to reaching perfection in its services. Both of these components, which are examples of excellence in their respective disciplines, are illustrative of the hotel's dedication to achieving perfection in that they are examples of excellence. Both of these kinds of incidents, which reflect the hotel's dedication to achieving perfection in everything it does, serve to emphasize the hotel's commitment to excellence and their respective impact on the hotel. Both of these examples are evidence that the hotel is committed to providing customer service that is of the best possible quality, according to the majority of people who are in agreement with this statement. This is the opinion that is shared by the vast majority of individuals. Not only is the hotel well-known for the fantastic accommodations that it offers, but it also takes great satisfaction in the fact that it offers a vast choice of gastronomic alternatives that are sure to delight your taste buds and make your mouth wet.</w:t>
      </w:r>
    </w:p>
    <w:p w14:paraId="30ED0792" w14:textId="77777777" w:rsidR="001F2A53" w:rsidRDefault="00000000">
      <w:pPr>
        <w:jc w:val="both"/>
        <w:rPr>
          <w:rFonts w:ascii="Cambria" w:eastAsia="Cambria" w:hAnsi="Cambria" w:cs="Cambria"/>
          <w:b/>
          <w:i/>
          <w:color w:val="000000"/>
          <w:sz w:val="28"/>
          <w:szCs w:val="28"/>
          <w:u w:val="single"/>
        </w:rPr>
      </w:pPr>
      <w:bookmarkStart w:id="1" w:name="_heading=h.30j0zll" w:colFirst="0" w:colLast="0"/>
      <w:bookmarkEnd w:id="1"/>
      <w:r>
        <w:rPr>
          <w:rFonts w:ascii="Cambria" w:eastAsia="Cambria" w:hAnsi="Cambria" w:cs="Cambria"/>
          <w:b/>
          <w:i/>
          <w:color w:val="000000"/>
          <w:sz w:val="28"/>
          <w:szCs w:val="28"/>
          <w:u w:val="single"/>
        </w:rPr>
        <w:t>Introduction:</w:t>
      </w:r>
    </w:p>
    <w:p w14:paraId="10483ACB" w14:textId="77777777" w:rsidR="001F2A53" w:rsidRDefault="00000000">
      <w:pPr>
        <w:jc w:val="both"/>
        <w:rPr>
          <w:rFonts w:ascii="Cambria" w:eastAsia="Cambria" w:hAnsi="Cambria" w:cs="Cambria"/>
          <w:b/>
          <w:i/>
          <w:color w:val="000000"/>
          <w:sz w:val="28"/>
          <w:szCs w:val="28"/>
          <w:u w:val="single"/>
        </w:rPr>
      </w:pPr>
      <w:r>
        <w:rPr>
          <w:rFonts w:ascii="Arial" w:eastAsia="Arial" w:hAnsi="Arial" w:cs="Arial"/>
        </w:rPr>
        <w:t>One architecture that exemplifies this particular ethos is the Burj Al Arab, which is a beautiful architectural marvel that is tucked away in the middle of the bustling cityscape of Dubai. With regard to this particular essence, the symbol that is being described is the embodiment of it. In addition to being a sign that exhibits the very essence of richness and grandeur (</w:t>
      </w:r>
      <w:r>
        <w:rPr>
          <w:rFonts w:ascii="Arial" w:eastAsia="Arial" w:hAnsi="Arial" w:cs="Arial"/>
          <w:color w:val="222222"/>
          <w:highlight w:val="white"/>
        </w:rPr>
        <w:t>Garrison and Thompson2021)</w:t>
      </w:r>
      <w:r>
        <w:rPr>
          <w:rFonts w:ascii="Arial" w:eastAsia="Arial" w:hAnsi="Arial" w:cs="Arial"/>
        </w:rPr>
        <w:t>, it is also a symbol that reflects the very essence of these characteristics all at the same time. This legendary hotel has carved out a place for itself in the annals of hospitality history as one of the most luxurious sites that can possibly be envisioned anyplace on the entire planet (</w:t>
      </w:r>
      <w:r>
        <w:rPr>
          <w:rFonts w:ascii="Arial" w:eastAsia="Arial" w:hAnsi="Arial" w:cs="Arial"/>
          <w:color w:val="222222"/>
          <w:highlight w:val="white"/>
        </w:rPr>
        <w:t>Al Kassim 2016)</w:t>
      </w:r>
      <w:r>
        <w:rPr>
          <w:rFonts w:ascii="Arial" w:eastAsia="Arial" w:hAnsi="Arial" w:cs="Arial"/>
        </w:rPr>
        <w:t>. It is undoubtedly one of the most luxurious places on the planet. Throughout the years, this particular name has been handed down from one family to the next. While it is gently rising from the artificial island that it is placed on, the attention of the guests is drawn to it. This is due to the fact that it holds a location on the island. Each and every one of these occurrences takes place at the same time. The fact that it exudes an air of wealth that captivates the thoughts of travelers from all over the world is the reason why it is such a well-known tourist attraction that draws people from all over the world (</w:t>
      </w:r>
      <w:r>
        <w:rPr>
          <w:rFonts w:ascii="Arial" w:eastAsia="Arial" w:hAnsi="Arial" w:cs="Arial"/>
          <w:color w:val="222222"/>
          <w:highlight w:val="white"/>
        </w:rPr>
        <w:t>Korotich 2018)</w:t>
      </w:r>
      <w:r>
        <w:rPr>
          <w:rFonts w:ascii="Arial" w:eastAsia="Arial" w:hAnsi="Arial" w:cs="Arial"/>
        </w:rPr>
        <w:t>. The Burj Al Arab Building is a well-known site for tourists. The building not only has a great sail-shaped profile, but it also has stunning interiors that are covered with gold leaf and include luxury furnishings. In addition, the sail-shaped silhouette is a magnificent feature. All things considered, the structure is an outstanding illustration of architectural design. To put it another way, this is the reason why the structure is so remarkable all by itself (</w:t>
      </w:r>
      <w:r>
        <w:rPr>
          <w:rFonts w:ascii="Arial" w:eastAsia="Arial" w:hAnsi="Arial" w:cs="Arial"/>
          <w:color w:val="222222"/>
          <w:highlight w:val="white"/>
        </w:rPr>
        <w:t>Mujahid 2020)</w:t>
      </w:r>
      <w:r>
        <w:rPr>
          <w:rFonts w:ascii="Arial" w:eastAsia="Arial" w:hAnsi="Arial" w:cs="Arial"/>
        </w:rPr>
        <w:t>. Both of these components have an impact on the overall appearance of the structure, and there is a particular connection that exists between the two of them. It has been continuously establishing new benchmarks for the hospitality industry in the luxury accommodation sector ever since it first opened its doors in the year 1999. Throughout the years, these norms have been handed down from one generation to the next. Over the course of many years, these are the standards that have been regularly adopted. To add insult to injury, this has been the situation ever since that particular moment. When compared to any other experience that can be found somewhere else, the experience that is provided to guests is incomparable to any other experience that can be found anywhere else. One thing that sets this vacation apart from others is the fact that it includes opulent amenities, breathtaking scenery, and outstanding service. The Burj Al Arab is not only aesthetically beautiful, but it also acts as a symbol of Dubai's aspirations and innovation (</w:t>
      </w:r>
      <w:r>
        <w:rPr>
          <w:rFonts w:ascii="Arial" w:eastAsia="Arial" w:hAnsi="Arial" w:cs="Arial"/>
          <w:color w:val="222222"/>
          <w:highlight w:val="white"/>
        </w:rPr>
        <w:t>Bhinder 2008)</w:t>
      </w:r>
      <w:r>
        <w:rPr>
          <w:rFonts w:ascii="Arial" w:eastAsia="Arial" w:hAnsi="Arial" w:cs="Arial"/>
        </w:rPr>
        <w:t xml:space="preserve">. It is a building that has been constructed in Dubai. Furthermore, it is a great example of excellence in the context of global tourism, </w:t>
      </w:r>
      <w:r>
        <w:rPr>
          <w:rFonts w:ascii="Arial" w:eastAsia="Arial" w:hAnsi="Arial" w:cs="Arial"/>
        </w:rPr>
        <w:lastRenderedPageBreak/>
        <w:t>which is constantly changing as a result of new advancements. This is a subject that is constantly evolving. This is a characteristic of the sector that is quite appealing. Furthermore, the Burj Al Arab is an outstanding illustration of perfection, in addition to the fact that it is exquisitely created from an aesthetic point of view (</w:t>
      </w:r>
      <w:r>
        <w:rPr>
          <w:rFonts w:ascii="Arial" w:eastAsia="Arial" w:hAnsi="Arial" w:cs="Arial"/>
          <w:color w:val="222222"/>
          <w:highlight w:val="white"/>
        </w:rPr>
        <w:t>Walters 2000)</w:t>
      </w:r>
      <w:r>
        <w:rPr>
          <w:rFonts w:ascii="Arial" w:eastAsia="Arial" w:hAnsi="Arial" w:cs="Arial"/>
        </w:rPr>
        <w:t>. Our upcoming excursion will delve into the history, architecture, and distinctive characteristics of the Burj Al Arab, renowned for its unparalleled elegance and sophistication in the hospitality sector, as highlighted by Lstiburek(2009). This journey will commence at the start of this introduction of this iconic building.</w:t>
      </w:r>
    </w:p>
    <w:p w14:paraId="3E042D8D" w14:textId="77777777" w:rsidR="001F2A53" w:rsidRDefault="00000000">
      <w:pPr>
        <w:jc w:val="both"/>
        <w:rPr>
          <w:rFonts w:ascii="Cambria" w:eastAsia="Cambria" w:hAnsi="Cambria" w:cs="Cambria"/>
          <w:b/>
          <w:i/>
          <w:color w:val="000000"/>
          <w:sz w:val="28"/>
          <w:szCs w:val="28"/>
          <w:u w:val="single"/>
        </w:rPr>
      </w:pPr>
      <w:bookmarkStart w:id="2" w:name="_heading=h.1fob9te" w:colFirst="0" w:colLast="0"/>
      <w:bookmarkEnd w:id="2"/>
      <w:r>
        <w:rPr>
          <w:rFonts w:ascii="Cambria" w:eastAsia="Cambria" w:hAnsi="Cambria" w:cs="Cambria"/>
          <w:b/>
          <w:i/>
          <w:color w:val="000000"/>
          <w:sz w:val="28"/>
          <w:szCs w:val="28"/>
          <w:u w:val="single"/>
        </w:rPr>
        <w:t>Analysis:</w:t>
      </w:r>
    </w:p>
    <w:p w14:paraId="41544FB7" w14:textId="77777777" w:rsidR="001F2A53" w:rsidRDefault="00000000">
      <w:pPr>
        <w:pStyle w:val="Heading2"/>
        <w:rPr>
          <w:i/>
        </w:rPr>
      </w:pPr>
      <w:bookmarkStart w:id="3" w:name="_heading=h.3znysh7" w:colFirst="0" w:colLast="0"/>
      <w:bookmarkEnd w:id="3"/>
      <w:r>
        <w:rPr>
          <w:i/>
          <w:color w:val="000000"/>
        </w:rPr>
        <w:t>Kotler's 8-Step Structure Analysis:</w:t>
      </w:r>
      <w:r>
        <w:rPr>
          <w:i/>
        </w:rPr>
        <w:tab/>
      </w:r>
    </w:p>
    <w:p w14:paraId="5A8302FC" w14:textId="77777777" w:rsidR="001F2A53" w:rsidRDefault="00000000">
      <w:pPr>
        <w:numPr>
          <w:ilvl w:val="0"/>
          <w:numId w:val="2"/>
        </w:numPr>
        <w:pBdr>
          <w:top w:val="nil"/>
          <w:left w:val="nil"/>
          <w:bottom w:val="nil"/>
          <w:right w:val="nil"/>
          <w:between w:val="nil"/>
        </w:pBdr>
        <w:jc w:val="both"/>
        <w:rPr>
          <w:rFonts w:ascii="Arial" w:eastAsia="Arial" w:hAnsi="Arial" w:cs="Arial"/>
          <w:b/>
          <w:i/>
          <w:color w:val="252525"/>
          <w:highlight w:val="white"/>
        </w:rPr>
      </w:pPr>
      <w:r>
        <w:rPr>
          <w:rFonts w:ascii="Arial" w:eastAsia="Arial" w:hAnsi="Arial" w:cs="Arial"/>
          <w:b/>
          <w:i/>
          <w:color w:val="252525"/>
          <w:highlight w:val="white"/>
        </w:rPr>
        <w:t>Market Opportunity Analysis:</w:t>
      </w:r>
    </w:p>
    <w:p w14:paraId="6F165FC6" w14:textId="77777777" w:rsidR="001F2A53" w:rsidRDefault="00000000">
      <w:pPr>
        <w:jc w:val="both"/>
        <w:rPr>
          <w:rFonts w:ascii="Arial" w:eastAsia="Arial" w:hAnsi="Arial" w:cs="Arial"/>
          <w:b/>
          <w:i/>
          <w:color w:val="252525"/>
          <w:highlight w:val="white"/>
        </w:rPr>
      </w:pPr>
      <w:r>
        <w:rPr>
          <w:rFonts w:ascii="Arial" w:eastAsia="Arial" w:hAnsi="Arial" w:cs="Arial"/>
        </w:rPr>
        <w:t>Burj Al Arab has been able to effectively capitalize on this trend, which has been noticed to be expanding in Dubai and around the world as the demand for luxury hospitality experiences continues to surge. Burj Al Arab has been able to do successful capitalization on this trend. It has been observed that this pattern is becoming more prevalent in Dubai. The city of Dubai has been noticing an increase in the frequency of phenomena that are associated with this trend (</w:t>
      </w:r>
      <w:r>
        <w:rPr>
          <w:rFonts w:ascii="Arial" w:eastAsia="Arial" w:hAnsi="Arial" w:cs="Arial"/>
          <w:color w:val="222222"/>
          <w:highlight w:val="white"/>
        </w:rPr>
        <w:t>Salama 2015)</w:t>
      </w:r>
      <w:r>
        <w:rPr>
          <w:rFonts w:ascii="Arial" w:eastAsia="Arial" w:hAnsi="Arial" w:cs="Arial"/>
        </w:rPr>
        <w:t>. As a result of its one-of-a-kind structure in the shape of a sail and its reputation for providing unparalleled luxury, it has established itself as a key alternative for wealthy tourists who are looking for lodgings that are distinct from those offered by other businesses like hotels and resorts (</w:t>
      </w:r>
      <w:r>
        <w:rPr>
          <w:rFonts w:ascii="Arial" w:eastAsia="Arial" w:hAnsi="Arial" w:cs="Arial"/>
          <w:color w:val="222222"/>
          <w:highlight w:val="white"/>
        </w:rPr>
        <w:t>Soltanzadeh 2014)</w:t>
      </w:r>
      <w:r>
        <w:rPr>
          <w:rFonts w:ascii="Arial" w:eastAsia="Arial" w:hAnsi="Arial" w:cs="Arial"/>
        </w:rPr>
        <w:t>. This is the case because of the construction of the sail, which is the reason why this is the case.</w:t>
      </w:r>
    </w:p>
    <w:p w14:paraId="48653427" w14:textId="77777777" w:rsidR="001F2A53" w:rsidRDefault="00000000">
      <w:pPr>
        <w:numPr>
          <w:ilvl w:val="0"/>
          <w:numId w:val="2"/>
        </w:numPr>
        <w:pBdr>
          <w:top w:val="nil"/>
          <w:left w:val="nil"/>
          <w:bottom w:val="nil"/>
          <w:right w:val="nil"/>
          <w:between w:val="nil"/>
        </w:pBdr>
        <w:jc w:val="both"/>
        <w:rPr>
          <w:rFonts w:ascii="Arial" w:eastAsia="Arial" w:hAnsi="Arial" w:cs="Arial"/>
          <w:b/>
          <w:i/>
          <w:color w:val="252525"/>
          <w:highlight w:val="white"/>
        </w:rPr>
      </w:pPr>
      <w:r>
        <w:rPr>
          <w:rFonts w:ascii="Arial" w:eastAsia="Arial" w:hAnsi="Arial" w:cs="Arial"/>
          <w:b/>
          <w:i/>
          <w:color w:val="252525"/>
          <w:highlight w:val="white"/>
        </w:rPr>
        <w:t>Competitive Analysis:</w:t>
      </w:r>
    </w:p>
    <w:p w14:paraId="6D8E9482" w14:textId="77777777" w:rsidR="001F2A53" w:rsidRDefault="00000000">
      <w:pPr>
        <w:jc w:val="both"/>
        <w:rPr>
          <w:rFonts w:ascii="Arial" w:eastAsia="Arial" w:hAnsi="Arial" w:cs="Arial"/>
          <w:b/>
          <w:i/>
          <w:color w:val="252525"/>
          <w:highlight w:val="white"/>
        </w:rPr>
      </w:pPr>
      <w:r>
        <w:rPr>
          <w:rFonts w:ascii="Arial" w:eastAsia="Arial" w:hAnsi="Arial" w:cs="Arial"/>
        </w:rPr>
        <w:t>Even though it faces competition from other luxury hotels in Dubai and all over the world, the Burj Al Arab is able to maintain its position as the market leader. This is despite the fact that it is in direct competition with other hotels. This is because the Burj Al Arab possesses a particular architectural style (</w:t>
      </w:r>
      <w:r>
        <w:rPr>
          <w:rFonts w:ascii="Arial" w:eastAsia="Arial" w:hAnsi="Arial" w:cs="Arial"/>
          <w:color w:val="222222"/>
          <w:highlight w:val="white"/>
        </w:rPr>
        <w:t>Elsheshtawy 2004)</w:t>
      </w:r>
      <w:r>
        <w:rPr>
          <w:rFonts w:ascii="Arial" w:eastAsia="Arial" w:hAnsi="Arial" w:cs="Arial"/>
        </w:rPr>
        <w:t>, not only does it provide great customer service, but it also delivers amenities that are on the cutting edge of technology. It is because of this that the Burj Al Arab is able to maintain its status as the most successful hotel currently available on the market. It has also achieved the status of an iconic character and has amassed a large level of brand recognition (</w:t>
      </w:r>
      <w:r>
        <w:rPr>
          <w:rFonts w:ascii="Arial" w:eastAsia="Arial" w:hAnsi="Arial" w:cs="Arial"/>
          <w:color w:val="222222"/>
          <w:highlight w:val="white"/>
        </w:rPr>
        <w:t>Asfour 2007)</w:t>
      </w:r>
      <w:r>
        <w:rPr>
          <w:rFonts w:ascii="Arial" w:eastAsia="Arial" w:hAnsi="Arial" w:cs="Arial"/>
        </w:rPr>
        <w:t>, both of which are further aspects that distinguish it from the other choices that are available to it. In addition to this, it has become a figure that is considered to be iconic.</w:t>
      </w:r>
    </w:p>
    <w:p w14:paraId="11E41EFD" w14:textId="77777777" w:rsidR="001F2A53" w:rsidRDefault="00000000">
      <w:pPr>
        <w:numPr>
          <w:ilvl w:val="0"/>
          <w:numId w:val="2"/>
        </w:numPr>
        <w:pBdr>
          <w:top w:val="nil"/>
          <w:left w:val="nil"/>
          <w:bottom w:val="nil"/>
          <w:right w:val="nil"/>
          <w:between w:val="nil"/>
        </w:pBdr>
        <w:jc w:val="both"/>
        <w:rPr>
          <w:rFonts w:ascii="Arial" w:eastAsia="Arial" w:hAnsi="Arial" w:cs="Arial"/>
          <w:color w:val="252525"/>
          <w:highlight w:val="white"/>
        </w:rPr>
      </w:pPr>
      <w:r>
        <w:rPr>
          <w:rFonts w:ascii="Arial" w:eastAsia="Arial" w:hAnsi="Arial" w:cs="Arial"/>
          <w:b/>
          <w:i/>
          <w:color w:val="252525"/>
          <w:highlight w:val="white"/>
        </w:rPr>
        <w:t>Target Market Selection:</w:t>
      </w:r>
    </w:p>
    <w:p w14:paraId="778588C7" w14:textId="77777777" w:rsidR="001F2A53" w:rsidRDefault="00000000">
      <w:pPr>
        <w:jc w:val="both"/>
        <w:rPr>
          <w:rFonts w:ascii="Arial" w:eastAsia="Arial" w:hAnsi="Arial" w:cs="Arial"/>
        </w:rPr>
      </w:pPr>
      <w:r>
        <w:rPr>
          <w:rFonts w:ascii="Arial" w:eastAsia="Arial" w:hAnsi="Arial" w:cs="Arial"/>
        </w:rPr>
        <w:t>The hotel caters to a large number of high-net-worth individuals, celebrities, and wealthy tourists who are searching for an experience that is both luxurious and discrete. This audience is the target audience for the hotel. The organization's marketing operations are expressly intended to appeal to a particular demographic, among other things, and this audience is specifically targeted (</w:t>
      </w:r>
      <w:r>
        <w:rPr>
          <w:rFonts w:ascii="Arial" w:eastAsia="Arial" w:hAnsi="Arial" w:cs="Arial"/>
          <w:color w:val="222222"/>
          <w:highlight w:val="white"/>
        </w:rPr>
        <w:t>Steiner 2016)</w:t>
      </w:r>
      <w:r>
        <w:rPr>
          <w:rFonts w:ascii="Arial" w:eastAsia="Arial" w:hAnsi="Arial" w:cs="Arial"/>
        </w:rPr>
        <w:t>. Putting an emphasis on luxury, exclusivity, and individualized service is the means by which this objective is accomplished. Specifically, this particular group is the target audience for the organization's marketing efforts, which are geared toward them (</w:t>
      </w:r>
      <w:r>
        <w:rPr>
          <w:rFonts w:ascii="Arial" w:eastAsia="Arial" w:hAnsi="Arial" w:cs="Arial"/>
          <w:color w:val="222222"/>
          <w:highlight w:val="white"/>
        </w:rPr>
        <w:t>Franck 2016)</w:t>
      </w:r>
      <w:r>
        <w:rPr>
          <w:rFonts w:ascii="Arial" w:eastAsia="Arial" w:hAnsi="Arial" w:cs="Arial"/>
        </w:rPr>
        <w:t>.</w:t>
      </w:r>
    </w:p>
    <w:p w14:paraId="58DD3553" w14:textId="77777777" w:rsidR="001F2A53" w:rsidRDefault="00000000">
      <w:pPr>
        <w:numPr>
          <w:ilvl w:val="0"/>
          <w:numId w:val="2"/>
        </w:numPr>
        <w:pBdr>
          <w:top w:val="nil"/>
          <w:left w:val="nil"/>
          <w:bottom w:val="nil"/>
          <w:right w:val="nil"/>
          <w:between w:val="nil"/>
        </w:pBdr>
        <w:jc w:val="both"/>
        <w:rPr>
          <w:rFonts w:ascii="Arial" w:eastAsia="Arial" w:hAnsi="Arial" w:cs="Arial"/>
          <w:b/>
          <w:i/>
          <w:color w:val="252525"/>
          <w:highlight w:val="white"/>
        </w:rPr>
      </w:pPr>
      <w:r>
        <w:rPr>
          <w:rFonts w:ascii="Arial" w:eastAsia="Arial" w:hAnsi="Arial" w:cs="Arial"/>
          <w:b/>
          <w:i/>
          <w:color w:val="252525"/>
          <w:highlight w:val="white"/>
        </w:rPr>
        <w:t>Positioning Strategy:</w:t>
      </w:r>
    </w:p>
    <w:p w14:paraId="395394E2" w14:textId="77777777" w:rsidR="001F2A53" w:rsidRDefault="00000000">
      <w:pPr>
        <w:jc w:val="both"/>
        <w:rPr>
          <w:rFonts w:ascii="Arial" w:eastAsia="Arial" w:hAnsi="Arial" w:cs="Arial"/>
          <w:b/>
          <w:i/>
          <w:color w:val="252525"/>
          <w:highlight w:val="white"/>
        </w:rPr>
      </w:pPr>
      <w:r>
        <w:rPr>
          <w:rFonts w:ascii="Arial" w:eastAsia="Arial" w:hAnsi="Arial" w:cs="Arial"/>
        </w:rPr>
        <w:lastRenderedPageBreak/>
        <w:t>Visitors are treated with an experience that is unrivaled in its scope and surpasses their expectations when they are staying at the Burj Al Arab. This experience is delivered to them during their stay. Although it presents itself as the pinnacle of luxury and extravagance, the Burj Al Arab provides its visitors with an experience that is unsurpassed in terms of the breadth of its offerings (</w:t>
      </w:r>
      <w:r>
        <w:rPr>
          <w:rFonts w:ascii="Arial" w:eastAsia="Arial" w:hAnsi="Arial" w:cs="Arial"/>
          <w:color w:val="222222"/>
          <w:highlight w:val="white"/>
        </w:rPr>
        <w:t>Streimikiene  2020)</w:t>
      </w:r>
      <w:r>
        <w:rPr>
          <w:rFonts w:ascii="Arial" w:eastAsia="Arial" w:hAnsi="Arial" w:cs="Arial"/>
        </w:rPr>
        <w:t>. A number of factors contribute to the perception that the hotel is a symbol of grandeur and distinction. These factors include the hotel's world-class services, outstanding rooms, and breathtaking architecture. It is the collective effort of all of them that gives this impression. This perception is strengthened by the fact that both of these traits are present, which adds to both of these features (</w:t>
      </w:r>
      <w:r>
        <w:rPr>
          <w:rFonts w:ascii="Arial" w:eastAsia="Arial" w:hAnsi="Arial" w:cs="Arial"/>
          <w:color w:val="222222"/>
          <w:highlight w:val="white"/>
        </w:rPr>
        <w:t>Streimikiene 2020)</w:t>
      </w:r>
      <w:r>
        <w:rPr>
          <w:rFonts w:ascii="Arial" w:eastAsia="Arial" w:hAnsi="Arial" w:cs="Arial"/>
        </w:rPr>
        <w:t>. The presence of both of these features is evident.</w:t>
      </w:r>
    </w:p>
    <w:p w14:paraId="568372E0" w14:textId="77777777" w:rsidR="001F2A53" w:rsidRDefault="00000000">
      <w:pPr>
        <w:numPr>
          <w:ilvl w:val="0"/>
          <w:numId w:val="2"/>
        </w:numPr>
        <w:pBdr>
          <w:top w:val="nil"/>
          <w:left w:val="nil"/>
          <w:bottom w:val="nil"/>
          <w:right w:val="nil"/>
          <w:between w:val="nil"/>
        </w:pBdr>
        <w:jc w:val="both"/>
        <w:rPr>
          <w:rFonts w:ascii="Arial" w:eastAsia="Arial" w:hAnsi="Arial" w:cs="Arial"/>
          <w:b/>
          <w:i/>
          <w:color w:val="252525"/>
          <w:highlight w:val="white"/>
        </w:rPr>
      </w:pPr>
      <w:r>
        <w:rPr>
          <w:rFonts w:ascii="Arial" w:eastAsia="Arial" w:hAnsi="Arial" w:cs="Arial"/>
          <w:b/>
          <w:i/>
          <w:color w:val="252525"/>
          <w:highlight w:val="white"/>
        </w:rPr>
        <w:t>Marketing Mix Strategy:</w:t>
      </w:r>
    </w:p>
    <w:p w14:paraId="0BDACDE0" w14:textId="77777777" w:rsidR="001F2A53" w:rsidRDefault="00000000">
      <w:pPr>
        <w:jc w:val="both"/>
        <w:rPr>
          <w:rFonts w:ascii="Arial" w:eastAsia="Arial" w:hAnsi="Arial" w:cs="Arial"/>
          <w:b/>
          <w:i/>
          <w:color w:val="252525"/>
          <w:highlight w:val="white"/>
        </w:rPr>
      </w:pPr>
      <w:r>
        <w:rPr>
          <w:rFonts w:ascii="Arial" w:eastAsia="Arial" w:hAnsi="Arial" w:cs="Arial"/>
        </w:rPr>
        <w:t>It is the goal of the hotel to improve its capacity to communicate with the people it is attempting to attract, and in order to achieve this goal, the hotel employs a combination of traditional and digital marketing tactics (</w:t>
      </w:r>
      <w:r>
        <w:rPr>
          <w:rFonts w:ascii="Arial" w:eastAsia="Arial" w:hAnsi="Arial" w:cs="Arial"/>
          <w:color w:val="222222"/>
          <w:highlight w:val="white"/>
        </w:rPr>
        <w:t>Al-Kodmany 2012)</w:t>
      </w:r>
      <w:r>
        <w:rPr>
          <w:rFonts w:ascii="Arial" w:eastAsia="Arial" w:hAnsi="Arial" w:cs="Arial"/>
        </w:rPr>
        <w:t>. The purpose of this action is to accomplish the objective of achieving increased communication. For the purpose of ensuring that it continues to be a dominant participant in the luxury travel industry on a global scale, the Burj Al Arab makes use of a variety of various operational strategies (</w:t>
      </w:r>
      <w:r>
        <w:rPr>
          <w:rFonts w:ascii="Arial" w:eastAsia="Arial" w:hAnsi="Arial" w:cs="Arial"/>
          <w:color w:val="222222"/>
          <w:highlight w:val="white"/>
        </w:rPr>
        <w:t>Polly Jr 2009)</w:t>
      </w:r>
      <w:r>
        <w:rPr>
          <w:rFonts w:ascii="Arial" w:eastAsia="Arial" w:hAnsi="Arial" w:cs="Arial"/>
        </w:rPr>
        <w:t>. High-profile advertising campaigns and strategic relationships with companies that focus on luxury consumers are two examples of the strategies that fall under this category.</w:t>
      </w:r>
    </w:p>
    <w:p w14:paraId="6418BD53" w14:textId="77777777" w:rsidR="001F2A53" w:rsidRDefault="00000000">
      <w:pPr>
        <w:numPr>
          <w:ilvl w:val="0"/>
          <w:numId w:val="2"/>
        </w:numPr>
        <w:pBdr>
          <w:top w:val="nil"/>
          <w:left w:val="nil"/>
          <w:bottom w:val="nil"/>
          <w:right w:val="nil"/>
          <w:between w:val="nil"/>
        </w:pBdr>
        <w:jc w:val="both"/>
        <w:rPr>
          <w:rFonts w:ascii="Arial" w:eastAsia="Arial" w:hAnsi="Arial" w:cs="Arial"/>
          <w:b/>
          <w:i/>
          <w:color w:val="252525"/>
          <w:highlight w:val="white"/>
        </w:rPr>
      </w:pPr>
      <w:r>
        <w:rPr>
          <w:rFonts w:ascii="Arial" w:eastAsia="Arial" w:hAnsi="Arial" w:cs="Arial"/>
          <w:b/>
          <w:i/>
          <w:color w:val="252525"/>
          <w:highlight w:val="white"/>
        </w:rPr>
        <w:t>Resource Allocation:</w:t>
      </w:r>
    </w:p>
    <w:p w14:paraId="242406C6" w14:textId="77777777" w:rsidR="001F2A53" w:rsidRDefault="00000000">
      <w:pPr>
        <w:jc w:val="both"/>
        <w:rPr>
          <w:rFonts w:ascii="Arial" w:eastAsia="Arial" w:hAnsi="Arial" w:cs="Arial"/>
          <w:b/>
          <w:i/>
          <w:color w:val="252525"/>
          <w:highlight w:val="white"/>
        </w:rPr>
      </w:pPr>
      <w:r>
        <w:rPr>
          <w:rFonts w:ascii="Arial" w:eastAsia="Arial" w:hAnsi="Arial" w:cs="Arial"/>
        </w:rPr>
        <w:t>As part of its efforts to accomplish its purpose of providing an exceptional experience to its visitors, the hotel invests a large amount of money in the upkeep of its facilities, the training of its personnel, and the installation of novel software and technology solutions. This is done in order to meet its mission (</w:t>
      </w:r>
      <w:r>
        <w:rPr>
          <w:rFonts w:ascii="Arial" w:eastAsia="Arial" w:hAnsi="Arial" w:cs="Arial"/>
          <w:color w:val="222222"/>
          <w:highlight w:val="white"/>
        </w:rPr>
        <w:t>Bagaeen 2007)</w:t>
      </w:r>
      <w:r>
        <w:rPr>
          <w:rFonts w:ascii="Arial" w:eastAsia="Arial" w:hAnsi="Arial" w:cs="Arial"/>
        </w:rPr>
        <w:t>. The corporation sets a significant amount of focus on quality and innovation, respectively, in order to guarantee that each and every facet of the guest's stay is superior to what they had anticipated. To ensure that the guest's stay is remarkable in every respect (</w:t>
      </w:r>
      <w:r>
        <w:rPr>
          <w:rFonts w:ascii="Arial" w:eastAsia="Arial" w:hAnsi="Arial" w:cs="Arial"/>
          <w:color w:val="222222"/>
          <w:highlight w:val="white"/>
        </w:rPr>
        <w:t>Mohammed Rifai 2018)</w:t>
      </w:r>
      <w:r>
        <w:rPr>
          <w:rFonts w:ascii="Arial" w:eastAsia="Arial" w:hAnsi="Arial" w:cs="Arial"/>
        </w:rPr>
        <w:t>, this is done in order to assure that it will be. The reason for taking this action is to guarantee that the experience that is given is of the highest possible quality.</w:t>
      </w:r>
    </w:p>
    <w:p w14:paraId="1524A9CE" w14:textId="77777777" w:rsidR="001F2A53" w:rsidRDefault="00000000">
      <w:pPr>
        <w:numPr>
          <w:ilvl w:val="0"/>
          <w:numId w:val="2"/>
        </w:numPr>
        <w:pBdr>
          <w:top w:val="nil"/>
          <w:left w:val="nil"/>
          <w:bottom w:val="nil"/>
          <w:right w:val="nil"/>
          <w:between w:val="nil"/>
        </w:pBdr>
        <w:jc w:val="both"/>
        <w:rPr>
          <w:rFonts w:ascii="Arial" w:eastAsia="Arial" w:hAnsi="Arial" w:cs="Arial"/>
          <w:b/>
          <w:i/>
          <w:color w:val="252525"/>
          <w:highlight w:val="white"/>
        </w:rPr>
      </w:pPr>
      <w:r>
        <w:rPr>
          <w:rFonts w:ascii="Arial" w:eastAsia="Arial" w:hAnsi="Arial" w:cs="Arial"/>
          <w:b/>
          <w:i/>
          <w:color w:val="252525"/>
          <w:highlight w:val="white"/>
        </w:rPr>
        <w:t>Implementation Plan:</w:t>
      </w:r>
    </w:p>
    <w:p w14:paraId="3A930F70" w14:textId="77777777" w:rsidR="001F2A53" w:rsidRDefault="00000000">
      <w:pPr>
        <w:jc w:val="both"/>
        <w:rPr>
          <w:rFonts w:ascii="Arial" w:eastAsia="Arial" w:hAnsi="Arial" w:cs="Arial"/>
          <w:b/>
          <w:i/>
          <w:color w:val="252525"/>
          <w:highlight w:val="white"/>
        </w:rPr>
      </w:pPr>
      <w:r>
        <w:rPr>
          <w:rFonts w:ascii="Arial" w:eastAsia="Arial" w:hAnsi="Arial" w:cs="Arial"/>
        </w:rPr>
        <w:t>The Burj Al Arab executes its marketing and operational plans with precision, making use of its strong staff and strategic contacts, to ensure guests receive exceptional service and memorable experiences, the hotel aims to offer unforgettable experiences, as noted by El-Khatib(2020). Consequently, the hotel can exceed guests' expectations. This is done in accordance with the aforementioned circumstances to ensure guests have unforgettable experiences. As a consequence of this, the hotel is in a position to provide its guests with experiences that they will never forget. It is recommended that training and performance evaluations be carried out on a consistent basis in order to encourage the maintenance of quality and consistency throughout the entirety of the company including all of its departments (</w:t>
      </w:r>
      <w:r>
        <w:rPr>
          <w:rFonts w:ascii="Arial" w:eastAsia="Arial" w:hAnsi="Arial" w:cs="Arial"/>
          <w:color w:val="222222"/>
          <w:highlight w:val="white"/>
        </w:rPr>
        <w:t>SERAG 2012)</w:t>
      </w:r>
      <w:r>
        <w:rPr>
          <w:rFonts w:ascii="Arial" w:eastAsia="Arial" w:hAnsi="Arial" w:cs="Arial"/>
        </w:rPr>
        <w:t>. The deployment of this will make it easier to maintain quality and consistency due to the fact that it will facilitate these processes.</w:t>
      </w:r>
    </w:p>
    <w:p w14:paraId="36C42018" w14:textId="77777777" w:rsidR="001F2A53" w:rsidRDefault="00000000">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b/>
          <w:i/>
          <w:color w:val="252525"/>
          <w:highlight w:val="white"/>
        </w:rPr>
        <w:t>Monitoring and Control:</w:t>
      </w:r>
    </w:p>
    <w:p w14:paraId="1D0FFB7B" w14:textId="77777777" w:rsidR="001F2A53" w:rsidRDefault="00000000">
      <w:pPr>
        <w:jc w:val="both"/>
        <w:rPr>
          <w:rFonts w:ascii="Arial" w:eastAsia="Arial" w:hAnsi="Arial" w:cs="Arial"/>
        </w:rPr>
      </w:pPr>
      <w:r>
        <w:rPr>
          <w:rFonts w:ascii="Arial" w:eastAsia="Arial" w:hAnsi="Arial" w:cs="Arial"/>
        </w:rPr>
        <w:lastRenderedPageBreak/>
        <w:t>The Burj Al Arab is able to quickly respond to changing demands and keep its advantage over its competitors because it routinely monitors the input from guests, trends in the market, and strategies that are followed by competitors. This allows the Burj Al Arab to maintain its advantage over its competitors (</w:t>
      </w:r>
      <w:r>
        <w:rPr>
          <w:rFonts w:ascii="Arial" w:eastAsia="Arial" w:hAnsi="Arial" w:cs="Arial"/>
          <w:color w:val="222222"/>
          <w:highlight w:val="white"/>
        </w:rPr>
        <w:t>Irazábal and Byrum 2010)</w:t>
      </w:r>
      <w:r>
        <w:rPr>
          <w:rFonts w:ascii="Arial" w:eastAsia="Arial" w:hAnsi="Arial" w:cs="Arial"/>
        </w:rPr>
        <w:t>. Taking all of this into consideration, it is evident that the Burj Al Arab is able to continue to hold the position of leader among its competitors. It is possible to ensure that standards are maintained and that any problems are resolved as promptly as possible by implementing stringent quality control systems (</w:t>
      </w:r>
      <w:r>
        <w:rPr>
          <w:rFonts w:ascii="Arial" w:eastAsia="Arial" w:hAnsi="Arial" w:cs="Arial"/>
          <w:color w:val="222222"/>
          <w:highlight w:val="white"/>
        </w:rPr>
        <w:t>Hawker 2002)</w:t>
      </w:r>
      <w:r>
        <w:rPr>
          <w:rFonts w:ascii="Arial" w:eastAsia="Arial" w:hAnsi="Arial" w:cs="Arial"/>
        </w:rPr>
        <w:t>. This is something that can be guaranteed. It is a viable alternative to consider. There exists a possibility that this will take place.</w:t>
      </w:r>
    </w:p>
    <w:p w14:paraId="092F7175" w14:textId="77777777" w:rsidR="001F2A53" w:rsidRDefault="00000000">
      <w:pPr>
        <w:jc w:val="center"/>
        <w:rPr>
          <w:rFonts w:ascii="Arial" w:eastAsia="Arial" w:hAnsi="Arial" w:cs="Arial"/>
        </w:rPr>
      </w:pPr>
      <w:r>
        <w:rPr>
          <w:noProof/>
        </w:rPr>
        <w:drawing>
          <wp:inline distT="0" distB="0" distL="0" distR="0" wp14:anchorId="732BADEC" wp14:editId="6DBC2B3F">
            <wp:extent cx="5116195" cy="2552700"/>
            <wp:effectExtent l="38100" t="38100" r="38100" b="38100"/>
            <wp:docPr id="21" name="image2.png" descr="Kotter's 8 Step Change Model Templates"/>
            <wp:cNvGraphicFramePr/>
            <a:graphic xmlns:a="http://schemas.openxmlformats.org/drawingml/2006/main">
              <a:graphicData uri="http://schemas.openxmlformats.org/drawingml/2006/picture">
                <pic:pic xmlns:pic="http://schemas.openxmlformats.org/drawingml/2006/picture">
                  <pic:nvPicPr>
                    <pic:cNvPr id="0" name="image2.png" descr="Kotter's 8 Step Change Model Templates"/>
                    <pic:cNvPicPr preferRelativeResize="0"/>
                  </pic:nvPicPr>
                  <pic:blipFill>
                    <a:blip r:embed="rId6"/>
                    <a:srcRect/>
                    <a:stretch>
                      <a:fillRect/>
                    </a:stretch>
                  </pic:blipFill>
                  <pic:spPr>
                    <a:xfrm>
                      <a:off x="0" y="0"/>
                      <a:ext cx="5116195" cy="2552700"/>
                    </a:xfrm>
                    <a:prstGeom prst="rect">
                      <a:avLst/>
                    </a:prstGeom>
                    <a:ln w="38100">
                      <a:solidFill>
                        <a:srgbClr val="000000"/>
                      </a:solidFill>
                      <a:prstDash val="solid"/>
                    </a:ln>
                  </pic:spPr>
                </pic:pic>
              </a:graphicData>
            </a:graphic>
          </wp:inline>
        </w:drawing>
      </w:r>
      <w:r>
        <w:rPr>
          <w:noProof/>
        </w:rPr>
        <mc:AlternateContent>
          <mc:Choice Requires="wps">
            <w:drawing>
              <wp:anchor distT="0" distB="0" distL="114300" distR="114300" simplePos="0" relativeHeight="251659264" behindDoc="0" locked="0" layoutInCell="1" hidden="0" allowOverlap="1" wp14:anchorId="66D3FB1B" wp14:editId="6D553850">
                <wp:simplePos x="0" y="0"/>
                <wp:positionH relativeFrom="column">
                  <wp:posOffset>533400</wp:posOffset>
                </wp:positionH>
                <wp:positionV relativeFrom="paragraph">
                  <wp:posOffset>2108200</wp:posOffset>
                </wp:positionV>
                <wp:extent cx="5053965" cy="2131695"/>
                <wp:effectExtent l="0" t="0" r="0" b="0"/>
                <wp:wrapNone/>
                <wp:docPr id="19" name="Freeform: Shape 19"/>
                <wp:cNvGraphicFramePr/>
                <a:graphic xmlns:a="http://schemas.openxmlformats.org/drawingml/2006/main">
                  <a:graphicData uri="http://schemas.microsoft.com/office/word/2010/wordprocessingShape">
                    <wps:wsp>
                      <wps:cNvSpPr/>
                      <wps:spPr>
                        <a:xfrm>
                          <a:off x="2831718" y="2726853"/>
                          <a:ext cx="5028565" cy="2106295"/>
                        </a:xfrm>
                        <a:custGeom>
                          <a:avLst/>
                          <a:gdLst/>
                          <a:ahLst/>
                          <a:cxnLst/>
                          <a:rect l="l" t="t" r="r" b="b"/>
                          <a:pathLst>
                            <a:path w="5028565" h="2106295" extrusionOk="0">
                              <a:moveTo>
                                <a:pt x="666536" y="805447"/>
                              </a:moveTo>
                              <a:lnTo>
                                <a:pt x="4362029" y="805447"/>
                              </a:lnTo>
                              <a:lnTo>
                                <a:pt x="4362029" y="1300848"/>
                              </a:lnTo>
                              <a:lnTo>
                                <a:pt x="666536" y="1300848"/>
                              </a:lnTo>
                              <a:lnTo>
                                <a:pt x="666536" y="805447"/>
                              </a:lnTo>
                              <a:close/>
                            </a:path>
                          </a:pathLst>
                        </a:custGeom>
                        <a:solidFill>
                          <a:srgbClr val="4F81BD"/>
                        </a:solidFill>
                        <a:ln w="25400" cap="flat" cmpd="sng">
                          <a:solidFill>
                            <a:srgbClr val="385D8A"/>
                          </a:solidFill>
                          <a:prstDash val="solid"/>
                          <a:miter lim="8000"/>
                          <a:headEnd type="none" w="sm" len="sm"/>
                          <a:tailEnd type="none" w="sm" len="sm"/>
                        </a:ln>
                      </wps:spPr>
                      <wps:txbx>
                        <w:txbxContent>
                          <w:p w14:paraId="25671571" w14:textId="77777777" w:rsidR="001F2A53" w:rsidRDefault="00000000">
                            <w:pPr>
                              <w:spacing w:line="275" w:lineRule="auto"/>
                              <w:jc w:val="center"/>
                              <w:textDirection w:val="btLr"/>
                            </w:pPr>
                            <w:r>
                              <w:rPr>
                                <w:rFonts w:ascii="Arial" w:eastAsia="Arial" w:hAnsi="Arial" w:cs="Arial"/>
                                <w:b/>
                                <w:i/>
                                <w:color w:val="000000"/>
                                <w:sz w:val="20"/>
                              </w:rPr>
                              <w:t>FIG 01: Kotter’s 8 Step Change Model (5 January 2023)</w:t>
                            </w:r>
                          </w:p>
                          <w:p w14:paraId="7EAE59C7" w14:textId="77777777" w:rsidR="001F2A53" w:rsidRDefault="001F2A53">
                            <w:pPr>
                              <w:spacing w:line="275" w:lineRule="auto"/>
                              <w:jc w:val="center"/>
                              <w:textDirection w:val="btLr"/>
                            </w:pPr>
                          </w:p>
                        </w:txbxContent>
                      </wps:txbx>
                      <wps:bodyPr spcFirstLastPara="1" wrap="square" lIns="114300" tIns="0" rIns="114300" bIns="0" anchor="ctr" anchorCtr="0">
                        <a:noAutofit/>
                      </wps:bodyPr>
                    </wps:wsp>
                  </a:graphicData>
                </a:graphic>
              </wp:anchor>
            </w:drawing>
          </mc:Choice>
          <mc:Fallback>
            <w:pict>
              <v:shape w14:anchorId="66D3FB1B" id="Freeform: Shape 19" o:spid="_x0000_s1031" style="position:absolute;left:0;text-align:left;margin-left:42pt;margin-top:166pt;width:397.95pt;height:167.8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5028565,21062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" adj="-11796480,,5400" path="m666536,805447r3695493,l4362029,1300848r-3695493,l666536,805447xe" fillcolor="#4f81bd" strokecolor="#385d8a" strokeweight="2pt">
                <v:stroke startarrowwidth="narrow" startarrowlength="short" endarrowwidth="narrow" endarrowlength="short" miterlimit="5243f" joinstyle="miter"/>
                <v:formulas/>
                <v:path arrowok="t" o:extrusionok="f" o:connecttype="custom" textboxrect="0,0,5028565,2106295"/>
                <v:textbox inset="9pt,0,9pt,0">
                  <w:txbxContent>
                    <w:p w14:paraId="25671571" w14:textId="77777777" w:rsidR="001F2A53" w:rsidRDefault="00000000">
                      <w:pPr>
                        <w:spacing w:line="275" w:lineRule="auto"/>
                        <w:jc w:val="center"/>
                        <w:textDirection w:val="btLr"/>
                      </w:pPr>
                      <w:r>
                        <w:rPr>
                          <w:rFonts w:ascii="Arial" w:eastAsia="Arial" w:hAnsi="Arial" w:cs="Arial"/>
                          <w:b/>
                          <w:i/>
                          <w:color w:val="000000"/>
                          <w:sz w:val="20"/>
                        </w:rPr>
                        <w:t>FIG 01: Kotter’s 8 Step Change Model (5 January 2023)</w:t>
                      </w:r>
                    </w:p>
                    <w:p w14:paraId="7EAE59C7" w14:textId="77777777" w:rsidR="001F2A53" w:rsidRDefault="001F2A53">
                      <w:pPr>
                        <w:spacing w:line="275" w:lineRule="auto"/>
                        <w:jc w:val="center"/>
                        <w:textDirection w:val="btLr"/>
                      </w:pPr>
                    </w:p>
                  </w:txbxContent>
                </v:textbox>
              </v:shape>
            </w:pict>
          </mc:Fallback>
        </mc:AlternateContent>
      </w:r>
    </w:p>
    <w:p w14:paraId="7C204BD3" w14:textId="77777777" w:rsidR="001F2A53" w:rsidRDefault="001F2A53">
      <w:pPr>
        <w:pStyle w:val="Heading2"/>
        <w:rPr>
          <w:i/>
          <w:color w:val="000000"/>
        </w:rPr>
      </w:pPr>
      <w:bookmarkStart w:id="4" w:name="_heading=h.2et92p0" w:colFirst="0" w:colLast="0"/>
      <w:bookmarkEnd w:id="4"/>
    </w:p>
    <w:p w14:paraId="7E09D1F0" w14:textId="77777777" w:rsidR="001F2A53" w:rsidRDefault="001F2A53">
      <w:pPr>
        <w:pStyle w:val="Heading2"/>
        <w:rPr>
          <w:i/>
          <w:color w:val="000000"/>
        </w:rPr>
      </w:pPr>
    </w:p>
    <w:p w14:paraId="59C7E0CB" w14:textId="77777777" w:rsidR="001F2A53" w:rsidRDefault="00000000">
      <w:pPr>
        <w:pStyle w:val="Heading2"/>
        <w:rPr>
          <w:i/>
          <w:color w:val="000000"/>
        </w:rPr>
      </w:pPr>
      <w:r>
        <w:rPr>
          <w:i/>
          <w:color w:val="000000"/>
        </w:rPr>
        <w:t>Lewin's 3-Stage Freeze, Change, Unfreeze Model Analysis:</w:t>
      </w:r>
      <w:r>
        <w:rPr>
          <w:i/>
          <w:color w:val="000000"/>
        </w:rPr>
        <w:tab/>
      </w:r>
    </w:p>
    <w:p w14:paraId="6407A848" w14:textId="77777777" w:rsidR="001F2A53" w:rsidRDefault="00000000">
      <w:pPr>
        <w:numPr>
          <w:ilvl w:val="0"/>
          <w:numId w:val="1"/>
        </w:numPr>
        <w:pBdr>
          <w:top w:val="nil"/>
          <w:left w:val="nil"/>
          <w:bottom w:val="nil"/>
          <w:right w:val="nil"/>
          <w:between w:val="nil"/>
        </w:pBdr>
        <w:jc w:val="both"/>
        <w:rPr>
          <w:rFonts w:ascii="Arial" w:eastAsia="Arial" w:hAnsi="Arial" w:cs="Arial"/>
          <w:b/>
          <w:i/>
          <w:color w:val="000000"/>
        </w:rPr>
      </w:pPr>
      <w:r>
        <w:rPr>
          <w:rFonts w:ascii="Arial" w:eastAsia="Arial" w:hAnsi="Arial" w:cs="Arial"/>
          <w:b/>
          <w:i/>
          <w:color w:val="000000"/>
        </w:rPr>
        <w:t>Freeze Phase:</w:t>
      </w:r>
      <w:r>
        <w:rPr>
          <w:rFonts w:ascii="Arial" w:eastAsia="Arial" w:hAnsi="Arial" w:cs="Arial"/>
          <w:b/>
          <w:i/>
          <w:color w:val="000000"/>
        </w:rPr>
        <w:tab/>
      </w:r>
    </w:p>
    <w:p w14:paraId="14CFB883" w14:textId="77777777" w:rsidR="001F2A53" w:rsidRDefault="00000000">
      <w:pPr>
        <w:jc w:val="both"/>
        <w:rPr>
          <w:rFonts w:ascii="Arial" w:eastAsia="Arial" w:hAnsi="Arial" w:cs="Arial"/>
        </w:rPr>
      </w:pPr>
      <w:r>
        <w:rPr>
          <w:rFonts w:ascii="Arial" w:eastAsia="Arial" w:hAnsi="Arial" w:cs="Arial"/>
        </w:rPr>
        <w:t>While this part of the project is now being carried out, the Burj Al Arab will perform an examination of the organizational structure, culture (</w:t>
      </w:r>
      <w:r>
        <w:rPr>
          <w:rFonts w:ascii="Arial" w:eastAsia="Arial" w:hAnsi="Arial" w:cs="Arial"/>
          <w:color w:val="222222"/>
          <w:highlight w:val="white"/>
        </w:rPr>
        <w:t>Turk and Walters 2003)</w:t>
      </w:r>
      <w:r>
        <w:rPr>
          <w:rFonts w:ascii="Arial" w:eastAsia="Arial" w:hAnsi="Arial" w:cs="Arial"/>
        </w:rPr>
        <w:t>, and procedures that are already in place inside the walls of the hotel. This analysis will take place. Today is the day that this probe will take place. In a market that is subject to a continuous process of change, it draws attention to areas that need to be updated in order to maintain relevance because of the constant process of change. This is because the market is prone to change. This is due to the fact that the market in question is susceptible to change. To provide a more concrete example (</w:t>
      </w:r>
      <w:r>
        <w:rPr>
          <w:rFonts w:ascii="Arial" w:eastAsia="Arial" w:hAnsi="Arial" w:cs="Arial"/>
          <w:color w:val="222222"/>
          <w:highlight w:val="white"/>
        </w:rPr>
        <w:t>Safari and Souk 1992)</w:t>
      </w:r>
      <w:r>
        <w:rPr>
          <w:rFonts w:ascii="Arial" w:eastAsia="Arial" w:hAnsi="Arial" w:cs="Arial"/>
        </w:rPr>
        <w:t>, it concentrates on areas that need to be improved and draws attention to the components that are in need of adjustment.</w:t>
      </w:r>
    </w:p>
    <w:p w14:paraId="7FE631B5" w14:textId="77777777" w:rsidR="001F2A53" w:rsidRDefault="00000000">
      <w:pPr>
        <w:numPr>
          <w:ilvl w:val="0"/>
          <w:numId w:val="1"/>
        </w:numPr>
        <w:pBdr>
          <w:top w:val="nil"/>
          <w:left w:val="nil"/>
          <w:bottom w:val="nil"/>
          <w:right w:val="nil"/>
          <w:between w:val="nil"/>
        </w:pBdr>
        <w:jc w:val="both"/>
        <w:rPr>
          <w:rFonts w:ascii="Arial" w:eastAsia="Arial" w:hAnsi="Arial" w:cs="Arial"/>
          <w:b/>
          <w:i/>
          <w:color w:val="000000"/>
        </w:rPr>
      </w:pPr>
      <w:r>
        <w:rPr>
          <w:rFonts w:ascii="Arial" w:eastAsia="Arial" w:hAnsi="Arial" w:cs="Arial"/>
          <w:b/>
          <w:i/>
          <w:color w:val="000000"/>
        </w:rPr>
        <w:t>Change Phase:</w:t>
      </w:r>
      <w:r>
        <w:rPr>
          <w:rFonts w:ascii="Arial" w:eastAsia="Arial" w:hAnsi="Arial" w:cs="Arial"/>
          <w:b/>
          <w:i/>
          <w:color w:val="000000"/>
        </w:rPr>
        <w:tab/>
      </w:r>
    </w:p>
    <w:p w14:paraId="3D0DEED4" w14:textId="77777777" w:rsidR="001F2A53" w:rsidRDefault="00000000">
      <w:pPr>
        <w:jc w:val="both"/>
        <w:rPr>
          <w:rFonts w:ascii="Arial" w:eastAsia="Arial" w:hAnsi="Arial" w:cs="Arial"/>
        </w:rPr>
      </w:pPr>
      <w:r>
        <w:rPr>
          <w:rFonts w:ascii="Arial" w:eastAsia="Arial" w:hAnsi="Arial" w:cs="Arial"/>
        </w:rPr>
        <w:t xml:space="preserve">During this phase, the hotel will implement new solutions in order to solve the issues that have been recognized as having the potential to be improved in particular areas. These issues have been identified as having such potential improvements. It has been determined that these problems have the potential to be solved after being discovered. In order to handle the problems that have been discovered in a more effective manner, it will be feasible to do so by </w:t>
      </w:r>
      <w:r>
        <w:rPr>
          <w:rFonts w:ascii="Arial" w:eastAsia="Arial" w:hAnsi="Arial" w:cs="Arial"/>
        </w:rPr>
        <w:lastRenderedPageBreak/>
        <w:t>concentrating on these areas (</w:t>
      </w:r>
      <w:r>
        <w:rPr>
          <w:rFonts w:ascii="Arial" w:eastAsia="Arial" w:hAnsi="Arial" w:cs="Arial"/>
          <w:color w:val="222222"/>
          <w:highlight w:val="white"/>
        </w:rPr>
        <w:t>Ponzini eds 2019)</w:t>
      </w:r>
      <w:r>
        <w:rPr>
          <w:rFonts w:ascii="Arial" w:eastAsia="Arial" w:hAnsi="Arial" w:cs="Arial"/>
        </w:rPr>
        <w:t>, which will be addressed more in the future. The enhancement of technology integration, the expansion of activities that are related to sustainability, the diversification of target markets, and the investment in programs that are geared at developing talent are some of the problems that are discussed in this area where there is a lot of discussion (</w:t>
      </w:r>
      <w:r>
        <w:rPr>
          <w:rFonts w:ascii="Arial" w:eastAsia="Arial" w:hAnsi="Arial" w:cs="Arial"/>
          <w:color w:val="222222"/>
          <w:highlight w:val="white"/>
        </w:rPr>
        <w:t>DAMLUJI 1999)</w:t>
      </w:r>
      <w:r>
        <w:rPr>
          <w:rFonts w:ascii="Arial" w:eastAsia="Arial" w:hAnsi="Arial" w:cs="Arial"/>
        </w:rPr>
        <w:t>. This area is where each and every one of these topics is explored. These are only some of the many subjects that are covered in the article; there are other issues as well. Other objects that are included in this section include the following:.</w:t>
      </w:r>
    </w:p>
    <w:p w14:paraId="5A902171" w14:textId="77777777" w:rsidR="001F2A53" w:rsidRDefault="0000000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b/>
          <w:i/>
          <w:color w:val="000000"/>
        </w:rPr>
        <w:t>Unfreeze Phase:</w:t>
      </w:r>
      <w:r>
        <w:rPr>
          <w:rFonts w:ascii="Arial" w:eastAsia="Arial" w:hAnsi="Arial" w:cs="Arial"/>
          <w:color w:val="000000"/>
        </w:rPr>
        <w:tab/>
      </w:r>
    </w:p>
    <w:p w14:paraId="665FD180" w14:textId="77777777" w:rsidR="001F2A53" w:rsidRDefault="00000000">
      <w:pPr>
        <w:jc w:val="both"/>
        <w:rPr>
          <w:rFonts w:ascii="Arial" w:eastAsia="Arial" w:hAnsi="Arial" w:cs="Arial"/>
        </w:rPr>
      </w:pPr>
      <w:r>
        <w:rPr>
          <w:rFonts w:ascii="Arial" w:eastAsia="Arial" w:hAnsi="Arial" w:cs="Arial"/>
        </w:rPr>
        <w:t>Over the course of this period of time, which is commonly referred to as "unfreeze," the hotel makes an effort to cultivate a culture of openness and adaptability among its human resources personnel (</w:t>
      </w:r>
      <w:r>
        <w:rPr>
          <w:rFonts w:ascii="Arial" w:eastAsia="Arial" w:hAnsi="Arial" w:cs="Arial"/>
          <w:color w:val="222222"/>
          <w:highlight w:val="white"/>
        </w:rPr>
        <w:t>Petti 2008)</w:t>
      </w:r>
      <w:r>
        <w:rPr>
          <w:rFonts w:ascii="Arial" w:eastAsia="Arial" w:hAnsi="Arial" w:cs="Arial"/>
        </w:rPr>
        <w:t>. The explanation that lies behind the modifications that are being suggested is presented to the staff members of the hotel on a consistent basis in order to ensure that they are able to comprehend the rationale that lies behind the adjustments. In order to guarantee that the transition is carried out without any problems, a significant amount of training and help is made available to the persons who are participating in the process. In addition, performance indicators are developed in order to conduct an analysis of the degree to which the alterations that have been done have been successful overall.</w:t>
      </w:r>
      <w:r>
        <w:rPr>
          <w:rFonts w:ascii="Arial" w:eastAsia="Arial" w:hAnsi="Arial" w:cs="Arial"/>
        </w:rPr>
        <w:br/>
      </w:r>
      <w:r>
        <w:rPr>
          <w:rFonts w:ascii="Arial" w:eastAsia="Arial" w:hAnsi="Arial" w:cs="Arial"/>
        </w:rPr>
        <w:br/>
        <w:t>The Burj Al Arab is able to anticipate opportunities for expansion (</w:t>
      </w:r>
      <w:r>
        <w:rPr>
          <w:rFonts w:ascii="Arial" w:eastAsia="Arial" w:hAnsi="Arial" w:cs="Arial"/>
          <w:color w:val="222222"/>
          <w:highlight w:val="white"/>
        </w:rPr>
        <w:t>Shareef 2018)</w:t>
      </w:r>
      <w:r>
        <w:rPr>
          <w:rFonts w:ascii="Arial" w:eastAsia="Arial" w:hAnsi="Arial" w:cs="Arial"/>
        </w:rPr>
        <w:t>, put into action plans for change that have been successfully implemented, and continue to maintain its position as a global leader in luxury hospitality over the course of many years by utilizing a combination of Kotler's 8-step framework and Lewin's 3-stage model over the course of many years. The employment of a combined study is what allows for all of this to be performed (</w:t>
      </w:r>
      <w:r>
        <w:rPr>
          <w:rFonts w:ascii="Arial" w:eastAsia="Arial" w:hAnsi="Arial" w:cs="Arial"/>
          <w:color w:val="222222"/>
          <w:highlight w:val="white"/>
        </w:rPr>
        <w:t>Alotaibi and Sinclair 2015)</w:t>
      </w:r>
      <w:r>
        <w:rPr>
          <w:rFonts w:ascii="Arial" w:eastAsia="Arial" w:hAnsi="Arial" w:cs="Arial"/>
        </w:rPr>
        <w:t>. The fact that all of this is able to be accomplished through the utilization of a mix of these two models is what makes it conceivable. The Burj Al Arab’s capability to precisely evaluate its potential for growth that it possesses makes it possible for this to be accomplished. This is something that can be done.</w:t>
      </w:r>
    </w:p>
    <w:p w14:paraId="04F51975" w14:textId="77777777" w:rsidR="001F2A53" w:rsidRDefault="00000000">
      <w:pPr>
        <w:jc w:val="center"/>
        <w:rPr>
          <w:rFonts w:ascii="Arial" w:eastAsia="Arial" w:hAnsi="Arial" w:cs="Arial"/>
        </w:rPr>
      </w:pPr>
      <w:r>
        <w:rPr>
          <w:noProof/>
        </w:rPr>
        <w:drawing>
          <wp:inline distT="0" distB="0" distL="0" distR="0" wp14:anchorId="795E386A" wp14:editId="2EA73551">
            <wp:extent cx="4343400" cy="2840990"/>
            <wp:effectExtent l="38100" t="38100" r="38100" b="38100"/>
            <wp:docPr id="22" name="image1.png" descr="Lewin's 3 Stage Model of Change Explained – BMC Software | Blogs"/>
            <wp:cNvGraphicFramePr/>
            <a:graphic xmlns:a="http://schemas.openxmlformats.org/drawingml/2006/main">
              <a:graphicData uri="http://schemas.openxmlformats.org/drawingml/2006/picture">
                <pic:pic xmlns:pic="http://schemas.openxmlformats.org/drawingml/2006/picture">
                  <pic:nvPicPr>
                    <pic:cNvPr id="0" name="image1.png" descr="Lewin's 3 Stage Model of Change Explained – BMC Software | Blogs"/>
                    <pic:cNvPicPr preferRelativeResize="0"/>
                  </pic:nvPicPr>
                  <pic:blipFill>
                    <a:blip r:embed="rId7"/>
                    <a:srcRect l="622" r="1"/>
                    <a:stretch>
                      <a:fillRect/>
                    </a:stretch>
                  </pic:blipFill>
                  <pic:spPr>
                    <a:xfrm>
                      <a:off x="0" y="0"/>
                      <a:ext cx="4343400" cy="2840990"/>
                    </a:xfrm>
                    <a:prstGeom prst="rect">
                      <a:avLst/>
                    </a:prstGeom>
                    <a:ln w="38100">
                      <a:solidFill>
                        <a:srgbClr val="000000"/>
                      </a:solidFill>
                      <a:prstDash val="solid"/>
                    </a:ln>
                  </pic:spPr>
                </pic:pic>
              </a:graphicData>
            </a:graphic>
          </wp:inline>
        </w:drawing>
      </w:r>
      <w:r>
        <w:rPr>
          <w:noProof/>
        </w:rPr>
        <mc:AlternateContent>
          <mc:Choice Requires="wps">
            <w:drawing>
              <wp:anchor distT="0" distB="0" distL="114300" distR="114300" simplePos="0" relativeHeight="251660288" behindDoc="0" locked="0" layoutInCell="1" hidden="0" allowOverlap="1" wp14:anchorId="5FB5332C" wp14:editId="45791B84">
                <wp:simplePos x="0" y="0"/>
                <wp:positionH relativeFrom="column">
                  <wp:posOffset>1143000</wp:posOffset>
                </wp:positionH>
                <wp:positionV relativeFrom="paragraph">
                  <wp:posOffset>2374900</wp:posOffset>
                </wp:positionV>
                <wp:extent cx="3726180" cy="2229485"/>
                <wp:effectExtent l="0" t="0" r="0" b="0"/>
                <wp:wrapNone/>
                <wp:docPr id="17" name="Freeform: Shape 17"/>
                <wp:cNvGraphicFramePr/>
                <a:graphic xmlns:a="http://schemas.openxmlformats.org/drawingml/2006/main">
                  <a:graphicData uri="http://schemas.microsoft.com/office/word/2010/wordprocessingShape">
                    <wps:wsp>
                      <wps:cNvSpPr/>
                      <wps:spPr>
                        <a:xfrm>
                          <a:off x="3495610" y="2677958"/>
                          <a:ext cx="3700780" cy="2204085"/>
                        </a:xfrm>
                        <a:custGeom>
                          <a:avLst/>
                          <a:gdLst/>
                          <a:ahLst/>
                          <a:cxnLst/>
                          <a:rect l="l" t="t" r="r" b="b"/>
                          <a:pathLst>
                            <a:path w="3700780" h="2204085" extrusionOk="0">
                              <a:moveTo>
                                <a:pt x="490538" y="842842"/>
                              </a:moveTo>
                              <a:lnTo>
                                <a:pt x="3210242" y="842842"/>
                              </a:lnTo>
                              <a:lnTo>
                                <a:pt x="3210242" y="1361243"/>
                              </a:lnTo>
                              <a:lnTo>
                                <a:pt x="490538" y="1361243"/>
                              </a:lnTo>
                              <a:lnTo>
                                <a:pt x="490538" y="842842"/>
                              </a:lnTo>
                              <a:close/>
                            </a:path>
                          </a:pathLst>
                        </a:custGeom>
                        <a:solidFill>
                          <a:srgbClr val="4F81BD"/>
                        </a:solidFill>
                        <a:ln w="25400" cap="flat" cmpd="sng">
                          <a:solidFill>
                            <a:srgbClr val="385D8A"/>
                          </a:solidFill>
                          <a:prstDash val="solid"/>
                          <a:miter lim="8000"/>
                          <a:headEnd type="none" w="sm" len="sm"/>
                          <a:tailEnd type="none" w="sm" len="sm"/>
                        </a:ln>
                      </wps:spPr>
                      <wps:txbx>
                        <w:txbxContent>
                          <w:p w14:paraId="68EC1678" w14:textId="77777777" w:rsidR="001F2A53" w:rsidRDefault="00000000">
                            <w:pPr>
                              <w:spacing w:line="275" w:lineRule="auto"/>
                              <w:jc w:val="center"/>
                              <w:textDirection w:val="btLr"/>
                            </w:pPr>
                            <w:r>
                              <w:rPr>
                                <w:rFonts w:ascii="Arial" w:eastAsia="Arial" w:hAnsi="Arial" w:cs="Arial"/>
                                <w:b/>
                                <w:i/>
                                <w:color w:val="000000"/>
                                <w:sz w:val="14"/>
                              </w:rPr>
                              <w:t>FIG 02: Unfreeze, Change, Freeze</w:t>
                            </w:r>
                          </w:p>
                          <w:p w14:paraId="4426F155" w14:textId="77777777" w:rsidR="001F2A53" w:rsidRDefault="00000000">
                            <w:pPr>
                              <w:spacing w:line="275" w:lineRule="auto"/>
                              <w:jc w:val="center"/>
                              <w:textDirection w:val="btLr"/>
                            </w:pPr>
                            <w:r>
                              <w:rPr>
                                <w:rFonts w:ascii="Arial" w:eastAsia="Arial" w:hAnsi="Arial" w:cs="Arial"/>
                                <w:b/>
                                <w:i/>
                                <w:color w:val="000000"/>
                                <w:sz w:val="14"/>
                              </w:rPr>
                              <w:t>Kurt Lewin (1890 – 1947)</w:t>
                            </w:r>
                          </w:p>
                        </w:txbxContent>
                      </wps:txbx>
                      <wps:bodyPr spcFirstLastPara="1" wrap="square" lIns="114300" tIns="0" rIns="114300" bIns="0" anchor="ctr" anchorCtr="0">
                        <a:noAutofit/>
                      </wps:bodyPr>
                    </wps:wsp>
                  </a:graphicData>
                </a:graphic>
              </wp:anchor>
            </w:drawing>
          </mc:Choice>
          <mc:Fallback>
            <w:pict>
              <v:shape w14:anchorId="5FB5332C" id="Freeform: Shape 17" o:spid="_x0000_s1032" style="position:absolute;left:0;text-align:left;margin-left:90pt;margin-top:187pt;width:293.4pt;height:175.5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3700780,22040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" adj="-11796480,,5400" path="m490538,842842r2719704,l3210242,1361243r-2719704,l490538,842842xe" fillcolor="#4f81bd" strokecolor="#385d8a" strokeweight="2pt">
                <v:stroke startarrowwidth="narrow" startarrowlength="short" endarrowwidth="narrow" endarrowlength="short" miterlimit="5243f" joinstyle="miter"/>
                <v:formulas/>
                <v:path arrowok="t" o:extrusionok="f" o:connecttype="custom" textboxrect="0,0,3700780,2204085"/>
                <v:textbox inset="9pt,0,9pt,0">
                  <w:txbxContent>
                    <w:p w14:paraId="68EC1678" w14:textId="77777777" w:rsidR="001F2A53" w:rsidRDefault="00000000">
                      <w:pPr>
                        <w:spacing w:line="275" w:lineRule="auto"/>
                        <w:jc w:val="center"/>
                        <w:textDirection w:val="btLr"/>
                      </w:pPr>
                      <w:r>
                        <w:rPr>
                          <w:rFonts w:ascii="Arial" w:eastAsia="Arial" w:hAnsi="Arial" w:cs="Arial"/>
                          <w:b/>
                          <w:i/>
                          <w:color w:val="000000"/>
                          <w:sz w:val="14"/>
                        </w:rPr>
                        <w:t>FIG 02: Unfreeze, Change, Freeze</w:t>
                      </w:r>
                    </w:p>
                    <w:p w14:paraId="4426F155" w14:textId="77777777" w:rsidR="001F2A53" w:rsidRDefault="00000000">
                      <w:pPr>
                        <w:spacing w:line="275" w:lineRule="auto"/>
                        <w:jc w:val="center"/>
                        <w:textDirection w:val="btLr"/>
                      </w:pPr>
                      <w:r>
                        <w:rPr>
                          <w:rFonts w:ascii="Arial" w:eastAsia="Arial" w:hAnsi="Arial" w:cs="Arial"/>
                          <w:b/>
                          <w:i/>
                          <w:color w:val="000000"/>
                          <w:sz w:val="14"/>
                        </w:rPr>
                        <w:t>Kurt Lewin (1890 – 1947)</w:t>
                      </w:r>
                    </w:p>
                  </w:txbxContent>
                </v:textbox>
              </v:shape>
            </w:pict>
          </mc:Fallback>
        </mc:AlternateContent>
      </w:r>
    </w:p>
    <w:p w14:paraId="49DE5DF1" w14:textId="77777777" w:rsidR="001F2A53" w:rsidRDefault="001F2A53">
      <w:pPr>
        <w:pStyle w:val="Heading1"/>
        <w:jc w:val="both"/>
        <w:rPr>
          <w:rFonts w:ascii="Arial" w:eastAsia="Arial" w:hAnsi="Arial" w:cs="Arial"/>
          <w:i/>
          <w:color w:val="000000"/>
          <w:sz w:val="22"/>
          <w:szCs w:val="22"/>
          <w:u w:val="single"/>
        </w:rPr>
      </w:pPr>
      <w:bookmarkStart w:id="5" w:name="_heading=h.tyjcwt" w:colFirst="0" w:colLast="0"/>
      <w:bookmarkEnd w:id="5"/>
    </w:p>
    <w:p w14:paraId="72C6C87B" w14:textId="77777777" w:rsidR="001F2A53" w:rsidRDefault="00000000">
      <w:pPr>
        <w:pStyle w:val="Heading1"/>
        <w:jc w:val="both"/>
        <w:rPr>
          <w:rFonts w:ascii="Arial" w:eastAsia="Arial" w:hAnsi="Arial" w:cs="Arial"/>
          <w:i/>
          <w:sz w:val="22"/>
          <w:szCs w:val="22"/>
          <w:u w:val="single"/>
        </w:rPr>
      </w:pPr>
      <w:r>
        <w:rPr>
          <w:rFonts w:ascii="Arial" w:eastAsia="Arial" w:hAnsi="Arial" w:cs="Arial"/>
          <w:i/>
          <w:color w:val="000000"/>
          <w:sz w:val="22"/>
          <w:szCs w:val="22"/>
          <w:u w:val="single"/>
        </w:rPr>
        <w:t>Recommendations and Change Management:</w:t>
      </w:r>
    </w:p>
    <w:p w14:paraId="4F060008" w14:textId="77777777" w:rsidR="001F2A53" w:rsidRDefault="00000000">
      <w:pPr>
        <w:pStyle w:val="Heading2"/>
        <w:jc w:val="both"/>
        <w:rPr>
          <w:rFonts w:ascii="Arial" w:eastAsia="Arial" w:hAnsi="Arial" w:cs="Arial"/>
          <w:i/>
          <w:color w:val="000000"/>
          <w:sz w:val="22"/>
          <w:szCs w:val="22"/>
        </w:rPr>
      </w:pPr>
      <w:bookmarkStart w:id="6" w:name="_heading=h.3dy6vkm" w:colFirst="0" w:colLast="0"/>
      <w:bookmarkEnd w:id="6"/>
      <w:r>
        <w:rPr>
          <w:rFonts w:ascii="Arial" w:eastAsia="Arial" w:hAnsi="Arial" w:cs="Arial"/>
          <w:i/>
          <w:color w:val="000000"/>
          <w:sz w:val="22"/>
          <w:szCs w:val="22"/>
        </w:rPr>
        <w:t>Recommendations</w:t>
      </w:r>
    </w:p>
    <w:p w14:paraId="343C1BBB"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The implementation of personalized services is one of the things that is advocated for with the goal of enhancing the whole experience that the customer has with the product or service. In the process of designing these services, it is essential to take into consideration the preferences of each and every individual.</w:t>
      </w:r>
    </w:p>
    <w:p w14:paraId="0100B333"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If you want to achieve the goals of increasing productivity and streamlining operations, it is strongly recommended that you make an investment in cutting-edge technology. Other goals include reducing costs and increasing efficiency. By acting in this manner (</w:t>
      </w:r>
      <w:r>
        <w:rPr>
          <w:rFonts w:ascii="Arial" w:eastAsia="Arial" w:hAnsi="Arial" w:cs="Arial"/>
          <w:color w:val="222222"/>
          <w:highlight w:val="white"/>
        </w:rPr>
        <w:t>Sherwood 2005)</w:t>
      </w:r>
      <w:r>
        <w:rPr>
          <w:rFonts w:ascii="Arial" w:eastAsia="Arial" w:hAnsi="Arial" w:cs="Arial"/>
          <w:color w:val="000000"/>
        </w:rPr>
        <w:t>, you will be able to achieve the goals that you have set for yourself. To</w:t>
      </w:r>
      <w:r>
        <w:rPr>
          <w:rFonts w:ascii="Arial" w:eastAsia="Arial" w:hAnsi="Arial" w:cs="Arial"/>
        </w:rPr>
        <w:t xml:space="preserve"> illustrate two instances of technologies falling into this category, automated check-in processes and intelligent room control serve as examples</w:t>
      </w:r>
      <w:r>
        <w:rPr>
          <w:rFonts w:ascii="Arial" w:eastAsia="Arial" w:hAnsi="Arial" w:cs="Arial"/>
          <w:color w:val="000000"/>
        </w:rPr>
        <w:t>. This category contains a wide range of technologies. This article provides a few instances of the types of technologies that fall under this category. Some of these examples include the technologies that are listed in this article.</w:t>
      </w:r>
    </w:p>
    <w:p w14:paraId="12E74BF9"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In order to carry out the growth of sustainability initiatives, which is something that is recommended (</w:t>
      </w:r>
      <w:r>
        <w:rPr>
          <w:rFonts w:ascii="Arial" w:eastAsia="Arial" w:hAnsi="Arial" w:cs="Arial"/>
          <w:color w:val="222222"/>
          <w:highlight w:val="white"/>
        </w:rPr>
        <w:t>BOUDIAF 2020)</w:t>
      </w:r>
      <w:r>
        <w:rPr>
          <w:rFonts w:ascii="Arial" w:eastAsia="Arial" w:hAnsi="Arial" w:cs="Arial"/>
          <w:color w:val="000000"/>
        </w:rPr>
        <w:t>, there are a variety of various ways that may be implemented. There are a variety of approaches that may be taken to achieve this goal. Some of these approaches include lowering the amount of energy that is consumed, lowering the amount of rubbish that is produced, and supporting activities that are kind to both animals and the environment.</w:t>
      </w:r>
    </w:p>
    <w:p w14:paraId="4E5A5BE2"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When it comes to cultivating social responsibility and making a contribution to the economy of the surrounding area, it is of the utmost importance to establish partnerships with the communities and businesses that are geographically located in the area. This commitment to social duty and economic contribution is essential. Because taking part in those collaborations will make it possible to cultivate a sense of social responsibility (</w:t>
      </w:r>
      <w:r>
        <w:rPr>
          <w:rFonts w:ascii="Arial" w:eastAsia="Arial" w:hAnsi="Arial" w:cs="Arial"/>
          <w:color w:val="222222"/>
          <w:highlight w:val="white"/>
        </w:rPr>
        <w:t>Assaf and Montagne 2019)</w:t>
      </w:r>
      <w:r>
        <w:rPr>
          <w:rFonts w:ascii="Arial" w:eastAsia="Arial" w:hAnsi="Arial" w:cs="Arial"/>
          <w:color w:val="000000"/>
        </w:rPr>
        <w:t>, this is the reason why this is the case. As a direct result of this, the cultivation of social responsibility will be made possible within the context of the situation. As a result of this, it will be feasible to successfully contribute to the economy while simultaneously meeting one's obligations to the community. Consequently, it will be accessible as a result of this outcome.</w:t>
      </w:r>
    </w:p>
    <w:p w14:paraId="7B83DCEE"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For the purpose of achieving the objectives of attracting a more diversified group of customers and increasing the overall level of satisfaction (</w:t>
      </w:r>
      <w:r>
        <w:rPr>
          <w:rFonts w:ascii="Arial" w:eastAsia="Arial" w:hAnsi="Arial" w:cs="Arial"/>
          <w:color w:val="222222"/>
          <w:highlight w:val="white"/>
        </w:rPr>
        <w:t>Al-shimmary and Al-Saidi  2017)</w:t>
      </w:r>
      <w:r>
        <w:rPr>
          <w:rFonts w:ascii="Arial" w:eastAsia="Arial" w:hAnsi="Arial" w:cs="Arial"/>
          <w:color w:val="000000"/>
        </w:rPr>
        <w:t>, it is essential to provide a wide variety of facilities and entertainment options within the establishment. This is the only way to do what needs to be done.</w:t>
      </w:r>
    </w:p>
    <w:p w14:paraId="0CBF874E"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It is of the utmost importance to keep a close eye on the feedback that is provided by visitors at all times and to make certain that adequate responses are delivered on a regular basis. When it comes to ensuring that high service standards are maintained and locating areas that have the potential to be improved, this is something that is really necessary (</w:t>
      </w:r>
      <w:r>
        <w:rPr>
          <w:rFonts w:ascii="Arial" w:eastAsia="Arial" w:hAnsi="Arial" w:cs="Arial"/>
          <w:color w:val="222222"/>
          <w:highlight w:val="white"/>
        </w:rPr>
        <w:t>Acuto 2010)</w:t>
      </w:r>
      <w:r>
        <w:rPr>
          <w:rFonts w:ascii="Arial" w:eastAsia="Arial" w:hAnsi="Arial" w:cs="Arial"/>
          <w:color w:val="000000"/>
        </w:rPr>
        <w:t>. Throughout the whole of our interactions with one another, this is done in order to guarantee that high-quality service standards are maintained at all times.</w:t>
      </w:r>
    </w:p>
    <w:p w14:paraId="2AB68418"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Building loyalty and rewards programs is something you should do if you want to encourage customer loyalty to your brand and reward customers who are loyal to your </w:t>
      </w:r>
      <w:r>
        <w:rPr>
          <w:rFonts w:ascii="Arial" w:eastAsia="Arial" w:hAnsi="Arial" w:cs="Arial"/>
          <w:color w:val="000000"/>
        </w:rPr>
        <w:lastRenderedPageBreak/>
        <w:t>business. In the event that you are interested in accomplishing both of these objectives, this is one of the things that you ought to undertake. There is not a shred of question in someone's mind that this is an activity that you ought to absolutely participate in (</w:t>
      </w:r>
      <w:r>
        <w:rPr>
          <w:rFonts w:ascii="Arial" w:eastAsia="Arial" w:hAnsi="Arial" w:cs="Arial"/>
          <w:color w:val="222222"/>
          <w:highlight w:val="white"/>
        </w:rPr>
        <w:t>Hammerling 2011)</w:t>
      </w:r>
      <w:r>
        <w:rPr>
          <w:rFonts w:ascii="Arial" w:eastAsia="Arial" w:hAnsi="Arial" w:cs="Arial"/>
          <w:color w:val="000000"/>
        </w:rPr>
        <w:t>. Within the context of this particular scenario, the action in question is without a doubt one that deserves to be carried out.</w:t>
      </w:r>
    </w:p>
    <w:p w14:paraId="36F64E82"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For the purpose of ensuring that the staff will continue to give excellent service and continue to uphold the hotel's reputation for exceptional quality, it is essential to make an investment in programs that have the intention of providing training and development for the aforementioned personnel (</w:t>
      </w:r>
      <w:r>
        <w:rPr>
          <w:rFonts w:ascii="Arial" w:eastAsia="Arial" w:hAnsi="Arial" w:cs="Arial"/>
          <w:color w:val="222222"/>
          <w:highlight w:val="white"/>
        </w:rPr>
        <w:t>Sen 2020)</w:t>
      </w:r>
      <w:r>
        <w:rPr>
          <w:rFonts w:ascii="Arial" w:eastAsia="Arial" w:hAnsi="Arial" w:cs="Arial"/>
          <w:color w:val="000000"/>
        </w:rPr>
        <w:t>. Consequently, this will ensure that the people will continue to demonstrate great performance all throughout the duration of the project. The hotel will be able to continue to maintain the high quality standards that it has earned throughout the course of its existence as a result of this.</w:t>
      </w:r>
    </w:p>
    <w:p w14:paraId="222E9723"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It is vital to do routine maintenance and renovations on the facilities in order to guarantee that they continue to be in a state that is unique in terms of both beauty and modernity (</w:t>
      </w:r>
      <w:r>
        <w:rPr>
          <w:rFonts w:ascii="Arial" w:eastAsia="Arial" w:hAnsi="Arial" w:cs="Arial"/>
          <w:color w:val="222222"/>
          <w:highlight w:val="white"/>
        </w:rPr>
        <w:t>Wippel 2016)</w:t>
      </w:r>
      <w:r>
        <w:rPr>
          <w:rFonts w:ascii="Arial" w:eastAsia="Arial" w:hAnsi="Arial" w:cs="Arial"/>
          <w:color w:val="000000"/>
        </w:rPr>
        <w:t>, thereby exceeding the expectations of the guests. If this is completed, it will ensure that the facilities will remain in an outstanding condition for an extended period of time. Keeping to this method is absolutely necessary in order to ensure that the facilities will continue to be in a state that is comparable to how they were when they were first constructed. It is not possible to use any other method to guarantee that this is always the case.</w:t>
      </w:r>
    </w:p>
    <w:p w14:paraId="7068DF3F" w14:textId="77777777" w:rsidR="001F2A53" w:rsidRDefault="0000000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For the purpose of preserving a competitive advantage in the luxury hotel industry, it is essential to remain up-to-date on the most recent developments in business as well as the technologies that are expanding (</w:t>
      </w:r>
      <w:r>
        <w:rPr>
          <w:rFonts w:ascii="Arial" w:eastAsia="Arial" w:hAnsi="Arial" w:cs="Arial"/>
          <w:color w:val="222222"/>
          <w:highlight w:val="white"/>
        </w:rPr>
        <w:t>Dubai 2013)</w:t>
      </w:r>
      <w:r>
        <w:rPr>
          <w:rFonts w:ascii="Arial" w:eastAsia="Arial" w:hAnsi="Arial" w:cs="Arial"/>
          <w:color w:val="000000"/>
        </w:rPr>
        <w:t>. This is due to the fact that possessing this knowledge is essential in order to continually maintain a competitive advantage. This arises as a result of the fact that the market for luxury hotels is in a state of perpetual change, which is the reason why this occurs.</w:t>
      </w:r>
      <w:r>
        <w:rPr>
          <w:rFonts w:ascii="Arial" w:eastAsia="Arial" w:hAnsi="Arial" w:cs="Arial"/>
          <w:color w:val="000000"/>
        </w:rPr>
        <w:tab/>
      </w:r>
    </w:p>
    <w:p w14:paraId="0249634F" w14:textId="77777777" w:rsidR="001F2A53" w:rsidRDefault="00000000">
      <w:pPr>
        <w:pStyle w:val="Heading2"/>
        <w:jc w:val="both"/>
        <w:rPr>
          <w:rFonts w:ascii="Arial" w:eastAsia="Arial" w:hAnsi="Arial" w:cs="Arial"/>
          <w:sz w:val="22"/>
          <w:szCs w:val="22"/>
        </w:rPr>
      </w:pPr>
      <w:bookmarkStart w:id="7" w:name="_heading=h.1t3h5sf" w:colFirst="0" w:colLast="0"/>
      <w:bookmarkEnd w:id="7"/>
      <w:r>
        <w:rPr>
          <w:rFonts w:ascii="Arial" w:eastAsia="Arial" w:hAnsi="Arial" w:cs="Arial"/>
          <w:i/>
          <w:color w:val="000000"/>
          <w:sz w:val="22"/>
          <w:szCs w:val="22"/>
        </w:rPr>
        <w:t>Change Management Plan:</w:t>
      </w:r>
      <w:r>
        <w:rPr>
          <w:rFonts w:ascii="Arial" w:eastAsia="Arial" w:hAnsi="Arial" w:cs="Arial"/>
          <w:sz w:val="22"/>
          <w:szCs w:val="22"/>
        </w:rPr>
        <w:tab/>
      </w:r>
    </w:p>
    <w:p w14:paraId="54738512" w14:textId="77777777" w:rsidR="001F2A53" w:rsidRDefault="001F2A53">
      <w:pPr>
        <w:jc w:val="both"/>
        <w:rPr>
          <w:rFonts w:ascii="Arial" w:eastAsia="Arial" w:hAnsi="Arial" w:cs="Arial"/>
        </w:rPr>
      </w:pPr>
    </w:p>
    <w:p w14:paraId="6EC4E64B"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It is required to carry out a comprehensive examination of the processes that are currently in place in order to ascertain which aspects of the processes that are already in place require modification. This is the goal of the investigation. This is done in order to arrive at a choice (</w:t>
      </w:r>
      <w:r>
        <w:rPr>
          <w:rFonts w:ascii="Arial" w:eastAsia="Arial" w:hAnsi="Arial" w:cs="Arial"/>
          <w:color w:val="222222"/>
          <w:highlight w:val="white"/>
        </w:rPr>
        <w:t>Bayraktar 2009)</w:t>
      </w:r>
      <w:r>
        <w:rPr>
          <w:rFonts w:ascii="Arial" w:eastAsia="Arial" w:hAnsi="Arial" w:cs="Arial"/>
          <w:color w:val="000000"/>
        </w:rPr>
        <w:t>, and the aim of doing so is to determine which components of those processes need to be modified.</w:t>
      </w:r>
    </w:p>
    <w:p w14:paraId="12C3CB87"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It is necessary to involve relevant stakeholders in the process and promote their participation in order to achieve buy-in and support for the changes that are being presented (</w:t>
      </w:r>
      <w:r>
        <w:rPr>
          <w:rFonts w:ascii="Arial" w:eastAsia="Arial" w:hAnsi="Arial" w:cs="Arial"/>
          <w:color w:val="222222"/>
          <w:highlight w:val="white"/>
        </w:rPr>
        <w:t>Shannon 2012)</w:t>
      </w:r>
      <w:r>
        <w:rPr>
          <w:rFonts w:ascii="Arial" w:eastAsia="Arial" w:hAnsi="Arial" w:cs="Arial"/>
          <w:color w:val="000000"/>
        </w:rPr>
        <w:t>. This will allow for the changes to be effectively implemented. In addition, the participation of other stakeholders is of essential significance.</w:t>
      </w:r>
    </w:p>
    <w:p w14:paraId="7C63AC51"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In order to be able to effectively manage change, you need to construct a comprehensive strategy that details your objectives, techniques, and dates along the process. In order to be able to effectively manage change, this is something that is required of you. In order to avoid any more delay (</w:t>
      </w:r>
      <w:r>
        <w:rPr>
          <w:rFonts w:ascii="Arial" w:eastAsia="Arial" w:hAnsi="Arial" w:cs="Arial"/>
          <w:color w:val="222222"/>
          <w:highlight w:val="white"/>
        </w:rPr>
        <w:t>Bangalisan 2019)</w:t>
      </w:r>
      <w:r>
        <w:rPr>
          <w:rFonts w:ascii="Arial" w:eastAsia="Arial" w:hAnsi="Arial" w:cs="Arial"/>
          <w:color w:val="000000"/>
        </w:rPr>
        <w:t>, it is imperative that this plan be established without any further delay.</w:t>
      </w:r>
    </w:p>
    <w:p w14:paraId="16D69B0F"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 xml:space="preserve">It is of the utmost importance to make certain that this is the case in order to guarantee that each and every worker is aware of the reasons for the change, as well as their participation in the process of modification that is being implemented. Making sure that </w:t>
      </w:r>
      <w:r>
        <w:rPr>
          <w:rFonts w:ascii="Arial" w:eastAsia="Arial" w:hAnsi="Arial" w:cs="Arial"/>
          <w:color w:val="000000"/>
        </w:rPr>
        <w:lastRenderedPageBreak/>
        <w:t>there are open lines of communication with each and every worker is a prerequisite that is really necessary.</w:t>
      </w:r>
    </w:p>
    <w:p w14:paraId="42075D33"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It is of the utmost importance to meet the needs of the staff members by providing them with opportunities for training and support in order to enhance their capacity to adjust to newly formed procedures and systems (</w:t>
      </w:r>
      <w:r>
        <w:rPr>
          <w:rFonts w:ascii="Arial" w:eastAsia="Arial" w:hAnsi="Arial" w:cs="Arial"/>
          <w:color w:val="222222"/>
          <w:highlight w:val="white"/>
        </w:rPr>
        <w:t>Tsai 2020)</w:t>
      </w:r>
      <w:r>
        <w:rPr>
          <w:rFonts w:ascii="Arial" w:eastAsia="Arial" w:hAnsi="Arial" w:cs="Arial"/>
          <w:color w:val="000000"/>
        </w:rPr>
        <w:t>. It is for this reason that this is something that ought to be done in order to boost their ability to adapt to new conditions.</w:t>
      </w:r>
    </w:p>
    <w:p w14:paraId="2F8F43B2"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At the same time that the process is being carried out, it is of the highest significance to keep a careful check on the progress that is being made and to make any alterations that are required. In order to guarantee that the implementation will be successful, it is absolutely necessary that this be carried out.</w:t>
      </w:r>
    </w:p>
    <w:p w14:paraId="2624D929"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In order to keep one's drive and momentum going until the transformational process is complete, it is essential to celebrate one's wins and milestones while one is in the process of undergoing transformation (</w:t>
      </w:r>
      <w:r>
        <w:rPr>
          <w:rFonts w:ascii="Arial" w:eastAsia="Arial" w:hAnsi="Arial" w:cs="Arial"/>
          <w:color w:val="222222"/>
          <w:highlight w:val="white"/>
        </w:rPr>
        <w:t>Arshadlamphon 2018)</w:t>
      </w:r>
      <w:r>
        <w:rPr>
          <w:rFonts w:ascii="Arial" w:eastAsia="Arial" w:hAnsi="Arial" w:cs="Arial"/>
          <w:color w:val="000000"/>
        </w:rPr>
        <w:t>. This is due to the fact that by enjoying one's successes and significant milestones, one is able to continue going forward. Providing individuals with this assistance will allow them to keep their momentum and their motivation going, which will allow them to continue to make progress.</w:t>
      </w:r>
    </w:p>
    <w:p w14:paraId="6EABB709" w14:textId="77777777" w:rsidR="001F2A53" w:rsidRDefault="00000000">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In order to get the most advantageous outcomes that are attainable given the current conditions, it is essential to conduct an analysis of the impact that the modifications have had on performance (</w:t>
      </w:r>
      <w:r>
        <w:rPr>
          <w:rFonts w:ascii="Arial" w:eastAsia="Arial" w:hAnsi="Arial" w:cs="Arial"/>
          <w:color w:val="222222"/>
          <w:highlight w:val="white"/>
        </w:rPr>
        <w:t>Katodrytis and Mitchell eds 2015)</w:t>
      </w:r>
      <w:r>
        <w:rPr>
          <w:rFonts w:ascii="Arial" w:eastAsia="Arial" w:hAnsi="Arial" w:cs="Arial"/>
          <w:color w:val="000000"/>
        </w:rPr>
        <w:t>. It is recommended that any extra changes be examined and executed as necessary in order to achieve the greatest possible results. This will allow for the best possible outcomes.</w:t>
      </w:r>
    </w:p>
    <w:p w14:paraId="4C99B680" w14:textId="77777777" w:rsidR="001F2A53" w:rsidRDefault="00000000">
      <w:pPr>
        <w:numPr>
          <w:ilvl w:val="0"/>
          <w:numId w:val="1"/>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The establishment of a culture that focuses an emphasis on continuous development is an absolute requirement if one wishes to ensure that improvements will be maintained over an extended period of time (</w:t>
      </w:r>
      <w:r>
        <w:rPr>
          <w:rFonts w:ascii="Arial" w:eastAsia="Arial" w:hAnsi="Arial" w:cs="Arial"/>
          <w:color w:val="222222"/>
          <w:highlight w:val="white"/>
        </w:rPr>
        <w:t>Jaworski 2012)</w:t>
      </w:r>
      <w:r>
        <w:rPr>
          <w:rFonts w:ascii="Arial" w:eastAsia="Arial" w:hAnsi="Arial" w:cs="Arial"/>
          <w:color w:val="000000"/>
        </w:rPr>
        <w:t>.</w:t>
      </w:r>
    </w:p>
    <w:p w14:paraId="3FFB2B6F" w14:textId="77777777" w:rsidR="001F2A53" w:rsidRDefault="00000000">
      <w:pPr>
        <w:pStyle w:val="Heading1"/>
        <w:jc w:val="both"/>
        <w:rPr>
          <w:rFonts w:ascii="Arial" w:eastAsia="Arial" w:hAnsi="Arial" w:cs="Arial"/>
          <w:i/>
          <w:color w:val="000000"/>
          <w:sz w:val="22"/>
          <w:szCs w:val="22"/>
          <w:u w:val="single"/>
        </w:rPr>
      </w:pPr>
      <w:bookmarkStart w:id="8" w:name="_heading=h.4d34og8" w:colFirst="0" w:colLast="0"/>
      <w:bookmarkEnd w:id="8"/>
      <w:r>
        <w:rPr>
          <w:rFonts w:ascii="Arial" w:eastAsia="Arial" w:hAnsi="Arial" w:cs="Arial"/>
          <w:i/>
          <w:color w:val="000000"/>
          <w:sz w:val="22"/>
          <w:szCs w:val="22"/>
          <w:u w:val="single"/>
        </w:rPr>
        <w:t>Action Plan:</w:t>
      </w:r>
    </w:p>
    <w:p w14:paraId="21BE207C" w14:textId="77777777" w:rsidR="001F2A53" w:rsidRDefault="00000000">
      <w:pPr>
        <w:jc w:val="both"/>
        <w:rPr>
          <w:rFonts w:ascii="Arial" w:eastAsia="Arial" w:hAnsi="Arial" w:cs="Arial"/>
        </w:rPr>
      </w:pPr>
      <w:r>
        <w:rPr>
          <w:rFonts w:ascii="Arial" w:eastAsia="Arial" w:hAnsi="Arial" w:cs="Arial"/>
        </w:rPr>
        <w:t>Using an all-encompassing approach that includes market research, goal setting, strategy development, implementation, resource allocation, communication, training, enhancement of customer experience (</w:t>
      </w:r>
      <w:r>
        <w:rPr>
          <w:rFonts w:ascii="Arial" w:eastAsia="Arial" w:hAnsi="Arial" w:cs="Arial"/>
          <w:color w:val="222222"/>
          <w:highlight w:val="white"/>
        </w:rPr>
        <w:t>Lee and Jain 2009)</w:t>
      </w:r>
      <w:r>
        <w:rPr>
          <w:rFonts w:ascii="Arial" w:eastAsia="Arial" w:hAnsi="Arial" w:cs="Arial"/>
        </w:rPr>
        <w:t>, improvements in operational efficiency, performance monitoring, and continuous improvement, the action plan for Burj Al Arab is centered on the achievement of strategic goals. The successful completion of this assignment is made possible by the utilization of a technique that utilizes a complete approach. One of the things that makes it possible to accomplish this objective is the adoption of a plan that takes everything into consideration. To offer direction for the process of goal formulation, the strategy is to identify the current trends, the preferences of customers, and the tactics that are deployed by competitors. This is done in order to provide direction. This action is taken with the purpose of supplying the process with guidance from the beginning (</w:t>
      </w:r>
      <w:r>
        <w:rPr>
          <w:rFonts w:ascii="Arial" w:eastAsia="Arial" w:hAnsi="Arial" w:cs="Arial"/>
          <w:color w:val="222222"/>
          <w:highlight w:val="white"/>
        </w:rPr>
        <w:t>Ede and Udoh E.G 2015)</w:t>
      </w:r>
      <w:r>
        <w:rPr>
          <w:rFonts w:ascii="Arial" w:eastAsia="Arial" w:hAnsi="Arial" w:cs="Arial"/>
        </w:rPr>
        <w:t xml:space="preserve">. In order to guarantee that this venture will be successful, a substantial amount of market research and analysis will be carried out beforehand. These objectives, which have been articulated in great detail and are in accordance with the vision of the hotel, have the acquisition of market share, the improvement of guest satisfaction scores, and the growth in occupancy rates as their key areas of concentration. These objectives have been expressed in detail. This vision that the hotel has stated has been made easier to accomplish as a result of the formulation of these goals, which have been formed. An essential step that must be completed during the phase of strategy design is the development of a comprehensive plan </w:t>
      </w:r>
      <w:r>
        <w:rPr>
          <w:rFonts w:ascii="Arial" w:eastAsia="Arial" w:hAnsi="Arial" w:cs="Arial"/>
        </w:rPr>
        <w:lastRenderedPageBreak/>
        <w:t>that defines the key efforts that will be carried out in order to accomplish these objectives. This plan must highlights the major efforts that will be carried out. Before the beginning of the phase in which the strategy is being developed (</w:t>
      </w:r>
      <w:r>
        <w:rPr>
          <w:rFonts w:ascii="Arial" w:eastAsia="Arial" w:hAnsi="Arial" w:cs="Arial"/>
          <w:color w:val="222222"/>
          <w:highlight w:val="white"/>
        </w:rPr>
        <w:t>Schulte-Peevers 2013)</w:t>
      </w:r>
      <w:r>
        <w:rPr>
          <w:rFonts w:ascii="Arial" w:eastAsia="Arial" w:hAnsi="Arial" w:cs="Arial"/>
        </w:rPr>
        <w:t>, this plan will be formulated and documented. This will take place before the phase begins. In this area, which contains a wide range of conceivable actions, some examples of the kinds of actions that come under this category include expanding marketing efforts, increasing operational efficiencies, and improving the entire customer experience. The formation of schedules for the implementation of the plan and the distribution of resources are both included as components of the framework that is designed to guarantee that the execution will be carried out successfully. Within the context of the multiple stakeholders, transparency and alignment are afforded a special degree of importance, and the utilization of effective communication is the means by which this is accomplished (</w:t>
      </w:r>
      <w:r>
        <w:rPr>
          <w:rFonts w:ascii="Arial" w:eastAsia="Arial" w:hAnsi="Arial" w:cs="Arial"/>
          <w:color w:val="222222"/>
          <w:highlight w:val="white"/>
        </w:rPr>
        <w:t>Steiner2003)</w:t>
      </w:r>
      <w:r>
        <w:rPr>
          <w:rFonts w:ascii="Arial" w:eastAsia="Arial" w:hAnsi="Arial" w:cs="Arial"/>
        </w:rPr>
        <w:t>. The team has been prepared with the information and skills that are necessary to deliver good service through the execution of training and development programs. This has resulted in the team being able to provide excellent service. Because of this, the group has been able to provide extremely high-quality service to their customers. This promise includes a commitment to the monitoring of performance measurements and the revision of plans in line with the requirements. This promise is included within the scope of this promise. Concurrently, operations are being carried out with the purpose of boosting the operating efficiency of the facility as well as the quality of the experience that guests have while they are staying there (</w:t>
      </w:r>
      <w:r>
        <w:rPr>
          <w:rFonts w:ascii="Arial" w:eastAsia="Arial" w:hAnsi="Arial" w:cs="Arial"/>
          <w:color w:val="222222"/>
          <w:highlight w:val="white"/>
        </w:rPr>
        <w:t>BALL 2015)</w:t>
      </w:r>
      <w:r>
        <w:rPr>
          <w:rFonts w:ascii="Arial" w:eastAsia="Arial" w:hAnsi="Arial" w:cs="Arial"/>
        </w:rPr>
        <w:t>. These actions are being carried out on the basis of the analysis of the data as well as the opinions that have been received from a variety of stakeholders. At the same time as the business encourages a culture of continuous improvement, it also encourages an atmosphere that is conducive to learning, innovation, and collaboration throughout the entirety of the organization. This culture is something that the company in question is totally dedicated to preserving (</w:t>
      </w:r>
      <w:r>
        <w:rPr>
          <w:rFonts w:ascii="Arial" w:eastAsia="Arial" w:hAnsi="Arial" w:cs="Arial"/>
          <w:color w:val="222222"/>
          <w:highlight w:val="white"/>
        </w:rPr>
        <w:t>Žilinský and Vanc 2014)</w:t>
      </w:r>
      <w:r>
        <w:rPr>
          <w:rFonts w:ascii="Arial" w:eastAsia="Arial" w:hAnsi="Arial" w:cs="Arial"/>
        </w:rPr>
        <w:t>. The action plan is also subjected to ongoing evaluations and changes in order to suit the ever-changing conditions of the market as well as the expanding capabilities of the organization. This is done in order to ensure that the plan remains relevant and effective. The reason for this is to make certain that the plan is capable of meeting the requirements that are set forth by the market. This is done in order to ensure that the approach is able to deal with both of these different kinds of issues respectively.</w:t>
      </w:r>
    </w:p>
    <w:p w14:paraId="15F102C0" w14:textId="77777777" w:rsidR="001F2A53" w:rsidRDefault="00000000">
      <w:pPr>
        <w:pStyle w:val="Heading1"/>
        <w:jc w:val="both"/>
        <w:rPr>
          <w:rFonts w:ascii="Arial" w:eastAsia="Arial" w:hAnsi="Arial" w:cs="Arial"/>
          <w:i/>
          <w:color w:val="000000"/>
          <w:sz w:val="22"/>
          <w:szCs w:val="22"/>
          <w:u w:val="single"/>
        </w:rPr>
      </w:pPr>
      <w:bookmarkStart w:id="9" w:name="_heading=h.2s8eyo1" w:colFirst="0" w:colLast="0"/>
      <w:bookmarkEnd w:id="9"/>
      <w:r>
        <w:rPr>
          <w:rFonts w:ascii="Arial" w:eastAsia="Arial" w:hAnsi="Arial" w:cs="Arial"/>
          <w:i/>
          <w:color w:val="000000"/>
          <w:sz w:val="22"/>
          <w:szCs w:val="22"/>
          <w:u w:val="single"/>
        </w:rPr>
        <w:t>Conclusion:</w:t>
      </w:r>
    </w:p>
    <w:p w14:paraId="5A034116" w14:textId="77777777" w:rsidR="001F2A53" w:rsidRDefault="00000000">
      <w:pPr>
        <w:jc w:val="both"/>
        <w:rPr>
          <w:rFonts w:ascii="Arial" w:eastAsia="Arial" w:hAnsi="Arial" w:cs="Arial"/>
        </w:rPr>
      </w:pPr>
      <w:r>
        <w:rPr>
          <w:rFonts w:ascii="Arial" w:eastAsia="Arial" w:hAnsi="Arial" w:cs="Arial"/>
        </w:rPr>
        <w:t xml:space="preserve">The action plan for Burj Al Arab is an example of a strategy that is both comprehensive and strategic. This is because it takes into account everything that has been taken into consideration. In the context of the hospitality business, the plan's mission is to achieve organizational goals while simultaneously keeping the hotel's reputation as a luxury facility of world-class level. This is the plan's objective. This goal will be accomplished by the implementation of the plan, which will be the mechanism by which it will be accomplished. A complete strategy for the hotel's future expansion has been efficiently constructed by the hotel through the completion of extensive market research, the setting of goals, and the development of strategies. By using this approach, the hotel will be able to ensure that it will continue to grow in the years to come. Not only does the Burj Al Arab make an effort to meet the requirements that its guests have specified, but it also makes an effort to exceed those standards for the best possible experience. We are going to focus a significant amount of our attention on enriching the experiences that our clients have, improving the efficiency of our operations, and cultivating a culture of continuous development in order to ensure that we are </w:t>
      </w:r>
      <w:r>
        <w:rPr>
          <w:rFonts w:ascii="Arial" w:eastAsia="Arial" w:hAnsi="Arial" w:cs="Arial"/>
        </w:rPr>
        <w:lastRenderedPageBreak/>
        <w:t>successful in accomplishing this objective at the end of the day. As long as the action plan is carried out, there is a guarantee that it will continue to be in agreement with the aims of the hotel and that it will continue to be flexible enough to accommodate the ever-changing conditions of the market. There is no requirement that the plan be carried out in order for this assurance to be applicable. The provision of this promise is made possible by a number of factors, including the distribution of resources, the monitoring of performance, and the commitment to open and honest communication. As it continues to develop and adapt, Burj Al Arab is in a good position to continue to preserve its reputation for quality in the hospitality sector. At the same time, it is also in a position to provide unparalleled service to its premium clientele, which is a significant accomplishment. During the course of the hotel's ongoing development and improvement, this possibility presents itself.</w:t>
      </w:r>
    </w:p>
    <w:p w14:paraId="49E4D1D1" w14:textId="77777777" w:rsidR="001F2A53" w:rsidRDefault="00000000">
      <w:pPr>
        <w:rPr>
          <w:rFonts w:ascii="Arial" w:eastAsia="Arial" w:hAnsi="Arial" w:cs="Arial"/>
          <w:b/>
          <w:i/>
          <w:u w:val="single"/>
        </w:rPr>
      </w:pPr>
      <w:bookmarkStart w:id="10" w:name="_heading=h.17dp8vu" w:colFirst="0" w:colLast="0"/>
      <w:bookmarkEnd w:id="10"/>
      <w:r>
        <w:br w:type="page"/>
      </w:r>
    </w:p>
    <w:p w14:paraId="6A521D2F" w14:textId="77777777" w:rsidR="001F2A53" w:rsidRDefault="00000000">
      <w:pPr>
        <w:pStyle w:val="Heading1"/>
        <w:rPr>
          <w:rFonts w:ascii="Arial" w:eastAsia="Arial" w:hAnsi="Arial" w:cs="Arial"/>
          <w:i/>
          <w:color w:val="000000"/>
          <w:sz w:val="22"/>
          <w:szCs w:val="22"/>
          <w:u w:val="single"/>
        </w:rPr>
      </w:pPr>
      <w:r>
        <w:rPr>
          <w:rFonts w:ascii="Arial" w:eastAsia="Arial" w:hAnsi="Arial" w:cs="Arial"/>
          <w:i/>
          <w:color w:val="000000"/>
          <w:sz w:val="22"/>
          <w:szCs w:val="22"/>
          <w:u w:val="single"/>
        </w:rPr>
        <w:lastRenderedPageBreak/>
        <w:t>Reference:</w:t>
      </w:r>
    </w:p>
    <w:p w14:paraId="6B36813E"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Garrison, J. and Thompson, Z., 2021. Burj Al Arab.</w:t>
      </w:r>
    </w:p>
    <w:p w14:paraId="25091A51"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Al Kassim, Z.S., 2016. The impact of Dubai’s architectural wonders on the daily indigenous performance in light of cultural modernity: A comparative case study between Burj Khalifa and Burj Al-Arab.</w:t>
      </w:r>
    </w:p>
    <w:p w14:paraId="69435364"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Korotich, A.V., 2018. Artistic Features of the Middle East Modern Tall Architecture. United Arab Emirates. Dubai. </w:t>
      </w:r>
      <w:r>
        <w:rPr>
          <w:rFonts w:ascii="Arial" w:eastAsia="Arial" w:hAnsi="Arial" w:cs="Arial"/>
          <w:i/>
          <w:color w:val="222222"/>
          <w:highlight w:val="white"/>
        </w:rPr>
        <w:t>Academia. Архитектура и строительство</w:t>
      </w:r>
      <w:r>
        <w:rPr>
          <w:rFonts w:ascii="Arial" w:eastAsia="Arial" w:hAnsi="Arial" w:cs="Arial"/>
          <w:color w:val="222222"/>
          <w:highlight w:val="white"/>
        </w:rPr>
        <w:t>, (2), pp.57-65.</w:t>
      </w:r>
    </w:p>
    <w:p w14:paraId="56E3057C"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Mujahid, M.G.A.E.G., 2020. </w:t>
      </w:r>
      <w:r>
        <w:rPr>
          <w:rFonts w:ascii="Arial" w:eastAsia="Arial" w:hAnsi="Arial" w:cs="Arial"/>
          <w:i/>
          <w:color w:val="222222"/>
          <w:highlight w:val="white"/>
        </w:rPr>
        <w:t>Study of Water and Wastewater in New Burj Al Arab City</w:t>
      </w:r>
      <w:r>
        <w:rPr>
          <w:rFonts w:ascii="Arial" w:eastAsia="Arial" w:hAnsi="Arial" w:cs="Arial"/>
          <w:color w:val="222222"/>
          <w:highlight w:val="white"/>
        </w:rPr>
        <w:t> (Doctoral dissertation, Faculty of Engineering Sanitary Engineering Department Study of Water and Wastewater in New Burj Al Arab City A Thesis submitted in partial fulfillment of the requirements for the degree of Master of Science In Sanitary Engineering Presented by Mohamed Gharib Abd El Ghani Mujahid B. Sc. in Power and Electrical Machinery Engineering, Faculty of Engineering, Menoufia University).</w:t>
      </w:r>
    </w:p>
    <w:p w14:paraId="5E563DF0"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Al Marashi, H. and Bhinder, J., 2008, March. From the tallest to the greenest-paradigm shift in Dubai. In </w:t>
      </w:r>
      <w:r>
        <w:rPr>
          <w:rFonts w:ascii="Arial" w:eastAsia="Arial" w:hAnsi="Arial" w:cs="Arial"/>
          <w:i/>
          <w:color w:val="222222"/>
          <w:highlight w:val="white"/>
        </w:rPr>
        <w:t>CTBUH 8th World Congress</w:t>
      </w:r>
      <w:r>
        <w:rPr>
          <w:rFonts w:ascii="Arial" w:eastAsia="Arial" w:hAnsi="Arial" w:cs="Arial"/>
          <w:color w:val="222222"/>
          <w:highlight w:val="white"/>
        </w:rPr>
        <w:t>.</w:t>
      </w:r>
    </w:p>
    <w:p w14:paraId="2D92FC80"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Halford, M.J. and Walters, P.J., 2000. Designing a Landmark for the United Arab Emirates. </w:t>
      </w:r>
      <w:r>
        <w:rPr>
          <w:rFonts w:ascii="Arial" w:eastAsia="Arial" w:hAnsi="Arial" w:cs="Arial"/>
          <w:i/>
          <w:color w:val="222222"/>
          <w:highlight w:val="white"/>
        </w:rPr>
        <w:t>Modern Steel Construction</w:t>
      </w:r>
      <w:r>
        <w:rPr>
          <w:rFonts w:ascii="Arial" w:eastAsia="Arial" w:hAnsi="Arial" w:cs="Arial"/>
          <w:color w:val="222222"/>
          <w:highlight w:val="white"/>
        </w:rPr>
        <w:t>, </w:t>
      </w:r>
      <w:r>
        <w:rPr>
          <w:rFonts w:ascii="Arial" w:eastAsia="Arial" w:hAnsi="Arial" w:cs="Arial"/>
          <w:i/>
          <w:color w:val="222222"/>
          <w:highlight w:val="white"/>
        </w:rPr>
        <w:t>40</w:t>
      </w:r>
      <w:r>
        <w:rPr>
          <w:rFonts w:ascii="Arial" w:eastAsia="Arial" w:hAnsi="Arial" w:cs="Arial"/>
          <w:color w:val="222222"/>
          <w:highlight w:val="white"/>
        </w:rPr>
        <w:t>(8), pp.42-49.</w:t>
      </w:r>
    </w:p>
    <w:p w14:paraId="7AED8BF2"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Lstiburek, J.W. and Eng, P., 2009. Extreme heat: tale of two cities. </w:t>
      </w:r>
      <w:r>
        <w:rPr>
          <w:rFonts w:ascii="Arial" w:eastAsia="Arial" w:hAnsi="Arial" w:cs="Arial"/>
          <w:i/>
          <w:color w:val="222222"/>
          <w:highlight w:val="white"/>
        </w:rPr>
        <w:t>ASHRAE Journal</w:t>
      </w:r>
      <w:r>
        <w:rPr>
          <w:rFonts w:ascii="Arial" w:eastAsia="Arial" w:hAnsi="Arial" w:cs="Arial"/>
          <w:color w:val="222222"/>
          <w:highlight w:val="white"/>
        </w:rPr>
        <w:t>, </w:t>
      </w:r>
      <w:r>
        <w:rPr>
          <w:rFonts w:ascii="Arial" w:eastAsia="Arial" w:hAnsi="Arial" w:cs="Arial"/>
          <w:i/>
          <w:color w:val="222222"/>
          <w:highlight w:val="white"/>
        </w:rPr>
        <w:t>51</w:t>
      </w:r>
      <w:r>
        <w:rPr>
          <w:rFonts w:ascii="Arial" w:eastAsia="Arial" w:hAnsi="Arial" w:cs="Arial"/>
          <w:color w:val="222222"/>
          <w:highlight w:val="white"/>
        </w:rPr>
        <w:t>(3), pp.75-80.</w:t>
      </w:r>
    </w:p>
    <w:p w14:paraId="061EADC4"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Salama, H.H., 2015. Dubai: An urbanism shaped for global tourism.</w:t>
      </w:r>
    </w:p>
    <w:p w14:paraId="61FCEC94"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Abedi, M. and Soltanzadeh, H., 2014. The interaction between tradition and modernity in contemporary architecture of Persian Gulf States: Case study of United Arab Emirates. </w:t>
      </w:r>
      <w:r>
        <w:rPr>
          <w:rFonts w:ascii="Arial" w:eastAsia="Arial" w:hAnsi="Arial" w:cs="Arial"/>
          <w:i/>
          <w:color w:val="222222"/>
          <w:highlight w:val="white"/>
        </w:rPr>
        <w:t>International Journal of Research in Humanities and Social Studies</w:t>
      </w:r>
      <w:r>
        <w:rPr>
          <w:rFonts w:ascii="Arial" w:eastAsia="Arial" w:hAnsi="Arial" w:cs="Arial"/>
          <w:color w:val="222222"/>
          <w:highlight w:val="white"/>
        </w:rPr>
        <w:t>, </w:t>
      </w:r>
      <w:r>
        <w:rPr>
          <w:rFonts w:ascii="Arial" w:eastAsia="Arial" w:hAnsi="Arial" w:cs="Arial"/>
          <w:i/>
          <w:color w:val="222222"/>
          <w:highlight w:val="white"/>
        </w:rPr>
        <w:t>1</w:t>
      </w:r>
      <w:r>
        <w:rPr>
          <w:rFonts w:ascii="Arial" w:eastAsia="Arial" w:hAnsi="Arial" w:cs="Arial"/>
          <w:color w:val="222222"/>
          <w:highlight w:val="white"/>
        </w:rPr>
        <w:t>(1), pp.24-34.</w:t>
      </w:r>
    </w:p>
    <w:p w14:paraId="3F0CC255"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Elsheshtawy, Y., 2004. Redrawing boundaries: Dubai, an emerging global city. </w:t>
      </w:r>
      <w:r>
        <w:rPr>
          <w:rFonts w:ascii="Arial" w:eastAsia="Arial" w:hAnsi="Arial" w:cs="Arial"/>
          <w:i/>
          <w:color w:val="222222"/>
          <w:highlight w:val="white"/>
        </w:rPr>
        <w:t>Planning Middle Eastern cities: An urban kaleidoscope in a globalizing world</w:t>
      </w:r>
      <w:r>
        <w:rPr>
          <w:rFonts w:ascii="Arial" w:eastAsia="Arial" w:hAnsi="Arial" w:cs="Arial"/>
          <w:color w:val="222222"/>
          <w:highlight w:val="white"/>
        </w:rPr>
        <w:t>, pp.169-99.</w:t>
      </w:r>
    </w:p>
    <w:p w14:paraId="6788052D"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Asfour, K., 2007. Polemics in Arab architecture: theory versus practice. </w:t>
      </w:r>
      <w:r>
        <w:rPr>
          <w:rFonts w:ascii="Arial" w:eastAsia="Arial" w:hAnsi="Arial" w:cs="Arial"/>
          <w:i/>
          <w:color w:val="222222"/>
          <w:highlight w:val="white"/>
        </w:rPr>
        <w:t>International Journal of Architectural Research: ArchNet-IJAR</w:t>
      </w:r>
      <w:r>
        <w:rPr>
          <w:rFonts w:ascii="Arial" w:eastAsia="Arial" w:hAnsi="Arial" w:cs="Arial"/>
          <w:color w:val="222222"/>
          <w:highlight w:val="white"/>
        </w:rPr>
        <w:t>, </w:t>
      </w:r>
      <w:r>
        <w:rPr>
          <w:rFonts w:ascii="Arial" w:eastAsia="Arial" w:hAnsi="Arial" w:cs="Arial"/>
          <w:i/>
          <w:color w:val="222222"/>
          <w:highlight w:val="white"/>
        </w:rPr>
        <w:t>1</w:t>
      </w:r>
      <w:r>
        <w:rPr>
          <w:rFonts w:ascii="Arial" w:eastAsia="Arial" w:hAnsi="Arial" w:cs="Arial"/>
          <w:color w:val="222222"/>
          <w:highlight w:val="white"/>
        </w:rPr>
        <w:t>(1), pp.53-69.</w:t>
      </w:r>
    </w:p>
    <w:p w14:paraId="683B886E"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Steiner, C., 2016. Iconic Spaces, Symbolic Capital and the Political Economy of Urban Development in the Arab Gulf 1. In </w:t>
      </w:r>
      <w:r>
        <w:rPr>
          <w:rFonts w:ascii="Arial" w:eastAsia="Arial" w:hAnsi="Arial" w:cs="Arial"/>
          <w:i/>
          <w:color w:val="222222"/>
          <w:highlight w:val="white"/>
        </w:rPr>
        <w:t>Under construction: Logics of urbanism in the Gulf Region</w:t>
      </w:r>
      <w:r>
        <w:rPr>
          <w:rFonts w:ascii="Arial" w:eastAsia="Arial" w:hAnsi="Arial" w:cs="Arial"/>
          <w:color w:val="222222"/>
          <w:highlight w:val="white"/>
        </w:rPr>
        <w:t> (pp. 17-30). Routledge.</w:t>
      </w:r>
    </w:p>
    <w:p w14:paraId="4EEDD22E"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Alraouf, A., 2005, December. Dubaization vs. glocalization: Arab cities transformed. In </w:t>
      </w:r>
      <w:r>
        <w:rPr>
          <w:rFonts w:ascii="Arial" w:eastAsia="Arial" w:hAnsi="Arial" w:cs="Arial"/>
          <w:i/>
          <w:color w:val="222222"/>
          <w:highlight w:val="white"/>
        </w:rPr>
        <w:t>Gulf First Urban Planning and Development Conference, Kuwait, Dec</w:t>
      </w:r>
      <w:r>
        <w:rPr>
          <w:rFonts w:ascii="Arial" w:eastAsia="Arial" w:hAnsi="Arial" w:cs="Arial"/>
          <w:color w:val="222222"/>
          <w:highlight w:val="white"/>
        </w:rPr>
        <w:t> (pp. 12-14).</w:t>
      </w:r>
    </w:p>
    <w:p w14:paraId="14A50FF9"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Hawker, R.W., 2002. \“Where’s The Air Conditioning Switch?”: Identifying Problems For Sustaining Local Architectural Traditions In The Contemporary United Arab Emirates. </w:t>
      </w:r>
      <w:r>
        <w:rPr>
          <w:rFonts w:ascii="Arial" w:eastAsia="Arial" w:hAnsi="Arial" w:cs="Arial"/>
          <w:i/>
          <w:color w:val="222222"/>
          <w:highlight w:val="white"/>
        </w:rPr>
        <w:t>WIT Transactions on Ecology and the Environment</w:t>
      </w:r>
      <w:r>
        <w:rPr>
          <w:rFonts w:ascii="Arial" w:eastAsia="Arial" w:hAnsi="Arial" w:cs="Arial"/>
          <w:color w:val="222222"/>
          <w:highlight w:val="white"/>
        </w:rPr>
        <w:t>, </w:t>
      </w:r>
      <w:r>
        <w:rPr>
          <w:rFonts w:ascii="Arial" w:eastAsia="Arial" w:hAnsi="Arial" w:cs="Arial"/>
          <w:i/>
          <w:color w:val="222222"/>
          <w:highlight w:val="white"/>
        </w:rPr>
        <w:t>54</w:t>
      </w:r>
      <w:r>
        <w:rPr>
          <w:rFonts w:ascii="Arial" w:eastAsia="Arial" w:hAnsi="Arial" w:cs="Arial"/>
          <w:color w:val="222222"/>
          <w:highlight w:val="white"/>
        </w:rPr>
        <w:t>.</w:t>
      </w:r>
    </w:p>
    <w:p w14:paraId="1B626E18"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lastRenderedPageBreak/>
        <w:t>Badran, B.A., Turk, J.V. and Walters, T.N., 2003. Sharing the transformation: Public relations and the UAE come of age. </w:t>
      </w:r>
      <w:r>
        <w:rPr>
          <w:rFonts w:ascii="Arial" w:eastAsia="Arial" w:hAnsi="Arial" w:cs="Arial"/>
          <w:i/>
          <w:color w:val="222222"/>
          <w:highlight w:val="white"/>
        </w:rPr>
        <w:t>The global public relations handbook: Theory, research, and practice</w:t>
      </w:r>
      <w:r>
        <w:rPr>
          <w:rFonts w:ascii="Arial" w:eastAsia="Arial" w:hAnsi="Arial" w:cs="Arial"/>
          <w:color w:val="222222"/>
          <w:highlight w:val="white"/>
        </w:rPr>
        <w:t>, pp.46-67.</w:t>
      </w:r>
    </w:p>
    <w:p w14:paraId="2A264FC2"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Camel, S., Khalifa, B., Al Arab, B., Aquarium, D., Jumeriah, P., Safari, D. and Souk, G., 1992. Cultural History.</w:t>
      </w:r>
    </w:p>
    <w:p w14:paraId="1ACE926E"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Molotch, H. and Ponzini, D. eds., 2019. </w:t>
      </w:r>
      <w:r>
        <w:rPr>
          <w:rFonts w:ascii="Arial" w:eastAsia="Arial" w:hAnsi="Arial" w:cs="Arial"/>
          <w:i/>
          <w:color w:val="222222"/>
          <w:highlight w:val="white"/>
        </w:rPr>
        <w:t>The new Arab urban: Gulf cities of wealth, ambition, and distress</w:t>
      </w:r>
      <w:r>
        <w:rPr>
          <w:rFonts w:ascii="Arial" w:eastAsia="Arial" w:hAnsi="Arial" w:cs="Arial"/>
          <w:color w:val="222222"/>
          <w:highlight w:val="white"/>
        </w:rPr>
        <w:t>. NYU Press.</w:t>
      </w:r>
    </w:p>
    <w:p w14:paraId="01D44E59"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DAMLUJI, S.S., 1999. THE VERNACULAR ARCHITECTURE IN THE CITIES OF OMAN AND THE UNITED ARAB EMIRATES1. </w:t>
      </w:r>
      <w:r>
        <w:rPr>
          <w:rFonts w:ascii="Arial" w:eastAsia="Arial" w:hAnsi="Arial" w:cs="Arial"/>
          <w:i/>
          <w:color w:val="222222"/>
          <w:highlight w:val="white"/>
        </w:rPr>
        <w:t>ARAM Periodical</w:t>
      </w:r>
      <w:r>
        <w:rPr>
          <w:rFonts w:ascii="Arial" w:eastAsia="Arial" w:hAnsi="Arial" w:cs="Arial"/>
          <w:color w:val="222222"/>
          <w:highlight w:val="white"/>
        </w:rPr>
        <w:t>, </w:t>
      </w:r>
      <w:r>
        <w:rPr>
          <w:rFonts w:ascii="Arial" w:eastAsia="Arial" w:hAnsi="Arial" w:cs="Arial"/>
          <w:i/>
          <w:color w:val="222222"/>
          <w:highlight w:val="white"/>
        </w:rPr>
        <w:t>11</w:t>
      </w:r>
      <w:r>
        <w:rPr>
          <w:rFonts w:ascii="Arial" w:eastAsia="Arial" w:hAnsi="Arial" w:cs="Arial"/>
          <w:color w:val="222222"/>
          <w:highlight w:val="white"/>
        </w:rPr>
        <w:t>(1), pp.189-196.</w:t>
      </w:r>
    </w:p>
    <w:p w14:paraId="48CE4B47"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Petti, A., 2008. Dubai offshore urbanism. In </w:t>
      </w:r>
      <w:r>
        <w:rPr>
          <w:rFonts w:ascii="Arial" w:eastAsia="Arial" w:hAnsi="Arial" w:cs="Arial"/>
          <w:i/>
          <w:color w:val="222222"/>
          <w:highlight w:val="white"/>
        </w:rPr>
        <w:t>Heterotopia and the City</w:t>
      </w:r>
      <w:r>
        <w:rPr>
          <w:rFonts w:ascii="Arial" w:eastAsia="Arial" w:hAnsi="Arial" w:cs="Arial"/>
          <w:color w:val="222222"/>
          <w:highlight w:val="white"/>
        </w:rPr>
        <w:t> (pp. 299-308). Routledge.</w:t>
      </w:r>
    </w:p>
    <w:p w14:paraId="2D2ABD4F"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Shareef, V.A., 2018. The meaning of originality in architecture and how can it be measured. </w:t>
      </w:r>
      <w:r>
        <w:rPr>
          <w:rFonts w:ascii="Arial" w:eastAsia="Arial" w:hAnsi="Arial" w:cs="Arial"/>
          <w:i/>
          <w:color w:val="222222"/>
          <w:highlight w:val="white"/>
        </w:rPr>
        <w:t>Journal of process management and new technologies</w:t>
      </w:r>
      <w:r>
        <w:rPr>
          <w:rFonts w:ascii="Arial" w:eastAsia="Arial" w:hAnsi="Arial" w:cs="Arial"/>
          <w:color w:val="222222"/>
          <w:highlight w:val="white"/>
        </w:rPr>
        <w:t>, </w:t>
      </w:r>
      <w:r>
        <w:rPr>
          <w:rFonts w:ascii="Arial" w:eastAsia="Arial" w:hAnsi="Arial" w:cs="Arial"/>
          <w:i/>
          <w:color w:val="222222"/>
          <w:highlight w:val="white"/>
        </w:rPr>
        <w:t>6</w:t>
      </w:r>
      <w:r>
        <w:rPr>
          <w:rFonts w:ascii="Arial" w:eastAsia="Arial" w:hAnsi="Arial" w:cs="Arial"/>
          <w:color w:val="222222"/>
          <w:highlight w:val="white"/>
        </w:rPr>
        <w:t>(3), pp.1-12.</w:t>
      </w:r>
    </w:p>
    <w:p w14:paraId="5BAD5A5C"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Alotaibi, F. and Sinclair, B.R., 2015. Building tall in the Arabian Gulf: Perception| performance| place-making. </w:t>
      </w:r>
      <w:r>
        <w:rPr>
          <w:rFonts w:ascii="Arial" w:eastAsia="Arial" w:hAnsi="Arial" w:cs="Arial"/>
          <w:i/>
          <w:color w:val="222222"/>
          <w:highlight w:val="white"/>
        </w:rPr>
        <w:t>of Architectural Research</w:t>
      </w:r>
      <w:r>
        <w:rPr>
          <w:rFonts w:ascii="Arial" w:eastAsia="Arial" w:hAnsi="Arial" w:cs="Arial"/>
          <w:color w:val="222222"/>
          <w:highlight w:val="white"/>
        </w:rPr>
        <w:t>, p.394.</w:t>
      </w:r>
    </w:p>
    <w:p w14:paraId="24707362"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Sherwood, S., 2005. The Oz of the Middle East. </w:t>
      </w:r>
      <w:r>
        <w:rPr>
          <w:rFonts w:ascii="Arial" w:eastAsia="Arial" w:hAnsi="Arial" w:cs="Arial"/>
          <w:i/>
          <w:color w:val="222222"/>
          <w:highlight w:val="white"/>
        </w:rPr>
        <w:t>New York Times</w:t>
      </w:r>
      <w:r>
        <w:rPr>
          <w:rFonts w:ascii="Arial" w:eastAsia="Arial" w:hAnsi="Arial" w:cs="Arial"/>
          <w:color w:val="222222"/>
          <w:highlight w:val="white"/>
        </w:rPr>
        <w:t>, </w:t>
      </w:r>
      <w:r>
        <w:rPr>
          <w:rFonts w:ascii="Arial" w:eastAsia="Arial" w:hAnsi="Arial" w:cs="Arial"/>
          <w:i/>
          <w:color w:val="222222"/>
          <w:highlight w:val="white"/>
        </w:rPr>
        <w:t>8</w:t>
      </w:r>
      <w:r>
        <w:rPr>
          <w:rFonts w:ascii="Arial" w:eastAsia="Arial" w:hAnsi="Arial" w:cs="Arial"/>
          <w:color w:val="222222"/>
          <w:highlight w:val="white"/>
        </w:rPr>
        <w:t>.</w:t>
      </w:r>
    </w:p>
    <w:p w14:paraId="09074907"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AWAD, J. and BOUDIAF, B., 2020. Re-using heritage elements in new buildings: cases from the United Arab Emirates. </w:t>
      </w:r>
      <w:r>
        <w:rPr>
          <w:rFonts w:ascii="Arial" w:eastAsia="Arial" w:hAnsi="Arial" w:cs="Arial"/>
          <w:i/>
          <w:color w:val="222222"/>
          <w:highlight w:val="white"/>
        </w:rPr>
        <w:t>Islamic Heritage Architecture and Art III</w:t>
      </w:r>
      <w:r>
        <w:rPr>
          <w:rFonts w:ascii="Arial" w:eastAsia="Arial" w:hAnsi="Arial" w:cs="Arial"/>
          <w:color w:val="222222"/>
          <w:highlight w:val="white"/>
        </w:rPr>
        <w:t>, </w:t>
      </w:r>
      <w:r>
        <w:rPr>
          <w:rFonts w:ascii="Arial" w:eastAsia="Arial" w:hAnsi="Arial" w:cs="Arial"/>
          <w:i/>
          <w:color w:val="222222"/>
          <w:highlight w:val="white"/>
        </w:rPr>
        <w:t>197</w:t>
      </w:r>
      <w:r>
        <w:rPr>
          <w:rFonts w:ascii="Arial" w:eastAsia="Arial" w:hAnsi="Arial" w:cs="Arial"/>
          <w:color w:val="222222"/>
          <w:highlight w:val="white"/>
        </w:rPr>
        <w:t>, p.11127.</w:t>
      </w:r>
    </w:p>
    <w:p w14:paraId="77893D86"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Assaf, L. and Montagne, C., 2019. Urban Images and Imaginaries: Gulf cities through their representations. </w:t>
      </w:r>
      <w:r>
        <w:rPr>
          <w:rFonts w:ascii="Arial" w:eastAsia="Arial" w:hAnsi="Arial" w:cs="Arial"/>
          <w:i/>
          <w:color w:val="222222"/>
          <w:highlight w:val="white"/>
        </w:rPr>
        <w:t>Arabian Humanities. Revue internationale d’archéologie et de sciences sociales sur la péninsule Arabique/International Journal of Archaeology and Social Sciences in the Arabian Peninsula</w:t>
      </w:r>
      <w:r>
        <w:rPr>
          <w:rFonts w:ascii="Arial" w:eastAsia="Arial" w:hAnsi="Arial" w:cs="Arial"/>
          <w:color w:val="222222"/>
          <w:highlight w:val="white"/>
        </w:rPr>
        <w:t>, (11).</w:t>
      </w:r>
    </w:p>
    <w:p w14:paraId="670A2F6B"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Hammad, A.A.R., Tall Buildings in Dubai-Converting Architecture into Reality.</w:t>
      </w:r>
    </w:p>
    <w:p w14:paraId="0CCA11E3"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Al-shimmary, H. and Al-Saidi, A., 2017. The Interaction with the Context as a Main Driver in Evaluating the Architectural Projects. </w:t>
      </w:r>
      <w:r>
        <w:rPr>
          <w:rFonts w:ascii="Arial" w:eastAsia="Arial" w:hAnsi="Arial" w:cs="Arial"/>
          <w:i/>
          <w:color w:val="222222"/>
          <w:highlight w:val="white"/>
        </w:rPr>
        <w:t>Journal of Engineering</w:t>
      </w:r>
      <w:r>
        <w:rPr>
          <w:rFonts w:ascii="Arial" w:eastAsia="Arial" w:hAnsi="Arial" w:cs="Arial"/>
          <w:color w:val="222222"/>
          <w:highlight w:val="white"/>
        </w:rPr>
        <w:t>, </w:t>
      </w:r>
      <w:r>
        <w:rPr>
          <w:rFonts w:ascii="Arial" w:eastAsia="Arial" w:hAnsi="Arial" w:cs="Arial"/>
          <w:i/>
          <w:color w:val="222222"/>
          <w:highlight w:val="white"/>
        </w:rPr>
        <w:t>5</w:t>
      </w:r>
      <w:r>
        <w:rPr>
          <w:rFonts w:ascii="Arial" w:eastAsia="Arial" w:hAnsi="Arial" w:cs="Arial"/>
          <w:color w:val="222222"/>
          <w:highlight w:val="white"/>
        </w:rPr>
        <w:t>(2), pp.84-95.</w:t>
      </w:r>
    </w:p>
    <w:p w14:paraId="3F1CE82A"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Gemenetzi, G., Dubai. From a ‘tabula rasa’place to a world class city: The role of architecture and urban planning.</w:t>
      </w:r>
    </w:p>
    <w:p w14:paraId="53035DA9"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Acuto, M., 2010. High-rise Dubai urban entrepreneurialism and the technology of symbolic power. </w:t>
      </w:r>
      <w:r>
        <w:rPr>
          <w:rFonts w:ascii="Arial" w:eastAsia="Arial" w:hAnsi="Arial" w:cs="Arial"/>
          <w:i/>
          <w:color w:val="222222"/>
          <w:highlight w:val="white"/>
        </w:rPr>
        <w:t>Cities</w:t>
      </w:r>
      <w:r>
        <w:rPr>
          <w:rFonts w:ascii="Arial" w:eastAsia="Arial" w:hAnsi="Arial" w:cs="Arial"/>
          <w:color w:val="222222"/>
          <w:highlight w:val="white"/>
        </w:rPr>
        <w:t>, </w:t>
      </w:r>
      <w:r>
        <w:rPr>
          <w:rFonts w:ascii="Arial" w:eastAsia="Arial" w:hAnsi="Arial" w:cs="Arial"/>
          <w:i/>
          <w:color w:val="222222"/>
          <w:highlight w:val="white"/>
        </w:rPr>
        <w:t>27</w:t>
      </w:r>
      <w:r>
        <w:rPr>
          <w:rFonts w:ascii="Arial" w:eastAsia="Arial" w:hAnsi="Arial" w:cs="Arial"/>
          <w:color w:val="222222"/>
          <w:highlight w:val="white"/>
        </w:rPr>
        <w:t>(4), pp.272-284.</w:t>
      </w:r>
    </w:p>
    <w:p w14:paraId="432D0465"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Hammerling, J., 2011. The Hyperbole of Dubai. </w:t>
      </w:r>
      <w:r>
        <w:rPr>
          <w:rFonts w:ascii="Arial" w:eastAsia="Arial" w:hAnsi="Arial" w:cs="Arial"/>
          <w:i/>
          <w:color w:val="222222"/>
          <w:highlight w:val="white"/>
        </w:rPr>
        <w:t>Fast Capitalism</w:t>
      </w:r>
      <w:r>
        <w:rPr>
          <w:rFonts w:ascii="Arial" w:eastAsia="Arial" w:hAnsi="Arial" w:cs="Arial"/>
          <w:color w:val="222222"/>
          <w:highlight w:val="white"/>
        </w:rPr>
        <w:t>, </w:t>
      </w:r>
      <w:r>
        <w:rPr>
          <w:rFonts w:ascii="Arial" w:eastAsia="Arial" w:hAnsi="Arial" w:cs="Arial"/>
          <w:i/>
          <w:color w:val="222222"/>
          <w:highlight w:val="white"/>
        </w:rPr>
        <w:t>8</w:t>
      </w:r>
      <w:r>
        <w:rPr>
          <w:rFonts w:ascii="Arial" w:eastAsia="Arial" w:hAnsi="Arial" w:cs="Arial"/>
          <w:color w:val="222222"/>
          <w:highlight w:val="white"/>
        </w:rPr>
        <w:t>(2).</w:t>
      </w:r>
    </w:p>
    <w:p w14:paraId="310E7507"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Bromber, K., Krawietz, B., Steiner, C. and Wippel, S., 2016. The Arab (ian) Gulf: urban development in the making. In </w:t>
      </w:r>
      <w:r>
        <w:rPr>
          <w:rFonts w:ascii="Arial" w:eastAsia="Arial" w:hAnsi="Arial" w:cs="Arial"/>
          <w:i/>
          <w:color w:val="222222"/>
          <w:highlight w:val="white"/>
        </w:rPr>
        <w:t>Under construction: Logics of urbanism in the Gulf Region</w:t>
      </w:r>
      <w:r>
        <w:rPr>
          <w:rFonts w:ascii="Arial" w:eastAsia="Arial" w:hAnsi="Arial" w:cs="Arial"/>
          <w:color w:val="222222"/>
          <w:highlight w:val="white"/>
        </w:rPr>
        <w:t> (pp. 1-14). Routledge.</w:t>
      </w:r>
    </w:p>
    <w:p w14:paraId="12AC5B52"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Sen, U., 2020. Dubai: Changing Forms With Demography. </w:t>
      </w:r>
      <w:r>
        <w:rPr>
          <w:rFonts w:ascii="Arial" w:eastAsia="Arial" w:hAnsi="Arial" w:cs="Arial"/>
          <w:i/>
          <w:color w:val="222222"/>
          <w:highlight w:val="white"/>
        </w:rPr>
        <w:t>Creative Space</w:t>
      </w:r>
      <w:r>
        <w:rPr>
          <w:rFonts w:ascii="Arial" w:eastAsia="Arial" w:hAnsi="Arial" w:cs="Arial"/>
          <w:color w:val="222222"/>
          <w:highlight w:val="white"/>
        </w:rPr>
        <w:t>, </w:t>
      </w:r>
      <w:r>
        <w:rPr>
          <w:rFonts w:ascii="Arial" w:eastAsia="Arial" w:hAnsi="Arial" w:cs="Arial"/>
          <w:i/>
          <w:color w:val="222222"/>
          <w:highlight w:val="white"/>
        </w:rPr>
        <w:t>7</w:t>
      </w:r>
      <w:r>
        <w:rPr>
          <w:rFonts w:ascii="Arial" w:eastAsia="Arial" w:hAnsi="Arial" w:cs="Arial"/>
          <w:color w:val="222222"/>
          <w:highlight w:val="white"/>
        </w:rPr>
        <w:t>(2), pp.119-125.</w:t>
      </w:r>
    </w:p>
    <w:p w14:paraId="79382117"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lastRenderedPageBreak/>
        <w:t>Dubai, E.E., 2013. Dubai. </w:t>
      </w:r>
      <w:r>
        <w:rPr>
          <w:rFonts w:ascii="Arial" w:eastAsia="Arial" w:hAnsi="Arial" w:cs="Arial"/>
          <w:i/>
          <w:color w:val="222222"/>
          <w:highlight w:val="white"/>
        </w:rPr>
        <w:t>Dubai FDI. Department of Eeconomic Development in Dubai [Online] Available URL: http://www. dubaifdi. gov. ae/en/AboutUs/Pages/default. aspx. Accessed September</w:t>
      </w:r>
      <w:r>
        <w:rPr>
          <w:rFonts w:ascii="Arial" w:eastAsia="Arial" w:hAnsi="Arial" w:cs="Arial"/>
          <w:color w:val="222222"/>
          <w:highlight w:val="white"/>
        </w:rPr>
        <w:t>, </w:t>
      </w:r>
      <w:r>
        <w:rPr>
          <w:rFonts w:ascii="Arial" w:eastAsia="Arial" w:hAnsi="Arial" w:cs="Arial"/>
          <w:i/>
          <w:color w:val="222222"/>
          <w:highlight w:val="white"/>
        </w:rPr>
        <w:t>7</w:t>
      </w:r>
      <w:r>
        <w:rPr>
          <w:rFonts w:ascii="Arial" w:eastAsia="Arial" w:hAnsi="Arial" w:cs="Arial"/>
          <w:color w:val="222222"/>
          <w:highlight w:val="white"/>
        </w:rPr>
        <w:t>, p.2012.</w:t>
      </w:r>
    </w:p>
    <w:p w14:paraId="795A7A6B"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Kubat, A.S., Guney, Y.I., Ozer, O., Topcu, M. and Bayraktar, S., 2009. The effects of the new development projects on the urban macroform of Dubai. In </w:t>
      </w:r>
      <w:r>
        <w:rPr>
          <w:rFonts w:ascii="Arial" w:eastAsia="Arial" w:hAnsi="Arial" w:cs="Arial"/>
          <w:i/>
          <w:color w:val="222222"/>
          <w:highlight w:val="white"/>
        </w:rPr>
        <w:t>Proceedings of the 7th international space syntax symposium</w:t>
      </w:r>
      <w:r>
        <w:rPr>
          <w:rFonts w:ascii="Arial" w:eastAsia="Arial" w:hAnsi="Arial" w:cs="Arial"/>
          <w:color w:val="222222"/>
          <w:highlight w:val="white"/>
        </w:rPr>
        <w:t>.</w:t>
      </w:r>
    </w:p>
    <w:p w14:paraId="1F175FDF"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Shannon, B., 2012. THE ‘DUBAI EFFECT’. </w:t>
      </w:r>
      <w:r>
        <w:rPr>
          <w:rFonts w:ascii="Arial" w:eastAsia="Arial" w:hAnsi="Arial" w:cs="Arial"/>
          <w:i/>
          <w:color w:val="222222"/>
          <w:highlight w:val="white"/>
        </w:rPr>
        <w:t>The Emerging Asian City: Concomitant Urbanities &amp; Urbanisms</w:t>
      </w:r>
      <w:r>
        <w:rPr>
          <w:rFonts w:ascii="Arial" w:eastAsia="Arial" w:hAnsi="Arial" w:cs="Arial"/>
          <w:color w:val="222222"/>
          <w:highlight w:val="white"/>
        </w:rPr>
        <w:t>, p.254.</w:t>
      </w:r>
    </w:p>
    <w:p w14:paraId="5EC5B15F"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Galicia, S.J., Estoy, H.B., Melgar, E.C., Lumio, M.C., Macalinao, R.S. and Bangalisan, R.R., 2019. The General Outlook of Burj Al Arab Hotel at Dubai. </w:t>
      </w:r>
      <w:r>
        <w:rPr>
          <w:rFonts w:ascii="Arial" w:eastAsia="Arial" w:hAnsi="Arial" w:cs="Arial"/>
          <w:i/>
          <w:color w:val="222222"/>
          <w:highlight w:val="white"/>
        </w:rPr>
        <w:t>Ascendens Asia Singapore–Bestlink College of the Philippines Journal of Multidisciplinary Research</w:t>
      </w:r>
      <w:r>
        <w:rPr>
          <w:rFonts w:ascii="Arial" w:eastAsia="Arial" w:hAnsi="Arial" w:cs="Arial"/>
          <w:color w:val="222222"/>
          <w:highlight w:val="white"/>
        </w:rPr>
        <w:t>, </w:t>
      </w:r>
      <w:r>
        <w:rPr>
          <w:rFonts w:ascii="Arial" w:eastAsia="Arial" w:hAnsi="Arial" w:cs="Arial"/>
          <w:i/>
          <w:color w:val="222222"/>
          <w:highlight w:val="white"/>
        </w:rPr>
        <w:t>1</w:t>
      </w:r>
      <w:r>
        <w:rPr>
          <w:rFonts w:ascii="Arial" w:eastAsia="Arial" w:hAnsi="Arial" w:cs="Arial"/>
          <w:color w:val="222222"/>
          <w:highlight w:val="white"/>
        </w:rPr>
        <w:t>(1).</w:t>
      </w:r>
    </w:p>
    <w:p w14:paraId="61326EAA"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Tsai, H., 2020. It may be helpful to first examine each monument separately. To understand how an uncertain history inspired the Great Mosque of Mecca, one must return to its religion: Islam. One of the most-followed religions, Islam boasts an enormous following of 1.6 billion people.</w:t>
      </w:r>
    </w:p>
    <w:p w14:paraId="66CC51D6"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Arshadlamphon, H.T., 2018. The Monumental Water Celebration: A Construction Proposal of Building on Water and Carving Water Edges. </w:t>
      </w:r>
      <w:r>
        <w:rPr>
          <w:rFonts w:ascii="Arial" w:eastAsia="Arial" w:hAnsi="Arial" w:cs="Arial"/>
          <w:i/>
          <w:color w:val="222222"/>
          <w:highlight w:val="white"/>
        </w:rPr>
        <w:t>International Design Journal</w:t>
      </w:r>
      <w:r>
        <w:rPr>
          <w:rFonts w:ascii="Arial" w:eastAsia="Arial" w:hAnsi="Arial" w:cs="Arial"/>
          <w:color w:val="222222"/>
          <w:highlight w:val="white"/>
        </w:rPr>
        <w:t>, </w:t>
      </w:r>
      <w:r>
        <w:rPr>
          <w:rFonts w:ascii="Arial" w:eastAsia="Arial" w:hAnsi="Arial" w:cs="Arial"/>
          <w:i/>
          <w:color w:val="222222"/>
          <w:highlight w:val="white"/>
        </w:rPr>
        <w:t>8</w:t>
      </w:r>
      <w:r>
        <w:rPr>
          <w:rFonts w:ascii="Arial" w:eastAsia="Arial" w:hAnsi="Arial" w:cs="Arial"/>
          <w:color w:val="222222"/>
          <w:highlight w:val="white"/>
        </w:rPr>
        <w:t>(2), pp.61-70.</w:t>
      </w:r>
    </w:p>
    <w:p w14:paraId="476C7607"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Katodrytis, G. and Mitchell, K. eds., 2015. </w:t>
      </w:r>
      <w:r>
        <w:rPr>
          <w:rFonts w:ascii="Arial" w:eastAsia="Arial" w:hAnsi="Arial" w:cs="Arial"/>
          <w:i/>
          <w:color w:val="222222"/>
          <w:highlight w:val="white"/>
        </w:rPr>
        <w:t>UAE and the Gulf: architecture and urbanism now</w:t>
      </w:r>
      <w:r>
        <w:rPr>
          <w:rFonts w:ascii="Arial" w:eastAsia="Arial" w:hAnsi="Arial" w:cs="Arial"/>
          <w:color w:val="222222"/>
          <w:highlight w:val="white"/>
        </w:rPr>
        <w:t>. John Wiley &amp; Sons.</w:t>
      </w:r>
    </w:p>
    <w:p w14:paraId="26F8CAFA"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Thurlow, C. and Jaworski, A., 2012. Elite mobilities: The semiotic landscapes of luxury and privilege. </w:t>
      </w:r>
      <w:r>
        <w:rPr>
          <w:rFonts w:ascii="Arial" w:eastAsia="Arial" w:hAnsi="Arial" w:cs="Arial"/>
          <w:i/>
          <w:color w:val="222222"/>
          <w:highlight w:val="white"/>
        </w:rPr>
        <w:t>Social Semiotics</w:t>
      </w:r>
      <w:r>
        <w:rPr>
          <w:rFonts w:ascii="Arial" w:eastAsia="Arial" w:hAnsi="Arial" w:cs="Arial"/>
          <w:color w:val="222222"/>
          <w:highlight w:val="white"/>
        </w:rPr>
        <w:t>, </w:t>
      </w:r>
      <w:r>
        <w:rPr>
          <w:rFonts w:ascii="Arial" w:eastAsia="Arial" w:hAnsi="Arial" w:cs="Arial"/>
          <w:i/>
          <w:color w:val="222222"/>
          <w:highlight w:val="white"/>
        </w:rPr>
        <w:t>22</w:t>
      </w:r>
      <w:r>
        <w:rPr>
          <w:rFonts w:ascii="Arial" w:eastAsia="Arial" w:hAnsi="Arial" w:cs="Arial"/>
          <w:color w:val="222222"/>
          <w:highlight w:val="white"/>
        </w:rPr>
        <w:t>(4), pp.487-516.</w:t>
      </w:r>
    </w:p>
    <w:p w14:paraId="318FA9E5"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Lee, H. and Jain, D., 2009. Dubai's brand assessment success and failure in brand management–Part 1. </w:t>
      </w:r>
      <w:r>
        <w:rPr>
          <w:rFonts w:ascii="Arial" w:eastAsia="Arial" w:hAnsi="Arial" w:cs="Arial"/>
          <w:i/>
          <w:color w:val="222222"/>
          <w:highlight w:val="white"/>
        </w:rPr>
        <w:t>Place Branding and Public Diplomacy</w:t>
      </w:r>
      <w:r>
        <w:rPr>
          <w:rFonts w:ascii="Arial" w:eastAsia="Arial" w:hAnsi="Arial" w:cs="Arial"/>
          <w:color w:val="222222"/>
          <w:highlight w:val="white"/>
        </w:rPr>
        <w:t>, </w:t>
      </w:r>
      <w:r>
        <w:rPr>
          <w:rFonts w:ascii="Arial" w:eastAsia="Arial" w:hAnsi="Arial" w:cs="Arial"/>
          <w:i/>
          <w:color w:val="222222"/>
          <w:highlight w:val="white"/>
        </w:rPr>
        <w:t>5</w:t>
      </w:r>
      <w:r>
        <w:rPr>
          <w:rFonts w:ascii="Arial" w:eastAsia="Arial" w:hAnsi="Arial" w:cs="Arial"/>
          <w:color w:val="222222"/>
          <w:highlight w:val="white"/>
        </w:rPr>
        <w:t>, pp.234-246.</w:t>
      </w:r>
    </w:p>
    <w:p w14:paraId="6F757E32"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Ede, A.N. and Udoh, E.G., 2015. Modelling, Analysis and Design of a Bottle-Shaped Building.</w:t>
      </w:r>
    </w:p>
    <w:p w14:paraId="0977335C"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Walker, J., Ham, A. and Schulte-Peevers, A., 2013. </w:t>
      </w:r>
      <w:r>
        <w:rPr>
          <w:rFonts w:ascii="Arial" w:eastAsia="Arial" w:hAnsi="Arial" w:cs="Arial"/>
          <w:i/>
          <w:color w:val="222222"/>
          <w:highlight w:val="white"/>
        </w:rPr>
        <w:t>Oman, UAE &amp; Arabian Peninsula</w:t>
      </w:r>
      <w:r>
        <w:rPr>
          <w:rFonts w:ascii="Arial" w:eastAsia="Arial" w:hAnsi="Arial" w:cs="Arial"/>
          <w:color w:val="222222"/>
          <w:highlight w:val="white"/>
        </w:rPr>
        <w:t>. Melbourne: Lonely Planet.</w:t>
      </w:r>
    </w:p>
    <w:p w14:paraId="3CFA192E"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Steiner, B., 2003. Armaflex in Burj al Arab; Armaflex im Burj al Arab. </w:t>
      </w:r>
      <w:r>
        <w:rPr>
          <w:rFonts w:ascii="Arial" w:eastAsia="Arial" w:hAnsi="Arial" w:cs="Arial"/>
          <w:i/>
          <w:color w:val="222222"/>
          <w:highlight w:val="white"/>
        </w:rPr>
        <w:t>HK Gebaude Technik</w:t>
      </w:r>
      <w:r>
        <w:rPr>
          <w:rFonts w:ascii="Arial" w:eastAsia="Arial" w:hAnsi="Arial" w:cs="Arial"/>
          <w:color w:val="222222"/>
          <w:highlight w:val="white"/>
        </w:rPr>
        <w:t>, </w:t>
      </w:r>
      <w:r>
        <w:rPr>
          <w:rFonts w:ascii="Arial" w:eastAsia="Arial" w:hAnsi="Arial" w:cs="Arial"/>
          <w:i/>
          <w:color w:val="222222"/>
          <w:highlight w:val="white"/>
        </w:rPr>
        <w:t>6</w:t>
      </w:r>
      <w:r>
        <w:rPr>
          <w:rFonts w:ascii="Arial" w:eastAsia="Arial" w:hAnsi="Arial" w:cs="Arial"/>
          <w:color w:val="222222"/>
          <w:highlight w:val="white"/>
        </w:rPr>
        <w:t>.</w:t>
      </w:r>
    </w:p>
    <w:p w14:paraId="61A4BB7F"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CHAKRAVARTY, S. and BALL, P., 2015. BEIGE HERITAGE/GOLDEN TOWERS: COLOUR, CULTURE AND ASPIRATION. </w:t>
      </w:r>
      <w:r>
        <w:rPr>
          <w:rFonts w:ascii="Arial" w:eastAsia="Arial" w:hAnsi="Arial" w:cs="Arial"/>
          <w:i/>
          <w:color w:val="222222"/>
          <w:highlight w:val="white"/>
        </w:rPr>
        <w:t>Thinking Colours: Perception, Translation and Representation</w:t>
      </w:r>
      <w:r>
        <w:rPr>
          <w:rFonts w:ascii="Arial" w:eastAsia="Arial" w:hAnsi="Arial" w:cs="Arial"/>
          <w:color w:val="222222"/>
          <w:highlight w:val="white"/>
        </w:rPr>
        <w:t>, p.190.</w:t>
      </w:r>
    </w:p>
    <w:p w14:paraId="07B9E369" w14:textId="77777777" w:rsidR="001F2A53" w:rsidRDefault="00000000">
      <w:pPr>
        <w:rPr>
          <w:rFonts w:ascii="Arial" w:eastAsia="Arial" w:hAnsi="Arial" w:cs="Arial"/>
          <w:color w:val="222222"/>
          <w:highlight w:val="white"/>
        </w:rPr>
      </w:pPr>
      <w:r>
        <w:rPr>
          <w:rFonts w:ascii="Arial" w:eastAsia="Arial" w:hAnsi="Arial" w:cs="Arial"/>
          <w:color w:val="222222"/>
          <w:highlight w:val="white"/>
        </w:rPr>
        <w:t>Žilinský, J. and Vanc, M., 2014. Applied Aerodynamics in Building. </w:t>
      </w:r>
      <w:r>
        <w:rPr>
          <w:rFonts w:ascii="Arial" w:eastAsia="Arial" w:hAnsi="Arial" w:cs="Arial"/>
          <w:i/>
          <w:color w:val="222222"/>
          <w:highlight w:val="white"/>
        </w:rPr>
        <w:t>Advanced Materials Research</w:t>
      </w:r>
      <w:r>
        <w:rPr>
          <w:rFonts w:ascii="Arial" w:eastAsia="Arial" w:hAnsi="Arial" w:cs="Arial"/>
          <w:color w:val="222222"/>
          <w:highlight w:val="white"/>
        </w:rPr>
        <w:t>, </w:t>
      </w:r>
      <w:r>
        <w:rPr>
          <w:rFonts w:ascii="Arial" w:eastAsia="Arial" w:hAnsi="Arial" w:cs="Arial"/>
          <w:i/>
          <w:color w:val="222222"/>
          <w:highlight w:val="white"/>
        </w:rPr>
        <w:t>855</w:t>
      </w:r>
      <w:r>
        <w:rPr>
          <w:rFonts w:ascii="Arial" w:eastAsia="Arial" w:hAnsi="Arial" w:cs="Arial"/>
          <w:color w:val="222222"/>
          <w:highlight w:val="white"/>
        </w:rPr>
        <w:t>, pp.164-167.</w:t>
      </w:r>
    </w:p>
    <w:p w14:paraId="0155F8AF"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Said Abdelhamid Elkholy, A. and Abdelhameed Salem Abdelsamad, S., 2021. Some social risks are facing rural women in some villages of the Burj Al Arab district, Alexandria Governorate. </w:t>
      </w:r>
      <w:r>
        <w:rPr>
          <w:rFonts w:ascii="Arial" w:eastAsia="Arial" w:hAnsi="Arial" w:cs="Arial"/>
          <w:i/>
          <w:color w:val="222222"/>
          <w:highlight w:val="white"/>
        </w:rPr>
        <w:t>Assiut Journal of Agricultural Sciences</w:t>
      </w:r>
      <w:r>
        <w:rPr>
          <w:rFonts w:ascii="Arial" w:eastAsia="Arial" w:hAnsi="Arial" w:cs="Arial"/>
          <w:color w:val="222222"/>
          <w:highlight w:val="white"/>
        </w:rPr>
        <w:t>, </w:t>
      </w:r>
      <w:r>
        <w:rPr>
          <w:rFonts w:ascii="Arial" w:eastAsia="Arial" w:hAnsi="Arial" w:cs="Arial"/>
          <w:i/>
          <w:color w:val="222222"/>
          <w:highlight w:val="white"/>
        </w:rPr>
        <w:t>52</w:t>
      </w:r>
      <w:r>
        <w:rPr>
          <w:rFonts w:ascii="Arial" w:eastAsia="Arial" w:hAnsi="Arial" w:cs="Arial"/>
          <w:color w:val="222222"/>
          <w:highlight w:val="white"/>
        </w:rPr>
        <w:t>(4), pp.160-189.</w:t>
      </w:r>
    </w:p>
    <w:p w14:paraId="5A31F444"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lastRenderedPageBreak/>
        <w:t>Birtchnell, T. and Caletrío, J. eds., 2013. </w:t>
      </w:r>
      <w:r>
        <w:rPr>
          <w:rFonts w:ascii="Arial" w:eastAsia="Arial" w:hAnsi="Arial" w:cs="Arial"/>
          <w:i/>
          <w:color w:val="222222"/>
          <w:highlight w:val="white"/>
        </w:rPr>
        <w:t>Elite mobilities</w:t>
      </w:r>
      <w:r>
        <w:rPr>
          <w:rFonts w:ascii="Arial" w:eastAsia="Arial" w:hAnsi="Arial" w:cs="Arial"/>
          <w:color w:val="222222"/>
          <w:highlight w:val="white"/>
        </w:rPr>
        <w:t>. Routledge.</w:t>
      </w:r>
    </w:p>
    <w:p w14:paraId="4974B25D"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Tewfik, M.J., 2023. Technical work and its design image in the interior space (As a case study of the Burj Al Arab hotel as a model). </w:t>
      </w:r>
      <w:r>
        <w:rPr>
          <w:rFonts w:ascii="Arial" w:eastAsia="Arial" w:hAnsi="Arial" w:cs="Arial"/>
          <w:i/>
          <w:color w:val="222222"/>
          <w:highlight w:val="white"/>
        </w:rPr>
        <w:t>Journal of Techniques</w:t>
      </w:r>
      <w:r>
        <w:rPr>
          <w:rFonts w:ascii="Arial" w:eastAsia="Arial" w:hAnsi="Arial" w:cs="Arial"/>
          <w:color w:val="222222"/>
          <w:highlight w:val="white"/>
        </w:rPr>
        <w:t>, </w:t>
      </w:r>
      <w:r>
        <w:rPr>
          <w:rFonts w:ascii="Arial" w:eastAsia="Arial" w:hAnsi="Arial" w:cs="Arial"/>
          <w:i/>
          <w:color w:val="222222"/>
          <w:highlight w:val="white"/>
        </w:rPr>
        <w:t>5</w:t>
      </w:r>
      <w:r>
        <w:rPr>
          <w:rFonts w:ascii="Arial" w:eastAsia="Arial" w:hAnsi="Arial" w:cs="Arial"/>
          <w:color w:val="222222"/>
          <w:highlight w:val="white"/>
        </w:rPr>
        <w:t>(1).</w:t>
      </w:r>
    </w:p>
    <w:p w14:paraId="1CEB810A"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Choplin, A. and Franck, A., 2016. Seeing Dubai in Khartoum and Nouakchott:‘Gulfication'on the Margins of the Arab World. In </w:t>
      </w:r>
      <w:r>
        <w:rPr>
          <w:rFonts w:ascii="Arial" w:eastAsia="Arial" w:hAnsi="Arial" w:cs="Arial"/>
          <w:i/>
          <w:color w:val="222222"/>
          <w:highlight w:val="white"/>
        </w:rPr>
        <w:t>Under construction: Logics of urbanism in the Gulf Region</w:t>
      </w:r>
      <w:r>
        <w:rPr>
          <w:rFonts w:ascii="Arial" w:eastAsia="Arial" w:hAnsi="Arial" w:cs="Arial"/>
          <w:color w:val="222222"/>
          <w:highlight w:val="white"/>
        </w:rPr>
        <w:t> (pp. 271-284). Routledge.</w:t>
      </w:r>
    </w:p>
    <w:p w14:paraId="11C21BA7"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Yas, H., Mardani, A., Albayati, Y.K., Lootah, S.E. and Streimikiene, D., 2020. The positive role of the tourism industry for Dubai city in the United Arab Emirates. </w:t>
      </w:r>
      <w:r>
        <w:rPr>
          <w:rFonts w:ascii="Arial" w:eastAsia="Arial" w:hAnsi="Arial" w:cs="Arial"/>
          <w:i/>
          <w:color w:val="222222"/>
          <w:highlight w:val="white"/>
        </w:rPr>
        <w:t>Contemporary Economics</w:t>
      </w:r>
      <w:r>
        <w:rPr>
          <w:rFonts w:ascii="Arial" w:eastAsia="Arial" w:hAnsi="Arial" w:cs="Arial"/>
          <w:color w:val="222222"/>
          <w:highlight w:val="white"/>
        </w:rPr>
        <w:t>, </w:t>
      </w:r>
      <w:r>
        <w:rPr>
          <w:rFonts w:ascii="Arial" w:eastAsia="Arial" w:hAnsi="Arial" w:cs="Arial"/>
          <w:i/>
          <w:color w:val="222222"/>
          <w:highlight w:val="white"/>
        </w:rPr>
        <w:t>14</w:t>
      </w:r>
      <w:r>
        <w:rPr>
          <w:rFonts w:ascii="Arial" w:eastAsia="Arial" w:hAnsi="Arial" w:cs="Arial"/>
          <w:color w:val="222222"/>
          <w:highlight w:val="white"/>
        </w:rPr>
        <w:t>(4), p.601.</w:t>
      </w:r>
    </w:p>
    <w:p w14:paraId="5EAB7FED"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Khudhair, H.Y., Mardani, A., Albayati, Y., Lootah, S.E. and Streimikiene, D., 2020. The positive role of the tourism industry for Dubai city in the United Arab Emirates. </w:t>
      </w:r>
      <w:r>
        <w:rPr>
          <w:rFonts w:ascii="Arial" w:eastAsia="Arial" w:hAnsi="Arial" w:cs="Arial"/>
          <w:i/>
          <w:color w:val="222222"/>
          <w:highlight w:val="white"/>
        </w:rPr>
        <w:t>Contemporary Economics</w:t>
      </w:r>
      <w:r>
        <w:rPr>
          <w:rFonts w:ascii="Arial" w:eastAsia="Arial" w:hAnsi="Arial" w:cs="Arial"/>
          <w:color w:val="222222"/>
          <w:highlight w:val="white"/>
        </w:rPr>
        <w:t>, pp.604-619.</w:t>
      </w:r>
    </w:p>
    <w:p w14:paraId="74579204"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Al-Kodmany, K., 2012. KHEIR AL-KODMANY AND MIR M. ALi. </w:t>
      </w:r>
      <w:r>
        <w:rPr>
          <w:rFonts w:ascii="Arial" w:eastAsia="Arial" w:hAnsi="Arial" w:cs="Arial"/>
          <w:i/>
          <w:color w:val="222222"/>
          <w:highlight w:val="white"/>
        </w:rPr>
        <w:t>International Journal of Architectural Research</w:t>
      </w:r>
      <w:r>
        <w:rPr>
          <w:rFonts w:ascii="Arial" w:eastAsia="Arial" w:hAnsi="Arial" w:cs="Arial"/>
          <w:color w:val="222222"/>
          <w:highlight w:val="white"/>
        </w:rPr>
        <w:t>, p.49.</w:t>
      </w:r>
    </w:p>
    <w:p w14:paraId="5E89AB5F"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Polly Jr, D.W., 2009. Sunset in Dubai Overlooking the Burj al Arab. </w:t>
      </w:r>
      <w:r>
        <w:rPr>
          <w:rFonts w:ascii="Arial" w:eastAsia="Arial" w:hAnsi="Arial" w:cs="Arial"/>
          <w:i/>
          <w:color w:val="222222"/>
          <w:highlight w:val="white"/>
        </w:rPr>
        <w:t>Spine</w:t>
      </w:r>
      <w:r>
        <w:rPr>
          <w:rFonts w:ascii="Arial" w:eastAsia="Arial" w:hAnsi="Arial" w:cs="Arial"/>
          <w:color w:val="222222"/>
          <w:highlight w:val="white"/>
        </w:rPr>
        <w:t>, </w:t>
      </w:r>
      <w:r>
        <w:rPr>
          <w:rFonts w:ascii="Arial" w:eastAsia="Arial" w:hAnsi="Arial" w:cs="Arial"/>
          <w:i/>
          <w:color w:val="222222"/>
          <w:highlight w:val="white"/>
        </w:rPr>
        <w:t>34</w:t>
      </w:r>
      <w:r>
        <w:rPr>
          <w:rFonts w:ascii="Arial" w:eastAsia="Arial" w:hAnsi="Arial" w:cs="Arial"/>
          <w:color w:val="222222"/>
          <w:highlight w:val="white"/>
        </w:rPr>
        <w:t>(18), p.i.</w:t>
      </w:r>
    </w:p>
    <w:p w14:paraId="62804888"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Bagaeen, S., 2007. Brand Dubai: The instant city; or the instantly recognizable city. </w:t>
      </w:r>
      <w:r>
        <w:rPr>
          <w:rFonts w:ascii="Arial" w:eastAsia="Arial" w:hAnsi="Arial" w:cs="Arial"/>
          <w:i/>
          <w:color w:val="222222"/>
          <w:highlight w:val="white"/>
        </w:rPr>
        <w:t>International Planning Studies</w:t>
      </w:r>
      <w:r>
        <w:rPr>
          <w:rFonts w:ascii="Arial" w:eastAsia="Arial" w:hAnsi="Arial" w:cs="Arial"/>
          <w:color w:val="222222"/>
          <w:highlight w:val="white"/>
        </w:rPr>
        <w:t>, </w:t>
      </w:r>
      <w:r>
        <w:rPr>
          <w:rFonts w:ascii="Arial" w:eastAsia="Arial" w:hAnsi="Arial" w:cs="Arial"/>
          <w:i/>
          <w:color w:val="222222"/>
          <w:highlight w:val="white"/>
        </w:rPr>
        <w:t>12</w:t>
      </w:r>
      <w:r>
        <w:rPr>
          <w:rFonts w:ascii="Arial" w:eastAsia="Arial" w:hAnsi="Arial" w:cs="Arial"/>
          <w:color w:val="222222"/>
          <w:highlight w:val="white"/>
        </w:rPr>
        <w:t>(2), pp.173-197.</w:t>
      </w:r>
    </w:p>
    <w:p w14:paraId="6E6B6E42"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Ibrahim, H.M., Balah, M.A. and Tohamy, H.M., APPLIED GAP FOR HERBICIDE USERS IN NUBARIA AND BURJ AL ARAB REGION.</w:t>
      </w:r>
    </w:p>
    <w:p w14:paraId="2A71C68D"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Mohammed Abbas Mohammed Rifai, A., 2018. Science and Technology Parks and the Transformation towards Knowledge Economy ‘The City of Scientific Research and Technological Applications’ in Burj Al Arab ‘. </w:t>
      </w:r>
      <w:r>
        <w:rPr>
          <w:rFonts w:ascii="Arial" w:eastAsia="Arial" w:hAnsi="Arial" w:cs="Arial"/>
          <w:i/>
          <w:color w:val="222222"/>
          <w:highlight w:val="white"/>
        </w:rPr>
        <w:t>Annals of the Faculty of Arts, Ain Shams University</w:t>
      </w:r>
      <w:r>
        <w:rPr>
          <w:rFonts w:ascii="Arial" w:eastAsia="Arial" w:hAnsi="Arial" w:cs="Arial"/>
          <w:color w:val="222222"/>
          <w:highlight w:val="white"/>
        </w:rPr>
        <w:t>, </w:t>
      </w:r>
      <w:r>
        <w:rPr>
          <w:rFonts w:ascii="Arial" w:eastAsia="Arial" w:hAnsi="Arial" w:cs="Arial"/>
          <w:i/>
          <w:color w:val="222222"/>
          <w:highlight w:val="white"/>
        </w:rPr>
        <w:t>46</w:t>
      </w:r>
      <w:r>
        <w:rPr>
          <w:rFonts w:ascii="Arial" w:eastAsia="Arial" w:hAnsi="Arial" w:cs="Arial"/>
          <w:color w:val="222222"/>
          <w:highlight w:val="white"/>
        </w:rPr>
        <w:t>(April-June (B)), pp.367-412.</w:t>
      </w:r>
    </w:p>
    <w:p w14:paraId="69DACA57"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Mohamed, E., Kasem, A.M. and El-Khatib, A., 2020. Allelopathic potential of Egyptian halophytes Arthrocnemum macrostachyum and Halocnemum strobilaceum from two coastal areas.</w:t>
      </w:r>
    </w:p>
    <w:p w14:paraId="09915183" w14:textId="77777777" w:rsidR="001F2A53" w:rsidRDefault="00000000">
      <w:pPr>
        <w:ind w:left="360"/>
        <w:rPr>
          <w:rFonts w:ascii="Arial" w:eastAsia="Arial" w:hAnsi="Arial" w:cs="Arial"/>
          <w:color w:val="222222"/>
          <w:highlight w:val="white"/>
        </w:rPr>
      </w:pPr>
      <w:r>
        <w:rPr>
          <w:rFonts w:ascii="Arial" w:eastAsia="Arial" w:hAnsi="Arial" w:cs="Arial"/>
          <w:color w:val="222222"/>
          <w:highlight w:val="white"/>
        </w:rPr>
        <w:t>ELKASAS, M.A., ABU SAADA, M.A. and SERAG, E.A., 2012. FARMERS APPLICATION OF KNOWLEDGE AND RECOMMENDATIONS FOR THE INNOVATIVE PRODUCTION AND BREEDING GOATS IN SOME VILLAGES IN THE BURG ALARAB AND THE AMIRIYA, ALEXANDRIA GOVERNORATE. </w:t>
      </w:r>
      <w:r>
        <w:rPr>
          <w:rFonts w:ascii="Arial" w:eastAsia="Arial" w:hAnsi="Arial" w:cs="Arial"/>
          <w:i/>
          <w:color w:val="222222"/>
          <w:highlight w:val="white"/>
        </w:rPr>
        <w:t>Egyptian Journal of Agricultural Research</w:t>
      </w:r>
      <w:r>
        <w:rPr>
          <w:rFonts w:ascii="Arial" w:eastAsia="Arial" w:hAnsi="Arial" w:cs="Arial"/>
          <w:color w:val="222222"/>
          <w:highlight w:val="white"/>
        </w:rPr>
        <w:t>, </w:t>
      </w:r>
      <w:r>
        <w:rPr>
          <w:rFonts w:ascii="Arial" w:eastAsia="Arial" w:hAnsi="Arial" w:cs="Arial"/>
          <w:i/>
          <w:color w:val="222222"/>
          <w:highlight w:val="white"/>
        </w:rPr>
        <w:t>90</w:t>
      </w:r>
      <w:r>
        <w:rPr>
          <w:rFonts w:ascii="Arial" w:eastAsia="Arial" w:hAnsi="Arial" w:cs="Arial"/>
          <w:color w:val="222222"/>
          <w:highlight w:val="white"/>
        </w:rPr>
        <w:t>(2), pp.889-902.</w:t>
      </w:r>
    </w:p>
    <w:p w14:paraId="26F0C344" w14:textId="77777777" w:rsidR="001F2A53" w:rsidRDefault="00000000">
      <w:pPr>
        <w:ind w:left="360"/>
        <w:rPr>
          <w:rFonts w:ascii="Arial" w:eastAsia="Arial" w:hAnsi="Arial" w:cs="Arial"/>
        </w:rPr>
      </w:pPr>
      <w:r>
        <w:rPr>
          <w:rFonts w:ascii="Arial" w:eastAsia="Arial" w:hAnsi="Arial" w:cs="Arial"/>
          <w:color w:val="222222"/>
          <w:highlight w:val="white"/>
        </w:rPr>
        <w:t>Hashim, A.R.B., Irazábal, C. and Byrum, G., 2010. The Scheherazade Syndrome: Fiction and Fact in Dubai's Quest to Become a Global City. </w:t>
      </w:r>
      <w:r>
        <w:rPr>
          <w:rFonts w:ascii="Arial" w:eastAsia="Arial" w:hAnsi="Arial" w:cs="Arial"/>
          <w:i/>
          <w:color w:val="222222"/>
          <w:highlight w:val="white"/>
        </w:rPr>
        <w:t>Architectural Theory Review</w:t>
      </w:r>
      <w:r>
        <w:rPr>
          <w:rFonts w:ascii="Arial" w:eastAsia="Arial" w:hAnsi="Arial" w:cs="Arial"/>
          <w:color w:val="222222"/>
          <w:highlight w:val="white"/>
        </w:rPr>
        <w:t>, </w:t>
      </w:r>
      <w:r>
        <w:rPr>
          <w:rFonts w:ascii="Arial" w:eastAsia="Arial" w:hAnsi="Arial" w:cs="Arial"/>
          <w:i/>
          <w:color w:val="222222"/>
          <w:highlight w:val="white"/>
        </w:rPr>
        <w:t>15</w:t>
      </w:r>
      <w:r>
        <w:rPr>
          <w:rFonts w:ascii="Arial" w:eastAsia="Arial" w:hAnsi="Arial" w:cs="Arial"/>
          <w:color w:val="222222"/>
          <w:highlight w:val="white"/>
        </w:rPr>
        <w:t>(2), pp.210-231.</w:t>
      </w:r>
    </w:p>
    <w:p w14:paraId="7D7FD5C6" w14:textId="77777777" w:rsidR="001F2A53" w:rsidRDefault="001F2A53"/>
    <w:sectPr w:rsidR="001F2A53">
      <w:pgSz w:w="11906" w:h="16838"/>
      <w:pgMar w:top="1440" w:right="1440" w:bottom="1440" w:left="1440" w:header="708" w:footer="708" w:gutter="0"/>
      <w:pgNumType w:start="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5358"/>
    <w:multiLevelType w:val="multilevel"/>
    <w:tmpl w:val="18BE74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40248D1"/>
    <w:multiLevelType w:val="multilevel"/>
    <w:tmpl w:val="57E8EA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47767141">
    <w:abstractNumId w:val="0"/>
  </w:num>
  <w:num w:numId="2" w16cid:durableId="1057511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A53"/>
    <w:rsid w:val="001F2A53"/>
    <w:rsid w:val="00C15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9AC6FCC"/>
  <w15:docId w15:val="{CBBD43FD-FABC-4A7F-876B-F46934B7F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88E"/>
  </w:style>
  <w:style w:type="paragraph" w:styleId="Heading1">
    <w:name w:val="heading 1"/>
    <w:basedOn w:val="Normal"/>
    <w:next w:val="Normal"/>
    <w:link w:val="Heading1Char"/>
    <w:uiPriority w:val="9"/>
    <w:qFormat/>
    <w:rsid w:val="008C15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C152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8C152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C152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8C152B"/>
    <w:pPr>
      <w:ind w:left="720"/>
      <w:contextualSpacing/>
    </w:pPr>
  </w:style>
  <w:style w:type="paragraph" w:styleId="NoSpacing">
    <w:name w:val="No Spacing"/>
    <w:link w:val="NoSpacingChar"/>
    <w:uiPriority w:val="1"/>
    <w:qFormat/>
    <w:rsid w:val="00A1383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A13836"/>
    <w:rPr>
      <w:rFonts w:eastAsiaTheme="minorEastAsia"/>
      <w:lang w:eastAsia="ja-JP"/>
    </w:rPr>
  </w:style>
  <w:style w:type="paragraph" w:styleId="BalloonText">
    <w:name w:val="Balloon Text"/>
    <w:basedOn w:val="Normal"/>
    <w:link w:val="BalloonTextChar"/>
    <w:uiPriority w:val="99"/>
    <w:semiHidden/>
    <w:unhideWhenUsed/>
    <w:rsid w:val="00A138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836"/>
    <w:rPr>
      <w:rFonts w:ascii="Tahoma" w:hAnsi="Tahoma" w:cs="Tahoma"/>
      <w:sz w:val="16"/>
      <w:szCs w:val="16"/>
    </w:rPr>
  </w:style>
  <w:style w:type="paragraph" w:styleId="TOCHeading">
    <w:name w:val="TOC Heading"/>
    <w:basedOn w:val="Heading1"/>
    <w:next w:val="Normal"/>
    <w:uiPriority w:val="39"/>
    <w:semiHidden/>
    <w:unhideWhenUsed/>
    <w:qFormat/>
    <w:rsid w:val="00A13836"/>
    <w:pPr>
      <w:outlineLvl w:val="9"/>
    </w:pPr>
    <w:rPr>
      <w:lang w:eastAsia="ja-JP"/>
    </w:rPr>
  </w:style>
  <w:style w:type="paragraph" w:styleId="TOC1">
    <w:name w:val="toc 1"/>
    <w:basedOn w:val="Normal"/>
    <w:next w:val="Normal"/>
    <w:autoRedefine/>
    <w:uiPriority w:val="39"/>
    <w:unhideWhenUsed/>
    <w:rsid w:val="00A13836"/>
    <w:pPr>
      <w:spacing w:after="100"/>
    </w:pPr>
  </w:style>
  <w:style w:type="paragraph" w:styleId="TOC2">
    <w:name w:val="toc 2"/>
    <w:basedOn w:val="Normal"/>
    <w:next w:val="Normal"/>
    <w:autoRedefine/>
    <w:uiPriority w:val="39"/>
    <w:unhideWhenUsed/>
    <w:rsid w:val="00A13836"/>
    <w:pPr>
      <w:spacing w:after="100"/>
      <w:ind w:left="220"/>
    </w:pPr>
  </w:style>
  <w:style w:type="character" w:styleId="Hyperlink">
    <w:name w:val="Hyperlink"/>
    <w:basedOn w:val="DefaultParagraphFont"/>
    <w:uiPriority w:val="99"/>
    <w:unhideWhenUsed/>
    <w:rsid w:val="00A13836"/>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y+0PBAnbwRV8yy+IFIGkbSb7bw==">CgMxLjAyCGguZ2pkZ3hzMgloLjMwajB6bGwyCWguMWZvYjl0ZTIJaC4zem55c2g3MgloLjJldDkycDAyCGgudHlqY3d0MgloLjNkeTZ2a20yCWguMXQzaDVzZjIJaC40ZDM0b2c4MgloLjJzOGV5bzEyCWguMTdkcDh2dTgAciExUVRvbHN0eWF4emwyOVpPYlN4Ni14eHdwY1pmZ2FfMHo=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6851</Words>
  <Characters>39053</Characters>
  <Application>Microsoft Office Word</Application>
  <DocSecurity>0</DocSecurity>
  <Lines>325</Lines>
  <Paragraphs>91</Paragraphs>
  <ScaleCrop>false</ScaleCrop>
  <Company/>
  <LinksUpToDate>false</LinksUpToDate>
  <CharactersWithSpaces>45813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nasima khatun</cp:lastModifiedBy>
  <cp:revision>3</cp:revision>
  <dcterms:created xsi:type="dcterms:W3CDTF">2024-02-16T18:26:00Z</dcterms:created>
  <dcterms:modified xsi:type="dcterms:W3CDTF">2024-02-20T12:57:00Z</dcterms:modified>
</cp:coreProperties>
</file>