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60"/>
          <w:szCs w:val="60"/>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Academic and Employability Skills</w:t>
      </w:r>
    </w:p>
    <w:p w:rsidR="00000000" w:rsidDel="00000000" w:rsidP="00000000" w:rsidRDefault="00000000" w:rsidRPr="00000000" w14:paraId="00000003">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BMSW4001</w:t>
      </w:r>
    </w:p>
    <w:p w:rsidR="00000000" w:rsidDel="00000000" w:rsidP="00000000" w:rsidRDefault="00000000" w:rsidRPr="00000000" w14:paraId="00000004">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GROUP1</w:t>
      </w:r>
    </w:p>
    <w:p w:rsidR="00000000" w:rsidDel="00000000" w:rsidP="00000000" w:rsidRDefault="00000000" w:rsidRPr="00000000" w14:paraId="00000005">
      <w:pPr>
        <w:spacing w:line="360" w:lineRule="auto"/>
        <w:jc w:val="center"/>
        <w:rPr>
          <w:rFonts w:ascii="Times New Roman" w:cs="Times New Roman" w:eastAsia="Times New Roman" w:hAnsi="Times New Roman"/>
          <w:sz w:val="60"/>
          <w:szCs w:val="60"/>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Student's name:Stamen Bashev</w:t>
      </w:r>
    </w:p>
    <w:p w:rsidR="00000000" w:rsidDel="00000000" w:rsidP="00000000" w:rsidRDefault="00000000" w:rsidRPr="00000000" w14:paraId="00000007">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Student's ID: 1913744</w:t>
      </w:r>
    </w:p>
    <w:p w:rsidR="00000000" w:rsidDel="00000000" w:rsidP="00000000" w:rsidRDefault="00000000" w:rsidRPr="00000000" w14:paraId="00000008">
      <w:pPr>
        <w:spacing w:line="360" w:lineRule="auto"/>
        <w:jc w:val="center"/>
        <w:rPr>
          <w:rFonts w:ascii="Times New Roman" w:cs="Times New Roman" w:eastAsia="Times New Roman" w:hAnsi="Times New Roman"/>
          <w:sz w:val="60"/>
          <w:szCs w:val="60"/>
        </w:rPr>
      </w:pPr>
      <w:r w:rsidDel="00000000" w:rsidR="00000000" w:rsidRPr="00000000">
        <w:rPr>
          <w:rFonts w:ascii="Times New Roman" w:cs="Times New Roman" w:eastAsia="Times New Roman" w:hAnsi="Times New Roman"/>
          <w:sz w:val="60"/>
          <w:szCs w:val="60"/>
          <w:rtl w:val="0"/>
        </w:rPr>
        <w:t xml:space="preserve">Lecturer's name: Joanna Walsh</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2f5496"/>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Skills</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SWOT Analysis:</w:t>
              <w:tab/>
              <w:t xml:space="preserve">8</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Personal Development plan:</w:t>
              <w:tab/>
              <w:t xml:space="preserve">8</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Appendices</w:t>
              <w:tab/>
              <w:t xml:space="preserve">11</w:t>
            </w:r>
          </w:hyperlink>
          <w:r w:rsidDel="00000000" w:rsidR="00000000" w:rsidRPr="00000000">
            <w:rPr>
              <w:rtl w:val="0"/>
            </w:rPr>
          </w:r>
        </w:p>
        <w:p w:rsidR="00000000" w:rsidDel="00000000" w:rsidP="00000000" w:rsidRDefault="00000000" w:rsidRPr="00000000" w14:paraId="00000014">
          <w:pPr>
            <w:spacing w:line="360" w:lineRule="auto"/>
            <w:jc w:val="cente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color w:val="000000"/>
        </w:rPr>
      </w:pPr>
      <w:bookmarkStart w:colFirst="0" w:colLast="0" w:name="_gjdgxs" w:id="0"/>
      <w:bookmarkEnd w:id="0"/>
      <w:r w:rsidDel="00000000" w:rsidR="00000000" w:rsidRPr="00000000">
        <w:rPr>
          <w:color w:val="000000"/>
          <w:rtl w:val="0"/>
        </w:rPr>
        <w:t xml:space="preserve">Introduction </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survey, I will review my academic and performance-based recruitment skills, including classified quotes from published literary work. SWOT analysis is included to understand a variety of skills, including personal/professional development planning (PPDP). PPDP content represents the time and skill required to achieve the desired goal. In the vastness of the composition's reflection, special attention is paid to both personal and professional skills.</w:t>
      </w:r>
    </w:p>
    <w:p w:rsidR="00000000" w:rsidDel="00000000" w:rsidP="00000000" w:rsidRDefault="00000000" w:rsidRPr="00000000" w14:paraId="00000018">
      <w:pPr>
        <w:pStyle w:val="Heading1"/>
        <w:rPr>
          <w:color w:val="000000"/>
        </w:rPr>
      </w:pPr>
      <w:bookmarkStart w:colFirst="0" w:colLast="0" w:name="_30j0zll" w:id="1"/>
      <w:bookmarkEnd w:id="1"/>
      <w:r w:rsidDel="00000000" w:rsidR="00000000" w:rsidRPr="00000000">
        <w:rPr>
          <w:color w:val="000000"/>
          <w:rtl w:val="0"/>
        </w:rPr>
        <w:t xml:space="preserve">Skills </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Skills are defined as the expertise or relevant talent (gained through intense determination and practice), that an individual need to complete a job or an assigned task. It makes an individual confident as well as independent while defining success in their respective life (Cotronei-Baird, 2020). </w:t>
      </w:r>
    </w:p>
    <w:p w:rsidR="00000000" w:rsidDel="00000000" w:rsidP="00000000" w:rsidRDefault="00000000" w:rsidRPr="00000000" w14:paraId="0000001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 the different types of skills</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rtl w:val="0"/>
        </w:rPr>
        <w:t xml:space="preserve">Time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Time management refers to the practising planning process and increases efficiency, effectiveness, and productivity. This includes the meeting of various requests made to a person at appropriate times regarding work, hobbies, and personal obligations. Effective use of time gives the person a "choice" of his time and allows him to buy/manage tasks at a reasonable rate. Initially, time management meant only business or associated activities but in the end, this condition was extended to include personal terms as well. It is a system that includes a well-designed mix of processes, techniques, tools and methods. It usually requires the development of any project because it determines the scope of project management. It is time management that exists technically and structurally due to changes in cultural awareness over time (Griffiths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2018).</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Decision Making Skills</w:t>
      </w:r>
      <w:r w:rsidDel="00000000" w:rsidR="00000000" w:rsidRPr="00000000">
        <w:rPr>
          <w:rFonts w:ascii="Times New Roman" w:cs="Times New Roman" w:eastAsia="Times New Roman" w:hAnsi="Times New Roman"/>
          <w:sz w:val="24"/>
          <w:szCs w:val="24"/>
          <w:rtl w:val="0"/>
        </w:rPr>
        <w:t xml:space="preserve"> refers to the thinking about choosing logical options in context to available options. In the attempt of making a good decision, a person must consider each beneficial option and consider them accordingly. To make an effective decision, everyone must predict the effect associated with each available option and determine the best option </w:t>
      </w:r>
      <w:r w:rsidDel="00000000" w:rsidR="00000000" w:rsidRPr="00000000">
        <w:rPr>
          <w:rFonts w:ascii="Times New Roman" w:cs="Times New Roman" w:eastAsia="Times New Roman" w:hAnsi="Times New Roman"/>
          <w:sz w:val="24"/>
          <w:szCs w:val="24"/>
          <w:highlight w:val="white"/>
          <w:rtl w:val="0"/>
        </w:rPr>
        <w:t xml:space="preserve">(Cotronei-Baird, 2020)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Consider further classification as examples below:</w:t>
      </w: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Skills </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Reading skills: Used to read and understand the information. Most people skip read, don’t invest the time to read the whole content, and results in a non-understanding of their readings. I am studying at the university level where I adapt to what I will read and how I will read it. Reading information about whom, where, and when the article was written, affects the way an article relates to the topic.</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Essay Writing. An understanding of academic thesis is the biggest challenge for new undergraduate students. High school essay writing or report writing techniques taught for commercial purposes do not provide any good help to write complex college papers. Also, not all undergraduate articles are the same. A student like me may be asked to critique, analyze, describe, defend, compare, define, and research each article. To improve the writing skills I need to know the specific differences between each topic (</w:t>
      </w:r>
      <w:r w:rsidDel="00000000" w:rsidR="00000000" w:rsidRPr="00000000">
        <w:rPr>
          <w:rFonts w:ascii="Times New Roman" w:cs="Times New Roman" w:eastAsia="Times New Roman" w:hAnsi="Times New Roman"/>
          <w:sz w:val="24"/>
          <w:szCs w:val="24"/>
          <w:highlight w:val="white"/>
          <w:rtl w:val="0"/>
        </w:rPr>
        <w:t xml:space="preserve">Keevy and Mare,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Note-Taking. A certain pattern is followed by most lectures - a key point is created, other ways to describe the main point are utilized until other key points are created. When students come to prepare for a lecture, they create the required text for the pre-class lectures, it is a little easier to identify the key points and then take notes when the key points are needed. It helps me to understand what is happening.  But at times I remain too busy writing, throughout the lecture in which the most important information is lost.</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Research: Often the students are ignorant toward the difference that exists in between of the academic journal and that of a consumer magazine and it can bear severe future consequences. Even using Wikipedia as a primary source for large paper research is largely unacceptable. Students need to be familiar with their “online university’s library” and include research resources starting there. When I use high-quality academic research materials for an article, most examiners can identify the articles and are appropriately influenced by them. This way I succeed availing high grades (</w:t>
      </w:r>
      <w:r w:rsidDel="00000000" w:rsidR="00000000" w:rsidRPr="00000000">
        <w:rPr>
          <w:rFonts w:ascii="Times New Roman" w:cs="Times New Roman" w:eastAsia="Times New Roman" w:hAnsi="Times New Roman"/>
          <w:sz w:val="24"/>
          <w:szCs w:val="24"/>
          <w:highlight w:val="white"/>
          <w:rtl w:val="0"/>
        </w:rPr>
        <w:t xml:space="preserve">Griffiths,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Benefits of Time Management</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creates more opportunities by utilizing time and increase job efficiency as the early birds like me avail more options for being prepared.</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improves the reputation as it will give me an advantage at work and also in life making me a reliable person. This will lead to less questioning on my efforts and my seniors always bestow their faiths on me on what I am going to do, to meet the given deadline.</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Effort – A prevailing misapprehension that is associated with time management is that it takes in the extra endeavor. Able management of it makes my life easier by deducing my effort while finishing up an allotted project.</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manage time as such that it sounds like “More Time Where it Matters” and can avail the most out of a situation. Thus, in this way Time management allows me to spend time on the things that matter the most to me.</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Employability Skill</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These are those skills as well as the behaviours that are indispensable for every job. Employability skills are also known to be the soft skills, the skills that relate to one's foundation, skills to manage and creates work-readiness, conversely it helps in getting job-ready (Keevy and Mare, 2018).</w:t>
      </w:r>
    </w:p>
    <w:p w:rsidR="00000000" w:rsidDel="00000000" w:rsidP="00000000" w:rsidRDefault="00000000" w:rsidRPr="00000000" w14:paraId="0000002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Essential Employability Skills</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Foundational Skills refers </w:t>
      </w:r>
      <w:r w:rsidDel="00000000" w:rsidR="00000000" w:rsidRPr="00000000">
        <w:rPr>
          <w:rFonts w:ascii="Times New Roman" w:cs="Times New Roman" w:eastAsia="Times New Roman" w:hAnsi="Times New Roman"/>
          <w:b w:val="0"/>
          <w:sz w:val="24"/>
          <w:szCs w:val="24"/>
          <w:rtl w:val="0"/>
        </w:rPr>
        <w:t xml:space="preserve">to the skill of an individual to be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organized and is a combination of good behavioural habits. Like on-time workplace arrival to avail important pre-job updates, consistency and being reliable by maintaining a positive attitude and exerting high levels of perseverance effort toward the on-time completion of assigned job accurately. All this leads to the improvement of employability skills by being highly adaptable at times of doing unpleasant tasks.</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Interpersonal Skills refers to the characteristics of a human being to be </w:t>
      </w:r>
      <w:r w:rsidDel="00000000" w:rsidR="00000000" w:rsidRPr="00000000">
        <w:rPr>
          <w:rFonts w:ascii="Times New Roman" w:cs="Times New Roman" w:eastAsia="Times New Roman" w:hAnsi="Times New Roman"/>
          <w:sz w:val="24"/>
          <w:szCs w:val="24"/>
          <w:rtl w:val="0"/>
        </w:rPr>
        <w:t xml:space="preserve">friendly and polite toward the subordinates, co-workers, and seniors. It includes the quality of respecting the decisions of the supervisors and Respond appropriately to both the co-workers and the clients. I have always asked for their feedback and take down note of the constructive criticism. This way it has helped me in resolving the conflicts calmly and appropriately.</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Communication Skills refers to the ability to r</w:t>
      </w:r>
      <w:r w:rsidDel="00000000" w:rsidR="00000000" w:rsidRPr="00000000">
        <w:rPr>
          <w:rFonts w:ascii="Times New Roman" w:cs="Times New Roman" w:eastAsia="Times New Roman" w:hAnsi="Times New Roman"/>
          <w:sz w:val="24"/>
          <w:szCs w:val="24"/>
          <w:rtl w:val="0"/>
        </w:rPr>
        <w:t xml:space="preserve">ead and understand all the written materials. It addresses the skills to listen, understand, along with asking questions to follow cherished directions. I need to express ideas clearly while speaking or writing or at times even learning the complicated aspects of required technology and use them appropriately when needed (</w:t>
      </w:r>
      <w:r w:rsidDel="00000000" w:rsidR="00000000" w:rsidRPr="00000000">
        <w:rPr>
          <w:rFonts w:ascii="Times New Roman" w:cs="Times New Roman" w:eastAsia="Times New Roman" w:hAnsi="Times New Roman"/>
          <w:sz w:val="24"/>
          <w:szCs w:val="24"/>
          <w:highlight w:val="white"/>
          <w:rtl w:val="0"/>
        </w:rPr>
        <w:t xml:space="preserve">Wilson and Ortiz,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Problem Solving and Critical Thinking </w:t>
      </w:r>
      <w:r w:rsidDel="00000000" w:rsidR="00000000" w:rsidRPr="00000000">
        <w:rPr>
          <w:rFonts w:ascii="Times New Roman" w:cs="Times New Roman" w:eastAsia="Times New Roman" w:hAnsi="Times New Roman"/>
          <w:b w:val="0"/>
          <w:sz w:val="24"/>
          <w:szCs w:val="24"/>
          <w:rtl w:val="0"/>
        </w:rPr>
        <w:t xml:space="preserve">refers to the ability to</w:t>
      </w:r>
      <w:r w:rsidDel="00000000" w:rsidR="00000000" w:rsidRPr="00000000">
        <w:rPr>
          <w:rFonts w:ascii="Times New Roman" w:cs="Times New Roman" w:eastAsia="Times New Roman" w:hAnsi="Times New Roman"/>
          <w:b w:val="1"/>
          <w:sz w:val="24"/>
          <w:szCs w:val="24"/>
          <w:rtl w:val="0"/>
        </w:rPr>
        <w:t xml:space="preserve"> a</w:t>
      </w:r>
      <w:r w:rsidDel="00000000" w:rsidR="00000000" w:rsidRPr="00000000">
        <w:rPr>
          <w:rFonts w:ascii="Times New Roman" w:cs="Times New Roman" w:eastAsia="Times New Roman" w:hAnsi="Times New Roman"/>
          <w:sz w:val="24"/>
          <w:szCs w:val="24"/>
          <w:rtl w:val="0"/>
        </w:rPr>
        <w:t xml:space="preserve">ccept change and addresses the willingness in a human being to start, stop, and at times switch responsibilities. </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an individual must work calmly in a busy organizational environment by starting a task without prompting and only ask questions for self-improvement.</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Teamwork refers to the ability to be </w:t>
      </w:r>
      <w:r w:rsidDel="00000000" w:rsidR="00000000" w:rsidRPr="00000000">
        <w:rPr>
          <w:rFonts w:ascii="Times New Roman" w:cs="Times New Roman" w:eastAsia="Times New Roman" w:hAnsi="Times New Roman"/>
          <w:sz w:val="24"/>
          <w:szCs w:val="24"/>
          <w:rtl w:val="0"/>
        </w:rPr>
        <w:t xml:space="preserve">comfortable with the ways of working with other people who hail from diverse backgrounds and act sensitively toward their needs. This can be done (in my opinion) by taking responsibility for own work and contribute highly toward team goals (</w:t>
      </w:r>
      <w:r w:rsidDel="00000000" w:rsidR="00000000" w:rsidRPr="00000000">
        <w:rPr>
          <w:rFonts w:ascii="Times New Roman" w:cs="Times New Roman" w:eastAsia="Times New Roman" w:hAnsi="Times New Roman"/>
          <w:sz w:val="24"/>
          <w:szCs w:val="24"/>
          <w:highlight w:val="white"/>
          <w:rtl w:val="0"/>
        </w:rPr>
        <w:t xml:space="preserve">Keevy and Mare,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rtl w:val="0"/>
        </w:rPr>
        <w:t xml:space="preserve">Ethics and Legal Responsibilities refer to the ability to t</w:t>
      </w:r>
      <w:r w:rsidDel="00000000" w:rsidR="00000000" w:rsidRPr="00000000">
        <w:rPr>
          <w:rFonts w:ascii="Times New Roman" w:cs="Times New Roman" w:eastAsia="Times New Roman" w:hAnsi="Times New Roman"/>
          <w:sz w:val="24"/>
          <w:szCs w:val="24"/>
          <w:rtl w:val="0"/>
        </w:rPr>
        <w:t xml:space="preserve">ake responsibility for one’s own decisions and associated actions. It is the way of understanding and at the same time following the rules and procedures of the organization I am working. I try to be honest and trustworthy by staying professional and tend to work with maturity.</w:t>
      </w: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Hard skills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These</w:t>
      </w:r>
      <w:r w:rsidDel="00000000" w:rsidR="00000000" w:rsidRPr="00000000">
        <w:rPr>
          <w:rFonts w:ascii="Times New Roman" w:cs="Times New Roman" w:eastAsia="Times New Roman" w:hAnsi="Times New Roman"/>
          <w:sz w:val="24"/>
          <w:szCs w:val="24"/>
          <w:highlight w:val="white"/>
          <w:rtl w:val="0"/>
        </w:rPr>
        <w:t xml:space="preserve"> are the measurable abilities that are</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teachable, it includes the aspect of writing, calculative ability, reading, or familiarity</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in using the professional software’s.</w:t>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Some of the basic hard skills are:</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Computer Technology</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modern business world, all the employees must possess basic computer knowledge and candidates can apply for a job post based in any part of the world using online platforms. Employers’ are interested in hiring candidates who are prepared to work in the technology-induced automated environment. So to perform this type of a job role is instrumental in recommending the 7 technology-related hard skills: Use of MS Office Suite, familiar with Social media analytics, use of HTML and create and maintain data using pivot tables (</w:t>
      </w:r>
      <w:r w:rsidDel="00000000" w:rsidR="00000000" w:rsidRPr="00000000">
        <w:rPr>
          <w:rFonts w:ascii="Times New Roman" w:cs="Times New Roman" w:eastAsia="Times New Roman" w:hAnsi="Times New Roman"/>
          <w:sz w:val="24"/>
          <w:szCs w:val="24"/>
          <w:highlight w:val="white"/>
          <w:rtl w:val="0"/>
        </w:rPr>
        <w:t xml:space="preserve">Wilson and Ortiz,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Hard Communication Skills</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Successful communication can be carried out in several ways in which a communicator can demonstrate concrete strengths by effectively showcasing skills based on communication. This quality helped me stand-out in comparison to other candidates. Examples of hard communication skill that are preferred by the employers include the knowledge of the foreign language, well versed in digital communication and that of copywriting (</w:t>
      </w:r>
      <w:r w:rsidDel="00000000" w:rsidR="00000000" w:rsidRPr="00000000">
        <w:rPr>
          <w:rFonts w:ascii="Times New Roman" w:cs="Times New Roman" w:eastAsia="Times New Roman" w:hAnsi="Times New Roman"/>
          <w:sz w:val="24"/>
          <w:szCs w:val="24"/>
          <w:highlight w:val="white"/>
          <w:rtl w:val="0"/>
        </w:rPr>
        <w:t xml:space="preserve">Osmani,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Data Analysis</w:t>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Data analysis skills are of high value and are preferred by industry recruiters.  The ability to analyze data is well acknowledged for the post of </w:t>
      </w:r>
      <w:r w:rsidDel="00000000" w:rsidR="00000000" w:rsidRPr="00000000">
        <w:rPr>
          <w:rFonts w:ascii="Times New Roman" w:cs="Times New Roman" w:eastAsia="Times New Roman" w:hAnsi="Times New Roman"/>
          <w:b w:val="0"/>
          <w:sz w:val="24"/>
          <w:szCs w:val="24"/>
          <w:rtl w:val="0"/>
        </w:rPr>
        <w:t xml:space="preserve">finance managers</w:t>
      </w:r>
      <w:r w:rsidDel="00000000" w:rsidR="00000000" w:rsidRPr="00000000">
        <w:rPr>
          <w:rFonts w:ascii="Times New Roman" w:cs="Times New Roman" w:eastAsia="Times New Roman" w:hAnsi="Times New Roman"/>
          <w:sz w:val="24"/>
          <w:szCs w:val="24"/>
          <w:rtl w:val="0"/>
        </w:rPr>
        <w:t xml:space="preserve"> and as data analytics defines the success role of a company. I can demonstrate my efficiency in making the most out of the company’s money and time, by apt resource management. The mentioned abilities include data mining, engineering, and database presentation of resource management (</w:t>
      </w:r>
      <w:r w:rsidDel="00000000" w:rsidR="00000000" w:rsidRPr="00000000">
        <w:rPr>
          <w:rFonts w:ascii="Times New Roman" w:cs="Times New Roman" w:eastAsia="Times New Roman" w:hAnsi="Times New Roman"/>
          <w:sz w:val="24"/>
          <w:szCs w:val="24"/>
          <w:highlight w:val="white"/>
          <w:rtl w:val="0"/>
        </w:rPr>
        <w:t xml:space="preserve">sharifi Asadi Malafeh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Soft Skills:</w:t>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highlight w:val="white"/>
          <w:rtl w:val="0"/>
        </w:rPr>
        <w:t xml:space="preserve">Soft </w:t>
      </w:r>
      <w:r w:rsidDel="00000000" w:rsidR="00000000" w:rsidRPr="00000000">
        <w:rPr>
          <w:rFonts w:ascii="Times New Roman" w:cs="Times New Roman" w:eastAsia="Times New Roman" w:hAnsi="Times New Roman"/>
          <w:b w:val="1"/>
          <w:sz w:val="24"/>
          <w:szCs w:val="24"/>
          <w:highlight w:val="white"/>
          <w:rtl w:val="0"/>
        </w:rPr>
        <w:t xml:space="preserve">skills</w:t>
      </w:r>
      <w:r w:rsidDel="00000000" w:rsidR="00000000" w:rsidRPr="00000000">
        <w:rPr>
          <w:rFonts w:ascii="Times New Roman" w:cs="Times New Roman" w:eastAsia="Times New Roman" w:hAnsi="Times New Roman"/>
          <w:sz w:val="24"/>
          <w:szCs w:val="24"/>
          <w:highlight w:val="white"/>
          <w:rtl w:val="0"/>
        </w:rPr>
        <w:t xml:space="preserve"> are the traits that make me a good employee, such as etiquette, communication and listening, getting along with other people.</w:t>
      </w: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basic soft skills are:</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one of the appropriate soft skills. The efficient communicator can adjust their tone and style to suit their audience and make the system work professionally. I can reveal complex issues to colleagues and clients through effective communication techniques.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Listening is also a communication skill that is normally neglected. I oversee customer complaints or work with my colleagues, incredible listening skills helps me to learn and respond appropriately to the condition acquainted with me. </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Verbal and non-verbal skills are also considered to be crucial to enable pleasant, respectful, and in the end the productive corporate relationship. This applies to my written communication as heaps of business email communication is being handled by me in day to day context, so it's basic to know the strong sense of email etiquette and give clear and brief messages (</w:t>
      </w:r>
      <w:r w:rsidDel="00000000" w:rsidR="00000000" w:rsidRPr="00000000">
        <w:rPr>
          <w:rFonts w:ascii="Times New Roman" w:cs="Times New Roman" w:eastAsia="Times New Roman" w:hAnsi="Times New Roman"/>
          <w:sz w:val="24"/>
          <w:szCs w:val="24"/>
          <w:highlight w:val="white"/>
          <w:rtl w:val="0"/>
        </w:rPr>
        <w:t xml:space="preserve">Rowe and Zegwaard,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leader must possess a certain range of leadership skills like that of the positive attitude and ability to make effective decisions in the process of solving a problem within a management framework. This will be useful in solving out conflict and develop effective communication by effectively motivating others.</w:t>
      </w:r>
    </w:p>
    <w:p w:rsidR="00000000" w:rsidDel="00000000" w:rsidP="00000000" w:rsidRDefault="00000000" w:rsidRPr="00000000" w14:paraId="00000042">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color w:val="000000"/>
        </w:rPr>
      </w:pPr>
      <w:bookmarkStart w:colFirst="0" w:colLast="0" w:name="_1fob9te" w:id="2"/>
      <w:bookmarkEnd w:id="2"/>
      <w:r w:rsidDel="00000000" w:rsidR="00000000" w:rsidRPr="00000000">
        <w:rPr>
          <w:color w:val="000000"/>
          <w:rtl w:val="0"/>
        </w:rPr>
        <w:t xml:space="preserve">SWOT Analysis:</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134.0" w:type="dxa"/>
        <w:jc w:val="left"/>
        <w:tblInd w:w="0.0" w:type="dxa"/>
        <w:tblBorders>
          <w:top w:color="a5a5a5" w:space="0" w:sz="8" w:val="single"/>
          <w:left w:color="000000" w:space="0" w:sz="4" w:val="single"/>
          <w:bottom w:color="a5a5a5" w:space="0" w:sz="8" w:val="single"/>
          <w:right w:color="000000" w:space="0" w:sz="4" w:val="single"/>
          <w:insideH w:color="000000" w:space="0" w:sz="4" w:val="single"/>
          <w:insideV w:color="000000" w:space="0" w:sz="4" w:val="single"/>
        </w:tblBorders>
        <w:tblLayout w:type="fixed"/>
        <w:tblLook w:val="04A0"/>
      </w:tblPr>
      <w:tblGrid>
        <w:gridCol w:w="42"/>
        <w:gridCol w:w="4268"/>
        <w:gridCol w:w="4269"/>
        <w:gridCol w:w="221"/>
        <w:gridCol w:w="221"/>
        <w:gridCol w:w="113"/>
        <w:tblGridChange w:id="0">
          <w:tblGrid>
            <w:gridCol w:w="42"/>
            <w:gridCol w:w="4268"/>
            <w:gridCol w:w="4269"/>
            <w:gridCol w:w="221"/>
            <w:gridCol w:w="221"/>
            <w:gridCol w:w="113"/>
          </w:tblGrid>
        </w:tblGridChange>
      </w:tblGrid>
      <w:tr>
        <w:tc>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046">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48">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49">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vMerge w:val="restart"/>
          </w:tcPr>
          <w:p w:rsidR="00000000" w:rsidDel="00000000" w:rsidP="00000000" w:rsidRDefault="00000000" w:rsidRPr="00000000" w14:paraId="0000004A">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c>
      </w:tr>
      <w:tr>
        <w:tc>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gridSpan w:val="4"/>
          </w:tcPr>
          <w:p w:rsidR="00000000" w:rsidDel="00000000" w:rsidP="00000000" w:rsidRDefault="00000000" w:rsidRPr="00000000" w14:paraId="0000004C">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c>
          <w:tcPr>
            <w:gridSpan w:val="2"/>
          </w:tcPr>
          <w:p w:rsidR="00000000" w:rsidDel="00000000" w:rsidP="00000000" w:rsidRDefault="00000000" w:rsidRPr="00000000" w14:paraId="00000051">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Strengths</w:t>
            </w:r>
          </w:p>
          <w:p w:rsidR="00000000" w:rsidDel="00000000" w:rsidP="00000000" w:rsidRDefault="00000000" w:rsidRPr="00000000" w14:paraId="00000052">
            <w:pPr>
              <w:spacing w:line="360" w:lineRule="auto"/>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My strength is my leadership skill and interpersonal skill that subjects me to be one of the best in context to my subject area. I am also a potent leader and can mitigate my issues and help others.</w:t>
            </w:r>
          </w:p>
        </w:tc>
        <w:tc>
          <w:tcPr>
            <w:gridSpan w:val="4"/>
          </w:tcPr>
          <w:p w:rsidR="00000000" w:rsidDel="00000000" w:rsidP="00000000" w:rsidRDefault="00000000" w:rsidRPr="00000000" w14:paraId="00000054">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w:t>
            </w: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context of my development plan, my weakness is my negotiation skill. This is a pertinent employability skill that I need to comprehend.</w:t>
            </w:r>
          </w:p>
        </w:tc>
      </w:tr>
      <w:tr>
        <w:tc>
          <w:tcPr>
            <w:gridSpan w:val="2"/>
          </w:tcPr>
          <w:p w:rsidR="00000000" w:rsidDel="00000000" w:rsidP="00000000" w:rsidRDefault="00000000" w:rsidRPr="00000000" w14:paraId="00000059">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Opportunities</w:t>
            </w:r>
          </w:p>
          <w:p w:rsidR="00000000" w:rsidDel="00000000" w:rsidP="00000000" w:rsidRDefault="00000000" w:rsidRPr="00000000" w14:paraId="0000005A">
            <w:pPr>
              <w:spacing w:line="360" w:lineRule="auto"/>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As my development plan includes negotiation skill, soft skills, employability skill will help me to cater a better future.</w:t>
            </w:r>
          </w:p>
        </w:tc>
        <w:tc>
          <w:tcPr>
            <w:gridSpan w:val="4"/>
          </w:tcPr>
          <w:p w:rsidR="00000000" w:rsidDel="00000000" w:rsidP="00000000" w:rsidRDefault="00000000" w:rsidRPr="00000000" w14:paraId="0000005C">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Lack of negotiation skill can pose a threat to my future aspect. As failing to negotiate in critical situations can lead to confusion and also failure of a business project in near future.</w:t>
            </w:r>
          </w:p>
        </w:tc>
      </w:tr>
    </w:tbl>
    <w:p w:rsidR="00000000" w:rsidDel="00000000" w:rsidP="00000000" w:rsidRDefault="00000000" w:rsidRPr="00000000" w14:paraId="0000006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2">
      <w:pPr>
        <w:pStyle w:val="Heading1"/>
        <w:rPr>
          <w:color w:val="000000"/>
        </w:rPr>
      </w:pPr>
      <w:bookmarkStart w:colFirst="0" w:colLast="0" w:name="_3znysh7" w:id="3"/>
      <w:bookmarkEnd w:id="3"/>
      <w:r w:rsidDel="00000000" w:rsidR="00000000" w:rsidRPr="00000000">
        <w:rPr>
          <w:color w:val="000000"/>
          <w:rtl w:val="0"/>
        </w:rPr>
        <w:t xml:space="preserve">Personal Development plan:</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personal development plan supports the shape of my thinking. It helps me to plan routinely and think about the needs; anyway while making a PDP I should not miss noteworthy detail and make a sensible method to achieve the goals mentioned in this plan. That is the explanation of certain quantities in the form of a "plan" that remains in my imagination (</w:t>
      </w:r>
      <w:r w:rsidDel="00000000" w:rsidR="00000000" w:rsidRPr="00000000">
        <w:rPr>
          <w:rFonts w:ascii="Times New Roman" w:cs="Times New Roman" w:eastAsia="Times New Roman" w:hAnsi="Times New Roman"/>
          <w:sz w:val="24"/>
          <w:szCs w:val="24"/>
          <w:highlight w:val="white"/>
          <w:rtl w:val="0"/>
        </w:rPr>
        <w:t xml:space="preserve">sharifi Asadi Malafeh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 A personal development plan is a method that makes sense of what is of basic priority to me, instead of the targeted goal that I have to achieve, it defines the quality of my planning and my intention to pre-achieve my targets.</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addresses the aspects that I need to improve and justifies my efforts. I ought to be prepared because each planning process requires some effort and paves the way toward the achievement of a target.</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personal development plan was made by me to understand the context better. The main aim of this plan was to project my planning for the next 6 months to come. The sole purpose was to eradicate the points where I lack and proceed toward self development. The contextual skills that I have figured out and need to be addressed properly to succeed in my plan includes the likes of Time management skills, a good skill to communicate with people and to work on my negotiation skills. The above mentioned skills are of utmost importance to me as it addresses all the life’s vital area. It takes into account the intent of mine to get myself prepared for any jobs opportunities that are to come in my future life as in the form of a goal. I personally tend to work on these contextual skills in order to perform better and achieve my futuristic goals with a positive outlook.</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work-specified skills that are technical in nature were considered by me shape my career on a distinctive path. Since the day of my graduation, I was desperately trying to prove myself. In the virtue of which I wondered around to avail the answer of the very question, that is, whether or not I lack in skills that will help me peruse a bright carrier. I in due course of time was also felling hesitant to understand and acknowledge my lacking points.  Then I stopped being negative and decided to use the fear of my failure to pave the way toward my ultimate carrier success. This was the time I was instrumental in finding the needed skills to shape up my carrier and increase the level of efficiency. </w:t>
      </w:r>
    </w:p>
    <w:p w:rsidR="00000000" w:rsidDel="00000000" w:rsidP="00000000" w:rsidRDefault="00000000" w:rsidRPr="00000000" w14:paraId="0000006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All the skills in context to the subject were purposefully incorporated to address the main aim of this paper. These writing talks about the relevant real-life scenarios that provide an overall terms and significance associated with the contextual topic. It tends to figure out all reasons useful in the process of developing employability skills, and maintains a specified timeline. The practice of certain exercises in context to this writing ensures a fact that these are all suggested in the lesson. A reflective style is maintained in this writing that helps to deal with the feedback as well as the outcomes as considered in the form of an action plan (</w:t>
      </w:r>
      <w:r w:rsidDel="00000000" w:rsidR="00000000" w:rsidRPr="00000000">
        <w:rPr>
          <w:rFonts w:ascii="Times New Roman" w:cs="Times New Roman" w:eastAsia="Times New Roman" w:hAnsi="Times New Roman"/>
          <w:sz w:val="24"/>
          <w:szCs w:val="24"/>
          <w:highlight w:val="white"/>
          <w:rtl w:val="0"/>
        </w:rPr>
        <w:t xml:space="preserve">Rowe and Zegwaard, 2017)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8">
      <w:pPr>
        <w:pStyle w:val="Heading1"/>
        <w:rPr>
          <w:color w:val="000000"/>
        </w:rPr>
      </w:pPr>
      <w:bookmarkStart w:colFirst="0" w:colLast="0" w:name="_1t3h5sf" w:id="4"/>
      <w:bookmarkEnd w:id="4"/>
      <w:r w:rsidDel="00000000" w:rsidR="00000000" w:rsidRPr="00000000">
        <w:rPr>
          <w:color w:val="000000"/>
          <w:rtl w:val="0"/>
        </w:rPr>
        <w:t xml:space="preserve">Conclusion </w:t>
      </w:r>
    </w:p>
    <w:p w:rsidR="00000000" w:rsidDel="00000000" w:rsidP="00000000" w:rsidRDefault="00000000" w:rsidRPr="00000000" w14:paraId="00000069">
      <w:pPr>
        <w:spacing w:after="90" w:line="360" w:lineRule="auto"/>
        <w:jc w:val="both"/>
        <w:rPr>
          <w:rFonts w:ascii="Times New Roman" w:cs="Times New Roman" w:eastAsia="Times New Roman" w:hAnsi="Times New Roman"/>
          <w:sz w:val="24"/>
          <w:szCs w:val="24"/>
        </w:rPr>
      </w:pPr>
      <w:bookmarkStart w:colFirst="0" w:colLast="0" w:name="_4d34og8" w:id="5"/>
      <w:bookmarkEnd w:id="5"/>
      <w:r w:rsidDel="00000000" w:rsidR="00000000" w:rsidRPr="00000000">
        <w:rPr>
          <w:rFonts w:ascii="Times New Roman" w:cs="Times New Roman" w:eastAsia="Times New Roman" w:hAnsi="Times New Roman"/>
          <w:sz w:val="24"/>
          <w:szCs w:val="24"/>
          <w:rtl w:val="0"/>
        </w:rPr>
        <w:t xml:space="preserve">The main aim of this study was to learn a lot by entailing this study which will help a student to build their future. This PDP can help a student to understand the areas where of their lacking. Achieving career advancement is seen as the path to a better and more secure future. Thus, in order to achieve the core goal, they must work hard to develop and maintain specific action skill sets. I learnt several things that were unknown to me. During my college days, various outdoor activities within me formed the necessary knowledge base that helped me reach my future goals.</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rPr>
          <w:color w:val="000000"/>
        </w:rPr>
      </w:pPr>
      <w:bookmarkStart w:colFirst="0" w:colLast="0" w:name="_tyjcwt" w:id="6"/>
      <w:bookmarkEnd w:id="6"/>
      <w:r w:rsidDel="00000000" w:rsidR="00000000" w:rsidRPr="00000000">
        <w:rPr>
          <w:color w:val="000000"/>
          <w:rtl w:val="0"/>
        </w:rPr>
        <w:t xml:space="preserve">References</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Cotroneo-Baird, V.S., 2020. Academic hindrances in the integration of employability skills development in teaching and assessment practice. </w:t>
      </w:r>
      <w:r w:rsidDel="00000000" w:rsidR="00000000" w:rsidRPr="00000000">
        <w:rPr>
          <w:rFonts w:ascii="Times New Roman" w:cs="Times New Roman" w:eastAsia="Times New Roman" w:hAnsi="Times New Roman"/>
          <w:i w:val="1"/>
          <w:sz w:val="24"/>
          <w:szCs w:val="24"/>
          <w:highlight w:val="white"/>
          <w:rtl w:val="0"/>
        </w:rPr>
        <w:t xml:space="preserve">Higher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79</w:t>
      </w:r>
      <w:r w:rsidDel="00000000" w:rsidR="00000000" w:rsidRPr="00000000">
        <w:rPr>
          <w:rFonts w:ascii="Times New Roman" w:cs="Times New Roman" w:eastAsia="Times New Roman" w:hAnsi="Times New Roman"/>
          <w:sz w:val="24"/>
          <w:szCs w:val="24"/>
          <w:highlight w:val="white"/>
          <w:rtl w:val="0"/>
        </w:rPr>
        <w:t xml:space="preserve">(2), pp.203-223. </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Griffiths, D.A., Inman, M., Rojas, H. and Williams, K., 2018. Transitioning student identity and sense of place: future possibilities for assessment and development of student employability skills. </w:t>
      </w:r>
      <w:r w:rsidDel="00000000" w:rsidR="00000000" w:rsidRPr="00000000">
        <w:rPr>
          <w:rFonts w:ascii="Times New Roman" w:cs="Times New Roman" w:eastAsia="Times New Roman" w:hAnsi="Times New Roman"/>
          <w:i w:val="1"/>
          <w:sz w:val="24"/>
          <w:szCs w:val="24"/>
          <w:highlight w:val="white"/>
          <w:rtl w:val="0"/>
        </w:rPr>
        <w:t xml:space="preserve">Studies in Higher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(5), pp.891-913.</w:t>
      </w: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Keevy, M. and Mare, D.J., 2018. Pervasive skills development for aspirant chartered accountants: Academic versus training programmes. </w:t>
      </w:r>
      <w:r w:rsidDel="00000000" w:rsidR="00000000" w:rsidRPr="00000000">
        <w:rPr>
          <w:rFonts w:ascii="Times New Roman" w:cs="Times New Roman" w:eastAsia="Times New Roman" w:hAnsi="Times New Roman"/>
          <w:i w:val="1"/>
          <w:sz w:val="24"/>
          <w:szCs w:val="24"/>
          <w:highlight w:val="white"/>
          <w:rtl w:val="0"/>
        </w:rPr>
        <w:t xml:space="preserve">Journal of Economic and Financial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11</w:t>
      </w:r>
      <w:r w:rsidDel="00000000" w:rsidR="00000000" w:rsidRPr="00000000">
        <w:rPr>
          <w:rFonts w:ascii="Times New Roman" w:cs="Times New Roman" w:eastAsia="Times New Roman" w:hAnsi="Times New Roman"/>
          <w:sz w:val="24"/>
          <w:szCs w:val="24"/>
          <w:highlight w:val="white"/>
          <w:rtl w:val="0"/>
        </w:rPr>
        <w:t xml:space="preserve">(1), pp.1-9.</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Osmani, M., Weerakkody, V., Hindi, N. and Eldabi, T., 2019. Graduates employability skills: A review of literature against market demand. </w:t>
      </w:r>
      <w:r w:rsidDel="00000000" w:rsidR="00000000" w:rsidRPr="00000000">
        <w:rPr>
          <w:rFonts w:ascii="Times New Roman" w:cs="Times New Roman" w:eastAsia="Times New Roman" w:hAnsi="Times New Roman"/>
          <w:i w:val="1"/>
          <w:sz w:val="24"/>
          <w:szCs w:val="24"/>
          <w:highlight w:val="white"/>
          <w:rtl w:val="0"/>
        </w:rPr>
        <w:t xml:space="preserve">Journal of Education for Business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94</w:t>
      </w:r>
      <w:r w:rsidDel="00000000" w:rsidR="00000000" w:rsidRPr="00000000">
        <w:rPr>
          <w:rFonts w:ascii="Times New Roman" w:cs="Times New Roman" w:eastAsia="Times New Roman" w:hAnsi="Times New Roman"/>
          <w:sz w:val="24"/>
          <w:szCs w:val="24"/>
          <w:highlight w:val="white"/>
          <w:rtl w:val="0"/>
        </w:rPr>
        <w:t xml:space="preserve">(7), pp.423-432.</w:t>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Rowe, A.D. and Zegwaard, K.E., 2017. Developing graduate employability skills and attributes: Curriculum enhancement through work-integrated learning.</w:t>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Sharifi Asadi Malafeh, F., Khorasani, A., Fathivagargah, K. and Salehiomran, E., 2019. Determination of Employability skills of Academic Graduates with Exploratory Mixed Method Approach. </w:t>
      </w:r>
      <w:r w:rsidDel="00000000" w:rsidR="00000000" w:rsidRPr="00000000">
        <w:rPr>
          <w:rFonts w:ascii="Times New Roman" w:cs="Times New Roman" w:eastAsia="Times New Roman" w:hAnsi="Times New Roman"/>
          <w:i w:val="1"/>
          <w:sz w:val="24"/>
          <w:szCs w:val="24"/>
          <w:highlight w:val="white"/>
          <w:rtl w:val="0"/>
        </w:rPr>
        <w:t xml:space="preserve">Theory &amp; Practice in Curriculum Journal</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(13), pp.29-52.</w:t>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Wilson, I. and Ortiz, S., 2017. Solution Based Learning in Higher Education: Enhancing Employability Skills. </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rPr>
          <w:color w:val="000000"/>
        </w:rPr>
      </w:pPr>
      <w:bookmarkStart w:colFirst="0" w:colLast="0" w:name="_3dy6vkm" w:id="7"/>
      <w:bookmarkEnd w:id="7"/>
      <w:r w:rsidDel="00000000" w:rsidR="00000000" w:rsidRPr="00000000">
        <w:rPr>
          <w:color w:val="000000"/>
          <w:rtl w:val="0"/>
        </w:rPr>
        <w:t xml:space="preserve">Appendices </w:t>
      </w:r>
    </w:p>
    <w:p w:rsidR="00000000" w:rsidDel="00000000" w:rsidP="00000000" w:rsidRDefault="00000000" w:rsidRPr="00000000" w14:paraId="0000007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Personal Development Plan</w:t>
      </w:r>
    </w:p>
    <w:p w:rsidR="00000000" w:rsidDel="00000000" w:rsidP="00000000" w:rsidRDefault="00000000" w:rsidRPr="00000000" w14:paraId="0000007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0" distT="0" distL="0" distR="0">
            <wp:extent cx="5944806" cy="6506895"/>
            <wp:effectExtent b="0" l="0" r="0" t="0"/>
            <wp:docPr descr="PDP.JPG" id="1" name="image1.png"/>
            <a:graphic>
              <a:graphicData uri="http://schemas.openxmlformats.org/drawingml/2006/picture">
                <pic:pic>
                  <pic:nvPicPr>
                    <pic:cNvPr descr="PDP.JPG" id="0" name="image1.png"/>
                    <pic:cNvPicPr preferRelativeResize="0"/>
                  </pic:nvPicPr>
                  <pic:blipFill>
                    <a:blip r:embed="rId6"/>
                    <a:srcRect b="0" l="0" r="0" t="0"/>
                    <a:stretch>
                      <a:fillRect/>
                    </a:stretch>
                  </pic:blipFill>
                  <pic:spPr>
                    <a:xfrm>
                      <a:off x="0" y="0"/>
                      <a:ext cx="5944806" cy="6506895"/>
                    </a:xfrm>
                    <a:prstGeom prst="rect"/>
                    <a:ln/>
                  </pic:spPr>
                </pic:pic>
              </a:graphicData>
            </a:graphic>
          </wp:inline>
        </w:drawing>
      </w:r>
      <w:r w:rsidDel="00000000" w:rsidR="00000000" w:rsidRPr="00000000">
        <w:rPr>
          <w:rtl w:val="0"/>
        </w:rPr>
      </w:r>
    </w:p>
    <w:sectPr>
      <w:footerReference r:id="rId7" w:type="default"/>
      <w:pgSz w:h="16838" w:w="11906"/>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jc w:val="both"/>
    </w:pPr>
    <w:rPr>
      <w:rFonts w:ascii="Times New Roman" w:cs="Times New Roman" w:eastAsia="Times New Roman" w:hAnsi="Times New Roman"/>
      <w:b w:val="1"/>
      <w:color w:val="2f5496"/>
      <w:sz w:val="24"/>
      <w:szCs w:val="24"/>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472c4"/>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color w:val="000000"/>
    </w:rPr>
    <w:tblPr>
      <w:tblStyleRowBandSize w:val="1"/>
      <w:tblStyleColBandSize w:val="1"/>
      <w:tblCellMar>
        <w:top w:w="0.0" w:type="dxa"/>
        <w:left w:w="108.0" w:type="dxa"/>
        <w:bottom w:w="0.0" w:type="dxa"/>
        <w:right w:w="108.0" w:type="dxa"/>
      </w:tblCellMar>
    </w:tblPr>
    <w:tblStylePr w:type="band1Horz">
      <w:tcPr>
        <w:shd w:fill="e8e8e8" w:val="clear"/>
      </w:tcPr>
    </w:tblStylePr>
    <w:tblStylePr w:type="band1Vert">
      <w:tcPr>
        <w:shd w:fill="e8e8e8" w:val="clear"/>
      </w:tcPr>
    </w:tblStylePr>
    <w:tblStylePr w:type="firstCol">
      <w:rPr>
        <w:b w:val="1"/>
      </w:rPr>
    </w:tblStylePr>
    <w:tblStylePr w:type="firstRow">
      <w:rPr>
        <w:rFonts w:ascii="Calibri" w:cs="Calibri" w:eastAsia="Calibri" w:hAnsi="Calibri"/>
      </w:rPr>
      <w:tcPr>
        <w:tcBorders>
          <w:top w:color="000000" w:space="0" w:sz="0" w:val="nil"/>
          <w:bottom w:color="a5a5a5" w:space="0" w:sz="8" w:val="single"/>
        </w:tcBorders>
      </w:tcPr>
    </w:tblStylePr>
    <w:tblStylePr w:type="lastCol">
      <w:rPr>
        <w:b w:val="1"/>
      </w:rPr>
      <w:tcPr>
        <w:tcBorders>
          <w:top w:color="a5a5a5" w:space="0" w:sz="8" w:val="single"/>
          <w:bottom w:color="a5a5a5" w:space="0" w:sz="8" w:val="single"/>
        </w:tcBorders>
      </w:tcPr>
    </w:tblStylePr>
    <w:tblStylePr w:type="lastRow">
      <w:rPr>
        <w:b w:val="1"/>
        <w:color w:val="44546a"/>
      </w:rPr>
      <w:tcPr>
        <w:tcBorders>
          <w:top w:color="a5a5a5" w:space="0" w:sz="8" w:val="single"/>
          <w:bottom w:color="a5a5a5" w:space="0" w:sz="8"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