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E1803A4" w14:textId="6EB4149C" w:rsidR="001B5A2C" w:rsidRPr="001B5A2C" w:rsidRDefault="001B5A2C" w:rsidP="001B5A2C">
      <w:pPr>
        <w:widowControl/>
        <w:autoSpaceDE/>
        <w:autoSpaceDN/>
        <w:spacing w:line="276" w:lineRule="auto"/>
        <w:jc w:val="center"/>
        <w:rPr>
          <w:b/>
        </w:rPr>
      </w:pPr>
      <w:r>
        <w:rPr>
          <w:noProof/>
        </w:rPr>
        <w:drawing>
          <wp:inline distT="0" distB="0" distL="0" distR="0" wp14:anchorId="18FB7FB5" wp14:editId="101F2B0F">
            <wp:extent cx="2889885" cy="1206957"/>
            <wp:effectExtent l="0" t="0" r="5715" b="0"/>
            <wp:docPr id="1521621837" name="Picture 1" descr="University of Wales Trinity Saint David launches new digit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descr="University of Wales Trinity Saint David launches new digital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906321" cy="1213822"/>
                    </a:xfrm>
                    <a:prstGeom prst="rect">
                      <a:avLst/>
                    </a:prstGeom>
                    <a:noFill/>
                    <a:ln>
                      <a:noFill/>
                    </a:ln>
                  </pic:spPr>
                </pic:pic>
              </a:graphicData>
            </a:graphic>
          </wp:inline>
        </w:drawing>
      </w:r>
    </w:p>
    <w:p w14:paraId="2090561F" w14:textId="3E80610D" w:rsidR="007E4AB3" w:rsidRPr="007E4AB3" w:rsidRDefault="007E4AB3" w:rsidP="007E4AB3">
      <w:pPr>
        <w:pStyle w:val="NormalWeb"/>
        <w:spacing w:line="480" w:lineRule="auto"/>
        <w:jc w:val="center"/>
        <w:rPr>
          <w:b/>
          <w:bCs/>
          <w:sz w:val="32"/>
          <w:szCs w:val="32"/>
        </w:rPr>
      </w:pPr>
      <w:r w:rsidRPr="007E4AB3">
        <w:rPr>
          <w:b/>
          <w:bCs/>
          <w:sz w:val="32"/>
          <w:szCs w:val="32"/>
        </w:rPr>
        <w:t xml:space="preserve">Programme: MSc Public Health and Social Care in Practice </w:t>
      </w:r>
    </w:p>
    <w:p w14:paraId="4E74610A" w14:textId="77777777" w:rsidR="007E4AB3" w:rsidRPr="007E4AB3" w:rsidRDefault="007E4AB3" w:rsidP="007E4AB3">
      <w:pPr>
        <w:pStyle w:val="NormalWeb"/>
        <w:spacing w:line="480" w:lineRule="auto"/>
        <w:jc w:val="center"/>
        <w:rPr>
          <w:b/>
          <w:bCs/>
          <w:sz w:val="32"/>
          <w:szCs w:val="32"/>
        </w:rPr>
      </w:pPr>
      <w:r w:rsidRPr="007E4AB3">
        <w:rPr>
          <w:b/>
          <w:bCs/>
          <w:sz w:val="32"/>
          <w:szCs w:val="32"/>
        </w:rPr>
        <w:t xml:space="preserve">Module: Health Care System, Organisation and Leadership </w:t>
      </w:r>
    </w:p>
    <w:p w14:paraId="14B38355" w14:textId="5C44977C" w:rsidR="007E4AB3" w:rsidRPr="007E4AB3" w:rsidRDefault="007E4AB3" w:rsidP="007E4AB3">
      <w:pPr>
        <w:pStyle w:val="NormalWeb"/>
        <w:spacing w:line="480" w:lineRule="auto"/>
        <w:jc w:val="center"/>
        <w:rPr>
          <w:rStyle w:val="Strong"/>
          <w:rFonts w:eastAsiaTheme="majorEastAsia"/>
          <w:sz w:val="32"/>
          <w:szCs w:val="32"/>
        </w:rPr>
      </w:pPr>
      <w:r w:rsidRPr="007E4AB3">
        <w:rPr>
          <w:b/>
          <w:bCs/>
          <w:sz w:val="32"/>
          <w:szCs w:val="32"/>
        </w:rPr>
        <w:t>Module code: LCHS7002</w:t>
      </w:r>
      <w:r w:rsidR="00DA1622" w:rsidRPr="007E4AB3">
        <w:rPr>
          <w:sz w:val="32"/>
          <w:szCs w:val="32"/>
        </w:rPr>
        <w:br/>
      </w:r>
      <w:r w:rsidRPr="007E4AB3">
        <w:rPr>
          <w:rStyle w:val="Strong"/>
          <w:rFonts w:eastAsiaTheme="majorEastAsia"/>
          <w:sz w:val="32"/>
          <w:szCs w:val="32"/>
        </w:rPr>
        <w:t xml:space="preserve">Student name - Shruti Patel </w:t>
      </w:r>
    </w:p>
    <w:p w14:paraId="178B8B13" w14:textId="3C70463B" w:rsidR="00DA1622" w:rsidRPr="007E4AB3" w:rsidRDefault="007E4AB3" w:rsidP="007E4AB3">
      <w:pPr>
        <w:pStyle w:val="NormalWeb"/>
        <w:spacing w:line="480" w:lineRule="auto"/>
        <w:jc w:val="center"/>
        <w:rPr>
          <w:rStyle w:val="Strong"/>
          <w:rFonts w:eastAsiaTheme="majorEastAsia"/>
          <w:sz w:val="32"/>
          <w:szCs w:val="32"/>
        </w:rPr>
      </w:pPr>
      <w:r w:rsidRPr="007E4AB3">
        <w:rPr>
          <w:rStyle w:val="Strong"/>
          <w:rFonts w:eastAsiaTheme="majorEastAsia"/>
          <w:sz w:val="32"/>
          <w:szCs w:val="32"/>
        </w:rPr>
        <w:t xml:space="preserve">Student I'd </w:t>
      </w:r>
      <w:r w:rsidRPr="007E4AB3">
        <w:rPr>
          <w:rStyle w:val="Strong"/>
          <w:rFonts w:eastAsiaTheme="majorEastAsia"/>
          <w:sz w:val="32"/>
          <w:szCs w:val="32"/>
        </w:rPr>
        <w:t>–</w:t>
      </w:r>
      <w:r w:rsidRPr="007E4AB3">
        <w:rPr>
          <w:rStyle w:val="Strong"/>
          <w:rFonts w:eastAsiaTheme="majorEastAsia"/>
          <w:sz w:val="32"/>
          <w:szCs w:val="32"/>
        </w:rPr>
        <w:t xml:space="preserve"> 2436893</w:t>
      </w:r>
    </w:p>
    <w:p w14:paraId="637EF6B2" w14:textId="7409F751" w:rsidR="007E4AB3" w:rsidRPr="007E4AB3" w:rsidRDefault="007E4AB3" w:rsidP="007E4AB3">
      <w:pPr>
        <w:pStyle w:val="NormalWeb"/>
        <w:spacing w:line="480" w:lineRule="auto"/>
        <w:jc w:val="center"/>
        <w:rPr>
          <w:rStyle w:val="Strong"/>
          <w:rFonts w:eastAsiaTheme="majorEastAsia"/>
          <w:sz w:val="32"/>
          <w:szCs w:val="32"/>
        </w:rPr>
      </w:pPr>
      <w:r w:rsidRPr="007E4AB3">
        <w:rPr>
          <w:rStyle w:val="Strong"/>
          <w:rFonts w:eastAsiaTheme="majorEastAsia"/>
          <w:sz w:val="32"/>
          <w:szCs w:val="32"/>
        </w:rPr>
        <w:t>P</w:t>
      </w:r>
      <w:r w:rsidRPr="007E4AB3">
        <w:rPr>
          <w:rStyle w:val="Strong"/>
          <w:rFonts w:eastAsiaTheme="majorEastAsia"/>
          <w:sz w:val="32"/>
          <w:szCs w:val="32"/>
        </w:rPr>
        <w:t xml:space="preserve">rofessor </w:t>
      </w:r>
      <w:r w:rsidRPr="007E4AB3">
        <w:rPr>
          <w:rStyle w:val="Strong"/>
          <w:rFonts w:eastAsiaTheme="majorEastAsia"/>
          <w:sz w:val="32"/>
          <w:szCs w:val="32"/>
        </w:rPr>
        <w:t>name --</w:t>
      </w:r>
      <w:r w:rsidRPr="007E4AB3">
        <w:rPr>
          <w:rStyle w:val="Strong"/>
          <w:rFonts w:eastAsiaTheme="majorEastAsia"/>
          <w:sz w:val="32"/>
          <w:szCs w:val="32"/>
        </w:rPr>
        <w:t xml:space="preserve"> Christopher Mafuva</w:t>
      </w:r>
    </w:p>
    <w:p w14:paraId="75423EDF" w14:textId="399E7A3D" w:rsidR="00DA1622" w:rsidRDefault="007E4AB3" w:rsidP="00DA1622">
      <w:pPr>
        <w:tabs>
          <w:tab w:val="left" w:pos="2700"/>
        </w:tabs>
        <w:rPr>
          <w:b/>
        </w:rPr>
      </w:pPr>
      <w:r w:rsidRPr="007E4AB3">
        <w:rPr>
          <w:rStyle w:val="Strong"/>
          <w:rFonts w:ascii="Times New Roman" w:eastAsiaTheme="majorEastAsia" w:hAnsi="Times New Roman" w:cs="Times New Roman"/>
          <w:sz w:val="28"/>
          <w:szCs w:val="28"/>
          <w:lang w:val="en-GB" w:eastAsia="en-GB"/>
        </w:rPr>
        <w:t>Comparative Analysis of Health System Organisation and Leadership Responses to the COVID‑19 Pandemic: Evidence from Spain, South Korea, and Canada</w:t>
      </w:r>
    </w:p>
    <w:p w14:paraId="3E7C5CF5" w14:textId="5A6D9F76" w:rsidR="00DA1622" w:rsidRPr="00DA1622" w:rsidRDefault="00DA1622" w:rsidP="00DA1622">
      <w:pPr>
        <w:tabs>
          <w:tab w:val="left" w:pos="2700"/>
        </w:tabs>
        <w:sectPr w:rsidR="00DA1622" w:rsidRPr="00DA1622" w:rsidSect="00DA1622">
          <w:pgSz w:w="11910" w:h="16840"/>
          <w:pgMar w:top="1460" w:right="708" w:bottom="280" w:left="1275" w:header="708" w:footer="0" w:gutter="0"/>
          <w:pgBorders w:offsetFrom="page">
            <w:top w:val="single" w:sz="4" w:space="24" w:color="auto"/>
            <w:left w:val="single" w:sz="4" w:space="24" w:color="auto"/>
            <w:bottom w:val="single" w:sz="4" w:space="24" w:color="auto"/>
            <w:right w:val="single" w:sz="4" w:space="24" w:color="auto"/>
          </w:pgBorders>
          <w:pgNumType w:start="1"/>
          <w:cols w:space="720"/>
        </w:sectPr>
      </w:pPr>
    </w:p>
    <w:sdt>
      <w:sdtPr>
        <w:rPr>
          <w:rFonts w:ascii="Arial" w:eastAsia="Arial" w:hAnsi="Arial" w:cs="Arial"/>
          <w:color w:val="auto"/>
          <w:sz w:val="22"/>
          <w:szCs w:val="22"/>
          <w:lang w:val="en-IN" w:eastAsia="en-IN"/>
        </w:rPr>
        <w:id w:val="1539317059"/>
        <w:docPartObj>
          <w:docPartGallery w:val="Table of Contents"/>
          <w:docPartUnique/>
        </w:docPartObj>
      </w:sdtPr>
      <w:sdtEndPr>
        <w:rPr>
          <w:rFonts w:ascii="Calibri" w:eastAsia="Calibri" w:hAnsi="Calibri" w:cs="Calibri"/>
          <w:b/>
          <w:bCs/>
          <w:lang w:val="en-US" w:eastAsia="en-US"/>
        </w:rPr>
      </w:sdtEndPr>
      <w:sdtContent>
        <w:p w14:paraId="0E9CBCFB" w14:textId="77777777" w:rsidR="00DA1622" w:rsidRPr="00A7604C" w:rsidRDefault="00DA1622" w:rsidP="00DA1622">
          <w:pPr>
            <w:pStyle w:val="TOCHeading1"/>
            <w:spacing w:before="0" w:line="360" w:lineRule="auto"/>
            <w:jc w:val="center"/>
            <w:rPr>
              <w:rFonts w:ascii="Times New Roman" w:hAnsi="Times New Roman" w:cs="Times New Roman"/>
              <w:color w:val="000000" w:themeColor="text1"/>
              <w:sz w:val="28"/>
              <w:szCs w:val="28"/>
            </w:rPr>
          </w:pPr>
          <w:r w:rsidRPr="00EB6FA4">
            <w:rPr>
              <w:rFonts w:ascii="Times New Roman" w:hAnsi="Times New Roman" w:cs="Times New Roman"/>
              <w:b/>
              <w:color w:val="000000" w:themeColor="text1"/>
              <w:sz w:val="28"/>
              <w:szCs w:val="28"/>
            </w:rPr>
            <w:t>Table of Contents</w:t>
          </w:r>
          <w:r w:rsidRPr="00EB6FA4">
            <w:rPr>
              <w:rFonts w:ascii="Times New Roman" w:hAnsi="Times New Roman" w:cs="Times New Roman"/>
              <w:color w:val="000000" w:themeColor="text1"/>
              <w:sz w:val="28"/>
              <w:szCs w:val="28"/>
            </w:rPr>
            <w:fldChar w:fldCharType="begin"/>
          </w:r>
          <w:r w:rsidRPr="00EB6FA4">
            <w:rPr>
              <w:rFonts w:ascii="Times New Roman" w:hAnsi="Times New Roman" w:cs="Times New Roman"/>
              <w:color w:val="000000" w:themeColor="text1"/>
              <w:sz w:val="28"/>
              <w:szCs w:val="28"/>
            </w:rPr>
            <w:instrText xml:space="preserve"> TOC \o "1-3" \h \z \u </w:instrText>
          </w:r>
          <w:r w:rsidRPr="00EB6FA4">
            <w:rPr>
              <w:rFonts w:ascii="Times New Roman" w:hAnsi="Times New Roman" w:cs="Times New Roman"/>
              <w:color w:val="000000" w:themeColor="text1"/>
              <w:sz w:val="28"/>
              <w:szCs w:val="28"/>
            </w:rPr>
            <w:fldChar w:fldCharType="separate"/>
          </w:r>
          <w:hyperlink w:anchor="_Toc126596693" w:history="1"/>
        </w:p>
        <w:p w14:paraId="2E0AA341" w14:textId="712E5644" w:rsidR="00DA1622" w:rsidRPr="008B6CE3" w:rsidRDefault="00642381" w:rsidP="00DA1622">
          <w:pPr>
            <w:pStyle w:val="TOC1"/>
            <w:tabs>
              <w:tab w:val="right" w:leader="dot" w:pos="9019"/>
            </w:tabs>
            <w:spacing w:after="0" w:line="480" w:lineRule="auto"/>
            <w:jc w:val="center"/>
            <w:rPr>
              <w:rFonts w:ascii="Times New Roman" w:hAnsi="Times New Roman" w:cs="Times New Roman"/>
              <w:color w:val="000000" w:themeColor="text1"/>
              <w:sz w:val="24"/>
              <w:szCs w:val="24"/>
            </w:rPr>
          </w:pPr>
          <w:r>
            <w:t>Introduction</w:t>
          </w:r>
          <w:hyperlink w:anchor="_Toc126596702" w:history="1">
            <w:r w:rsidR="00DA1622" w:rsidRPr="008B6CE3">
              <w:rPr>
                <w:rFonts w:ascii="Times New Roman" w:hAnsi="Times New Roman" w:cs="Times New Roman"/>
                <w:color w:val="000000" w:themeColor="text1"/>
                <w:sz w:val="24"/>
                <w:szCs w:val="24"/>
              </w:rPr>
              <w:tab/>
            </w:r>
            <w:r w:rsidR="008B6CE3">
              <w:rPr>
                <w:rFonts w:ascii="Times New Roman" w:hAnsi="Times New Roman" w:cs="Times New Roman"/>
                <w:color w:val="000000" w:themeColor="text1"/>
                <w:sz w:val="24"/>
                <w:szCs w:val="24"/>
                <w:lang w:val="en-US"/>
              </w:rPr>
              <w:t>2</w:t>
            </w:r>
          </w:hyperlink>
        </w:p>
        <w:p w14:paraId="6925C5AF" w14:textId="5ED7413B" w:rsidR="00DA1622" w:rsidRPr="008B6CE3" w:rsidRDefault="001B5A2C" w:rsidP="00DA1622">
          <w:pPr>
            <w:pStyle w:val="TOC1"/>
            <w:tabs>
              <w:tab w:val="right" w:leader="dot" w:pos="9019"/>
            </w:tabs>
            <w:spacing w:after="0" w:line="480" w:lineRule="auto"/>
            <w:jc w:val="center"/>
            <w:rPr>
              <w:rFonts w:ascii="Times New Roman" w:hAnsi="Times New Roman" w:cs="Times New Roman"/>
              <w:color w:val="000000" w:themeColor="text1"/>
              <w:sz w:val="24"/>
              <w:szCs w:val="24"/>
              <w:lang w:val="en-US"/>
            </w:rPr>
          </w:pPr>
          <w:r w:rsidRPr="001B5A2C">
            <w:t>Critical analysis: Centralised vs decentralised health-system approaches to COVID-19</w:t>
          </w:r>
          <w:hyperlink w:anchor="_Toc126596702" w:history="1">
            <w:r w:rsidR="00DA1622" w:rsidRPr="008B6CE3">
              <w:rPr>
                <w:rFonts w:ascii="Times New Roman" w:hAnsi="Times New Roman" w:cs="Times New Roman"/>
                <w:color w:val="000000" w:themeColor="text1"/>
                <w:sz w:val="24"/>
                <w:szCs w:val="24"/>
              </w:rPr>
              <w:tab/>
            </w:r>
            <w:r>
              <w:rPr>
                <w:rFonts w:ascii="Times New Roman" w:hAnsi="Times New Roman" w:cs="Times New Roman"/>
                <w:color w:val="000000" w:themeColor="text1"/>
                <w:sz w:val="24"/>
                <w:szCs w:val="24"/>
                <w:lang w:val="en-US"/>
              </w:rPr>
              <w:t>3</w:t>
            </w:r>
          </w:hyperlink>
        </w:p>
        <w:p w14:paraId="01F32853" w14:textId="608722A5" w:rsidR="008B6CE3" w:rsidRDefault="001B5A2C" w:rsidP="008B6CE3">
          <w:pPr>
            <w:pStyle w:val="TOC1"/>
            <w:tabs>
              <w:tab w:val="right" w:leader="dot" w:pos="9019"/>
            </w:tabs>
            <w:spacing w:after="0" w:line="480" w:lineRule="auto"/>
            <w:jc w:val="center"/>
            <w:rPr>
              <w:rFonts w:ascii="Times New Roman" w:hAnsi="Times New Roman" w:cs="Times New Roman"/>
              <w:color w:val="000000" w:themeColor="text1"/>
              <w:sz w:val="24"/>
              <w:szCs w:val="24"/>
              <w:lang w:val="en-US"/>
            </w:rPr>
          </w:pPr>
          <w:r w:rsidRPr="001B5A2C">
            <w:t xml:space="preserve">Critical analysis: Leadership styles in Spain, South </w:t>
          </w:r>
          <w:proofErr w:type="gramStart"/>
          <w:r w:rsidRPr="001B5A2C">
            <w:t>Korea</w:t>
          </w:r>
          <w:proofErr w:type="gramEnd"/>
          <w:r w:rsidRPr="001B5A2C">
            <w:t xml:space="preserve"> and Canada</w:t>
          </w:r>
          <w:hyperlink w:anchor="_Toc126596702" w:history="1">
            <w:r w:rsidR="008B6CE3" w:rsidRPr="008B6CE3">
              <w:rPr>
                <w:rFonts w:ascii="Times New Roman" w:hAnsi="Times New Roman" w:cs="Times New Roman"/>
                <w:color w:val="000000" w:themeColor="text1"/>
                <w:sz w:val="24"/>
                <w:szCs w:val="24"/>
              </w:rPr>
              <w:tab/>
            </w:r>
            <w:r>
              <w:rPr>
                <w:rFonts w:ascii="Times New Roman" w:hAnsi="Times New Roman" w:cs="Times New Roman"/>
                <w:color w:val="000000" w:themeColor="text1"/>
                <w:sz w:val="24"/>
                <w:szCs w:val="24"/>
                <w:lang w:val="en-US"/>
              </w:rPr>
              <w:t>10</w:t>
            </w:r>
          </w:hyperlink>
        </w:p>
        <w:p w14:paraId="691DB8F1" w14:textId="79ECE770" w:rsidR="00DA1622" w:rsidRDefault="00000000" w:rsidP="00DA1622">
          <w:pPr>
            <w:pStyle w:val="TOC1"/>
            <w:tabs>
              <w:tab w:val="right" w:leader="dot" w:pos="9019"/>
            </w:tabs>
            <w:spacing w:after="0" w:line="480" w:lineRule="auto"/>
            <w:jc w:val="center"/>
            <w:rPr>
              <w:rFonts w:ascii="Times New Roman" w:hAnsi="Times New Roman" w:cs="Times New Roman"/>
              <w:color w:val="000000" w:themeColor="text1"/>
              <w:sz w:val="24"/>
              <w:szCs w:val="24"/>
              <w:lang w:val="en-US"/>
            </w:rPr>
          </w:pPr>
          <w:hyperlink w:anchor="_Toc126596702" w:history="1">
            <w:r w:rsidR="001B5A2C">
              <w:rPr>
                <w:rFonts w:ascii="Times New Roman" w:hAnsi="Times New Roman" w:cs="Times New Roman"/>
                <w:color w:val="000000" w:themeColor="text1"/>
                <w:sz w:val="24"/>
                <w:szCs w:val="24"/>
                <w:shd w:val="clear" w:color="auto" w:fill="FFFFFF"/>
              </w:rPr>
              <w:t>Conclusion</w:t>
            </w:r>
            <w:r w:rsidR="00DA1622" w:rsidRPr="008B6CE3">
              <w:rPr>
                <w:rFonts w:ascii="Times New Roman" w:hAnsi="Times New Roman" w:cs="Times New Roman"/>
                <w:color w:val="000000" w:themeColor="text1"/>
                <w:sz w:val="24"/>
                <w:szCs w:val="24"/>
              </w:rPr>
              <w:tab/>
            </w:r>
            <w:r w:rsidR="001B5A2C">
              <w:rPr>
                <w:rFonts w:ascii="Times New Roman" w:hAnsi="Times New Roman" w:cs="Times New Roman"/>
                <w:color w:val="000000" w:themeColor="text1"/>
                <w:sz w:val="24"/>
                <w:szCs w:val="24"/>
                <w:lang w:val="en-US"/>
              </w:rPr>
              <w:t>16</w:t>
            </w:r>
          </w:hyperlink>
        </w:p>
        <w:p w14:paraId="15CCBA11" w14:textId="6CBBB900" w:rsidR="001B5A2C" w:rsidRPr="008B6CE3" w:rsidRDefault="001B5A2C" w:rsidP="001B5A2C">
          <w:pPr>
            <w:pStyle w:val="TOC1"/>
            <w:tabs>
              <w:tab w:val="right" w:leader="dot" w:pos="9019"/>
            </w:tabs>
            <w:spacing w:after="0" w:line="480" w:lineRule="auto"/>
            <w:jc w:val="center"/>
            <w:rPr>
              <w:rFonts w:ascii="Times New Roman" w:hAnsi="Times New Roman" w:cs="Times New Roman"/>
              <w:color w:val="000000" w:themeColor="text1"/>
              <w:sz w:val="24"/>
              <w:szCs w:val="24"/>
            </w:rPr>
          </w:pPr>
          <w:hyperlink w:anchor="_Toc126596702" w:history="1">
            <w:r w:rsidRPr="008B6CE3">
              <w:rPr>
                <w:rFonts w:ascii="Times New Roman" w:hAnsi="Times New Roman" w:cs="Times New Roman"/>
                <w:color w:val="000000" w:themeColor="text1"/>
                <w:sz w:val="24"/>
                <w:szCs w:val="24"/>
                <w:shd w:val="clear" w:color="auto" w:fill="FFFFFF"/>
              </w:rPr>
              <w:t>References</w:t>
            </w:r>
            <w:r w:rsidRPr="008B6CE3">
              <w:rPr>
                <w:rFonts w:ascii="Times New Roman" w:hAnsi="Times New Roman" w:cs="Times New Roman"/>
                <w:color w:val="000000" w:themeColor="text1"/>
                <w:sz w:val="24"/>
                <w:szCs w:val="24"/>
              </w:rPr>
              <w:tab/>
            </w:r>
            <w:r>
              <w:rPr>
                <w:rFonts w:ascii="Times New Roman" w:hAnsi="Times New Roman" w:cs="Times New Roman"/>
                <w:color w:val="000000" w:themeColor="text1"/>
                <w:sz w:val="24"/>
                <w:szCs w:val="24"/>
                <w:lang w:val="en-US"/>
              </w:rPr>
              <w:t>18</w:t>
            </w:r>
          </w:hyperlink>
        </w:p>
        <w:p w14:paraId="76DCF5C0" w14:textId="77777777" w:rsidR="001B5A2C" w:rsidRPr="001B5A2C" w:rsidRDefault="001B5A2C" w:rsidP="001B5A2C">
          <w:pPr>
            <w:rPr>
              <w:lang w:eastAsia="en-IN"/>
            </w:rPr>
          </w:pPr>
        </w:p>
        <w:p w14:paraId="7271F917" w14:textId="34B16A45" w:rsidR="004F3451" w:rsidRPr="004F3451" w:rsidRDefault="00DA1622" w:rsidP="004F3451">
          <w:pPr>
            <w:spacing w:line="360" w:lineRule="auto"/>
            <w:rPr>
              <w:b/>
              <w:bCs/>
            </w:rPr>
            <w:sectPr w:rsidR="004F3451" w:rsidRPr="004F3451" w:rsidSect="00DA1622">
              <w:headerReference w:type="default" r:id="rId8"/>
              <w:footerReference w:type="default" r:id="rId9"/>
              <w:pgSz w:w="11910" w:h="16840"/>
              <w:pgMar w:top="1300" w:right="940" w:bottom="1460" w:left="1340" w:header="708" w:footer="1262" w:gutter="0"/>
              <w:pgBorders w:offsetFrom="page">
                <w:top w:val="single" w:sz="4" w:space="24" w:color="auto"/>
                <w:left w:val="single" w:sz="4" w:space="24" w:color="auto"/>
                <w:bottom w:val="single" w:sz="4" w:space="24" w:color="auto"/>
                <w:right w:val="single" w:sz="4" w:space="24" w:color="auto"/>
              </w:pgBorders>
              <w:pgNumType w:start="1"/>
              <w:cols w:space="720"/>
            </w:sectPr>
          </w:pPr>
          <w:r w:rsidRPr="00EB6FA4">
            <w:rPr>
              <w:rFonts w:ascii="Times New Roman" w:hAnsi="Times New Roman" w:cs="Times New Roman"/>
              <w:bCs/>
              <w:color w:val="000000" w:themeColor="text1"/>
              <w:sz w:val="28"/>
              <w:szCs w:val="28"/>
            </w:rPr>
            <w:fldChar w:fldCharType="end"/>
          </w:r>
        </w:p>
      </w:sdtContent>
    </w:sdt>
    <w:p w14:paraId="495E2593" w14:textId="178A9B32" w:rsidR="007E4AB3" w:rsidRPr="007E4AB3" w:rsidRDefault="007E4AB3" w:rsidP="007E4AB3">
      <w:pPr>
        <w:widowControl/>
        <w:autoSpaceDE/>
        <w:autoSpaceDN/>
        <w:spacing w:line="360" w:lineRule="auto"/>
        <w:jc w:val="both"/>
        <w:outlineLvl w:val="1"/>
        <w:rPr>
          <w:rFonts w:ascii="Times New Roman" w:eastAsia="Times New Roman" w:hAnsi="Times New Roman" w:cs="Times New Roman"/>
          <w:b/>
          <w:bCs/>
          <w:sz w:val="28"/>
          <w:szCs w:val="28"/>
          <w:lang w:val="en-GB" w:eastAsia="en-GB"/>
        </w:rPr>
      </w:pPr>
      <w:r w:rsidRPr="007E4AB3">
        <w:rPr>
          <w:rFonts w:ascii="Times New Roman" w:eastAsia="Times New Roman" w:hAnsi="Times New Roman" w:cs="Times New Roman"/>
          <w:b/>
          <w:bCs/>
          <w:sz w:val="28"/>
          <w:szCs w:val="28"/>
          <w:lang w:val="en-GB" w:eastAsia="en-GB"/>
        </w:rPr>
        <w:lastRenderedPageBreak/>
        <w:t xml:space="preserve">1. Introduction </w:t>
      </w:r>
    </w:p>
    <w:p w14:paraId="3BD45CF5" w14:textId="77777777" w:rsidR="007E4AB3" w:rsidRPr="007E4AB3" w:rsidRDefault="007E4AB3" w:rsidP="007E4AB3">
      <w:pPr>
        <w:widowControl/>
        <w:autoSpaceDE/>
        <w:autoSpaceDN/>
        <w:spacing w:line="360" w:lineRule="auto"/>
        <w:jc w:val="both"/>
        <w:outlineLvl w:val="2"/>
        <w:rPr>
          <w:rFonts w:ascii="Times New Roman" w:eastAsia="Times New Roman" w:hAnsi="Times New Roman" w:cs="Times New Roman"/>
          <w:b/>
          <w:bCs/>
          <w:sz w:val="24"/>
          <w:szCs w:val="24"/>
          <w:lang w:val="en-GB" w:eastAsia="en-GB"/>
        </w:rPr>
      </w:pPr>
      <w:r w:rsidRPr="007E4AB3">
        <w:rPr>
          <w:rFonts w:ascii="Times New Roman" w:eastAsia="Times New Roman" w:hAnsi="Times New Roman" w:cs="Times New Roman"/>
          <w:b/>
          <w:bCs/>
          <w:sz w:val="24"/>
          <w:szCs w:val="24"/>
          <w:lang w:val="en-GB" w:eastAsia="en-GB"/>
        </w:rPr>
        <w:t>1.1 Purpose and Scope of the Report</w:t>
      </w:r>
    </w:p>
    <w:p w14:paraId="5CFEF3B3" w14:textId="77777777" w:rsidR="007E4AB3" w:rsidRDefault="007E4AB3" w:rsidP="007E4AB3">
      <w:pPr>
        <w:widowControl/>
        <w:autoSpaceDE/>
        <w:autoSpaceDN/>
        <w:spacing w:line="360" w:lineRule="auto"/>
        <w:jc w:val="both"/>
        <w:rPr>
          <w:rFonts w:ascii="Times New Roman" w:eastAsia="Times New Roman" w:hAnsi="Times New Roman" w:cs="Times New Roman"/>
          <w:sz w:val="24"/>
          <w:szCs w:val="24"/>
          <w:lang w:val="en-GB" w:eastAsia="en-GB"/>
        </w:rPr>
      </w:pPr>
      <w:r w:rsidRPr="007E4AB3">
        <w:rPr>
          <w:rFonts w:ascii="Times New Roman" w:eastAsia="Times New Roman" w:hAnsi="Times New Roman" w:cs="Times New Roman"/>
          <w:sz w:val="24"/>
          <w:szCs w:val="24"/>
          <w:lang w:val="en-GB" w:eastAsia="en-GB"/>
        </w:rPr>
        <w:t>This report aims to provide a critical comparative analysis of the organisation of healthcare systems and the leadership responses to the COVID-19 pandemic in three different jurisdictions: Spain, South Korea, and Canada. The global health emergency brought on by COVID-19 placed considerable stress on health systems worldwide and highlighted the role of governance models and leadership practices in shaping outcomes. By analysing how these countries responded to the pandemic, this report seeks to uncover the strengths and weaknesses of their respective systems, with a focus on the balance between centralised and decentralised approaches to public health governance. Spain, with its highly devolved system; South Korea, known for its strong central leadership and effective coordination; and Canada, characterised by its federal structure and distributed public health responsibilities, offer diverse models for comparison and evaluation.</w:t>
      </w:r>
    </w:p>
    <w:p w14:paraId="6657417F" w14:textId="77777777" w:rsidR="007E4AB3" w:rsidRPr="007E4AB3" w:rsidRDefault="007E4AB3" w:rsidP="007E4AB3">
      <w:pPr>
        <w:widowControl/>
        <w:autoSpaceDE/>
        <w:autoSpaceDN/>
        <w:spacing w:line="360" w:lineRule="auto"/>
        <w:jc w:val="both"/>
        <w:rPr>
          <w:rFonts w:ascii="Times New Roman" w:eastAsia="Times New Roman" w:hAnsi="Times New Roman" w:cs="Times New Roman"/>
          <w:sz w:val="24"/>
          <w:szCs w:val="24"/>
          <w:lang w:val="en-GB" w:eastAsia="en-GB"/>
        </w:rPr>
      </w:pPr>
    </w:p>
    <w:p w14:paraId="3BD80BEB" w14:textId="77777777" w:rsidR="007E4AB3" w:rsidRPr="007E4AB3" w:rsidRDefault="007E4AB3" w:rsidP="007E4AB3">
      <w:pPr>
        <w:widowControl/>
        <w:autoSpaceDE/>
        <w:autoSpaceDN/>
        <w:spacing w:line="360" w:lineRule="auto"/>
        <w:jc w:val="both"/>
        <w:outlineLvl w:val="2"/>
        <w:rPr>
          <w:rFonts w:ascii="Times New Roman" w:eastAsia="Times New Roman" w:hAnsi="Times New Roman" w:cs="Times New Roman"/>
          <w:b/>
          <w:bCs/>
          <w:sz w:val="24"/>
          <w:szCs w:val="24"/>
          <w:lang w:val="en-GB" w:eastAsia="en-GB"/>
        </w:rPr>
      </w:pPr>
      <w:r w:rsidRPr="007E4AB3">
        <w:rPr>
          <w:rFonts w:ascii="Times New Roman" w:eastAsia="Times New Roman" w:hAnsi="Times New Roman" w:cs="Times New Roman"/>
          <w:b/>
          <w:bCs/>
          <w:sz w:val="24"/>
          <w:szCs w:val="24"/>
          <w:lang w:val="en-GB" w:eastAsia="en-GB"/>
        </w:rPr>
        <w:t>1.2 Analytical Lenses</w:t>
      </w:r>
    </w:p>
    <w:p w14:paraId="6A4E13CE" w14:textId="7AB0F4AE" w:rsidR="007E4AB3" w:rsidRDefault="007E4AB3" w:rsidP="007E4AB3">
      <w:pPr>
        <w:widowControl/>
        <w:autoSpaceDE/>
        <w:autoSpaceDN/>
        <w:spacing w:line="360" w:lineRule="auto"/>
        <w:jc w:val="both"/>
        <w:rPr>
          <w:rFonts w:ascii="Times New Roman" w:eastAsia="Times New Roman" w:hAnsi="Times New Roman" w:cs="Times New Roman"/>
          <w:sz w:val="24"/>
          <w:szCs w:val="24"/>
          <w:lang w:val="en-GB" w:eastAsia="en-GB"/>
        </w:rPr>
      </w:pPr>
      <w:r w:rsidRPr="007E4AB3">
        <w:rPr>
          <w:rFonts w:ascii="Times New Roman" w:eastAsia="Times New Roman" w:hAnsi="Times New Roman" w:cs="Times New Roman"/>
          <w:sz w:val="24"/>
          <w:szCs w:val="24"/>
          <w:lang w:val="en-GB" w:eastAsia="en-GB"/>
        </w:rPr>
        <w:t xml:space="preserve">The comparative analysis in this report is structured through the dual analytical lenses of centralisation versus decentralisation and systems thinking. Centralisation refers to a governance model where decision-making, financing, and service delivery are predominantly managed at the national level, whereas decentralisation implies greater autonomy for regional or local authorities in managing public health functions (Saltman et al., 2007). These differences critically affect the timing, coordination, and effectiveness of crisis responses. Additionally, a </w:t>
      </w:r>
      <w:r w:rsidRPr="007E4AB3">
        <w:rPr>
          <w:rFonts w:ascii="Times New Roman" w:eastAsia="Times New Roman" w:hAnsi="Times New Roman" w:cs="Times New Roman"/>
          <w:sz w:val="24"/>
          <w:szCs w:val="24"/>
          <w:lang w:val="en-GB" w:eastAsia="en-GB"/>
        </w:rPr>
        <w:t>system</w:t>
      </w:r>
      <w:r w:rsidRPr="007E4AB3">
        <w:rPr>
          <w:rFonts w:ascii="Times New Roman" w:eastAsia="Times New Roman" w:hAnsi="Times New Roman" w:cs="Times New Roman"/>
          <w:sz w:val="24"/>
          <w:szCs w:val="24"/>
          <w:lang w:val="en-GB" w:eastAsia="en-GB"/>
        </w:rPr>
        <w:t xml:space="preserve"> thinking perspective will be applied to understand how structures, actors, and feedback mechanisms interacted within each health system to shape pandemic outcomes. This lens allows for a deeper exploration of interdependencies between governance architecture, healthcare delivery, and policy outcomes (Meadows, 2008).</w:t>
      </w:r>
    </w:p>
    <w:p w14:paraId="4A09111F" w14:textId="77777777" w:rsidR="007E4AB3" w:rsidRPr="007E4AB3" w:rsidRDefault="007E4AB3" w:rsidP="007E4AB3">
      <w:pPr>
        <w:widowControl/>
        <w:autoSpaceDE/>
        <w:autoSpaceDN/>
        <w:spacing w:line="360" w:lineRule="auto"/>
        <w:jc w:val="both"/>
        <w:rPr>
          <w:rFonts w:ascii="Times New Roman" w:eastAsia="Times New Roman" w:hAnsi="Times New Roman" w:cs="Times New Roman"/>
          <w:sz w:val="24"/>
          <w:szCs w:val="24"/>
          <w:lang w:val="en-GB" w:eastAsia="en-GB"/>
        </w:rPr>
      </w:pPr>
    </w:p>
    <w:p w14:paraId="505AB315" w14:textId="77777777" w:rsidR="007E4AB3" w:rsidRPr="007E4AB3" w:rsidRDefault="007E4AB3" w:rsidP="007E4AB3">
      <w:pPr>
        <w:widowControl/>
        <w:autoSpaceDE/>
        <w:autoSpaceDN/>
        <w:spacing w:line="360" w:lineRule="auto"/>
        <w:jc w:val="both"/>
        <w:outlineLvl w:val="2"/>
        <w:rPr>
          <w:rFonts w:ascii="Times New Roman" w:eastAsia="Times New Roman" w:hAnsi="Times New Roman" w:cs="Times New Roman"/>
          <w:b/>
          <w:bCs/>
          <w:sz w:val="24"/>
          <w:szCs w:val="24"/>
          <w:lang w:val="en-GB" w:eastAsia="en-GB"/>
        </w:rPr>
      </w:pPr>
      <w:r w:rsidRPr="007E4AB3">
        <w:rPr>
          <w:rFonts w:ascii="Times New Roman" w:eastAsia="Times New Roman" w:hAnsi="Times New Roman" w:cs="Times New Roman"/>
          <w:b/>
          <w:bCs/>
          <w:sz w:val="24"/>
          <w:szCs w:val="24"/>
          <w:lang w:val="en-GB" w:eastAsia="en-GB"/>
        </w:rPr>
        <w:t>1.3 Organisation of the Report</w:t>
      </w:r>
    </w:p>
    <w:p w14:paraId="42950006" w14:textId="77777777" w:rsidR="007E4AB3" w:rsidRPr="007E4AB3" w:rsidRDefault="007E4AB3" w:rsidP="007E4AB3">
      <w:pPr>
        <w:widowControl/>
        <w:autoSpaceDE/>
        <w:autoSpaceDN/>
        <w:spacing w:line="360" w:lineRule="auto"/>
        <w:jc w:val="both"/>
        <w:rPr>
          <w:rFonts w:ascii="Times New Roman" w:eastAsia="Times New Roman" w:hAnsi="Times New Roman" w:cs="Times New Roman"/>
          <w:sz w:val="24"/>
          <w:szCs w:val="24"/>
          <w:lang w:val="en-GB" w:eastAsia="en-GB"/>
        </w:rPr>
      </w:pPr>
      <w:r w:rsidRPr="007E4AB3">
        <w:rPr>
          <w:rFonts w:ascii="Times New Roman" w:eastAsia="Times New Roman" w:hAnsi="Times New Roman" w:cs="Times New Roman"/>
          <w:sz w:val="24"/>
          <w:szCs w:val="24"/>
          <w:lang w:val="en-GB" w:eastAsia="en-GB"/>
        </w:rPr>
        <w:t>The report is structured into three main sections. Section 2 presents a critical analysis of how the organisation of each country’s health system—particularly in terms of centralisation or decentralisation—shaped its pandemic governance and outcomes. Section 3 then focuses on the leadership styles and strategic decision-making adopted by key political leaders in each jurisdiction, linked to relevant leadership theories. Finally, Section 4 synthesises the findings and concludes with key lessons and recommendations for future pandemic preparedness and crisis leadership.</w:t>
      </w:r>
    </w:p>
    <w:p w14:paraId="692EC663" w14:textId="58E29CD0" w:rsidR="007E4AB3" w:rsidRPr="007E4AB3" w:rsidRDefault="007E4AB3" w:rsidP="007E4AB3">
      <w:pPr>
        <w:widowControl/>
        <w:autoSpaceDE/>
        <w:autoSpaceDN/>
        <w:spacing w:line="360" w:lineRule="auto"/>
        <w:jc w:val="both"/>
        <w:rPr>
          <w:rFonts w:ascii="Times New Roman" w:eastAsia="Times New Roman" w:hAnsi="Times New Roman" w:cs="Times New Roman"/>
          <w:sz w:val="24"/>
          <w:szCs w:val="24"/>
          <w:lang w:val="en-GB" w:eastAsia="en-GB"/>
        </w:rPr>
      </w:pPr>
    </w:p>
    <w:p w14:paraId="427DA67F" w14:textId="08A6CD81" w:rsidR="007E4AB3" w:rsidRPr="007E4AB3" w:rsidRDefault="007E4AB3" w:rsidP="007E4AB3">
      <w:pPr>
        <w:widowControl/>
        <w:autoSpaceDE/>
        <w:autoSpaceDN/>
        <w:spacing w:line="360" w:lineRule="auto"/>
        <w:jc w:val="both"/>
        <w:outlineLvl w:val="1"/>
        <w:rPr>
          <w:rFonts w:ascii="Times New Roman" w:eastAsia="Times New Roman" w:hAnsi="Times New Roman" w:cs="Times New Roman"/>
          <w:b/>
          <w:bCs/>
          <w:sz w:val="28"/>
          <w:szCs w:val="28"/>
          <w:lang w:val="en-GB" w:eastAsia="en-GB"/>
        </w:rPr>
      </w:pPr>
      <w:r w:rsidRPr="007E4AB3">
        <w:rPr>
          <w:rFonts w:ascii="Times New Roman" w:eastAsia="Times New Roman" w:hAnsi="Times New Roman" w:cs="Times New Roman"/>
          <w:b/>
          <w:bCs/>
          <w:sz w:val="28"/>
          <w:szCs w:val="28"/>
          <w:lang w:val="en-GB" w:eastAsia="en-GB"/>
        </w:rPr>
        <w:lastRenderedPageBreak/>
        <w:t xml:space="preserve">2. Critical Analysis: Centralised vs Decentralised Health-System Approaches to COVID-19 </w:t>
      </w:r>
    </w:p>
    <w:p w14:paraId="69692A81" w14:textId="77777777" w:rsidR="007E4AB3" w:rsidRPr="007E4AB3" w:rsidRDefault="007E4AB3" w:rsidP="007E4AB3">
      <w:pPr>
        <w:widowControl/>
        <w:autoSpaceDE/>
        <w:autoSpaceDN/>
        <w:spacing w:line="360" w:lineRule="auto"/>
        <w:jc w:val="both"/>
        <w:outlineLvl w:val="2"/>
        <w:rPr>
          <w:rFonts w:ascii="Times New Roman" w:eastAsia="Times New Roman" w:hAnsi="Times New Roman" w:cs="Times New Roman"/>
          <w:b/>
          <w:bCs/>
          <w:sz w:val="24"/>
          <w:szCs w:val="24"/>
          <w:lang w:val="en-GB" w:eastAsia="en-GB"/>
        </w:rPr>
      </w:pPr>
      <w:r w:rsidRPr="007E4AB3">
        <w:rPr>
          <w:rFonts w:ascii="Times New Roman" w:eastAsia="Times New Roman" w:hAnsi="Times New Roman" w:cs="Times New Roman"/>
          <w:b/>
          <w:bCs/>
          <w:sz w:val="24"/>
          <w:szCs w:val="24"/>
          <w:lang w:val="en-GB" w:eastAsia="en-GB"/>
        </w:rPr>
        <w:t>2.1 Comparative Framework</w:t>
      </w:r>
    </w:p>
    <w:p w14:paraId="029084F0" w14:textId="77777777" w:rsidR="007E4AB3" w:rsidRDefault="007E4AB3" w:rsidP="007E4AB3">
      <w:pPr>
        <w:widowControl/>
        <w:autoSpaceDE/>
        <w:autoSpaceDN/>
        <w:spacing w:line="360" w:lineRule="auto"/>
        <w:jc w:val="both"/>
        <w:rPr>
          <w:rFonts w:ascii="Times New Roman" w:eastAsia="Times New Roman" w:hAnsi="Times New Roman" w:cs="Times New Roman"/>
          <w:sz w:val="24"/>
          <w:szCs w:val="24"/>
          <w:lang w:val="en-GB" w:eastAsia="en-GB"/>
        </w:rPr>
      </w:pPr>
      <w:r w:rsidRPr="007E4AB3">
        <w:rPr>
          <w:rFonts w:ascii="Times New Roman" w:eastAsia="Times New Roman" w:hAnsi="Times New Roman" w:cs="Times New Roman"/>
          <w:sz w:val="24"/>
          <w:szCs w:val="24"/>
          <w:lang w:val="en-GB" w:eastAsia="en-GB"/>
        </w:rPr>
        <w:t>In a public health crisis such as COVID-19, health system organisation becomes the central axis around which national responses pivot. The term “health system organisation in a pandemic” encompasses various structural and functional dimensions, including the governance architecture, legal authority for emergency measures, intergovernmental coordination, delivery of public health functions, and the structure of healthcare financing. It also includes the mobilisation of emergency powers, creation and coordination of vaccination task forces, and the design of risk communication and surveillance systems (Greer et al., 2020). These components collectively determine the responsiveness, consistency, and adaptability of a country’s pandemic response.</w:t>
      </w:r>
    </w:p>
    <w:p w14:paraId="19ACFEBF" w14:textId="77777777" w:rsidR="007E4AB3" w:rsidRPr="007E4AB3" w:rsidRDefault="007E4AB3" w:rsidP="007E4AB3">
      <w:pPr>
        <w:widowControl/>
        <w:autoSpaceDE/>
        <w:autoSpaceDN/>
        <w:spacing w:line="360" w:lineRule="auto"/>
        <w:jc w:val="both"/>
        <w:rPr>
          <w:rFonts w:ascii="Times New Roman" w:eastAsia="Times New Roman" w:hAnsi="Times New Roman" w:cs="Times New Roman"/>
          <w:sz w:val="24"/>
          <w:szCs w:val="24"/>
          <w:lang w:val="en-GB" w:eastAsia="en-GB"/>
        </w:rPr>
      </w:pPr>
    </w:p>
    <w:p w14:paraId="7D489824" w14:textId="77777777" w:rsidR="007E4AB3" w:rsidRPr="007E4AB3" w:rsidRDefault="007E4AB3" w:rsidP="007E4AB3">
      <w:pPr>
        <w:widowControl/>
        <w:autoSpaceDE/>
        <w:autoSpaceDN/>
        <w:spacing w:line="360" w:lineRule="auto"/>
        <w:jc w:val="both"/>
        <w:rPr>
          <w:rFonts w:ascii="Times New Roman" w:eastAsia="Times New Roman" w:hAnsi="Times New Roman" w:cs="Times New Roman"/>
          <w:sz w:val="24"/>
          <w:szCs w:val="24"/>
          <w:lang w:val="en-GB" w:eastAsia="en-GB"/>
        </w:rPr>
      </w:pPr>
      <w:r w:rsidRPr="007E4AB3">
        <w:rPr>
          <w:rFonts w:ascii="Times New Roman" w:eastAsia="Times New Roman" w:hAnsi="Times New Roman" w:cs="Times New Roman"/>
          <w:sz w:val="24"/>
          <w:szCs w:val="24"/>
          <w:lang w:val="en-GB" w:eastAsia="en-GB"/>
        </w:rPr>
        <w:t>To facilitate a meaningful comparison across Spain, South Korea, and Canada, this report applies a standardised set of analytical criteria: (1) the overarching governance model (centralised or decentralised), (2) the locus of decision-making during the pandemic, (3) the role and authority of national or subnational public health agencies, (4) the financing mechanisms supporting public health measures, (5) the integration of service delivery between agencies or government levels, (6) the robustness of data systems and surveillance, (7) the leadership and structure of the vaccination programme, and (8) the presence or absence of coordination mechanisms and their effectiveness.</w:t>
      </w:r>
    </w:p>
    <w:p w14:paraId="65019CAE" w14:textId="77777777" w:rsidR="007E4AB3" w:rsidRDefault="007E4AB3" w:rsidP="007E4AB3">
      <w:pPr>
        <w:widowControl/>
        <w:autoSpaceDE/>
        <w:autoSpaceDN/>
        <w:spacing w:line="360" w:lineRule="auto"/>
        <w:jc w:val="both"/>
        <w:rPr>
          <w:rFonts w:ascii="Times New Roman" w:eastAsia="Times New Roman" w:hAnsi="Times New Roman" w:cs="Times New Roman"/>
          <w:sz w:val="24"/>
          <w:szCs w:val="24"/>
          <w:lang w:val="en-GB" w:eastAsia="en-GB"/>
        </w:rPr>
      </w:pPr>
      <w:r w:rsidRPr="007E4AB3">
        <w:rPr>
          <w:rFonts w:ascii="Times New Roman" w:eastAsia="Times New Roman" w:hAnsi="Times New Roman" w:cs="Times New Roman"/>
          <w:sz w:val="24"/>
          <w:szCs w:val="24"/>
          <w:lang w:val="en-GB" w:eastAsia="en-GB"/>
        </w:rPr>
        <w:t>A comparative table is included below to offer a snapshot of key governance attributes across the three case study countries:</w:t>
      </w:r>
    </w:p>
    <w:p w14:paraId="7FC72729" w14:textId="77777777" w:rsidR="007E4AB3" w:rsidRPr="007E4AB3" w:rsidRDefault="007E4AB3" w:rsidP="007E4AB3">
      <w:pPr>
        <w:widowControl/>
        <w:autoSpaceDE/>
        <w:autoSpaceDN/>
        <w:spacing w:line="360" w:lineRule="auto"/>
        <w:jc w:val="both"/>
        <w:rPr>
          <w:rFonts w:ascii="Times New Roman" w:eastAsia="Times New Roman" w:hAnsi="Times New Roman" w:cs="Times New Roman"/>
          <w:sz w:val="24"/>
          <w:szCs w:val="24"/>
          <w:lang w:val="en-GB" w:eastAsia="en-GB"/>
        </w:rPr>
      </w:pPr>
    </w:p>
    <w:p w14:paraId="09E4BCDF" w14:textId="77777777" w:rsidR="007E4AB3" w:rsidRPr="007E4AB3" w:rsidRDefault="007E4AB3" w:rsidP="007E4AB3">
      <w:pPr>
        <w:widowControl/>
        <w:autoSpaceDE/>
        <w:autoSpaceDN/>
        <w:spacing w:line="360" w:lineRule="auto"/>
        <w:jc w:val="both"/>
        <w:rPr>
          <w:rFonts w:ascii="Times New Roman" w:eastAsia="Times New Roman" w:hAnsi="Times New Roman" w:cs="Times New Roman"/>
          <w:sz w:val="24"/>
          <w:szCs w:val="24"/>
          <w:lang w:val="en-GB" w:eastAsia="en-GB"/>
        </w:rPr>
      </w:pPr>
      <w:r w:rsidRPr="007E4AB3">
        <w:rPr>
          <w:rFonts w:ascii="Times New Roman" w:eastAsia="Times New Roman" w:hAnsi="Times New Roman" w:cs="Times New Roman"/>
          <w:b/>
          <w:bCs/>
          <w:sz w:val="24"/>
          <w:szCs w:val="24"/>
          <w:lang w:val="en-GB" w:eastAsia="en-GB"/>
        </w:rPr>
        <w:t>Table 1: Comparative Health System Governance and Pandemic Authority</w:t>
      </w:r>
    </w:p>
    <w:tbl>
      <w:tblPr>
        <w:tblStyle w:val="TableGrid"/>
        <w:tblW w:w="0" w:type="auto"/>
        <w:tblLook w:val="04A0" w:firstRow="1" w:lastRow="0" w:firstColumn="1" w:lastColumn="0" w:noHBand="0" w:noVBand="1"/>
      </w:tblPr>
      <w:tblGrid>
        <w:gridCol w:w="2128"/>
        <w:gridCol w:w="2408"/>
        <w:gridCol w:w="2237"/>
        <w:gridCol w:w="2847"/>
      </w:tblGrid>
      <w:tr w:rsidR="007E4AB3" w:rsidRPr="007E4AB3" w14:paraId="692A1F51" w14:textId="77777777" w:rsidTr="007E4AB3">
        <w:tc>
          <w:tcPr>
            <w:tcW w:w="0" w:type="auto"/>
            <w:hideMark/>
          </w:tcPr>
          <w:p w14:paraId="272E5B94" w14:textId="77777777" w:rsidR="007E4AB3" w:rsidRPr="007E4AB3" w:rsidRDefault="007E4AB3" w:rsidP="007E4AB3">
            <w:pPr>
              <w:widowControl/>
              <w:autoSpaceDE/>
              <w:autoSpaceDN/>
              <w:spacing w:line="360" w:lineRule="auto"/>
              <w:jc w:val="both"/>
              <w:rPr>
                <w:rFonts w:ascii="Times New Roman" w:eastAsia="Times New Roman" w:hAnsi="Times New Roman" w:cs="Times New Roman"/>
                <w:b/>
                <w:bCs/>
                <w:sz w:val="24"/>
                <w:szCs w:val="24"/>
                <w:lang w:val="en-GB" w:eastAsia="en-GB"/>
              </w:rPr>
            </w:pPr>
            <w:r w:rsidRPr="007E4AB3">
              <w:rPr>
                <w:rFonts w:ascii="Times New Roman" w:eastAsia="Times New Roman" w:hAnsi="Times New Roman" w:cs="Times New Roman"/>
                <w:b/>
                <w:bCs/>
                <w:sz w:val="24"/>
                <w:szCs w:val="24"/>
                <w:lang w:val="en-GB" w:eastAsia="en-GB"/>
              </w:rPr>
              <w:t>Criteria</w:t>
            </w:r>
          </w:p>
        </w:tc>
        <w:tc>
          <w:tcPr>
            <w:tcW w:w="0" w:type="auto"/>
            <w:hideMark/>
          </w:tcPr>
          <w:p w14:paraId="387C08D2" w14:textId="77777777" w:rsidR="007E4AB3" w:rsidRPr="007E4AB3" w:rsidRDefault="007E4AB3" w:rsidP="007E4AB3">
            <w:pPr>
              <w:widowControl/>
              <w:autoSpaceDE/>
              <w:autoSpaceDN/>
              <w:spacing w:line="360" w:lineRule="auto"/>
              <w:jc w:val="both"/>
              <w:rPr>
                <w:rFonts w:ascii="Times New Roman" w:eastAsia="Times New Roman" w:hAnsi="Times New Roman" w:cs="Times New Roman"/>
                <w:b/>
                <w:bCs/>
                <w:sz w:val="24"/>
                <w:szCs w:val="24"/>
                <w:lang w:val="en-GB" w:eastAsia="en-GB"/>
              </w:rPr>
            </w:pPr>
            <w:r w:rsidRPr="007E4AB3">
              <w:rPr>
                <w:rFonts w:ascii="Times New Roman" w:eastAsia="Times New Roman" w:hAnsi="Times New Roman" w:cs="Times New Roman"/>
                <w:b/>
                <w:bCs/>
                <w:sz w:val="24"/>
                <w:szCs w:val="24"/>
                <w:lang w:val="en-GB" w:eastAsia="en-GB"/>
              </w:rPr>
              <w:t>Spain</w:t>
            </w:r>
          </w:p>
        </w:tc>
        <w:tc>
          <w:tcPr>
            <w:tcW w:w="0" w:type="auto"/>
            <w:hideMark/>
          </w:tcPr>
          <w:p w14:paraId="096B21C8" w14:textId="77777777" w:rsidR="007E4AB3" w:rsidRPr="007E4AB3" w:rsidRDefault="007E4AB3" w:rsidP="007E4AB3">
            <w:pPr>
              <w:widowControl/>
              <w:autoSpaceDE/>
              <w:autoSpaceDN/>
              <w:spacing w:line="360" w:lineRule="auto"/>
              <w:jc w:val="both"/>
              <w:rPr>
                <w:rFonts w:ascii="Times New Roman" w:eastAsia="Times New Roman" w:hAnsi="Times New Roman" w:cs="Times New Roman"/>
                <w:b/>
                <w:bCs/>
                <w:sz w:val="24"/>
                <w:szCs w:val="24"/>
                <w:lang w:val="en-GB" w:eastAsia="en-GB"/>
              </w:rPr>
            </w:pPr>
            <w:r w:rsidRPr="007E4AB3">
              <w:rPr>
                <w:rFonts w:ascii="Times New Roman" w:eastAsia="Times New Roman" w:hAnsi="Times New Roman" w:cs="Times New Roman"/>
                <w:b/>
                <w:bCs/>
                <w:sz w:val="24"/>
                <w:szCs w:val="24"/>
                <w:lang w:val="en-GB" w:eastAsia="en-GB"/>
              </w:rPr>
              <w:t>South Korea</w:t>
            </w:r>
          </w:p>
        </w:tc>
        <w:tc>
          <w:tcPr>
            <w:tcW w:w="0" w:type="auto"/>
            <w:hideMark/>
          </w:tcPr>
          <w:p w14:paraId="6DFB9FB0" w14:textId="77777777" w:rsidR="007E4AB3" w:rsidRPr="007E4AB3" w:rsidRDefault="007E4AB3" w:rsidP="007E4AB3">
            <w:pPr>
              <w:widowControl/>
              <w:autoSpaceDE/>
              <w:autoSpaceDN/>
              <w:spacing w:line="360" w:lineRule="auto"/>
              <w:jc w:val="both"/>
              <w:rPr>
                <w:rFonts w:ascii="Times New Roman" w:eastAsia="Times New Roman" w:hAnsi="Times New Roman" w:cs="Times New Roman"/>
                <w:b/>
                <w:bCs/>
                <w:sz w:val="24"/>
                <w:szCs w:val="24"/>
                <w:lang w:val="en-GB" w:eastAsia="en-GB"/>
              </w:rPr>
            </w:pPr>
            <w:r w:rsidRPr="007E4AB3">
              <w:rPr>
                <w:rFonts w:ascii="Times New Roman" w:eastAsia="Times New Roman" w:hAnsi="Times New Roman" w:cs="Times New Roman"/>
                <w:b/>
                <w:bCs/>
                <w:sz w:val="24"/>
                <w:szCs w:val="24"/>
                <w:lang w:val="en-GB" w:eastAsia="en-GB"/>
              </w:rPr>
              <w:t>Canada</w:t>
            </w:r>
          </w:p>
        </w:tc>
      </w:tr>
      <w:tr w:rsidR="007E4AB3" w:rsidRPr="007E4AB3" w14:paraId="454878FA" w14:textId="77777777" w:rsidTr="007E4AB3">
        <w:tc>
          <w:tcPr>
            <w:tcW w:w="0" w:type="auto"/>
            <w:hideMark/>
          </w:tcPr>
          <w:p w14:paraId="10005459" w14:textId="77777777" w:rsidR="007E4AB3" w:rsidRPr="007E4AB3" w:rsidRDefault="007E4AB3" w:rsidP="007E4AB3">
            <w:pPr>
              <w:widowControl/>
              <w:autoSpaceDE/>
              <w:autoSpaceDN/>
              <w:spacing w:line="360" w:lineRule="auto"/>
              <w:jc w:val="both"/>
              <w:rPr>
                <w:rFonts w:ascii="Times New Roman" w:eastAsia="Times New Roman" w:hAnsi="Times New Roman" w:cs="Times New Roman"/>
                <w:sz w:val="24"/>
                <w:szCs w:val="24"/>
                <w:lang w:val="en-GB" w:eastAsia="en-GB"/>
              </w:rPr>
            </w:pPr>
            <w:r w:rsidRPr="007E4AB3">
              <w:rPr>
                <w:rFonts w:ascii="Times New Roman" w:eastAsia="Times New Roman" w:hAnsi="Times New Roman" w:cs="Times New Roman"/>
                <w:sz w:val="24"/>
                <w:szCs w:val="24"/>
                <w:lang w:val="en-GB" w:eastAsia="en-GB"/>
              </w:rPr>
              <w:t>Governance model</w:t>
            </w:r>
          </w:p>
        </w:tc>
        <w:tc>
          <w:tcPr>
            <w:tcW w:w="0" w:type="auto"/>
            <w:hideMark/>
          </w:tcPr>
          <w:p w14:paraId="77B09FB6" w14:textId="77777777" w:rsidR="007E4AB3" w:rsidRPr="007E4AB3" w:rsidRDefault="007E4AB3" w:rsidP="007E4AB3">
            <w:pPr>
              <w:widowControl/>
              <w:autoSpaceDE/>
              <w:autoSpaceDN/>
              <w:spacing w:line="360" w:lineRule="auto"/>
              <w:jc w:val="both"/>
              <w:rPr>
                <w:rFonts w:ascii="Times New Roman" w:eastAsia="Times New Roman" w:hAnsi="Times New Roman" w:cs="Times New Roman"/>
                <w:sz w:val="24"/>
                <w:szCs w:val="24"/>
                <w:lang w:val="en-GB" w:eastAsia="en-GB"/>
              </w:rPr>
            </w:pPr>
            <w:r w:rsidRPr="007E4AB3">
              <w:rPr>
                <w:rFonts w:ascii="Times New Roman" w:eastAsia="Times New Roman" w:hAnsi="Times New Roman" w:cs="Times New Roman"/>
                <w:sz w:val="24"/>
                <w:szCs w:val="24"/>
                <w:lang w:val="en-GB" w:eastAsia="en-GB"/>
              </w:rPr>
              <w:t>Decentralised (Autonomous)</w:t>
            </w:r>
          </w:p>
        </w:tc>
        <w:tc>
          <w:tcPr>
            <w:tcW w:w="0" w:type="auto"/>
            <w:hideMark/>
          </w:tcPr>
          <w:p w14:paraId="4DEC10F6" w14:textId="77777777" w:rsidR="007E4AB3" w:rsidRPr="007E4AB3" w:rsidRDefault="007E4AB3" w:rsidP="007E4AB3">
            <w:pPr>
              <w:widowControl/>
              <w:autoSpaceDE/>
              <w:autoSpaceDN/>
              <w:spacing w:line="360" w:lineRule="auto"/>
              <w:jc w:val="both"/>
              <w:rPr>
                <w:rFonts w:ascii="Times New Roman" w:eastAsia="Times New Roman" w:hAnsi="Times New Roman" w:cs="Times New Roman"/>
                <w:sz w:val="24"/>
                <w:szCs w:val="24"/>
                <w:lang w:val="en-GB" w:eastAsia="en-GB"/>
              </w:rPr>
            </w:pPr>
            <w:r w:rsidRPr="007E4AB3">
              <w:rPr>
                <w:rFonts w:ascii="Times New Roman" w:eastAsia="Times New Roman" w:hAnsi="Times New Roman" w:cs="Times New Roman"/>
                <w:sz w:val="24"/>
                <w:szCs w:val="24"/>
                <w:lang w:val="en-GB" w:eastAsia="en-GB"/>
              </w:rPr>
              <w:t>Centralised with agency input</w:t>
            </w:r>
          </w:p>
        </w:tc>
        <w:tc>
          <w:tcPr>
            <w:tcW w:w="0" w:type="auto"/>
            <w:hideMark/>
          </w:tcPr>
          <w:p w14:paraId="74539357" w14:textId="77777777" w:rsidR="007E4AB3" w:rsidRPr="007E4AB3" w:rsidRDefault="007E4AB3" w:rsidP="007E4AB3">
            <w:pPr>
              <w:widowControl/>
              <w:autoSpaceDE/>
              <w:autoSpaceDN/>
              <w:spacing w:line="360" w:lineRule="auto"/>
              <w:jc w:val="both"/>
              <w:rPr>
                <w:rFonts w:ascii="Times New Roman" w:eastAsia="Times New Roman" w:hAnsi="Times New Roman" w:cs="Times New Roman"/>
                <w:sz w:val="24"/>
                <w:szCs w:val="24"/>
                <w:lang w:val="en-GB" w:eastAsia="en-GB"/>
              </w:rPr>
            </w:pPr>
            <w:r w:rsidRPr="007E4AB3">
              <w:rPr>
                <w:rFonts w:ascii="Times New Roman" w:eastAsia="Times New Roman" w:hAnsi="Times New Roman" w:cs="Times New Roman"/>
                <w:sz w:val="24"/>
                <w:szCs w:val="24"/>
                <w:lang w:val="en-GB" w:eastAsia="en-GB"/>
              </w:rPr>
              <w:t>Federal with provincial control</w:t>
            </w:r>
          </w:p>
        </w:tc>
      </w:tr>
      <w:tr w:rsidR="007E4AB3" w:rsidRPr="007E4AB3" w14:paraId="4380E572" w14:textId="77777777" w:rsidTr="007E4AB3">
        <w:tc>
          <w:tcPr>
            <w:tcW w:w="0" w:type="auto"/>
            <w:hideMark/>
          </w:tcPr>
          <w:p w14:paraId="0855D8C7" w14:textId="77777777" w:rsidR="007E4AB3" w:rsidRPr="007E4AB3" w:rsidRDefault="007E4AB3" w:rsidP="007E4AB3">
            <w:pPr>
              <w:widowControl/>
              <w:autoSpaceDE/>
              <w:autoSpaceDN/>
              <w:spacing w:line="360" w:lineRule="auto"/>
              <w:jc w:val="both"/>
              <w:rPr>
                <w:rFonts w:ascii="Times New Roman" w:eastAsia="Times New Roman" w:hAnsi="Times New Roman" w:cs="Times New Roman"/>
                <w:sz w:val="24"/>
                <w:szCs w:val="24"/>
                <w:lang w:val="en-GB" w:eastAsia="en-GB"/>
              </w:rPr>
            </w:pPr>
            <w:r w:rsidRPr="007E4AB3">
              <w:rPr>
                <w:rFonts w:ascii="Times New Roman" w:eastAsia="Times New Roman" w:hAnsi="Times New Roman" w:cs="Times New Roman"/>
                <w:sz w:val="24"/>
                <w:szCs w:val="24"/>
                <w:lang w:val="en-GB" w:eastAsia="en-GB"/>
              </w:rPr>
              <w:t>Locus of decision-making</w:t>
            </w:r>
          </w:p>
        </w:tc>
        <w:tc>
          <w:tcPr>
            <w:tcW w:w="0" w:type="auto"/>
            <w:hideMark/>
          </w:tcPr>
          <w:p w14:paraId="606A087B" w14:textId="77777777" w:rsidR="007E4AB3" w:rsidRPr="007E4AB3" w:rsidRDefault="007E4AB3" w:rsidP="007E4AB3">
            <w:pPr>
              <w:widowControl/>
              <w:autoSpaceDE/>
              <w:autoSpaceDN/>
              <w:spacing w:line="360" w:lineRule="auto"/>
              <w:jc w:val="both"/>
              <w:rPr>
                <w:rFonts w:ascii="Times New Roman" w:eastAsia="Times New Roman" w:hAnsi="Times New Roman" w:cs="Times New Roman"/>
                <w:sz w:val="24"/>
                <w:szCs w:val="24"/>
                <w:lang w:val="en-GB" w:eastAsia="en-GB"/>
              </w:rPr>
            </w:pPr>
            <w:r w:rsidRPr="007E4AB3">
              <w:rPr>
                <w:rFonts w:ascii="Times New Roman" w:eastAsia="Times New Roman" w:hAnsi="Times New Roman" w:cs="Times New Roman"/>
                <w:sz w:val="24"/>
                <w:szCs w:val="24"/>
                <w:lang w:val="en-GB" w:eastAsia="en-GB"/>
              </w:rPr>
              <w:t>Shifted to central temporarily</w:t>
            </w:r>
          </w:p>
        </w:tc>
        <w:tc>
          <w:tcPr>
            <w:tcW w:w="0" w:type="auto"/>
            <w:hideMark/>
          </w:tcPr>
          <w:p w14:paraId="5ED44DBE" w14:textId="77777777" w:rsidR="007E4AB3" w:rsidRPr="007E4AB3" w:rsidRDefault="007E4AB3" w:rsidP="007E4AB3">
            <w:pPr>
              <w:widowControl/>
              <w:autoSpaceDE/>
              <w:autoSpaceDN/>
              <w:spacing w:line="360" w:lineRule="auto"/>
              <w:jc w:val="both"/>
              <w:rPr>
                <w:rFonts w:ascii="Times New Roman" w:eastAsia="Times New Roman" w:hAnsi="Times New Roman" w:cs="Times New Roman"/>
                <w:sz w:val="24"/>
                <w:szCs w:val="24"/>
                <w:lang w:val="en-GB" w:eastAsia="en-GB"/>
              </w:rPr>
            </w:pPr>
            <w:r w:rsidRPr="007E4AB3">
              <w:rPr>
                <w:rFonts w:ascii="Times New Roman" w:eastAsia="Times New Roman" w:hAnsi="Times New Roman" w:cs="Times New Roman"/>
                <w:sz w:val="24"/>
                <w:szCs w:val="24"/>
                <w:lang w:val="en-GB" w:eastAsia="en-GB"/>
              </w:rPr>
              <w:t>National government</w:t>
            </w:r>
          </w:p>
        </w:tc>
        <w:tc>
          <w:tcPr>
            <w:tcW w:w="0" w:type="auto"/>
            <w:hideMark/>
          </w:tcPr>
          <w:p w14:paraId="11B763EB" w14:textId="77777777" w:rsidR="007E4AB3" w:rsidRPr="007E4AB3" w:rsidRDefault="007E4AB3" w:rsidP="007E4AB3">
            <w:pPr>
              <w:widowControl/>
              <w:autoSpaceDE/>
              <w:autoSpaceDN/>
              <w:spacing w:line="360" w:lineRule="auto"/>
              <w:jc w:val="both"/>
              <w:rPr>
                <w:rFonts w:ascii="Times New Roman" w:eastAsia="Times New Roman" w:hAnsi="Times New Roman" w:cs="Times New Roman"/>
                <w:sz w:val="24"/>
                <w:szCs w:val="24"/>
                <w:lang w:val="en-GB" w:eastAsia="en-GB"/>
              </w:rPr>
            </w:pPr>
            <w:r w:rsidRPr="007E4AB3">
              <w:rPr>
                <w:rFonts w:ascii="Times New Roman" w:eastAsia="Times New Roman" w:hAnsi="Times New Roman" w:cs="Times New Roman"/>
                <w:sz w:val="24"/>
                <w:szCs w:val="24"/>
                <w:lang w:val="en-GB" w:eastAsia="en-GB"/>
              </w:rPr>
              <w:t>Provinces/territories</w:t>
            </w:r>
          </w:p>
        </w:tc>
      </w:tr>
      <w:tr w:rsidR="007E4AB3" w:rsidRPr="007E4AB3" w14:paraId="2F32F269" w14:textId="77777777" w:rsidTr="007E4AB3">
        <w:tc>
          <w:tcPr>
            <w:tcW w:w="0" w:type="auto"/>
            <w:hideMark/>
          </w:tcPr>
          <w:p w14:paraId="42EF0D4C" w14:textId="77777777" w:rsidR="007E4AB3" w:rsidRPr="007E4AB3" w:rsidRDefault="007E4AB3" w:rsidP="007E4AB3">
            <w:pPr>
              <w:widowControl/>
              <w:autoSpaceDE/>
              <w:autoSpaceDN/>
              <w:spacing w:line="360" w:lineRule="auto"/>
              <w:jc w:val="both"/>
              <w:rPr>
                <w:rFonts w:ascii="Times New Roman" w:eastAsia="Times New Roman" w:hAnsi="Times New Roman" w:cs="Times New Roman"/>
                <w:sz w:val="24"/>
                <w:szCs w:val="24"/>
                <w:lang w:val="en-GB" w:eastAsia="en-GB"/>
              </w:rPr>
            </w:pPr>
            <w:r w:rsidRPr="007E4AB3">
              <w:rPr>
                <w:rFonts w:ascii="Times New Roman" w:eastAsia="Times New Roman" w:hAnsi="Times New Roman" w:cs="Times New Roman"/>
                <w:sz w:val="24"/>
                <w:szCs w:val="24"/>
                <w:lang w:val="en-GB" w:eastAsia="en-GB"/>
              </w:rPr>
              <w:t>Public health agency role</w:t>
            </w:r>
          </w:p>
        </w:tc>
        <w:tc>
          <w:tcPr>
            <w:tcW w:w="0" w:type="auto"/>
            <w:hideMark/>
          </w:tcPr>
          <w:p w14:paraId="67DDF001" w14:textId="77777777" w:rsidR="007E4AB3" w:rsidRPr="007E4AB3" w:rsidRDefault="007E4AB3" w:rsidP="007E4AB3">
            <w:pPr>
              <w:widowControl/>
              <w:autoSpaceDE/>
              <w:autoSpaceDN/>
              <w:spacing w:line="360" w:lineRule="auto"/>
              <w:jc w:val="both"/>
              <w:rPr>
                <w:rFonts w:ascii="Times New Roman" w:eastAsia="Times New Roman" w:hAnsi="Times New Roman" w:cs="Times New Roman"/>
                <w:sz w:val="24"/>
                <w:szCs w:val="24"/>
                <w:lang w:val="en-GB" w:eastAsia="en-GB"/>
              </w:rPr>
            </w:pPr>
            <w:r w:rsidRPr="007E4AB3">
              <w:rPr>
                <w:rFonts w:ascii="Times New Roman" w:eastAsia="Times New Roman" w:hAnsi="Times New Roman" w:cs="Times New Roman"/>
                <w:sz w:val="24"/>
                <w:szCs w:val="24"/>
                <w:lang w:val="en-GB" w:eastAsia="en-GB"/>
              </w:rPr>
              <w:t>Advisory; region-led</w:t>
            </w:r>
          </w:p>
        </w:tc>
        <w:tc>
          <w:tcPr>
            <w:tcW w:w="0" w:type="auto"/>
            <w:hideMark/>
          </w:tcPr>
          <w:p w14:paraId="484D3692" w14:textId="77777777" w:rsidR="007E4AB3" w:rsidRPr="007E4AB3" w:rsidRDefault="007E4AB3" w:rsidP="007E4AB3">
            <w:pPr>
              <w:widowControl/>
              <w:autoSpaceDE/>
              <w:autoSpaceDN/>
              <w:spacing w:line="360" w:lineRule="auto"/>
              <w:jc w:val="both"/>
              <w:rPr>
                <w:rFonts w:ascii="Times New Roman" w:eastAsia="Times New Roman" w:hAnsi="Times New Roman" w:cs="Times New Roman"/>
                <w:sz w:val="24"/>
                <w:szCs w:val="24"/>
                <w:lang w:val="en-GB" w:eastAsia="en-GB"/>
              </w:rPr>
            </w:pPr>
            <w:r w:rsidRPr="007E4AB3">
              <w:rPr>
                <w:rFonts w:ascii="Times New Roman" w:eastAsia="Times New Roman" w:hAnsi="Times New Roman" w:cs="Times New Roman"/>
                <w:sz w:val="24"/>
                <w:szCs w:val="24"/>
                <w:lang w:val="en-GB" w:eastAsia="en-GB"/>
              </w:rPr>
              <w:t>Strong KDCA leadership</w:t>
            </w:r>
          </w:p>
        </w:tc>
        <w:tc>
          <w:tcPr>
            <w:tcW w:w="0" w:type="auto"/>
            <w:hideMark/>
          </w:tcPr>
          <w:p w14:paraId="55336192" w14:textId="77777777" w:rsidR="007E4AB3" w:rsidRPr="007E4AB3" w:rsidRDefault="007E4AB3" w:rsidP="007E4AB3">
            <w:pPr>
              <w:widowControl/>
              <w:autoSpaceDE/>
              <w:autoSpaceDN/>
              <w:spacing w:line="360" w:lineRule="auto"/>
              <w:jc w:val="both"/>
              <w:rPr>
                <w:rFonts w:ascii="Times New Roman" w:eastAsia="Times New Roman" w:hAnsi="Times New Roman" w:cs="Times New Roman"/>
                <w:sz w:val="24"/>
                <w:szCs w:val="24"/>
                <w:lang w:val="en-GB" w:eastAsia="en-GB"/>
              </w:rPr>
            </w:pPr>
            <w:r w:rsidRPr="007E4AB3">
              <w:rPr>
                <w:rFonts w:ascii="Times New Roman" w:eastAsia="Times New Roman" w:hAnsi="Times New Roman" w:cs="Times New Roman"/>
                <w:sz w:val="24"/>
                <w:szCs w:val="24"/>
                <w:lang w:val="en-GB" w:eastAsia="en-GB"/>
              </w:rPr>
              <w:t>Provincial agencies dominate</w:t>
            </w:r>
          </w:p>
        </w:tc>
      </w:tr>
      <w:tr w:rsidR="007E4AB3" w:rsidRPr="007E4AB3" w14:paraId="74599848" w14:textId="77777777" w:rsidTr="007E4AB3">
        <w:tc>
          <w:tcPr>
            <w:tcW w:w="0" w:type="auto"/>
            <w:hideMark/>
          </w:tcPr>
          <w:p w14:paraId="508A6DDA" w14:textId="77777777" w:rsidR="007E4AB3" w:rsidRPr="007E4AB3" w:rsidRDefault="007E4AB3" w:rsidP="007E4AB3">
            <w:pPr>
              <w:widowControl/>
              <w:autoSpaceDE/>
              <w:autoSpaceDN/>
              <w:spacing w:line="360" w:lineRule="auto"/>
              <w:jc w:val="both"/>
              <w:rPr>
                <w:rFonts w:ascii="Times New Roman" w:eastAsia="Times New Roman" w:hAnsi="Times New Roman" w:cs="Times New Roman"/>
                <w:sz w:val="24"/>
                <w:szCs w:val="24"/>
                <w:lang w:val="en-GB" w:eastAsia="en-GB"/>
              </w:rPr>
            </w:pPr>
            <w:r w:rsidRPr="007E4AB3">
              <w:rPr>
                <w:rFonts w:ascii="Times New Roman" w:eastAsia="Times New Roman" w:hAnsi="Times New Roman" w:cs="Times New Roman"/>
                <w:sz w:val="24"/>
                <w:szCs w:val="24"/>
                <w:lang w:val="en-GB" w:eastAsia="en-GB"/>
              </w:rPr>
              <w:t>Financing</w:t>
            </w:r>
          </w:p>
        </w:tc>
        <w:tc>
          <w:tcPr>
            <w:tcW w:w="0" w:type="auto"/>
            <w:hideMark/>
          </w:tcPr>
          <w:p w14:paraId="69A51783" w14:textId="77777777" w:rsidR="007E4AB3" w:rsidRPr="007E4AB3" w:rsidRDefault="007E4AB3" w:rsidP="007E4AB3">
            <w:pPr>
              <w:widowControl/>
              <w:autoSpaceDE/>
              <w:autoSpaceDN/>
              <w:spacing w:line="360" w:lineRule="auto"/>
              <w:jc w:val="both"/>
              <w:rPr>
                <w:rFonts w:ascii="Times New Roman" w:eastAsia="Times New Roman" w:hAnsi="Times New Roman" w:cs="Times New Roman"/>
                <w:sz w:val="24"/>
                <w:szCs w:val="24"/>
                <w:lang w:val="en-GB" w:eastAsia="en-GB"/>
              </w:rPr>
            </w:pPr>
            <w:r w:rsidRPr="007E4AB3">
              <w:rPr>
                <w:rFonts w:ascii="Times New Roman" w:eastAsia="Times New Roman" w:hAnsi="Times New Roman" w:cs="Times New Roman"/>
                <w:sz w:val="24"/>
                <w:szCs w:val="24"/>
                <w:lang w:val="en-GB" w:eastAsia="en-GB"/>
              </w:rPr>
              <w:t>Mixed; national + regional</w:t>
            </w:r>
          </w:p>
        </w:tc>
        <w:tc>
          <w:tcPr>
            <w:tcW w:w="0" w:type="auto"/>
            <w:hideMark/>
          </w:tcPr>
          <w:p w14:paraId="7D83FC30" w14:textId="77777777" w:rsidR="007E4AB3" w:rsidRPr="007E4AB3" w:rsidRDefault="007E4AB3" w:rsidP="007E4AB3">
            <w:pPr>
              <w:widowControl/>
              <w:autoSpaceDE/>
              <w:autoSpaceDN/>
              <w:spacing w:line="360" w:lineRule="auto"/>
              <w:jc w:val="both"/>
              <w:rPr>
                <w:rFonts w:ascii="Times New Roman" w:eastAsia="Times New Roman" w:hAnsi="Times New Roman" w:cs="Times New Roman"/>
                <w:sz w:val="24"/>
                <w:szCs w:val="24"/>
                <w:lang w:val="en-GB" w:eastAsia="en-GB"/>
              </w:rPr>
            </w:pPr>
            <w:r w:rsidRPr="007E4AB3">
              <w:rPr>
                <w:rFonts w:ascii="Times New Roman" w:eastAsia="Times New Roman" w:hAnsi="Times New Roman" w:cs="Times New Roman"/>
                <w:sz w:val="24"/>
                <w:szCs w:val="24"/>
                <w:lang w:val="en-GB" w:eastAsia="en-GB"/>
              </w:rPr>
              <w:t>Nationally funded</w:t>
            </w:r>
          </w:p>
        </w:tc>
        <w:tc>
          <w:tcPr>
            <w:tcW w:w="0" w:type="auto"/>
            <w:hideMark/>
          </w:tcPr>
          <w:p w14:paraId="4B6ECA74" w14:textId="77777777" w:rsidR="007E4AB3" w:rsidRPr="007E4AB3" w:rsidRDefault="007E4AB3" w:rsidP="007E4AB3">
            <w:pPr>
              <w:widowControl/>
              <w:autoSpaceDE/>
              <w:autoSpaceDN/>
              <w:spacing w:line="360" w:lineRule="auto"/>
              <w:jc w:val="both"/>
              <w:rPr>
                <w:rFonts w:ascii="Times New Roman" w:eastAsia="Times New Roman" w:hAnsi="Times New Roman" w:cs="Times New Roman"/>
                <w:sz w:val="24"/>
                <w:szCs w:val="24"/>
                <w:lang w:val="en-GB" w:eastAsia="en-GB"/>
              </w:rPr>
            </w:pPr>
            <w:r w:rsidRPr="007E4AB3">
              <w:rPr>
                <w:rFonts w:ascii="Times New Roman" w:eastAsia="Times New Roman" w:hAnsi="Times New Roman" w:cs="Times New Roman"/>
                <w:sz w:val="24"/>
                <w:szCs w:val="24"/>
                <w:lang w:val="en-GB" w:eastAsia="en-GB"/>
              </w:rPr>
              <w:t>Shared federal-provincial</w:t>
            </w:r>
          </w:p>
        </w:tc>
      </w:tr>
      <w:tr w:rsidR="007E4AB3" w:rsidRPr="007E4AB3" w14:paraId="082E4DE5" w14:textId="77777777" w:rsidTr="007E4AB3">
        <w:tc>
          <w:tcPr>
            <w:tcW w:w="0" w:type="auto"/>
            <w:hideMark/>
          </w:tcPr>
          <w:p w14:paraId="2C3401B0" w14:textId="77777777" w:rsidR="007E4AB3" w:rsidRPr="007E4AB3" w:rsidRDefault="007E4AB3" w:rsidP="007E4AB3">
            <w:pPr>
              <w:widowControl/>
              <w:autoSpaceDE/>
              <w:autoSpaceDN/>
              <w:spacing w:line="360" w:lineRule="auto"/>
              <w:jc w:val="both"/>
              <w:rPr>
                <w:rFonts w:ascii="Times New Roman" w:eastAsia="Times New Roman" w:hAnsi="Times New Roman" w:cs="Times New Roman"/>
                <w:sz w:val="24"/>
                <w:szCs w:val="24"/>
                <w:lang w:val="en-GB" w:eastAsia="en-GB"/>
              </w:rPr>
            </w:pPr>
            <w:r w:rsidRPr="007E4AB3">
              <w:rPr>
                <w:rFonts w:ascii="Times New Roman" w:eastAsia="Times New Roman" w:hAnsi="Times New Roman" w:cs="Times New Roman"/>
                <w:sz w:val="24"/>
                <w:szCs w:val="24"/>
                <w:lang w:val="en-GB" w:eastAsia="en-GB"/>
              </w:rPr>
              <w:lastRenderedPageBreak/>
              <w:t>Service delivery integration</w:t>
            </w:r>
          </w:p>
        </w:tc>
        <w:tc>
          <w:tcPr>
            <w:tcW w:w="0" w:type="auto"/>
            <w:hideMark/>
          </w:tcPr>
          <w:p w14:paraId="62317668" w14:textId="77777777" w:rsidR="007E4AB3" w:rsidRPr="007E4AB3" w:rsidRDefault="007E4AB3" w:rsidP="007E4AB3">
            <w:pPr>
              <w:widowControl/>
              <w:autoSpaceDE/>
              <w:autoSpaceDN/>
              <w:spacing w:line="360" w:lineRule="auto"/>
              <w:jc w:val="both"/>
              <w:rPr>
                <w:rFonts w:ascii="Times New Roman" w:eastAsia="Times New Roman" w:hAnsi="Times New Roman" w:cs="Times New Roman"/>
                <w:sz w:val="24"/>
                <w:szCs w:val="24"/>
                <w:lang w:val="en-GB" w:eastAsia="en-GB"/>
              </w:rPr>
            </w:pPr>
            <w:r w:rsidRPr="007E4AB3">
              <w:rPr>
                <w:rFonts w:ascii="Times New Roman" w:eastAsia="Times New Roman" w:hAnsi="Times New Roman" w:cs="Times New Roman"/>
                <w:sz w:val="24"/>
                <w:szCs w:val="24"/>
                <w:lang w:val="en-GB" w:eastAsia="en-GB"/>
              </w:rPr>
              <w:t>Fragmented</w:t>
            </w:r>
          </w:p>
        </w:tc>
        <w:tc>
          <w:tcPr>
            <w:tcW w:w="0" w:type="auto"/>
            <w:hideMark/>
          </w:tcPr>
          <w:p w14:paraId="1E9859D6" w14:textId="77777777" w:rsidR="007E4AB3" w:rsidRPr="007E4AB3" w:rsidRDefault="007E4AB3" w:rsidP="007E4AB3">
            <w:pPr>
              <w:widowControl/>
              <w:autoSpaceDE/>
              <w:autoSpaceDN/>
              <w:spacing w:line="360" w:lineRule="auto"/>
              <w:jc w:val="both"/>
              <w:rPr>
                <w:rFonts w:ascii="Times New Roman" w:eastAsia="Times New Roman" w:hAnsi="Times New Roman" w:cs="Times New Roman"/>
                <w:sz w:val="24"/>
                <w:szCs w:val="24"/>
                <w:lang w:val="en-GB" w:eastAsia="en-GB"/>
              </w:rPr>
            </w:pPr>
            <w:r w:rsidRPr="007E4AB3">
              <w:rPr>
                <w:rFonts w:ascii="Times New Roman" w:eastAsia="Times New Roman" w:hAnsi="Times New Roman" w:cs="Times New Roman"/>
                <w:sz w:val="24"/>
                <w:szCs w:val="24"/>
                <w:lang w:val="en-GB" w:eastAsia="en-GB"/>
              </w:rPr>
              <w:t>High integration</w:t>
            </w:r>
          </w:p>
        </w:tc>
        <w:tc>
          <w:tcPr>
            <w:tcW w:w="0" w:type="auto"/>
            <w:hideMark/>
          </w:tcPr>
          <w:p w14:paraId="55BB295A" w14:textId="77777777" w:rsidR="007E4AB3" w:rsidRPr="007E4AB3" w:rsidRDefault="007E4AB3" w:rsidP="007E4AB3">
            <w:pPr>
              <w:widowControl/>
              <w:autoSpaceDE/>
              <w:autoSpaceDN/>
              <w:spacing w:line="360" w:lineRule="auto"/>
              <w:jc w:val="both"/>
              <w:rPr>
                <w:rFonts w:ascii="Times New Roman" w:eastAsia="Times New Roman" w:hAnsi="Times New Roman" w:cs="Times New Roman"/>
                <w:sz w:val="24"/>
                <w:szCs w:val="24"/>
                <w:lang w:val="en-GB" w:eastAsia="en-GB"/>
              </w:rPr>
            </w:pPr>
            <w:r w:rsidRPr="007E4AB3">
              <w:rPr>
                <w:rFonts w:ascii="Times New Roman" w:eastAsia="Times New Roman" w:hAnsi="Times New Roman" w:cs="Times New Roman"/>
                <w:sz w:val="24"/>
                <w:szCs w:val="24"/>
                <w:lang w:val="en-GB" w:eastAsia="en-GB"/>
              </w:rPr>
              <w:t>Varied by province</w:t>
            </w:r>
          </w:p>
        </w:tc>
      </w:tr>
      <w:tr w:rsidR="007E4AB3" w:rsidRPr="007E4AB3" w14:paraId="4A6A8AB2" w14:textId="77777777" w:rsidTr="007E4AB3">
        <w:tc>
          <w:tcPr>
            <w:tcW w:w="0" w:type="auto"/>
            <w:hideMark/>
          </w:tcPr>
          <w:p w14:paraId="736F08C1" w14:textId="77777777" w:rsidR="007E4AB3" w:rsidRPr="007E4AB3" w:rsidRDefault="007E4AB3" w:rsidP="007E4AB3">
            <w:pPr>
              <w:widowControl/>
              <w:autoSpaceDE/>
              <w:autoSpaceDN/>
              <w:spacing w:line="360" w:lineRule="auto"/>
              <w:jc w:val="both"/>
              <w:rPr>
                <w:rFonts w:ascii="Times New Roman" w:eastAsia="Times New Roman" w:hAnsi="Times New Roman" w:cs="Times New Roman"/>
                <w:sz w:val="24"/>
                <w:szCs w:val="24"/>
                <w:lang w:val="en-GB" w:eastAsia="en-GB"/>
              </w:rPr>
            </w:pPr>
            <w:r w:rsidRPr="007E4AB3">
              <w:rPr>
                <w:rFonts w:ascii="Times New Roman" w:eastAsia="Times New Roman" w:hAnsi="Times New Roman" w:cs="Times New Roman"/>
                <w:sz w:val="24"/>
                <w:szCs w:val="24"/>
                <w:lang w:val="en-GB" w:eastAsia="en-GB"/>
              </w:rPr>
              <w:t>Data and surveillance</w:t>
            </w:r>
          </w:p>
        </w:tc>
        <w:tc>
          <w:tcPr>
            <w:tcW w:w="0" w:type="auto"/>
            <w:hideMark/>
          </w:tcPr>
          <w:p w14:paraId="05AFC7A8" w14:textId="77777777" w:rsidR="007E4AB3" w:rsidRPr="007E4AB3" w:rsidRDefault="007E4AB3" w:rsidP="007E4AB3">
            <w:pPr>
              <w:widowControl/>
              <w:autoSpaceDE/>
              <w:autoSpaceDN/>
              <w:spacing w:line="360" w:lineRule="auto"/>
              <w:jc w:val="both"/>
              <w:rPr>
                <w:rFonts w:ascii="Times New Roman" w:eastAsia="Times New Roman" w:hAnsi="Times New Roman" w:cs="Times New Roman"/>
                <w:sz w:val="24"/>
                <w:szCs w:val="24"/>
                <w:lang w:val="en-GB" w:eastAsia="en-GB"/>
              </w:rPr>
            </w:pPr>
            <w:r w:rsidRPr="007E4AB3">
              <w:rPr>
                <w:rFonts w:ascii="Times New Roman" w:eastAsia="Times New Roman" w:hAnsi="Times New Roman" w:cs="Times New Roman"/>
                <w:sz w:val="24"/>
                <w:szCs w:val="24"/>
                <w:lang w:val="en-GB" w:eastAsia="en-GB"/>
              </w:rPr>
              <w:t>Delayed, inconsistent early</w:t>
            </w:r>
          </w:p>
        </w:tc>
        <w:tc>
          <w:tcPr>
            <w:tcW w:w="0" w:type="auto"/>
            <w:hideMark/>
          </w:tcPr>
          <w:p w14:paraId="438B2F1B" w14:textId="77777777" w:rsidR="007E4AB3" w:rsidRPr="007E4AB3" w:rsidRDefault="007E4AB3" w:rsidP="007E4AB3">
            <w:pPr>
              <w:widowControl/>
              <w:autoSpaceDE/>
              <w:autoSpaceDN/>
              <w:spacing w:line="360" w:lineRule="auto"/>
              <w:jc w:val="both"/>
              <w:rPr>
                <w:rFonts w:ascii="Times New Roman" w:eastAsia="Times New Roman" w:hAnsi="Times New Roman" w:cs="Times New Roman"/>
                <w:sz w:val="24"/>
                <w:szCs w:val="24"/>
                <w:lang w:val="en-GB" w:eastAsia="en-GB"/>
              </w:rPr>
            </w:pPr>
            <w:r w:rsidRPr="007E4AB3">
              <w:rPr>
                <w:rFonts w:ascii="Times New Roman" w:eastAsia="Times New Roman" w:hAnsi="Times New Roman" w:cs="Times New Roman"/>
                <w:sz w:val="24"/>
                <w:szCs w:val="24"/>
                <w:lang w:val="en-GB" w:eastAsia="en-GB"/>
              </w:rPr>
              <w:t>Strong digital infrastructure</w:t>
            </w:r>
          </w:p>
        </w:tc>
        <w:tc>
          <w:tcPr>
            <w:tcW w:w="0" w:type="auto"/>
            <w:hideMark/>
          </w:tcPr>
          <w:p w14:paraId="4D9AE5B1" w14:textId="77777777" w:rsidR="007E4AB3" w:rsidRPr="007E4AB3" w:rsidRDefault="007E4AB3" w:rsidP="007E4AB3">
            <w:pPr>
              <w:widowControl/>
              <w:autoSpaceDE/>
              <w:autoSpaceDN/>
              <w:spacing w:line="360" w:lineRule="auto"/>
              <w:jc w:val="both"/>
              <w:rPr>
                <w:rFonts w:ascii="Times New Roman" w:eastAsia="Times New Roman" w:hAnsi="Times New Roman" w:cs="Times New Roman"/>
                <w:sz w:val="24"/>
                <w:szCs w:val="24"/>
                <w:lang w:val="en-GB" w:eastAsia="en-GB"/>
              </w:rPr>
            </w:pPr>
            <w:r w:rsidRPr="007E4AB3">
              <w:rPr>
                <w:rFonts w:ascii="Times New Roman" w:eastAsia="Times New Roman" w:hAnsi="Times New Roman" w:cs="Times New Roman"/>
                <w:sz w:val="24"/>
                <w:szCs w:val="24"/>
                <w:lang w:val="en-GB" w:eastAsia="en-GB"/>
              </w:rPr>
              <w:t>Fragmented, coordination issues</w:t>
            </w:r>
          </w:p>
        </w:tc>
      </w:tr>
      <w:tr w:rsidR="007E4AB3" w:rsidRPr="007E4AB3" w14:paraId="6AFEB344" w14:textId="77777777" w:rsidTr="007E4AB3">
        <w:tc>
          <w:tcPr>
            <w:tcW w:w="0" w:type="auto"/>
            <w:hideMark/>
          </w:tcPr>
          <w:p w14:paraId="7457AEDE" w14:textId="77777777" w:rsidR="007E4AB3" w:rsidRPr="007E4AB3" w:rsidRDefault="007E4AB3" w:rsidP="007E4AB3">
            <w:pPr>
              <w:widowControl/>
              <w:autoSpaceDE/>
              <w:autoSpaceDN/>
              <w:spacing w:line="360" w:lineRule="auto"/>
              <w:jc w:val="both"/>
              <w:rPr>
                <w:rFonts w:ascii="Times New Roman" w:eastAsia="Times New Roman" w:hAnsi="Times New Roman" w:cs="Times New Roman"/>
                <w:sz w:val="24"/>
                <w:szCs w:val="24"/>
                <w:lang w:val="en-GB" w:eastAsia="en-GB"/>
              </w:rPr>
            </w:pPr>
            <w:r w:rsidRPr="007E4AB3">
              <w:rPr>
                <w:rFonts w:ascii="Times New Roman" w:eastAsia="Times New Roman" w:hAnsi="Times New Roman" w:cs="Times New Roman"/>
                <w:sz w:val="24"/>
                <w:szCs w:val="24"/>
                <w:lang w:val="en-GB" w:eastAsia="en-GB"/>
              </w:rPr>
              <w:t>Vaccination lead</w:t>
            </w:r>
          </w:p>
        </w:tc>
        <w:tc>
          <w:tcPr>
            <w:tcW w:w="0" w:type="auto"/>
            <w:hideMark/>
          </w:tcPr>
          <w:p w14:paraId="62DC838A" w14:textId="77777777" w:rsidR="007E4AB3" w:rsidRPr="007E4AB3" w:rsidRDefault="007E4AB3" w:rsidP="007E4AB3">
            <w:pPr>
              <w:widowControl/>
              <w:autoSpaceDE/>
              <w:autoSpaceDN/>
              <w:spacing w:line="360" w:lineRule="auto"/>
              <w:jc w:val="both"/>
              <w:rPr>
                <w:rFonts w:ascii="Times New Roman" w:eastAsia="Times New Roman" w:hAnsi="Times New Roman" w:cs="Times New Roman"/>
                <w:sz w:val="24"/>
                <w:szCs w:val="24"/>
                <w:lang w:val="en-GB" w:eastAsia="en-GB"/>
              </w:rPr>
            </w:pPr>
            <w:r w:rsidRPr="007E4AB3">
              <w:rPr>
                <w:rFonts w:ascii="Times New Roman" w:eastAsia="Times New Roman" w:hAnsi="Times New Roman" w:cs="Times New Roman"/>
                <w:sz w:val="24"/>
                <w:szCs w:val="24"/>
                <w:lang w:val="en-GB" w:eastAsia="en-GB"/>
              </w:rPr>
              <w:t>Central procurement</w:t>
            </w:r>
          </w:p>
        </w:tc>
        <w:tc>
          <w:tcPr>
            <w:tcW w:w="0" w:type="auto"/>
            <w:hideMark/>
          </w:tcPr>
          <w:p w14:paraId="40AF3FF1" w14:textId="77777777" w:rsidR="007E4AB3" w:rsidRPr="007E4AB3" w:rsidRDefault="007E4AB3" w:rsidP="007E4AB3">
            <w:pPr>
              <w:widowControl/>
              <w:autoSpaceDE/>
              <w:autoSpaceDN/>
              <w:spacing w:line="360" w:lineRule="auto"/>
              <w:jc w:val="both"/>
              <w:rPr>
                <w:rFonts w:ascii="Times New Roman" w:eastAsia="Times New Roman" w:hAnsi="Times New Roman" w:cs="Times New Roman"/>
                <w:sz w:val="24"/>
                <w:szCs w:val="24"/>
                <w:lang w:val="en-GB" w:eastAsia="en-GB"/>
              </w:rPr>
            </w:pPr>
            <w:r w:rsidRPr="007E4AB3">
              <w:rPr>
                <w:rFonts w:ascii="Times New Roman" w:eastAsia="Times New Roman" w:hAnsi="Times New Roman" w:cs="Times New Roman"/>
                <w:sz w:val="24"/>
                <w:szCs w:val="24"/>
                <w:lang w:val="en-GB" w:eastAsia="en-GB"/>
              </w:rPr>
              <w:t>Central strategy</w:t>
            </w:r>
          </w:p>
        </w:tc>
        <w:tc>
          <w:tcPr>
            <w:tcW w:w="0" w:type="auto"/>
            <w:hideMark/>
          </w:tcPr>
          <w:p w14:paraId="1E34CF3A" w14:textId="77777777" w:rsidR="007E4AB3" w:rsidRPr="007E4AB3" w:rsidRDefault="007E4AB3" w:rsidP="007E4AB3">
            <w:pPr>
              <w:widowControl/>
              <w:autoSpaceDE/>
              <w:autoSpaceDN/>
              <w:spacing w:line="360" w:lineRule="auto"/>
              <w:jc w:val="both"/>
              <w:rPr>
                <w:rFonts w:ascii="Times New Roman" w:eastAsia="Times New Roman" w:hAnsi="Times New Roman" w:cs="Times New Roman"/>
                <w:sz w:val="24"/>
                <w:szCs w:val="24"/>
                <w:lang w:val="en-GB" w:eastAsia="en-GB"/>
              </w:rPr>
            </w:pPr>
            <w:r w:rsidRPr="007E4AB3">
              <w:rPr>
                <w:rFonts w:ascii="Times New Roman" w:eastAsia="Times New Roman" w:hAnsi="Times New Roman" w:cs="Times New Roman"/>
                <w:sz w:val="24"/>
                <w:szCs w:val="24"/>
                <w:lang w:val="en-GB" w:eastAsia="en-GB"/>
              </w:rPr>
              <w:t>Federal procurement; local delivery</w:t>
            </w:r>
          </w:p>
        </w:tc>
      </w:tr>
      <w:tr w:rsidR="007E4AB3" w:rsidRPr="007E4AB3" w14:paraId="135384BE" w14:textId="77777777" w:rsidTr="007E4AB3">
        <w:tc>
          <w:tcPr>
            <w:tcW w:w="0" w:type="auto"/>
            <w:hideMark/>
          </w:tcPr>
          <w:p w14:paraId="483037AE" w14:textId="77777777" w:rsidR="007E4AB3" w:rsidRPr="007E4AB3" w:rsidRDefault="007E4AB3" w:rsidP="007E4AB3">
            <w:pPr>
              <w:widowControl/>
              <w:autoSpaceDE/>
              <w:autoSpaceDN/>
              <w:spacing w:line="360" w:lineRule="auto"/>
              <w:jc w:val="both"/>
              <w:rPr>
                <w:rFonts w:ascii="Times New Roman" w:eastAsia="Times New Roman" w:hAnsi="Times New Roman" w:cs="Times New Roman"/>
                <w:sz w:val="24"/>
                <w:szCs w:val="24"/>
                <w:lang w:val="en-GB" w:eastAsia="en-GB"/>
              </w:rPr>
            </w:pPr>
            <w:r w:rsidRPr="007E4AB3">
              <w:rPr>
                <w:rFonts w:ascii="Times New Roman" w:eastAsia="Times New Roman" w:hAnsi="Times New Roman" w:cs="Times New Roman"/>
                <w:sz w:val="24"/>
                <w:szCs w:val="24"/>
                <w:lang w:val="en-GB" w:eastAsia="en-GB"/>
              </w:rPr>
              <w:t>Coordination mechanisms</w:t>
            </w:r>
          </w:p>
        </w:tc>
        <w:tc>
          <w:tcPr>
            <w:tcW w:w="0" w:type="auto"/>
            <w:hideMark/>
          </w:tcPr>
          <w:p w14:paraId="7CD4F156" w14:textId="77777777" w:rsidR="007E4AB3" w:rsidRPr="007E4AB3" w:rsidRDefault="007E4AB3" w:rsidP="007E4AB3">
            <w:pPr>
              <w:widowControl/>
              <w:autoSpaceDE/>
              <w:autoSpaceDN/>
              <w:spacing w:line="360" w:lineRule="auto"/>
              <w:jc w:val="both"/>
              <w:rPr>
                <w:rFonts w:ascii="Times New Roman" w:eastAsia="Times New Roman" w:hAnsi="Times New Roman" w:cs="Times New Roman"/>
                <w:sz w:val="24"/>
                <w:szCs w:val="24"/>
                <w:lang w:val="en-GB" w:eastAsia="en-GB"/>
              </w:rPr>
            </w:pPr>
            <w:r w:rsidRPr="007E4AB3">
              <w:rPr>
                <w:rFonts w:ascii="Times New Roman" w:eastAsia="Times New Roman" w:hAnsi="Times New Roman" w:cs="Times New Roman"/>
                <w:sz w:val="24"/>
                <w:szCs w:val="24"/>
                <w:lang w:val="en-GB" w:eastAsia="en-GB"/>
              </w:rPr>
              <w:t>Weak interregional coordination</w:t>
            </w:r>
          </w:p>
        </w:tc>
        <w:tc>
          <w:tcPr>
            <w:tcW w:w="0" w:type="auto"/>
            <w:hideMark/>
          </w:tcPr>
          <w:p w14:paraId="103B7C5D" w14:textId="77777777" w:rsidR="007E4AB3" w:rsidRPr="007E4AB3" w:rsidRDefault="007E4AB3" w:rsidP="007E4AB3">
            <w:pPr>
              <w:widowControl/>
              <w:autoSpaceDE/>
              <w:autoSpaceDN/>
              <w:spacing w:line="360" w:lineRule="auto"/>
              <w:jc w:val="both"/>
              <w:rPr>
                <w:rFonts w:ascii="Times New Roman" w:eastAsia="Times New Roman" w:hAnsi="Times New Roman" w:cs="Times New Roman"/>
                <w:sz w:val="24"/>
                <w:szCs w:val="24"/>
                <w:lang w:val="en-GB" w:eastAsia="en-GB"/>
              </w:rPr>
            </w:pPr>
            <w:r w:rsidRPr="007E4AB3">
              <w:rPr>
                <w:rFonts w:ascii="Times New Roman" w:eastAsia="Times New Roman" w:hAnsi="Times New Roman" w:cs="Times New Roman"/>
                <w:sz w:val="24"/>
                <w:szCs w:val="24"/>
                <w:lang w:val="en-GB" w:eastAsia="en-GB"/>
              </w:rPr>
              <w:t>Strong inter-ministerial</w:t>
            </w:r>
          </w:p>
        </w:tc>
        <w:tc>
          <w:tcPr>
            <w:tcW w:w="0" w:type="auto"/>
            <w:hideMark/>
          </w:tcPr>
          <w:p w14:paraId="551EA2AC" w14:textId="77777777" w:rsidR="007E4AB3" w:rsidRPr="007E4AB3" w:rsidRDefault="007E4AB3" w:rsidP="007E4AB3">
            <w:pPr>
              <w:widowControl/>
              <w:autoSpaceDE/>
              <w:autoSpaceDN/>
              <w:spacing w:line="360" w:lineRule="auto"/>
              <w:jc w:val="both"/>
              <w:rPr>
                <w:rFonts w:ascii="Times New Roman" w:eastAsia="Times New Roman" w:hAnsi="Times New Roman" w:cs="Times New Roman"/>
                <w:sz w:val="24"/>
                <w:szCs w:val="24"/>
                <w:lang w:val="en-GB" w:eastAsia="en-GB"/>
              </w:rPr>
            </w:pPr>
            <w:r w:rsidRPr="007E4AB3">
              <w:rPr>
                <w:rFonts w:ascii="Times New Roman" w:eastAsia="Times New Roman" w:hAnsi="Times New Roman" w:cs="Times New Roman"/>
                <w:sz w:val="24"/>
                <w:szCs w:val="24"/>
                <w:lang w:val="en-GB" w:eastAsia="en-GB"/>
              </w:rPr>
              <w:t>Mixed, dependent on agreement</w:t>
            </w:r>
          </w:p>
        </w:tc>
      </w:tr>
    </w:tbl>
    <w:p w14:paraId="244BE4BF" w14:textId="77777777" w:rsidR="007E4AB3" w:rsidRDefault="007E4AB3" w:rsidP="007E4AB3">
      <w:pPr>
        <w:widowControl/>
        <w:autoSpaceDE/>
        <w:autoSpaceDN/>
        <w:spacing w:line="360" w:lineRule="auto"/>
        <w:jc w:val="both"/>
        <w:rPr>
          <w:rFonts w:ascii="Times New Roman" w:eastAsia="Times New Roman" w:hAnsi="Times New Roman" w:cs="Times New Roman"/>
          <w:sz w:val="24"/>
          <w:szCs w:val="24"/>
          <w:lang w:val="en-GB" w:eastAsia="en-GB"/>
        </w:rPr>
      </w:pPr>
    </w:p>
    <w:p w14:paraId="061821DA" w14:textId="2E699A29" w:rsidR="007E4AB3" w:rsidRPr="007E4AB3" w:rsidRDefault="007E4AB3" w:rsidP="007E4AB3">
      <w:pPr>
        <w:widowControl/>
        <w:autoSpaceDE/>
        <w:autoSpaceDN/>
        <w:spacing w:line="360" w:lineRule="auto"/>
        <w:jc w:val="both"/>
        <w:rPr>
          <w:rFonts w:ascii="Times New Roman" w:eastAsia="Times New Roman" w:hAnsi="Times New Roman" w:cs="Times New Roman"/>
          <w:sz w:val="24"/>
          <w:szCs w:val="24"/>
          <w:lang w:val="en-GB" w:eastAsia="en-GB"/>
        </w:rPr>
      </w:pPr>
      <w:r w:rsidRPr="007E4AB3">
        <w:rPr>
          <w:rFonts w:ascii="Times New Roman" w:eastAsia="Times New Roman" w:hAnsi="Times New Roman" w:cs="Times New Roman"/>
          <w:sz w:val="24"/>
          <w:szCs w:val="24"/>
          <w:lang w:val="en-GB" w:eastAsia="en-GB"/>
        </w:rPr>
        <w:t>This framework allows a nuanced examination of how structural attributes either facilitated or hindered each country’s response to COVID-19, highlighting the complex relationship between system design and crisis performance.</w:t>
      </w:r>
    </w:p>
    <w:p w14:paraId="66D75DD8" w14:textId="16364F93" w:rsidR="007E4AB3" w:rsidRPr="007E4AB3" w:rsidRDefault="007E4AB3" w:rsidP="007E4AB3">
      <w:pPr>
        <w:widowControl/>
        <w:autoSpaceDE/>
        <w:autoSpaceDN/>
        <w:spacing w:line="360" w:lineRule="auto"/>
        <w:jc w:val="both"/>
        <w:rPr>
          <w:rFonts w:ascii="Times New Roman" w:eastAsia="Times New Roman" w:hAnsi="Times New Roman" w:cs="Times New Roman"/>
          <w:sz w:val="24"/>
          <w:szCs w:val="24"/>
          <w:lang w:val="en-GB" w:eastAsia="en-GB"/>
        </w:rPr>
      </w:pPr>
    </w:p>
    <w:p w14:paraId="6F380367" w14:textId="77777777" w:rsidR="007E4AB3" w:rsidRPr="007E4AB3" w:rsidRDefault="007E4AB3" w:rsidP="007E4AB3">
      <w:pPr>
        <w:widowControl/>
        <w:autoSpaceDE/>
        <w:autoSpaceDN/>
        <w:spacing w:line="360" w:lineRule="auto"/>
        <w:jc w:val="both"/>
        <w:outlineLvl w:val="2"/>
        <w:rPr>
          <w:rFonts w:ascii="Times New Roman" w:eastAsia="Times New Roman" w:hAnsi="Times New Roman" w:cs="Times New Roman"/>
          <w:b/>
          <w:bCs/>
          <w:sz w:val="24"/>
          <w:szCs w:val="24"/>
          <w:lang w:val="en-GB" w:eastAsia="en-GB"/>
        </w:rPr>
      </w:pPr>
      <w:r w:rsidRPr="007E4AB3">
        <w:rPr>
          <w:rFonts w:ascii="Times New Roman" w:eastAsia="Times New Roman" w:hAnsi="Times New Roman" w:cs="Times New Roman"/>
          <w:b/>
          <w:bCs/>
          <w:sz w:val="24"/>
          <w:szCs w:val="24"/>
          <w:lang w:val="en-GB" w:eastAsia="en-GB"/>
        </w:rPr>
        <w:t>2.2 Spain: System Organisation and Pandemic Governance</w:t>
      </w:r>
    </w:p>
    <w:p w14:paraId="52E781C0" w14:textId="77777777" w:rsidR="007E4AB3" w:rsidRDefault="007E4AB3" w:rsidP="007E4AB3">
      <w:pPr>
        <w:widowControl/>
        <w:autoSpaceDE/>
        <w:autoSpaceDN/>
        <w:spacing w:line="360" w:lineRule="auto"/>
        <w:jc w:val="both"/>
        <w:rPr>
          <w:rFonts w:ascii="Times New Roman" w:eastAsia="Times New Roman" w:hAnsi="Times New Roman" w:cs="Times New Roman"/>
          <w:sz w:val="24"/>
          <w:szCs w:val="24"/>
          <w:lang w:val="en-GB" w:eastAsia="en-GB"/>
        </w:rPr>
      </w:pPr>
      <w:r w:rsidRPr="007E4AB3">
        <w:rPr>
          <w:rFonts w:ascii="Times New Roman" w:eastAsia="Times New Roman" w:hAnsi="Times New Roman" w:cs="Times New Roman"/>
          <w:sz w:val="24"/>
          <w:szCs w:val="24"/>
          <w:lang w:val="en-GB" w:eastAsia="en-GB"/>
        </w:rPr>
        <w:t>Spain’s pre-pandemic healthcare system was highly decentralised, with significant authority devolved to its 17 Autonomous Communities (ACs). While this structure allowed regional governments to tailor public health services to local needs, it posed considerable coordination challenges during the early phases of the COVID-19 pandemic. Initially, the lack of a unified national strategy and inconsistent communication between central and regional governments resulted in delayed responses. The Spanish government, under Health Minister Salvador Illa, was criticised for its “too little, too late” approach, reflecting institutional inertia and political fragmentation (López-Casasnovas &amp; Saez, 2021). Decision-making authority remained largely with the ACs until the central government declared a state of alarm in March 2020, temporarily centralising health powers and introducing stricter nationwide restrictions.</w:t>
      </w:r>
    </w:p>
    <w:p w14:paraId="42712DFA" w14:textId="77777777" w:rsidR="007E4AB3" w:rsidRPr="007E4AB3" w:rsidRDefault="007E4AB3" w:rsidP="007E4AB3">
      <w:pPr>
        <w:widowControl/>
        <w:autoSpaceDE/>
        <w:autoSpaceDN/>
        <w:spacing w:line="360" w:lineRule="auto"/>
        <w:jc w:val="both"/>
        <w:rPr>
          <w:rFonts w:ascii="Times New Roman" w:eastAsia="Times New Roman" w:hAnsi="Times New Roman" w:cs="Times New Roman"/>
          <w:sz w:val="24"/>
          <w:szCs w:val="24"/>
          <w:lang w:val="en-GB" w:eastAsia="en-GB"/>
        </w:rPr>
      </w:pPr>
    </w:p>
    <w:p w14:paraId="16697BFE" w14:textId="77777777" w:rsidR="007E4AB3" w:rsidRDefault="007E4AB3" w:rsidP="007E4AB3">
      <w:pPr>
        <w:widowControl/>
        <w:autoSpaceDE/>
        <w:autoSpaceDN/>
        <w:spacing w:line="360" w:lineRule="auto"/>
        <w:jc w:val="both"/>
        <w:rPr>
          <w:rFonts w:ascii="Times New Roman" w:eastAsia="Times New Roman" w:hAnsi="Times New Roman" w:cs="Times New Roman"/>
          <w:sz w:val="24"/>
          <w:szCs w:val="24"/>
          <w:lang w:val="en-GB" w:eastAsia="en-GB"/>
        </w:rPr>
      </w:pPr>
      <w:r w:rsidRPr="007E4AB3">
        <w:rPr>
          <w:rFonts w:ascii="Times New Roman" w:eastAsia="Times New Roman" w:hAnsi="Times New Roman" w:cs="Times New Roman"/>
          <w:sz w:val="24"/>
          <w:szCs w:val="24"/>
          <w:lang w:val="en-GB" w:eastAsia="en-GB"/>
        </w:rPr>
        <w:t xml:space="preserve">Coordination mechanisms such as the Interterritorial Council of the National Health System were underutilised early on, and when they were activated, consensus was difficult due to political disagreements and jurisdictional boundaries. The challenges were compounded by variations in data collection and surveillance standards across regions, making real-time epidemiological tracking difficult (Hernández-Quevedo et al., 2021). Despite these early hurdles, Spain managed a notable turnaround in its vaccination rollout. The national government led the vaccine procurement and distribution process, ensuring consistency and equity. The primary care network, with its broad reach </w:t>
      </w:r>
      <w:r w:rsidRPr="007E4AB3">
        <w:rPr>
          <w:rFonts w:ascii="Times New Roman" w:eastAsia="Times New Roman" w:hAnsi="Times New Roman" w:cs="Times New Roman"/>
          <w:sz w:val="24"/>
          <w:szCs w:val="24"/>
          <w:lang w:val="en-GB" w:eastAsia="en-GB"/>
        </w:rPr>
        <w:lastRenderedPageBreak/>
        <w:t>and familiarity with local populations, played a crucial role in delivering vaccines efficiently, especially to elderly and vulnerable populations.</w:t>
      </w:r>
    </w:p>
    <w:p w14:paraId="4128E125" w14:textId="77777777" w:rsidR="007E4AB3" w:rsidRPr="007E4AB3" w:rsidRDefault="007E4AB3" w:rsidP="007E4AB3">
      <w:pPr>
        <w:widowControl/>
        <w:autoSpaceDE/>
        <w:autoSpaceDN/>
        <w:spacing w:line="360" w:lineRule="auto"/>
        <w:jc w:val="both"/>
        <w:rPr>
          <w:rFonts w:ascii="Times New Roman" w:eastAsia="Times New Roman" w:hAnsi="Times New Roman" w:cs="Times New Roman"/>
          <w:sz w:val="24"/>
          <w:szCs w:val="24"/>
          <w:lang w:val="en-GB" w:eastAsia="en-GB"/>
        </w:rPr>
      </w:pPr>
    </w:p>
    <w:p w14:paraId="67C67F8F" w14:textId="77777777" w:rsidR="007E4AB3" w:rsidRDefault="007E4AB3" w:rsidP="007E4AB3">
      <w:pPr>
        <w:widowControl/>
        <w:autoSpaceDE/>
        <w:autoSpaceDN/>
        <w:spacing w:line="360" w:lineRule="auto"/>
        <w:jc w:val="both"/>
        <w:rPr>
          <w:rFonts w:ascii="Times New Roman" w:eastAsia="Times New Roman" w:hAnsi="Times New Roman" w:cs="Times New Roman"/>
          <w:sz w:val="24"/>
          <w:szCs w:val="24"/>
          <w:lang w:val="en-GB" w:eastAsia="en-GB"/>
        </w:rPr>
      </w:pPr>
      <w:r w:rsidRPr="007E4AB3">
        <w:rPr>
          <w:rFonts w:ascii="Times New Roman" w:eastAsia="Times New Roman" w:hAnsi="Times New Roman" w:cs="Times New Roman"/>
          <w:sz w:val="24"/>
          <w:szCs w:val="24"/>
          <w:lang w:val="en-GB" w:eastAsia="en-GB"/>
        </w:rPr>
        <w:t>The centralisation of vaccine strategy was a marked contrast to the initial decentralised management of containment measures. This shift allowed for coordinated public messaging, risk communication, and effective logistics management, contributing to Spain being recognised as one of Europe’s “vaccination champions” by 2021 (European Centre for Disease Prevention and Control, 2022). However, the country still faced inter-regional disparities in implementation, reflecting enduring systemic fragmentation. For instance, regional authorities varied in their willingness to implement national guidelines, leading to differential restrictions and confusion among citizens.</w:t>
      </w:r>
    </w:p>
    <w:p w14:paraId="5F8A31E4" w14:textId="77777777" w:rsidR="007E4AB3" w:rsidRPr="007E4AB3" w:rsidRDefault="007E4AB3" w:rsidP="007E4AB3">
      <w:pPr>
        <w:widowControl/>
        <w:autoSpaceDE/>
        <w:autoSpaceDN/>
        <w:spacing w:line="360" w:lineRule="auto"/>
        <w:jc w:val="both"/>
        <w:rPr>
          <w:rFonts w:ascii="Times New Roman" w:eastAsia="Times New Roman" w:hAnsi="Times New Roman" w:cs="Times New Roman"/>
          <w:sz w:val="24"/>
          <w:szCs w:val="24"/>
          <w:lang w:val="en-GB" w:eastAsia="en-GB"/>
        </w:rPr>
      </w:pPr>
    </w:p>
    <w:p w14:paraId="45188B4F" w14:textId="55D6B468" w:rsidR="007E4AB3" w:rsidRPr="007E4AB3" w:rsidRDefault="007E4AB3" w:rsidP="007E4AB3">
      <w:pPr>
        <w:widowControl/>
        <w:autoSpaceDE/>
        <w:autoSpaceDN/>
        <w:spacing w:line="360" w:lineRule="auto"/>
        <w:jc w:val="both"/>
        <w:rPr>
          <w:rFonts w:ascii="Times New Roman" w:eastAsia="Times New Roman" w:hAnsi="Times New Roman" w:cs="Times New Roman"/>
          <w:sz w:val="24"/>
          <w:szCs w:val="24"/>
          <w:lang w:val="en-GB" w:eastAsia="en-GB"/>
        </w:rPr>
      </w:pPr>
      <w:r w:rsidRPr="007E4AB3">
        <w:rPr>
          <w:rFonts w:ascii="Times New Roman" w:eastAsia="Times New Roman" w:hAnsi="Times New Roman" w:cs="Times New Roman"/>
          <w:sz w:val="24"/>
          <w:szCs w:val="24"/>
          <w:lang w:val="en-GB" w:eastAsia="en-GB"/>
        </w:rPr>
        <w:t xml:space="preserve">From a </w:t>
      </w:r>
      <w:r w:rsidRPr="007E4AB3">
        <w:rPr>
          <w:rFonts w:ascii="Times New Roman" w:eastAsia="Times New Roman" w:hAnsi="Times New Roman" w:cs="Times New Roman"/>
          <w:sz w:val="24"/>
          <w:szCs w:val="24"/>
          <w:lang w:val="en-GB" w:eastAsia="en-GB"/>
        </w:rPr>
        <w:t>system</w:t>
      </w:r>
      <w:r w:rsidRPr="007E4AB3">
        <w:rPr>
          <w:rFonts w:ascii="Times New Roman" w:eastAsia="Times New Roman" w:hAnsi="Times New Roman" w:cs="Times New Roman"/>
          <w:sz w:val="24"/>
          <w:szCs w:val="24"/>
          <w:lang w:val="en-GB" w:eastAsia="en-GB"/>
        </w:rPr>
        <w:t xml:space="preserve"> thinking perspective, the Spanish case reveals how initial decentralisation, combined with weak horizontal coordination and lack of preparedness, created a fragmented response environment. The feedback loops between regional data and national strategy were slow to develop, undermining timely interventions. Yet, centralising vaccine delivery proved effective due to Spain’s relatively strong primary care infrastructure and central procurement mechanism. Overall, Spain illustrates that decentralisation can hinder early crisis response unless embedded in robust intergovernmental frameworks that facilitate real-time coordination, data sharing, and consistent messaging.</w:t>
      </w:r>
    </w:p>
    <w:p w14:paraId="59A520ED" w14:textId="53A8DD21" w:rsidR="007E4AB3" w:rsidRPr="007E4AB3" w:rsidRDefault="007E4AB3" w:rsidP="007E4AB3">
      <w:pPr>
        <w:widowControl/>
        <w:autoSpaceDE/>
        <w:autoSpaceDN/>
        <w:spacing w:line="360" w:lineRule="auto"/>
        <w:jc w:val="both"/>
        <w:rPr>
          <w:rFonts w:ascii="Times New Roman" w:eastAsia="Times New Roman" w:hAnsi="Times New Roman" w:cs="Times New Roman"/>
          <w:sz w:val="24"/>
          <w:szCs w:val="24"/>
          <w:lang w:val="en-GB" w:eastAsia="en-GB"/>
        </w:rPr>
      </w:pPr>
    </w:p>
    <w:p w14:paraId="7EB8C405" w14:textId="77777777" w:rsidR="007E4AB3" w:rsidRPr="007E4AB3" w:rsidRDefault="007E4AB3" w:rsidP="007E4AB3">
      <w:pPr>
        <w:widowControl/>
        <w:autoSpaceDE/>
        <w:autoSpaceDN/>
        <w:spacing w:line="360" w:lineRule="auto"/>
        <w:jc w:val="both"/>
        <w:outlineLvl w:val="2"/>
        <w:rPr>
          <w:rFonts w:ascii="Times New Roman" w:eastAsia="Times New Roman" w:hAnsi="Times New Roman" w:cs="Times New Roman"/>
          <w:b/>
          <w:bCs/>
          <w:sz w:val="24"/>
          <w:szCs w:val="24"/>
          <w:lang w:val="en-GB" w:eastAsia="en-GB"/>
        </w:rPr>
      </w:pPr>
      <w:r w:rsidRPr="007E4AB3">
        <w:rPr>
          <w:rFonts w:ascii="Times New Roman" w:eastAsia="Times New Roman" w:hAnsi="Times New Roman" w:cs="Times New Roman"/>
          <w:b/>
          <w:bCs/>
          <w:sz w:val="24"/>
          <w:szCs w:val="24"/>
          <w:lang w:val="en-GB" w:eastAsia="en-GB"/>
        </w:rPr>
        <w:t>2.3 South Korea: System Organisation and Pandemic Governance</w:t>
      </w:r>
    </w:p>
    <w:p w14:paraId="1DD38FAC" w14:textId="44B43076" w:rsidR="007E4AB3" w:rsidRDefault="007E4AB3" w:rsidP="007E4AB3">
      <w:pPr>
        <w:widowControl/>
        <w:autoSpaceDE/>
        <w:autoSpaceDN/>
        <w:spacing w:line="360" w:lineRule="auto"/>
        <w:jc w:val="both"/>
        <w:rPr>
          <w:rFonts w:ascii="Times New Roman" w:eastAsia="Times New Roman" w:hAnsi="Times New Roman" w:cs="Times New Roman"/>
          <w:sz w:val="24"/>
          <w:szCs w:val="24"/>
          <w:lang w:val="en-GB" w:eastAsia="en-GB"/>
        </w:rPr>
      </w:pPr>
      <w:r w:rsidRPr="007E4AB3">
        <w:rPr>
          <w:rFonts w:ascii="Times New Roman" w:eastAsia="Times New Roman" w:hAnsi="Times New Roman" w:cs="Times New Roman"/>
          <w:sz w:val="24"/>
          <w:szCs w:val="24"/>
          <w:lang w:val="en-GB" w:eastAsia="en-GB"/>
        </w:rPr>
        <w:t xml:space="preserve">South Korea offers a compelling case of a centralised and institutionally coordinated health system response to the COVID-19 pandemic. The governance of its pandemic strategy was led by national agencies, primarily the </w:t>
      </w:r>
      <w:r w:rsidRPr="007E4AB3">
        <w:rPr>
          <w:rFonts w:ascii="Times New Roman" w:eastAsia="Times New Roman" w:hAnsi="Times New Roman" w:cs="Times New Roman"/>
          <w:b/>
          <w:bCs/>
          <w:sz w:val="24"/>
          <w:szCs w:val="24"/>
          <w:lang w:val="en-GB" w:eastAsia="en-GB"/>
        </w:rPr>
        <w:t>Ministry of Health and Welfare</w:t>
      </w:r>
      <w:r w:rsidRPr="007E4AB3">
        <w:rPr>
          <w:rFonts w:ascii="Times New Roman" w:eastAsia="Times New Roman" w:hAnsi="Times New Roman" w:cs="Times New Roman"/>
          <w:sz w:val="24"/>
          <w:szCs w:val="24"/>
          <w:lang w:val="en-GB" w:eastAsia="en-GB"/>
        </w:rPr>
        <w:t xml:space="preserve">, the </w:t>
      </w:r>
      <w:r w:rsidRPr="007E4AB3">
        <w:rPr>
          <w:rFonts w:ascii="Times New Roman" w:eastAsia="Times New Roman" w:hAnsi="Times New Roman" w:cs="Times New Roman"/>
          <w:b/>
          <w:bCs/>
          <w:sz w:val="24"/>
          <w:szCs w:val="24"/>
          <w:lang w:val="en-GB" w:eastAsia="en-GB"/>
        </w:rPr>
        <w:t>Ministry of Education</w:t>
      </w:r>
      <w:r w:rsidRPr="007E4AB3">
        <w:rPr>
          <w:rFonts w:ascii="Times New Roman" w:eastAsia="Times New Roman" w:hAnsi="Times New Roman" w:cs="Times New Roman"/>
          <w:sz w:val="24"/>
          <w:szCs w:val="24"/>
          <w:lang w:val="en-GB" w:eastAsia="en-GB"/>
        </w:rPr>
        <w:t xml:space="preserve">, and the </w:t>
      </w:r>
      <w:r w:rsidRPr="007E4AB3">
        <w:rPr>
          <w:rFonts w:ascii="Times New Roman" w:eastAsia="Times New Roman" w:hAnsi="Times New Roman" w:cs="Times New Roman"/>
          <w:b/>
          <w:bCs/>
          <w:sz w:val="24"/>
          <w:szCs w:val="24"/>
          <w:lang w:val="en-GB" w:eastAsia="en-GB"/>
        </w:rPr>
        <w:t>Korea Disease Control and Prevention Agency (KDCA)</w:t>
      </w:r>
      <w:r w:rsidRPr="007E4AB3">
        <w:rPr>
          <w:rFonts w:ascii="Times New Roman" w:eastAsia="Times New Roman" w:hAnsi="Times New Roman" w:cs="Times New Roman"/>
          <w:sz w:val="24"/>
          <w:szCs w:val="24"/>
          <w:lang w:val="en-GB" w:eastAsia="en-GB"/>
        </w:rPr>
        <w:t>. These institutions worked within a unified, top-down command structure that allowed for consistent, rapid decision-making. Unlike fragmented or devolved systems, South Korea's centralised model facilitated direct control over national health measures and enabled high levels of policy coherence (Lee &amp; Lee, 2020).</w:t>
      </w:r>
      <w:r>
        <w:rPr>
          <w:rFonts w:ascii="Times New Roman" w:eastAsia="Times New Roman" w:hAnsi="Times New Roman" w:cs="Times New Roman"/>
          <w:sz w:val="24"/>
          <w:szCs w:val="24"/>
          <w:lang w:val="en-GB" w:eastAsia="en-GB"/>
        </w:rPr>
        <w:t xml:space="preserve"> </w:t>
      </w:r>
      <w:r w:rsidRPr="007E4AB3">
        <w:rPr>
          <w:rFonts w:ascii="Times New Roman" w:eastAsia="Times New Roman" w:hAnsi="Times New Roman" w:cs="Times New Roman"/>
          <w:sz w:val="24"/>
          <w:szCs w:val="24"/>
          <w:lang w:val="en-GB" w:eastAsia="en-GB"/>
        </w:rPr>
        <w:t xml:space="preserve">The country’s prior experience with the </w:t>
      </w:r>
      <w:r w:rsidRPr="007E4AB3">
        <w:rPr>
          <w:rFonts w:ascii="Times New Roman" w:eastAsia="Times New Roman" w:hAnsi="Times New Roman" w:cs="Times New Roman"/>
          <w:b/>
          <w:bCs/>
          <w:sz w:val="24"/>
          <w:szCs w:val="24"/>
          <w:lang w:val="en-GB" w:eastAsia="en-GB"/>
        </w:rPr>
        <w:t>Middle East Respiratory Syndrome (MERS)</w:t>
      </w:r>
      <w:r w:rsidRPr="007E4AB3">
        <w:rPr>
          <w:rFonts w:ascii="Times New Roman" w:eastAsia="Times New Roman" w:hAnsi="Times New Roman" w:cs="Times New Roman"/>
          <w:sz w:val="24"/>
          <w:szCs w:val="24"/>
          <w:lang w:val="en-GB" w:eastAsia="en-GB"/>
        </w:rPr>
        <w:t xml:space="preserve"> outbreak in 2015 had exposed gaps in its health emergency governance, leading to significant reforms. These included strengthening legal mandates for infectious disease surveillance, enhancing emergency powers, and institutionalising inter-agency collaboration. As a result, when COVID-19 emerged in early 2020, South Korea was better positioned to activate a well-prepared governance architecture capable of managing public health crises with precision and agility (Park et al., 2021).</w:t>
      </w:r>
    </w:p>
    <w:p w14:paraId="6277A206" w14:textId="77777777" w:rsidR="007E4AB3" w:rsidRPr="007E4AB3" w:rsidRDefault="007E4AB3" w:rsidP="007E4AB3">
      <w:pPr>
        <w:widowControl/>
        <w:autoSpaceDE/>
        <w:autoSpaceDN/>
        <w:spacing w:line="360" w:lineRule="auto"/>
        <w:jc w:val="both"/>
        <w:rPr>
          <w:rFonts w:ascii="Times New Roman" w:eastAsia="Times New Roman" w:hAnsi="Times New Roman" w:cs="Times New Roman"/>
          <w:sz w:val="24"/>
          <w:szCs w:val="24"/>
          <w:lang w:val="en-GB" w:eastAsia="en-GB"/>
        </w:rPr>
      </w:pPr>
    </w:p>
    <w:p w14:paraId="7BB300D2" w14:textId="0E851096" w:rsidR="007E4AB3" w:rsidRDefault="007E4AB3" w:rsidP="007E4AB3">
      <w:pPr>
        <w:widowControl/>
        <w:autoSpaceDE/>
        <w:autoSpaceDN/>
        <w:spacing w:line="360" w:lineRule="auto"/>
        <w:jc w:val="both"/>
        <w:rPr>
          <w:rFonts w:ascii="Times New Roman" w:eastAsia="Times New Roman" w:hAnsi="Times New Roman" w:cs="Times New Roman"/>
          <w:sz w:val="24"/>
          <w:szCs w:val="24"/>
          <w:lang w:val="en-GB" w:eastAsia="en-GB"/>
        </w:rPr>
      </w:pPr>
      <w:r w:rsidRPr="007E4AB3">
        <w:rPr>
          <w:rFonts w:ascii="Times New Roman" w:eastAsia="Times New Roman" w:hAnsi="Times New Roman" w:cs="Times New Roman"/>
          <w:sz w:val="24"/>
          <w:szCs w:val="24"/>
          <w:lang w:val="en-GB" w:eastAsia="en-GB"/>
        </w:rPr>
        <w:t xml:space="preserve">A central feature of the South Korean approach was the implementation of the widely cited </w:t>
      </w:r>
      <w:r w:rsidRPr="007E4AB3">
        <w:rPr>
          <w:rFonts w:ascii="Times New Roman" w:eastAsia="Times New Roman" w:hAnsi="Times New Roman" w:cs="Times New Roman"/>
          <w:b/>
          <w:bCs/>
          <w:sz w:val="24"/>
          <w:szCs w:val="24"/>
          <w:lang w:val="en-GB" w:eastAsia="en-GB"/>
        </w:rPr>
        <w:t>"3T strategy"</w:t>
      </w:r>
      <w:r w:rsidRPr="007E4AB3">
        <w:rPr>
          <w:rFonts w:ascii="Times New Roman" w:eastAsia="Times New Roman" w:hAnsi="Times New Roman" w:cs="Times New Roman"/>
          <w:sz w:val="24"/>
          <w:szCs w:val="24"/>
          <w:lang w:val="en-GB" w:eastAsia="en-GB"/>
        </w:rPr>
        <w:t>—</w:t>
      </w:r>
      <w:r w:rsidRPr="007E4AB3">
        <w:rPr>
          <w:rFonts w:ascii="Times New Roman" w:eastAsia="Times New Roman" w:hAnsi="Times New Roman" w:cs="Times New Roman"/>
          <w:b/>
          <w:bCs/>
          <w:sz w:val="24"/>
          <w:szCs w:val="24"/>
          <w:lang w:val="en-GB" w:eastAsia="en-GB"/>
        </w:rPr>
        <w:t>Testing, Tracing, and Treatment</w:t>
      </w:r>
      <w:r w:rsidRPr="007E4AB3">
        <w:rPr>
          <w:rFonts w:ascii="Times New Roman" w:eastAsia="Times New Roman" w:hAnsi="Times New Roman" w:cs="Times New Roman"/>
          <w:sz w:val="24"/>
          <w:szCs w:val="24"/>
          <w:lang w:val="en-GB" w:eastAsia="en-GB"/>
        </w:rPr>
        <w:t xml:space="preserve">. The country rapidly scaled up testing infrastructure, introduced drive-through and walk-in testing centres, and deployed comprehensive digital contact tracing systems. These systems leveraged technological tools including </w:t>
      </w:r>
      <w:r w:rsidRPr="007E4AB3">
        <w:rPr>
          <w:rFonts w:ascii="Times New Roman" w:eastAsia="Times New Roman" w:hAnsi="Times New Roman" w:cs="Times New Roman"/>
          <w:b/>
          <w:bCs/>
          <w:sz w:val="24"/>
          <w:szCs w:val="24"/>
          <w:lang w:val="en-GB" w:eastAsia="en-GB"/>
        </w:rPr>
        <w:t>CCTV footage</w:t>
      </w:r>
      <w:r w:rsidRPr="007E4AB3">
        <w:rPr>
          <w:rFonts w:ascii="Times New Roman" w:eastAsia="Times New Roman" w:hAnsi="Times New Roman" w:cs="Times New Roman"/>
          <w:sz w:val="24"/>
          <w:szCs w:val="24"/>
          <w:lang w:val="en-GB" w:eastAsia="en-GB"/>
        </w:rPr>
        <w:t xml:space="preserve">, </w:t>
      </w:r>
      <w:r w:rsidRPr="007E4AB3">
        <w:rPr>
          <w:rFonts w:ascii="Times New Roman" w:eastAsia="Times New Roman" w:hAnsi="Times New Roman" w:cs="Times New Roman"/>
          <w:b/>
          <w:bCs/>
          <w:sz w:val="24"/>
          <w:szCs w:val="24"/>
          <w:lang w:val="en-GB" w:eastAsia="en-GB"/>
        </w:rPr>
        <w:t>mobile phone GPS data</w:t>
      </w:r>
      <w:r w:rsidRPr="007E4AB3">
        <w:rPr>
          <w:rFonts w:ascii="Times New Roman" w:eastAsia="Times New Roman" w:hAnsi="Times New Roman" w:cs="Times New Roman"/>
          <w:sz w:val="24"/>
          <w:szCs w:val="24"/>
          <w:lang w:val="en-GB" w:eastAsia="en-GB"/>
        </w:rPr>
        <w:t xml:space="preserve">, and </w:t>
      </w:r>
      <w:r w:rsidRPr="007E4AB3">
        <w:rPr>
          <w:rFonts w:ascii="Times New Roman" w:eastAsia="Times New Roman" w:hAnsi="Times New Roman" w:cs="Times New Roman"/>
          <w:b/>
          <w:bCs/>
          <w:sz w:val="24"/>
          <w:szCs w:val="24"/>
          <w:lang w:val="en-GB" w:eastAsia="en-GB"/>
        </w:rPr>
        <w:t>credit card transaction records</w:t>
      </w:r>
      <w:r w:rsidRPr="007E4AB3">
        <w:rPr>
          <w:rFonts w:ascii="Times New Roman" w:eastAsia="Times New Roman" w:hAnsi="Times New Roman" w:cs="Times New Roman"/>
          <w:sz w:val="24"/>
          <w:szCs w:val="24"/>
          <w:lang w:val="en-GB" w:eastAsia="en-GB"/>
        </w:rPr>
        <w:t xml:space="preserve"> to track movement and exposure. While these surveillance mechanisms were effective in curbing virus transmission, they raised important ethical concerns regarding privacy and data security (Kang &amp; Park, 2021). Nonetheless, the government mitigated backlash by ensuring transparency in its use of data and by framing surveillance as a temporary, necessary public health measure.</w:t>
      </w:r>
      <w:r>
        <w:rPr>
          <w:rFonts w:ascii="Times New Roman" w:eastAsia="Times New Roman" w:hAnsi="Times New Roman" w:cs="Times New Roman"/>
          <w:sz w:val="24"/>
          <w:szCs w:val="24"/>
          <w:lang w:val="en-GB" w:eastAsia="en-GB"/>
        </w:rPr>
        <w:t xml:space="preserve"> </w:t>
      </w:r>
      <w:r w:rsidRPr="007E4AB3">
        <w:rPr>
          <w:rFonts w:ascii="Times New Roman" w:eastAsia="Times New Roman" w:hAnsi="Times New Roman" w:cs="Times New Roman"/>
          <w:sz w:val="24"/>
          <w:szCs w:val="24"/>
          <w:lang w:val="en-GB" w:eastAsia="en-GB"/>
        </w:rPr>
        <w:t>Another key aspect was the high degree of inter-sectoral integration, especially between health and education. Chung Sye-</w:t>
      </w:r>
      <w:proofErr w:type="spellStart"/>
      <w:r w:rsidRPr="007E4AB3">
        <w:rPr>
          <w:rFonts w:ascii="Times New Roman" w:eastAsia="Times New Roman" w:hAnsi="Times New Roman" w:cs="Times New Roman"/>
          <w:sz w:val="24"/>
          <w:szCs w:val="24"/>
          <w:lang w:val="en-GB" w:eastAsia="en-GB"/>
        </w:rPr>
        <w:t>kyun’s</w:t>
      </w:r>
      <w:proofErr w:type="spellEnd"/>
      <w:r w:rsidRPr="007E4AB3">
        <w:rPr>
          <w:rFonts w:ascii="Times New Roman" w:eastAsia="Times New Roman" w:hAnsi="Times New Roman" w:cs="Times New Roman"/>
          <w:sz w:val="24"/>
          <w:szCs w:val="24"/>
          <w:lang w:val="en-GB" w:eastAsia="en-GB"/>
        </w:rPr>
        <w:t xml:space="preserve"> administration coordinated closely with the Ministry of Education to implement school closures, transition to remote learning, and tailor protocols for educational institutions. This level of coordination reflects the government’s ability to translate centralised authority into multi-sectoral action, a hallmark of effective pandemic governance.</w:t>
      </w:r>
    </w:p>
    <w:p w14:paraId="50252430" w14:textId="77777777" w:rsidR="007E4AB3" w:rsidRPr="007E4AB3" w:rsidRDefault="007E4AB3" w:rsidP="007E4AB3">
      <w:pPr>
        <w:widowControl/>
        <w:autoSpaceDE/>
        <w:autoSpaceDN/>
        <w:spacing w:line="360" w:lineRule="auto"/>
        <w:jc w:val="both"/>
        <w:rPr>
          <w:rFonts w:ascii="Times New Roman" w:eastAsia="Times New Roman" w:hAnsi="Times New Roman" w:cs="Times New Roman"/>
          <w:sz w:val="24"/>
          <w:szCs w:val="24"/>
          <w:lang w:val="en-GB" w:eastAsia="en-GB"/>
        </w:rPr>
      </w:pPr>
    </w:p>
    <w:p w14:paraId="57C54C6C" w14:textId="2000D57E" w:rsidR="007E4AB3" w:rsidRDefault="007E4AB3" w:rsidP="007E4AB3">
      <w:pPr>
        <w:widowControl/>
        <w:autoSpaceDE/>
        <w:autoSpaceDN/>
        <w:spacing w:line="360" w:lineRule="auto"/>
        <w:jc w:val="both"/>
        <w:rPr>
          <w:rFonts w:ascii="Times New Roman" w:eastAsia="Times New Roman" w:hAnsi="Times New Roman" w:cs="Times New Roman"/>
          <w:sz w:val="24"/>
          <w:szCs w:val="24"/>
          <w:lang w:val="en-GB" w:eastAsia="en-GB"/>
        </w:rPr>
      </w:pPr>
      <w:r w:rsidRPr="007E4AB3">
        <w:rPr>
          <w:rFonts w:ascii="Times New Roman" w:eastAsia="Times New Roman" w:hAnsi="Times New Roman" w:cs="Times New Roman"/>
          <w:sz w:val="24"/>
          <w:szCs w:val="24"/>
          <w:lang w:val="en-GB" w:eastAsia="en-GB"/>
        </w:rPr>
        <w:t xml:space="preserve">The </w:t>
      </w:r>
      <w:r w:rsidRPr="007E4AB3">
        <w:rPr>
          <w:rFonts w:ascii="Times New Roman" w:eastAsia="Times New Roman" w:hAnsi="Times New Roman" w:cs="Times New Roman"/>
          <w:b/>
          <w:bCs/>
          <w:sz w:val="24"/>
          <w:szCs w:val="24"/>
          <w:lang w:val="en-GB" w:eastAsia="en-GB"/>
        </w:rPr>
        <w:t>vaccination rollout</w:t>
      </w:r>
      <w:r w:rsidRPr="007E4AB3">
        <w:rPr>
          <w:rFonts w:ascii="Times New Roman" w:eastAsia="Times New Roman" w:hAnsi="Times New Roman" w:cs="Times New Roman"/>
          <w:sz w:val="24"/>
          <w:szCs w:val="24"/>
          <w:lang w:val="en-GB" w:eastAsia="en-GB"/>
        </w:rPr>
        <w:t xml:space="preserve"> also followed a centralised model, with the KDCA overseeing procurement, prioritisation, and distribution. Although South Korea faced initial delays due to limited early vaccine access and cautious procurement strategy, the country eventually achieved high vaccination coverage, facilitated by robust logistics, institutional trust, and widespread public compliance. The central management of vaccine delivery ensured uniform prioritisation protocols and reduced regional disparities.</w:t>
      </w:r>
      <w:r>
        <w:rPr>
          <w:rFonts w:ascii="Times New Roman" w:eastAsia="Times New Roman" w:hAnsi="Times New Roman" w:cs="Times New Roman"/>
          <w:sz w:val="24"/>
          <w:szCs w:val="24"/>
          <w:lang w:val="en-GB" w:eastAsia="en-GB"/>
        </w:rPr>
        <w:t xml:space="preserve"> </w:t>
      </w:r>
      <w:r w:rsidRPr="007E4AB3">
        <w:rPr>
          <w:rFonts w:ascii="Times New Roman" w:eastAsia="Times New Roman" w:hAnsi="Times New Roman" w:cs="Times New Roman"/>
          <w:sz w:val="24"/>
          <w:szCs w:val="24"/>
          <w:lang w:val="en-GB" w:eastAsia="en-GB"/>
        </w:rPr>
        <w:t>Overall, South Korea's response illustrates the strengths of a well-coordinated, centralised health governance system backed by institutional capacity and societal trust. By combining legal preparedness, digital innovation, and transparent leadership, the country was able to execute a timely and effective pandemic response. However, the trade-offs between public safety and individual privacy, as well as digital inclusion, underscore the importance of ethical governance frameworks in managing future health emergencies.</w:t>
      </w:r>
    </w:p>
    <w:p w14:paraId="518F84A6" w14:textId="77777777" w:rsidR="007E4AB3" w:rsidRPr="007E4AB3" w:rsidRDefault="007E4AB3" w:rsidP="007E4AB3">
      <w:pPr>
        <w:widowControl/>
        <w:autoSpaceDE/>
        <w:autoSpaceDN/>
        <w:spacing w:line="360" w:lineRule="auto"/>
        <w:jc w:val="both"/>
        <w:rPr>
          <w:rFonts w:ascii="Times New Roman" w:eastAsia="Times New Roman" w:hAnsi="Times New Roman" w:cs="Times New Roman"/>
          <w:sz w:val="24"/>
          <w:szCs w:val="24"/>
          <w:lang w:val="en-GB" w:eastAsia="en-GB"/>
        </w:rPr>
      </w:pPr>
    </w:p>
    <w:p w14:paraId="09131EFA" w14:textId="77777777" w:rsidR="007E4AB3" w:rsidRPr="007E4AB3" w:rsidRDefault="007E4AB3" w:rsidP="007E4AB3">
      <w:pPr>
        <w:widowControl/>
        <w:autoSpaceDE/>
        <w:autoSpaceDN/>
        <w:spacing w:line="360" w:lineRule="auto"/>
        <w:jc w:val="both"/>
        <w:outlineLvl w:val="2"/>
        <w:rPr>
          <w:rFonts w:ascii="Times New Roman" w:eastAsia="Times New Roman" w:hAnsi="Times New Roman" w:cs="Times New Roman"/>
          <w:b/>
          <w:bCs/>
          <w:sz w:val="24"/>
          <w:szCs w:val="24"/>
          <w:lang w:val="en-GB" w:eastAsia="en-GB"/>
        </w:rPr>
      </w:pPr>
      <w:r w:rsidRPr="007E4AB3">
        <w:rPr>
          <w:rFonts w:ascii="Times New Roman" w:eastAsia="Times New Roman" w:hAnsi="Times New Roman" w:cs="Times New Roman"/>
          <w:b/>
          <w:bCs/>
          <w:sz w:val="24"/>
          <w:szCs w:val="24"/>
          <w:lang w:val="en-GB" w:eastAsia="en-GB"/>
        </w:rPr>
        <w:t>2.4 Canada: Federal Decentralisation and Pandemic Response</w:t>
      </w:r>
    </w:p>
    <w:p w14:paraId="3D980834" w14:textId="77777777" w:rsidR="007E4AB3" w:rsidRDefault="007E4AB3" w:rsidP="007E4AB3">
      <w:pPr>
        <w:widowControl/>
        <w:autoSpaceDE/>
        <w:autoSpaceDN/>
        <w:spacing w:line="360" w:lineRule="auto"/>
        <w:jc w:val="both"/>
        <w:rPr>
          <w:rFonts w:ascii="Times New Roman" w:eastAsia="Times New Roman" w:hAnsi="Times New Roman" w:cs="Times New Roman"/>
          <w:sz w:val="24"/>
          <w:szCs w:val="24"/>
          <w:lang w:val="en-GB" w:eastAsia="en-GB"/>
        </w:rPr>
      </w:pPr>
      <w:r w:rsidRPr="007E4AB3">
        <w:rPr>
          <w:rFonts w:ascii="Times New Roman" w:eastAsia="Times New Roman" w:hAnsi="Times New Roman" w:cs="Times New Roman"/>
          <w:sz w:val="24"/>
          <w:szCs w:val="24"/>
          <w:lang w:val="en-GB" w:eastAsia="en-GB"/>
        </w:rPr>
        <w:t xml:space="preserve">Canada's pandemic response was deeply shaped by its federal system of governance, which constitutionally allocates significant public health responsibilities to the provinces and territories. Under this structure, the federal government oversees border controls, international travel, vaccine procurement, and fiscal transfers, while provincial and territorial governments manage healthcare delivery, public health interventions, and emergency preparedness within their jurisdictions. This </w:t>
      </w:r>
      <w:r w:rsidRPr="007E4AB3">
        <w:rPr>
          <w:rFonts w:ascii="Times New Roman" w:eastAsia="Times New Roman" w:hAnsi="Times New Roman" w:cs="Times New Roman"/>
          <w:sz w:val="24"/>
          <w:szCs w:val="24"/>
          <w:lang w:val="en-GB" w:eastAsia="en-GB"/>
        </w:rPr>
        <w:lastRenderedPageBreak/>
        <w:t>distribution of powers inherently promoted both adaptability and fragmentation during the COVID-19 crisis (Wilson &amp; Lazar, 2021).</w:t>
      </w:r>
    </w:p>
    <w:p w14:paraId="470E2147" w14:textId="77777777" w:rsidR="007E4AB3" w:rsidRPr="007E4AB3" w:rsidRDefault="007E4AB3" w:rsidP="007E4AB3">
      <w:pPr>
        <w:widowControl/>
        <w:autoSpaceDE/>
        <w:autoSpaceDN/>
        <w:spacing w:line="360" w:lineRule="auto"/>
        <w:jc w:val="both"/>
        <w:rPr>
          <w:rFonts w:ascii="Times New Roman" w:eastAsia="Times New Roman" w:hAnsi="Times New Roman" w:cs="Times New Roman"/>
          <w:sz w:val="24"/>
          <w:szCs w:val="24"/>
          <w:lang w:val="en-GB" w:eastAsia="en-GB"/>
        </w:rPr>
      </w:pPr>
    </w:p>
    <w:p w14:paraId="0C7F9340" w14:textId="77777777" w:rsidR="007E4AB3" w:rsidRDefault="007E4AB3" w:rsidP="007E4AB3">
      <w:pPr>
        <w:widowControl/>
        <w:autoSpaceDE/>
        <w:autoSpaceDN/>
        <w:spacing w:line="360" w:lineRule="auto"/>
        <w:jc w:val="both"/>
        <w:rPr>
          <w:rFonts w:ascii="Times New Roman" w:eastAsia="Times New Roman" w:hAnsi="Times New Roman" w:cs="Times New Roman"/>
          <w:sz w:val="24"/>
          <w:szCs w:val="24"/>
          <w:lang w:val="en-GB" w:eastAsia="en-GB"/>
        </w:rPr>
      </w:pPr>
      <w:r w:rsidRPr="007E4AB3">
        <w:rPr>
          <w:rFonts w:ascii="Times New Roman" w:eastAsia="Times New Roman" w:hAnsi="Times New Roman" w:cs="Times New Roman"/>
          <w:sz w:val="24"/>
          <w:szCs w:val="24"/>
          <w:lang w:val="en-GB" w:eastAsia="en-GB"/>
        </w:rPr>
        <w:t xml:space="preserve">One of the most significant advantages of this decentralised model was the flexibility it offered to provinces and territories in crafting interventions tailored to their specific epidemiological and demographic contexts. For example, the relatively low case numbers in the Atlantic provinces allowed for more relaxed restrictions compared to Ontario or Quebec, which were COVID-19 hotspots during several waves of the pandemic. This localisation ensured that blanket national measures did not unnecessarily burden regions with minimal transmission. However, this autonomy also resulted in considerable </w:t>
      </w:r>
      <w:r w:rsidRPr="007E4AB3">
        <w:rPr>
          <w:rFonts w:ascii="Times New Roman" w:eastAsia="Times New Roman" w:hAnsi="Times New Roman" w:cs="Times New Roman"/>
          <w:b/>
          <w:bCs/>
          <w:sz w:val="24"/>
          <w:szCs w:val="24"/>
          <w:lang w:val="en-GB" w:eastAsia="en-GB"/>
        </w:rPr>
        <w:t>variability</w:t>
      </w:r>
      <w:r w:rsidRPr="007E4AB3">
        <w:rPr>
          <w:rFonts w:ascii="Times New Roman" w:eastAsia="Times New Roman" w:hAnsi="Times New Roman" w:cs="Times New Roman"/>
          <w:sz w:val="24"/>
          <w:szCs w:val="24"/>
          <w:lang w:val="en-GB" w:eastAsia="en-GB"/>
        </w:rPr>
        <w:t xml:space="preserve"> in the timing, nature, and enforcement of public health measures. Provincial governments implemented lockdowns, mask mandates, and school closures based on their own assessments, leading to inconsistencies that often confused the public and weakened the coherence of Canada's national response strategy (Flood et al., 2021).</w:t>
      </w:r>
    </w:p>
    <w:p w14:paraId="47F53BE9" w14:textId="77777777" w:rsidR="007E4AB3" w:rsidRPr="007E4AB3" w:rsidRDefault="007E4AB3" w:rsidP="007E4AB3">
      <w:pPr>
        <w:widowControl/>
        <w:autoSpaceDE/>
        <w:autoSpaceDN/>
        <w:spacing w:line="360" w:lineRule="auto"/>
        <w:jc w:val="both"/>
        <w:rPr>
          <w:rFonts w:ascii="Times New Roman" w:eastAsia="Times New Roman" w:hAnsi="Times New Roman" w:cs="Times New Roman"/>
          <w:sz w:val="24"/>
          <w:szCs w:val="24"/>
          <w:lang w:val="en-GB" w:eastAsia="en-GB"/>
        </w:rPr>
      </w:pPr>
    </w:p>
    <w:p w14:paraId="1540C85B" w14:textId="77777777" w:rsidR="007E4AB3" w:rsidRDefault="007E4AB3" w:rsidP="007E4AB3">
      <w:pPr>
        <w:widowControl/>
        <w:autoSpaceDE/>
        <w:autoSpaceDN/>
        <w:spacing w:line="360" w:lineRule="auto"/>
        <w:jc w:val="both"/>
        <w:rPr>
          <w:rFonts w:ascii="Times New Roman" w:eastAsia="Times New Roman" w:hAnsi="Times New Roman" w:cs="Times New Roman"/>
          <w:sz w:val="24"/>
          <w:szCs w:val="24"/>
          <w:lang w:val="en-GB" w:eastAsia="en-GB"/>
        </w:rPr>
      </w:pPr>
      <w:r w:rsidRPr="007E4AB3">
        <w:rPr>
          <w:rFonts w:ascii="Times New Roman" w:eastAsia="Times New Roman" w:hAnsi="Times New Roman" w:cs="Times New Roman"/>
          <w:sz w:val="24"/>
          <w:szCs w:val="24"/>
          <w:lang w:val="en-GB" w:eastAsia="en-GB"/>
        </w:rPr>
        <w:t xml:space="preserve">The early phase of the pandemic exposed critical limitations in </w:t>
      </w:r>
      <w:r w:rsidRPr="007E4AB3">
        <w:rPr>
          <w:rFonts w:ascii="Times New Roman" w:eastAsia="Times New Roman" w:hAnsi="Times New Roman" w:cs="Times New Roman"/>
          <w:b/>
          <w:bCs/>
          <w:sz w:val="24"/>
          <w:szCs w:val="24"/>
          <w:lang w:val="en-GB" w:eastAsia="en-GB"/>
        </w:rPr>
        <w:t>intergovernmental coordination</w:t>
      </w:r>
      <w:r w:rsidRPr="007E4AB3">
        <w:rPr>
          <w:rFonts w:ascii="Times New Roman" w:eastAsia="Times New Roman" w:hAnsi="Times New Roman" w:cs="Times New Roman"/>
          <w:sz w:val="24"/>
          <w:szCs w:val="24"/>
          <w:lang w:val="en-GB" w:eastAsia="en-GB"/>
        </w:rPr>
        <w:t xml:space="preserve">. Public health surveillance systems lacked integration across provinces, resulting in delays and disparities in data sharing. This fragmentation hindered the federal government’s ability to build a comprehensive national epidemiological picture, compromising the timeliness and accuracy of public health responses (Lecours &amp; </w:t>
      </w:r>
      <w:proofErr w:type="spellStart"/>
      <w:r w:rsidRPr="007E4AB3">
        <w:rPr>
          <w:rFonts w:ascii="Times New Roman" w:eastAsia="Times New Roman" w:hAnsi="Times New Roman" w:cs="Times New Roman"/>
          <w:sz w:val="24"/>
          <w:szCs w:val="24"/>
          <w:lang w:val="en-GB" w:eastAsia="en-GB"/>
        </w:rPr>
        <w:t>Béland</w:t>
      </w:r>
      <w:proofErr w:type="spellEnd"/>
      <w:r w:rsidRPr="007E4AB3">
        <w:rPr>
          <w:rFonts w:ascii="Times New Roman" w:eastAsia="Times New Roman" w:hAnsi="Times New Roman" w:cs="Times New Roman"/>
          <w:sz w:val="24"/>
          <w:szCs w:val="24"/>
          <w:lang w:val="en-GB" w:eastAsia="en-GB"/>
        </w:rPr>
        <w:t>, 2022). Although Health Canada and the Public Health Agency of Canada (PHAC) issued general guidance on mitigation strategies, their recommendations were interpreted differently across provinces, leading to divergent messaging and enforcement strategies. This divergence was particularly evident during discussions on school closures, vaccine mandates, and reopening plans.</w:t>
      </w:r>
    </w:p>
    <w:p w14:paraId="22CE97AE" w14:textId="77777777" w:rsidR="007E4AB3" w:rsidRPr="007E4AB3" w:rsidRDefault="007E4AB3" w:rsidP="007E4AB3">
      <w:pPr>
        <w:widowControl/>
        <w:autoSpaceDE/>
        <w:autoSpaceDN/>
        <w:spacing w:line="360" w:lineRule="auto"/>
        <w:jc w:val="both"/>
        <w:rPr>
          <w:rFonts w:ascii="Times New Roman" w:eastAsia="Times New Roman" w:hAnsi="Times New Roman" w:cs="Times New Roman"/>
          <w:sz w:val="24"/>
          <w:szCs w:val="24"/>
          <w:lang w:val="en-GB" w:eastAsia="en-GB"/>
        </w:rPr>
      </w:pPr>
    </w:p>
    <w:p w14:paraId="7153172F" w14:textId="77777777" w:rsidR="007E4AB3" w:rsidRDefault="007E4AB3" w:rsidP="007E4AB3">
      <w:pPr>
        <w:widowControl/>
        <w:autoSpaceDE/>
        <w:autoSpaceDN/>
        <w:spacing w:line="360" w:lineRule="auto"/>
        <w:jc w:val="both"/>
        <w:rPr>
          <w:rFonts w:ascii="Times New Roman" w:eastAsia="Times New Roman" w:hAnsi="Times New Roman" w:cs="Times New Roman"/>
          <w:sz w:val="24"/>
          <w:szCs w:val="24"/>
          <w:lang w:val="en-GB" w:eastAsia="en-GB"/>
        </w:rPr>
      </w:pPr>
      <w:r w:rsidRPr="007E4AB3">
        <w:rPr>
          <w:rFonts w:ascii="Times New Roman" w:eastAsia="Times New Roman" w:hAnsi="Times New Roman" w:cs="Times New Roman"/>
          <w:sz w:val="24"/>
          <w:szCs w:val="24"/>
          <w:lang w:val="en-GB" w:eastAsia="en-GB"/>
        </w:rPr>
        <w:t xml:space="preserve">A significant turning point in Canada’s response was the </w:t>
      </w:r>
      <w:r w:rsidRPr="007E4AB3">
        <w:rPr>
          <w:rFonts w:ascii="Times New Roman" w:eastAsia="Times New Roman" w:hAnsi="Times New Roman" w:cs="Times New Roman"/>
          <w:b/>
          <w:bCs/>
          <w:sz w:val="24"/>
          <w:szCs w:val="24"/>
          <w:lang w:val="en-GB" w:eastAsia="en-GB"/>
        </w:rPr>
        <w:t>vaccination rollout</w:t>
      </w:r>
      <w:r w:rsidRPr="007E4AB3">
        <w:rPr>
          <w:rFonts w:ascii="Times New Roman" w:eastAsia="Times New Roman" w:hAnsi="Times New Roman" w:cs="Times New Roman"/>
          <w:sz w:val="24"/>
          <w:szCs w:val="24"/>
          <w:lang w:val="en-GB" w:eastAsia="en-GB"/>
        </w:rPr>
        <w:t xml:space="preserve">, which highlighted the challenges and benefits of shared jurisdiction. The federal government played a crucial role in negotiating vaccine procurement deals with multiple pharmaceutical companies, securing early access to a diverse portfolio of vaccines. However, the distribution and administration of vaccines fell under provincial jurisdiction. This division of labour led to logistical challenges, such as inconsistent prioritisation frameworks, vaccine hesitancy among certain populations, and regional delays in delivery and uptake. The term “slow but successful” became a common descriptor for the rollout’s early months (Atkinson, 2022). Despite the initial setbacks, Canada eventually achieved one of the highest full vaccination rates among OECD countries, largely due to </w:t>
      </w:r>
      <w:r w:rsidRPr="007E4AB3">
        <w:rPr>
          <w:rFonts w:ascii="Times New Roman" w:eastAsia="Times New Roman" w:hAnsi="Times New Roman" w:cs="Times New Roman"/>
          <w:b/>
          <w:bCs/>
          <w:sz w:val="24"/>
          <w:szCs w:val="24"/>
          <w:lang w:val="en-GB" w:eastAsia="en-GB"/>
        </w:rPr>
        <w:t xml:space="preserve">strong public </w:t>
      </w:r>
      <w:r w:rsidRPr="007E4AB3">
        <w:rPr>
          <w:rFonts w:ascii="Times New Roman" w:eastAsia="Times New Roman" w:hAnsi="Times New Roman" w:cs="Times New Roman"/>
          <w:b/>
          <w:bCs/>
          <w:sz w:val="24"/>
          <w:szCs w:val="24"/>
          <w:lang w:val="en-GB" w:eastAsia="en-GB"/>
        </w:rPr>
        <w:lastRenderedPageBreak/>
        <w:t>communication campaigns</w:t>
      </w:r>
      <w:r w:rsidRPr="007E4AB3">
        <w:rPr>
          <w:rFonts w:ascii="Times New Roman" w:eastAsia="Times New Roman" w:hAnsi="Times New Roman" w:cs="Times New Roman"/>
          <w:sz w:val="24"/>
          <w:szCs w:val="24"/>
          <w:lang w:val="en-GB" w:eastAsia="en-GB"/>
        </w:rPr>
        <w:t>, widespread access to healthcare networks, and improved coordination between federal and provincial bodies as the programme matured.</w:t>
      </w:r>
    </w:p>
    <w:p w14:paraId="3DCEFD69" w14:textId="77777777" w:rsidR="007E4AB3" w:rsidRPr="007E4AB3" w:rsidRDefault="007E4AB3" w:rsidP="007E4AB3">
      <w:pPr>
        <w:widowControl/>
        <w:autoSpaceDE/>
        <w:autoSpaceDN/>
        <w:spacing w:line="360" w:lineRule="auto"/>
        <w:jc w:val="both"/>
        <w:rPr>
          <w:rFonts w:ascii="Times New Roman" w:eastAsia="Times New Roman" w:hAnsi="Times New Roman" w:cs="Times New Roman"/>
          <w:sz w:val="24"/>
          <w:szCs w:val="24"/>
          <w:lang w:val="en-GB" w:eastAsia="en-GB"/>
        </w:rPr>
      </w:pPr>
    </w:p>
    <w:p w14:paraId="639EA18B" w14:textId="0CA4C0FD" w:rsidR="007E4AB3" w:rsidRDefault="007E4AB3" w:rsidP="007E4AB3">
      <w:pPr>
        <w:widowControl/>
        <w:autoSpaceDE/>
        <w:autoSpaceDN/>
        <w:spacing w:line="360" w:lineRule="auto"/>
        <w:jc w:val="both"/>
        <w:rPr>
          <w:rFonts w:ascii="Times New Roman" w:eastAsia="Times New Roman" w:hAnsi="Times New Roman" w:cs="Times New Roman"/>
          <w:sz w:val="24"/>
          <w:szCs w:val="24"/>
          <w:lang w:val="en-GB" w:eastAsia="en-GB"/>
        </w:rPr>
      </w:pPr>
      <w:r w:rsidRPr="007E4AB3">
        <w:rPr>
          <w:rFonts w:ascii="Times New Roman" w:eastAsia="Times New Roman" w:hAnsi="Times New Roman" w:cs="Times New Roman"/>
          <w:sz w:val="24"/>
          <w:szCs w:val="24"/>
          <w:lang w:val="en-GB" w:eastAsia="en-GB"/>
        </w:rPr>
        <w:t xml:space="preserve">Nevertheless, the pandemic highlighted systemic equity issues that decentralisation could not easily overcome. Indigenous communities and remote regions often faced </w:t>
      </w:r>
      <w:r w:rsidRPr="007E4AB3">
        <w:rPr>
          <w:rFonts w:ascii="Times New Roman" w:eastAsia="Times New Roman" w:hAnsi="Times New Roman" w:cs="Times New Roman"/>
          <w:b/>
          <w:bCs/>
          <w:sz w:val="24"/>
          <w:szCs w:val="24"/>
          <w:lang w:val="en-GB" w:eastAsia="en-GB"/>
        </w:rPr>
        <w:t>delayed access to testing, vaccines, and treatment</w:t>
      </w:r>
      <w:r w:rsidRPr="007E4AB3">
        <w:rPr>
          <w:rFonts w:ascii="Times New Roman" w:eastAsia="Times New Roman" w:hAnsi="Times New Roman" w:cs="Times New Roman"/>
          <w:sz w:val="24"/>
          <w:szCs w:val="24"/>
          <w:lang w:val="en-GB" w:eastAsia="en-GB"/>
        </w:rPr>
        <w:t xml:space="preserve"> due to infrastructural deficits and longstanding disparities in healthcare provision. While federal agencies provided targeted support and funding, implementation still depended on provincial systems, many of which lacked adequate resources or cultural competence frameworks to address these gaps effectively (Richardson &amp; Crawford, 2021). Furthermore, differences in digital health capacities across provinces complicated efforts to track cases, register vaccinations, and disseminate public health information efficiently.</w:t>
      </w:r>
      <w:r>
        <w:rPr>
          <w:rFonts w:ascii="Times New Roman" w:eastAsia="Times New Roman" w:hAnsi="Times New Roman" w:cs="Times New Roman"/>
          <w:sz w:val="24"/>
          <w:szCs w:val="24"/>
          <w:lang w:val="en-GB" w:eastAsia="en-GB"/>
        </w:rPr>
        <w:t xml:space="preserve"> </w:t>
      </w:r>
      <w:r w:rsidRPr="007E4AB3">
        <w:rPr>
          <w:rFonts w:ascii="Times New Roman" w:eastAsia="Times New Roman" w:hAnsi="Times New Roman" w:cs="Times New Roman"/>
          <w:sz w:val="24"/>
          <w:szCs w:val="24"/>
          <w:lang w:val="en-GB" w:eastAsia="en-GB"/>
        </w:rPr>
        <w:t xml:space="preserve">From a </w:t>
      </w:r>
      <w:r w:rsidRPr="007E4AB3">
        <w:rPr>
          <w:rFonts w:ascii="Times New Roman" w:eastAsia="Times New Roman" w:hAnsi="Times New Roman" w:cs="Times New Roman"/>
          <w:sz w:val="24"/>
          <w:szCs w:val="24"/>
          <w:lang w:val="en-GB" w:eastAsia="en-GB"/>
        </w:rPr>
        <w:t>system</w:t>
      </w:r>
      <w:r w:rsidRPr="007E4AB3">
        <w:rPr>
          <w:rFonts w:ascii="Times New Roman" w:eastAsia="Times New Roman" w:hAnsi="Times New Roman" w:cs="Times New Roman"/>
          <w:sz w:val="24"/>
          <w:szCs w:val="24"/>
          <w:lang w:val="en-GB" w:eastAsia="en-GB"/>
        </w:rPr>
        <w:t xml:space="preserve"> thinking perspective, Canada's decentralised model revealed both </w:t>
      </w:r>
      <w:r w:rsidRPr="007E4AB3">
        <w:rPr>
          <w:rFonts w:ascii="Times New Roman" w:eastAsia="Times New Roman" w:hAnsi="Times New Roman" w:cs="Times New Roman"/>
          <w:b/>
          <w:bCs/>
          <w:sz w:val="24"/>
          <w:szCs w:val="24"/>
          <w:lang w:val="en-GB" w:eastAsia="en-GB"/>
        </w:rPr>
        <w:t>feedback loop delays</w:t>
      </w:r>
      <w:r w:rsidRPr="007E4AB3">
        <w:rPr>
          <w:rFonts w:ascii="Times New Roman" w:eastAsia="Times New Roman" w:hAnsi="Times New Roman" w:cs="Times New Roman"/>
          <w:sz w:val="24"/>
          <w:szCs w:val="24"/>
          <w:lang w:val="en-GB" w:eastAsia="en-GB"/>
        </w:rPr>
        <w:t xml:space="preserve"> and </w:t>
      </w:r>
      <w:r w:rsidRPr="007E4AB3">
        <w:rPr>
          <w:rFonts w:ascii="Times New Roman" w:eastAsia="Times New Roman" w:hAnsi="Times New Roman" w:cs="Times New Roman"/>
          <w:b/>
          <w:bCs/>
          <w:sz w:val="24"/>
          <w:szCs w:val="24"/>
          <w:lang w:val="en-GB" w:eastAsia="en-GB"/>
        </w:rPr>
        <w:t xml:space="preserve">reactive </w:t>
      </w:r>
      <w:r w:rsidRPr="007E4AB3">
        <w:rPr>
          <w:rFonts w:ascii="Times New Roman" w:eastAsia="Times New Roman" w:hAnsi="Times New Roman" w:cs="Times New Roman"/>
          <w:b/>
          <w:bCs/>
          <w:sz w:val="24"/>
          <w:szCs w:val="24"/>
          <w:lang w:val="en-GB" w:eastAsia="en-GB"/>
        </w:rPr>
        <w:t>policymaking</w:t>
      </w:r>
      <w:r w:rsidRPr="007E4AB3">
        <w:rPr>
          <w:rFonts w:ascii="Times New Roman" w:eastAsia="Times New Roman" w:hAnsi="Times New Roman" w:cs="Times New Roman"/>
          <w:sz w:val="24"/>
          <w:szCs w:val="24"/>
          <w:lang w:val="en-GB" w:eastAsia="en-GB"/>
        </w:rPr>
        <w:t xml:space="preserve">. Coordination between federal guidance and provincial actions often occurred after problems emerged, rather than in anticipation of risks. This lag limited the effectiveness of early interventions, such as border screening and testing mandates. Yet, the system also demonstrated </w:t>
      </w:r>
      <w:r w:rsidRPr="007E4AB3">
        <w:rPr>
          <w:rFonts w:ascii="Times New Roman" w:eastAsia="Times New Roman" w:hAnsi="Times New Roman" w:cs="Times New Roman"/>
          <w:b/>
          <w:bCs/>
          <w:sz w:val="24"/>
          <w:szCs w:val="24"/>
          <w:lang w:val="en-GB" w:eastAsia="en-GB"/>
        </w:rPr>
        <w:t>adaptive learning</w:t>
      </w:r>
      <w:r w:rsidRPr="007E4AB3">
        <w:rPr>
          <w:rFonts w:ascii="Times New Roman" w:eastAsia="Times New Roman" w:hAnsi="Times New Roman" w:cs="Times New Roman"/>
          <w:sz w:val="24"/>
          <w:szCs w:val="24"/>
          <w:lang w:val="en-GB" w:eastAsia="en-GB"/>
        </w:rPr>
        <w:t xml:space="preserve"> over time. By mid-2021, intergovernmental cooperation improved, supported by federal-provincial task forces, shared surveillance goals, and joint messaging campaigns.</w:t>
      </w:r>
    </w:p>
    <w:p w14:paraId="724C0EC2" w14:textId="7E908389" w:rsidR="007E4AB3" w:rsidRPr="007E4AB3" w:rsidRDefault="007E4AB3" w:rsidP="007E4AB3">
      <w:pPr>
        <w:widowControl/>
        <w:autoSpaceDE/>
        <w:autoSpaceDN/>
        <w:spacing w:line="360" w:lineRule="auto"/>
        <w:jc w:val="both"/>
        <w:rPr>
          <w:rFonts w:ascii="Times New Roman" w:eastAsia="Times New Roman" w:hAnsi="Times New Roman" w:cs="Times New Roman"/>
          <w:sz w:val="24"/>
          <w:szCs w:val="24"/>
          <w:lang w:val="en-GB" w:eastAsia="en-GB"/>
        </w:rPr>
      </w:pPr>
    </w:p>
    <w:p w14:paraId="4160A650" w14:textId="77777777" w:rsidR="007E4AB3" w:rsidRPr="007E4AB3" w:rsidRDefault="007E4AB3" w:rsidP="007E4AB3">
      <w:pPr>
        <w:widowControl/>
        <w:autoSpaceDE/>
        <w:autoSpaceDN/>
        <w:spacing w:line="360" w:lineRule="auto"/>
        <w:jc w:val="both"/>
        <w:outlineLvl w:val="2"/>
        <w:rPr>
          <w:rFonts w:ascii="Times New Roman" w:eastAsia="Times New Roman" w:hAnsi="Times New Roman" w:cs="Times New Roman"/>
          <w:b/>
          <w:bCs/>
          <w:sz w:val="24"/>
          <w:szCs w:val="24"/>
          <w:lang w:val="en-GB" w:eastAsia="en-GB"/>
        </w:rPr>
      </w:pPr>
      <w:r w:rsidRPr="007E4AB3">
        <w:rPr>
          <w:rFonts w:ascii="Times New Roman" w:eastAsia="Times New Roman" w:hAnsi="Times New Roman" w:cs="Times New Roman"/>
          <w:b/>
          <w:bCs/>
          <w:sz w:val="24"/>
          <w:szCs w:val="24"/>
          <w:lang w:val="en-GB" w:eastAsia="en-GB"/>
        </w:rPr>
        <w:t>2.5 Cross-case Synthesis: What Explains Differences?</w:t>
      </w:r>
    </w:p>
    <w:p w14:paraId="2C6F4355" w14:textId="4FA2483B" w:rsidR="007E4AB3" w:rsidRDefault="007E4AB3" w:rsidP="007E4AB3">
      <w:pPr>
        <w:widowControl/>
        <w:autoSpaceDE/>
        <w:autoSpaceDN/>
        <w:spacing w:line="360" w:lineRule="auto"/>
        <w:jc w:val="both"/>
        <w:rPr>
          <w:rFonts w:ascii="Times New Roman" w:eastAsia="Times New Roman" w:hAnsi="Times New Roman" w:cs="Times New Roman"/>
          <w:sz w:val="24"/>
          <w:szCs w:val="24"/>
          <w:lang w:val="en-GB" w:eastAsia="en-GB"/>
        </w:rPr>
      </w:pPr>
      <w:r w:rsidRPr="007E4AB3">
        <w:rPr>
          <w:rFonts w:ascii="Times New Roman" w:eastAsia="Times New Roman" w:hAnsi="Times New Roman" w:cs="Times New Roman"/>
          <w:sz w:val="24"/>
          <w:szCs w:val="24"/>
          <w:lang w:val="en-GB" w:eastAsia="en-GB"/>
        </w:rPr>
        <w:t>The comparative analysis of pandemic governance across Spain, South Korea, and Canada provides valuable insights into how health system structures—particularly the degree of centralisation or decentralisation—influence the speed, coherence, and effectiveness of pandemic responses. These differences are not merely bureaucratic; they are embedded in deeper political, institutional, and cultural frameworks that shape how governments make decisions, coordinate actors, communicate with the public, and deliver health services during crises.</w:t>
      </w:r>
      <w:r>
        <w:rPr>
          <w:rFonts w:ascii="Times New Roman" w:eastAsia="Times New Roman" w:hAnsi="Times New Roman" w:cs="Times New Roman"/>
          <w:sz w:val="24"/>
          <w:szCs w:val="24"/>
          <w:lang w:val="en-GB" w:eastAsia="en-GB"/>
        </w:rPr>
        <w:t xml:space="preserve"> </w:t>
      </w:r>
      <w:r w:rsidRPr="007E4AB3">
        <w:rPr>
          <w:rFonts w:ascii="Times New Roman" w:eastAsia="Times New Roman" w:hAnsi="Times New Roman" w:cs="Times New Roman"/>
          <w:sz w:val="24"/>
          <w:szCs w:val="24"/>
          <w:lang w:val="en-GB" w:eastAsia="en-GB"/>
        </w:rPr>
        <w:t xml:space="preserve">In the case of </w:t>
      </w:r>
      <w:r w:rsidRPr="007E4AB3">
        <w:rPr>
          <w:rFonts w:ascii="Times New Roman" w:eastAsia="Times New Roman" w:hAnsi="Times New Roman" w:cs="Times New Roman"/>
          <w:b/>
          <w:bCs/>
          <w:sz w:val="24"/>
          <w:szCs w:val="24"/>
          <w:lang w:val="en-GB" w:eastAsia="en-GB"/>
        </w:rPr>
        <w:t>South Korea</w:t>
      </w:r>
      <w:r w:rsidRPr="007E4AB3">
        <w:rPr>
          <w:rFonts w:ascii="Times New Roman" w:eastAsia="Times New Roman" w:hAnsi="Times New Roman" w:cs="Times New Roman"/>
          <w:sz w:val="24"/>
          <w:szCs w:val="24"/>
          <w:lang w:val="en-GB" w:eastAsia="en-GB"/>
        </w:rPr>
        <w:t xml:space="preserve">, the centralised governance model enabled swift, coherent action from the outset. Institutions such as the Korea Disease Control and Prevention Agency (KDCA) had both the legal authority and operational capacity to implement widespread testing, contact tracing, and communication strategies. The command-and-control approach facilitated consistency in risk messaging and adherence to public health protocols. The benefits of this model were reflected in South Korea’s low mortality rates and its reputation as a global exemplar in pandemic management. However, the trade-off included significant ethical concerns over data surveillance, raising questions about the long-term implications for privacy and civil liberties. Moreover, while speed and uniformity were advantageous, the </w:t>
      </w:r>
      <w:r w:rsidRPr="007E4AB3">
        <w:rPr>
          <w:rFonts w:ascii="Times New Roman" w:eastAsia="Times New Roman" w:hAnsi="Times New Roman" w:cs="Times New Roman"/>
          <w:sz w:val="24"/>
          <w:szCs w:val="24"/>
          <w:lang w:val="en-GB" w:eastAsia="en-GB"/>
        </w:rPr>
        <w:lastRenderedPageBreak/>
        <w:t>centralised model also risked citizen fatigue and exclusion of marginalised voices in policy design (Kang &amp; Park, 2021).</w:t>
      </w:r>
    </w:p>
    <w:p w14:paraId="37D9C3B7" w14:textId="77777777" w:rsidR="007E4AB3" w:rsidRPr="007E4AB3" w:rsidRDefault="007E4AB3" w:rsidP="007E4AB3">
      <w:pPr>
        <w:widowControl/>
        <w:autoSpaceDE/>
        <w:autoSpaceDN/>
        <w:spacing w:line="360" w:lineRule="auto"/>
        <w:jc w:val="both"/>
        <w:rPr>
          <w:rFonts w:ascii="Times New Roman" w:eastAsia="Times New Roman" w:hAnsi="Times New Roman" w:cs="Times New Roman"/>
          <w:sz w:val="24"/>
          <w:szCs w:val="24"/>
          <w:lang w:val="en-GB" w:eastAsia="en-GB"/>
        </w:rPr>
      </w:pPr>
    </w:p>
    <w:p w14:paraId="4376E507" w14:textId="77777777" w:rsidR="007E4AB3" w:rsidRDefault="007E4AB3" w:rsidP="007E4AB3">
      <w:pPr>
        <w:widowControl/>
        <w:autoSpaceDE/>
        <w:autoSpaceDN/>
        <w:spacing w:line="360" w:lineRule="auto"/>
        <w:jc w:val="both"/>
        <w:rPr>
          <w:rFonts w:ascii="Times New Roman" w:eastAsia="Times New Roman" w:hAnsi="Times New Roman" w:cs="Times New Roman"/>
          <w:sz w:val="24"/>
          <w:szCs w:val="24"/>
          <w:lang w:val="en-GB" w:eastAsia="en-GB"/>
        </w:rPr>
      </w:pPr>
      <w:r w:rsidRPr="007E4AB3">
        <w:rPr>
          <w:rFonts w:ascii="Times New Roman" w:eastAsia="Times New Roman" w:hAnsi="Times New Roman" w:cs="Times New Roman"/>
          <w:sz w:val="24"/>
          <w:szCs w:val="24"/>
          <w:lang w:val="en-GB" w:eastAsia="en-GB"/>
        </w:rPr>
        <w:t xml:space="preserve">In contrast, </w:t>
      </w:r>
      <w:r w:rsidRPr="007E4AB3">
        <w:rPr>
          <w:rFonts w:ascii="Times New Roman" w:eastAsia="Times New Roman" w:hAnsi="Times New Roman" w:cs="Times New Roman"/>
          <w:b/>
          <w:bCs/>
          <w:sz w:val="24"/>
          <w:szCs w:val="24"/>
          <w:lang w:val="en-GB" w:eastAsia="en-GB"/>
        </w:rPr>
        <w:t>Canada’s federal and decentralised system</w:t>
      </w:r>
      <w:r w:rsidRPr="007E4AB3">
        <w:rPr>
          <w:rFonts w:ascii="Times New Roman" w:eastAsia="Times New Roman" w:hAnsi="Times New Roman" w:cs="Times New Roman"/>
          <w:sz w:val="24"/>
          <w:szCs w:val="24"/>
          <w:lang w:val="en-GB" w:eastAsia="en-GB"/>
        </w:rPr>
        <w:t xml:space="preserve"> offered provinces and territories significant autonomy in managing public health responses. This flexibility allowed local governments to tailor interventions based on regional epidemiological trends, healthcare capacities, and population needs. However, the downside was a lack of national coordination in critical areas such as surveillance, messaging, and vaccine distribution. The federal government’s inability to enforce unified action led to inconsistencies in the timing and stringency of public health measures. Provinces differed in their responses to school closures, lockdowns, and mask mandates, which at times created confusion among the public and hindered the establishment of a coherent national strategy (Wilson &amp; Lazar, 2021). Canada’s experience illustrates that decentralisation can delay decision-making and fragment response systems unless it is supported by strong intergovernmental coordination and pre-existing agreements for data and resource sharing.</w:t>
      </w:r>
    </w:p>
    <w:p w14:paraId="0D241A94" w14:textId="77777777" w:rsidR="007E4AB3" w:rsidRPr="007E4AB3" w:rsidRDefault="007E4AB3" w:rsidP="007E4AB3">
      <w:pPr>
        <w:widowControl/>
        <w:autoSpaceDE/>
        <w:autoSpaceDN/>
        <w:spacing w:line="360" w:lineRule="auto"/>
        <w:jc w:val="both"/>
        <w:rPr>
          <w:rFonts w:ascii="Times New Roman" w:eastAsia="Times New Roman" w:hAnsi="Times New Roman" w:cs="Times New Roman"/>
          <w:sz w:val="24"/>
          <w:szCs w:val="24"/>
          <w:lang w:val="en-GB" w:eastAsia="en-GB"/>
        </w:rPr>
      </w:pPr>
    </w:p>
    <w:p w14:paraId="433D0C84" w14:textId="77777777" w:rsidR="007E4AB3" w:rsidRDefault="007E4AB3" w:rsidP="007E4AB3">
      <w:pPr>
        <w:widowControl/>
        <w:autoSpaceDE/>
        <w:autoSpaceDN/>
        <w:spacing w:line="360" w:lineRule="auto"/>
        <w:jc w:val="both"/>
        <w:rPr>
          <w:rFonts w:ascii="Times New Roman" w:eastAsia="Times New Roman" w:hAnsi="Times New Roman" w:cs="Times New Roman"/>
          <w:sz w:val="24"/>
          <w:szCs w:val="24"/>
          <w:lang w:val="en-GB" w:eastAsia="en-GB"/>
        </w:rPr>
      </w:pPr>
      <w:r w:rsidRPr="007E4AB3">
        <w:rPr>
          <w:rFonts w:ascii="Times New Roman" w:eastAsia="Times New Roman" w:hAnsi="Times New Roman" w:cs="Times New Roman"/>
          <w:b/>
          <w:bCs/>
          <w:sz w:val="24"/>
          <w:szCs w:val="24"/>
          <w:lang w:val="en-GB" w:eastAsia="en-GB"/>
        </w:rPr>
        <w:t>Spain’s experience</w:t>
      </w:r>
      <w:r w:rsidRPr="007E4AB3">
        <w:rPr>
          <w:rFonts w:ascii="Times New Roman" w:eastAsia="Times New Roman" w:hAnsi="Times New Roman" w:cs="Times New Roman"/>
          <w:sz w:val="24"/>
          <w:szCs w:val="24"/>
          <w:lang w:val="en-GB" w:eastAsia="en-GB"/>
        </w:rPr>
        <w:t xml:space="preserve">, while similar in its initial decentralisation, offers a unique example of </w:t>
      </w:r>
      <w:r w:rsidRPr="007E4AB3">
        <w:rPr>
          <w:rFonts w:ascii="Times New Roman" w:eastAsia="Times New Roman" w:hAnsi="Times New Roman" w:cs="Times New Roman"/>
          <w:b/>
          <w:bCs/>
          <w:sz w:val="24"/>
          <w:szCs w:val="24"/>
          <w:lang w:val="en-GB" w:eastAsia="en-GB"/>
        </w:rPr>
        <w:t>adaptive governance</w:t>
      </w:r>
      <w:r w:rsidRPr="007E4AB3">
        <w:rPr>
          <w:rFonts w:ascii="Times New Roman" w:eastAsia="Times New Roman" w:hAnsi="Times New Roman" w:cs="Times New Roman"/>
          <w:sz w:val="24"/>
          <w:szCs w:val="24"/>
          <w:lang w:val="en-GB" w:eastAsia="en-GB"/>
        </w:rPr>
        <w:t>. Spain struggled early on due to fragmented responsibilities across its 17 Autonomous Communities. Weak coordination mechanisms and political tensions between central and regional governments hampered early containment efforts and public messaging. However, as the pandemic progressed, Spain implemented a more centralised strategy for vaccine procurement and rollout, demonstrating institutional learning and flexibility. This hybrid model showed that governments could recalibrate governance modes in real time to improve performance, blending local delivery with central strategy. The success of the vaccination campaign—largely attributed to strong central planning and effective primary care networks—exemplifies how institutional adaptability can mitigate the limitations of decentralised structures (López-Casasnovas &amp; Saez, 2021).</w:t>
      </w:r>
    </w:p>
    <w:p w14:paraId="04C04B88" w14:textId="77777777" w:rsidR="007E4AB3" w:rsidRPr="007E4AB3" w:rsidRDefault="007E4AB3" w:rsidP="007E4AB3">
      <w:pPr>
        <w:widowControl/>
        <w:autoSpaceDE/>
        <w:autoSpaceDN/>
        <w:spacing w:line="360" w:lineRule="auto"/>
        <w:jc w:val="both"/>
        <w:rPr>
          <w:rFonts w:ascii="Times New Roman" w:eastAsia="Times New Roman" w:hAnsi="Times New Roman" w:cs="Times New Roman"/>
          <w:sz w:val="24"/>
          <w:szCs w:val="24"/>
          <w:lang w:val="en-GB" w:eastAsia="en-GB"/>
        </w:rPr>
      </w:pPr>
    </w:p>
    <w:p w14:paraId="18160F07" w14:textId="77777777" w:rsidR="007E4AB3" w:rsidRDefault="007E4AB3" w:rsidP="007E4AB3">
      <w:pPr>
        <w:widowControl/>
        <w:autoSpaceDE/>
        <w:autoSpaceDN/>
        <w:spacing w:line="360" w:lineRule="auto"/>
        <w:jc w:val="both"/>
        <w:rPr>
          <w:rFonts w:ascii="Times New Roman" w:eastAsia="Times New Roman" w:hAnsi="Times New Roman" w:cs="Times New Roman"/>
          <w:sz w:val="24"/>
          <w:szCs w:val="24"/>
          <w:lang w:val="en-GB" w:eastAsia="en-GB"/>
        </w:rPr>
      </w:pPr>
      <w:r w:rsidRPr="007E4AB3">
        <w:rPr>
          <w:rFonts w:ascii="Times New Roman" w:eastAsia="Times New Roman" w:hAnsi="Times New Roman" w:cs="Times New Roman"/>
          <w:sz w:val="24"/>
          <w:szCs w:val="24"/>
          <w:lang w:val="en-GB" w:eastAsia="en-GB"/>
        </w:rPr>
        <w:t xml:space="preserve">Drawing from these cases, several </w:t>
      </w:r>
      <w:r w:rsidRPr="007E4AB3">
        <w:rPr>
          <w:rFonts w:ascii="Times New Roman" w:eastAsia="Times New Roman" w:hAnsi="Times New Roman" w:cs="Times New Roman"/>
          <w:b/>
          <w:bCs/>
          <w:sz w:val="24"/>
          <w:szCs w:val="24"/>
          <w:lang w:val="en-GB" w:eastAsia="en-GB"/>
        </w:rPr>
        <w:t>system-level lessons</w:t>
      </w:r>
      <w:r w:rsidRPr="007E4AB3">
        <w:rPr>
          <w:rFonts w:ascii="Times New Roman" w:eastAsia="Times New Roman" w:hAnsi="Times New Roman" w:cs="Times New Roman"/>
          <w:sz w:val="24"/>
          <w:szCs w:val="24"/>
          <w:lang w:val="en-GB" w:eastAsia="en-GB"/>
        </w:rPr>
        <w:t xml:space="preserve"> emerge. First, </w:t>
      </w:r>
      <w:r w:rsidRPr="007E4AB3">
        <w:rPr>
          <w:rFonts w:ascii="Times New Roman" w:eastAsia="Times New Roman" w:hAnsi="Times New Roman" w:cs="Times New Roman"/>
          <w:b/>
          <w:bCs/>
          <w:sz w:val="24"/>
          <w:szCs w:val="24"/>
          <w:lang w:val="en-GB" w:eastAsia="en-GB"/>
        </w:rPr>
        <w:t>governance architecture directly influences the speed and agility of decision-making</w:t>
      </w:r>
      <w:r w:rsidRPr="007E4AB3">
        <w:rPr>
          <w:rFonts w:ascii="Times New Roman" w:eastAsia="Times New Roman" w:hAnsi="Times New Roman" w:cs="Times New Roman"/>
          <w:sz w:val="24"/>
          <w:szCs w:val="24"/>
          <w:lang w:val="en-GB" w:eastAsia="en-GB"/>
        </w:rPr>
        <w:t xml:space="preserve">. Centralised systems can react swiftly, especially in the early stages of a crisis when coordinated national measures are critical. In contrast, decentralised systems rely on consultation, negotiation, and consensus-building, which can delay action. However, decentralisation offers the potential for greater </w:t>
      </w:r>
      <w:r w:rsidRPr="007E4AB3">
        <w:rPr>
          <w:rFonts w:ascii="Times New Roman" w:eastAsia="Times New Roman" w:hAnsi="Times New Roman" w:cs="Times New Roman"/>
          <w:b/>
          <w:bCs/>
          <w:sz w:val="24"/>
          <w:szCs w:val="24"/>
          <w:lang w:val="en-GB" w:eastAsia="en-GB"/>
        </w:rPr>
        <w:t>policy relevance and responsiveness</w:t>
      </w:r>
      <w:r w:rsidRPr="007E4AB3">
        <w:rPr>
          <w:rFonts w:ascii="Times New Roman" w:eastAsia="Times New Roman" w:hAnsi="Times New Roman" w:cs="Times New Roman"/>
          <w:sz w:val="24"/>
          <w:szCs w:val="24"/>
          <w:lang w:val="en-GB" w:eastAsia="en-GB"/>
        </w:rPr>
        <w:t xml:space="preserve"> at the local level, provided there is robust coordination infrastructure.</w:t>
      </w:r>
    </w:p>
    <w:p w14:paraId="086AA0EC" w14:textId="77777777" w:rsidR="007E4AB3" w:rsidRPr="007E4AB3" w:rsidRDefault="007E4AB3" w:rsidP="007E4AB3">
      <w:pPr>
        <w:widowControl/>
        <w:autoSpaceDE/>
        <w:autoSpaceDN/>
        <w:spacing w:line="360" w:lineRule="auto"/>
        <w:jc w:val="both"/>
        <w:rPr>
          <w:rFonts w:ascii="Times New Roman" w:eastAsia="Times New Roman" w:hAnsi="Times New Roman" w:cs="Times New Roman"/>
          <w:sz w:val="24"/>
          <w:szCs w:val="24"/>
          <w:lang w:val="en-GB" w:eastAsia="en-GB"/>
        </w:rPr>
      </w:pPr>
    </w:p>
    <w:p w14:paraId="214B48AD" w14:textId="77777777" w:rsidR="007E4AB3" w:rsidRDefault="007E4AB3" w:rsidP="007E4AB3">
      <w:pPr>
        <w:widowControl/>
        <w:autoSpaceDE/>
        <w:autoSpaceDN/>
        <w:spacing w:line="360" w:lineRule="auto"/>
        <w:jc w:val="both"/>
        <w:rPr>
          <w:rFonts w:ascii="Times New Roman" w:eastAsia="Times New Roman" w:hAnsi="Times New Roman" w:cs="Times New Roman"/>
          <w:sz w:val="24"/>
          <w:szCs w:val="24"/>
          <w:lang w:val="en-GB" w:eastAsia="en-GB"/>
        </w:rPr>
      </w:pPr>
      <w:r w:rsidRPr="007E4AB3">
        <w:rPr>
          <w:rFonts w:ascii="Times New Roman" w:eastAsia="Times New Roman" w:hAnsi="Times New Roman" w:cs="Times New Roman"/>
          <w:sz w:val="24"/>
          <w:szCs w:val="24"/>
          <w:lang w:val="en-GB" w:eastAsia="en-GB"/>
        </w:rPr>
        <w:lastRenderedPageBreak/>
        <w:t xml:space="preserve">Second, </w:t>
      </w:r>
      <w:r w:rsidRPr="007E4AB3">
        <w:rPr>
          <w:rFonts w:ascii="Times New Roman" w:eastAsia="Times New Roman" w:hAnsi="Times New Roman" w:cs="Times New Roman"/>
          <w:b/>
          <w:bCs/>
          <w:sz w:val="24"/>
          <w:szCs w:val="24"/>
          <w:lang w:val="en-GB" w:eastAsia="en-GB"/>
        </w:rPr>
        <w:t>implementation capacity</w:t>
      </w:r>
      <w:r w:rsidRPr="007E4AB3">
        <w:rPr>
          <w:rFonts w:ascii="Times New Roman" w:eastAsia="Times New Roman" w:hAnsi="Times New Roman" w:cs="Times New Roman"/>
          <w:sz w:val="24"/>
          <w:szCs w:val="24"/>
          <w:lang w:val="en-GB" w:eastAsia="en-GB"/>
        </w:rPr>
        <w:t>—encompassing the healthcare workforce, logistics systems, data infrastructure, and institutional experience—plays a decisive role in determining how well any governance model performs. South Korea’s strong pre-existing digital infrastructure and institutional memory from past outbreaks were critical enablers of its success. Similarly, Spain’s extensive primary care network became an asset once the vaccination programme was centralised. In Canada, uneven capacity across provinces created disparities in service delivery, particularly affecting remote and Indigenous communities.</w:t>
      </w:r>
    </w:p>
    <w:p w14:paraId="50F46148" w14:textId="77777777" w:rsidR="007E4AB3" w:rsidRPr="007E4AB3" w:rsidRDefault="007E4AB3" w:rsidP="007E4AB3">
      <w:pPr>
        <w:widowControl/>
        <w:autoSpaceDE/>
        <w:autoSpaceDN/>
        <w:spacing w:line="360" w:lineRule="auto"/>
        <w:jc w:val="both"/>
        <w:rPr>
          <w:rFonts w:ascii="Times New Roman" w:eastAsia="Times New Roman" w:hAnsi="Times New Roman" w:cs="Times New Roman"/>
          <w:sz w:val="24"/>
          <w:szCs w:val="24"/>
          <w:lang w:val="en-GB" w:eastAsia="en-GB"/>
        </w:rPr>
      </w:pPr>
    </w:p>
    <w:p w14:paraId="602FD31D" w14:textId="77777777" w:rsidR="007E4AB3" w:rsidRDefault="007E4AB3" w:rsidP="007E4AB3">
      <w:pPr>
        <w:widowControl/>
        <w:autoSpaceDE/>
        <w:autoSpaceDN/>
        <w:spacing w:line="360" w:lineRule="auto"/>
        <w:jc w:val="both"/>
        <w:rPr>
          <w:rFonts w:ascii="Times New Roman" w:eastAsia="Times New Roman" w:hAnsi="Times New Roman" w:cs="Times New Roman"/>
          <w:sz w:val="24"/>
          <w:szCs w:val="24"/>
          <w:lang w:val="en-GB" w:eastAsia="en-GB"/>
        </w:rPr>
      </w:pPr>
      <w:r w:rsidRPr="007E4AB3">
        <w:rPr>
          <w:rFonts w:ascii="Times New Roman" w:eastAsia="Times New Roman" w:hAnsi="Times New Roman" w:cs="Times New Roman"/>
          <w:sz w:val="24"/>
          <w:szCs w:val="24"/>
          <w:lang w:val="en-GB" w:eastAsia="en-GB"/>
        </w:rPr>
        <w:t xml:space="preserve">Third, and perhaps most importantly, </w:t>
      </w:r>
      <w:r w:rsidRPr="007E4AB3">
        <w:rPr>
          <w:rFonts w:ascii="Times New Roman" w:eastAsia="Times New Roman" w:hAnsi="Times New Roman" w:cs="Times New Roman"/>
          <w:b/>
          <w:bCs/>
          <w:sz w:val="24"/>
          <w:szCs w:val="24"/>
          <w:lang w:val="en-GB" w:eastAsia="en-GB"/>
        </w:rPr>
        <w:t>public trust and communication</w:t>
      </w:r>
      <w:r w:rsidRPr="007E4AB3">
        <w:rPr>
          <w:rFonts w:ascii="Times New Roman" w:eastAsia="Times New Roman" w:hAnsi="Times New Roman" w:cs="Times New Roman"/>
          <w:sz w:val="24"/>
          <w:szCs w:val="24"/>
          <w:lang w:val="en-GB" w:eastAsia="en-GB"/>
        </w:rPr>
        <w:t xml:space="preserve"> emerged as foundational resources for effective pandemic governance. Countries that communicated transparently, acknowledged uncertainties, and engaged citizens respectfully—such as South Korea and, to an extent, Canada—achieved higher levels of compliance. Trust is not merely a by-product of policy success; it is a </w:t>
      </w:r>
      <w:r w:rsidRPr="007E4AB3">
        <w:rPr>
          <w:rFonts w:ascii="Times New Roman" w:eastAsia="Times New Roman" w:hAnsi="Times New Roman" w:cs="Times New Roman"/>
          <w:b/>
          <w:bCs/>
          <w:sz w:val="24"/>
          <w:szCs w:val="24"/>
          <w:lang w:val="en-GB" w:eastAsia="en-GB"/>
        </w:rPr>
        <w:t>strategic asset</w:t>
      </w:r>
      <w:r w:rsidRPr="007E4AB3">
        <w:rPr>
          <w:rFonts w:ascii="Times New Roman" w:eastAsia="Times New Roman" w:hAnsi="Times New Roman" w:cs="Times New Roman"/>
          <w:sz w:val="24"/>
          <w:szCs w:val="24"/>
          <w:lang w:val="en-GB" w:eastAsia="en-GB"/>
        </w:rPr>
        <w:t xml:space="preserve"> that shapes compliance, social cohesion, and resilience. The World Health Organization (2020) and scholars such as Kickbusch and Gleicher (2012) emphasise that consistent, evidence-based communication and inclusive governance foster long-term trust and legitimacy, especially in times of uncertainty.</w:t>
      </w:r>
    </w:p>
    <w:p w14:paraId="4BF54527" w14:textId="77777777" w:rsidR="007E4AB3" w:rsidRPr="007E4AB3" w:rsidRDefault="007E4AB3" w:rsidP="007E4AB3">
      <w:pPr>
        <w:widowControl/>
        <w:autoSpaceDE/>
        <w:autoSpaceDN/>
        <w:spacing w:line="360" w:lineRule="auto"/>
        <w:jc w:val="both"/>
        <w:rPr>
          <w:rFonts w:ascii="Times New Roman" w:eastAsia="Times New Roman" w:hAnsi="Times New Roman" w:cs="Times New Roman"/>
          <w:sz w:val="24"/>
          <w:szCs w:val="24"/>
          <w:lang w:val="en-GB" w:eastAsia="en-GB"/>
        </w:rPr>
      </w:pPr>
    </w:p>
    <w:p w14:paraId="37C81EAA" w14:textId="7B242A77" w:rsidR="007E4AB3" w:rsidRDefault="007E4AB3" w:rsidP="007E4AB3">
      <w:pPr>
        <w:widowControl/>
        <w:autoSpaceDE/>
        <w:autoSpaceDN/>
        <w:spacing w:line="360" w:lineRule="auto"/>
        <w:jc w:val="both"/>
        <w:rPr>
          <w:rFonts w:ascii="Times New Roman" w:eastAsia="Times New Roman" w:hAnsi="Times New Roman" w:cs="Times New Roman"/>
          <w:sz w:val="24"/>
          <w:szCs w:val="24"/>
          <w:lang w:val="en-GB" w:eastAsia="en-GB"/>
        </w:rPr>
      </w:pPr>
      <w:r w:rsidRPr="007E4AB3">
        <w:rPr>
          <w:rFonts w:ascii="Times New Roman" w:eastAsia="Times New Roman" w:hAnsi="Times New Roman" w:cs="Times New Roman"/>
          <w:sz w:val="24"/>
          <w:szCs w:val="24"/>
          <w:lang w:val="en-GB" w:eastAsia="en-GB"/>
        </w:rPr>
        <w:t xml:space="preserve">In applying a </w:t>
      </w:r>
      <w:r w:rsidRPr="007E4AB3">
        <w:rPr>
          <w:rFonts w:ascii="Times New Roman" w:eastAsia="Times New Roman" w:hAnsi="Times New Roman" w:cs="Times New Roman"/>
          <w:b/>
          <w:bCs/>
          <w:sz w:val="24"/>
          <w:szCs w:val="24"/>
          <w:lang w:val="en-GB" w:eastAsia="en-GB"/>
        </w:rPr>
        <w:t>system</w:t>
      </w:r>
      <w:r w:rsidRPr="007E4AB3">
        <w:rPr>
          <w:rFonts w:ascii="Times New Roman" w:eastAsia="Times New Roman" w:hAnsi="Times New Roman" w:cs="Times New Roman"/>
          <w:b/>
          <w:bCs/>
          <w:sz w:val="24"/>
          <w:szCs w:val="24"/>
          <w:lang w:val="en-GB" w:eastAsia="en-GB"/>
        </w:rPr>
        <w:t xml:space="preserve"> thinking lens</w:t>
      </w:r>
      <w:r w:rsidRPr="007E4AB3">
        <w:rPr>
          <w:rFonts w:ascii="Times New Roman" w:eastAsia="Times New Roman" w:hAnsi="Times New Roman" w:cs="Times New Roman"/>
          <w:sz w:val="24"/>
          <w:szCs w:val="24"/>
          <w:lang w:val="en-GB" w:eastAsia="en-GB"/>
        </w:rPr>
        <w:t>, it becomes evident that the interactions between governance structures, institutional capacities, and leadership behaviours create feedback loops that either reinforce or undermine system performance. For instance, delayed responses in decentralised settings can generate public scepticism, which in turn reduces compliance and effectiveness. Conversely, effective centralisation—when embedded in trusted institutions—can create a virtuous cycle of compliance, low transmission, and public confidence.</w:t>
      </w:r>
      <w:r>
        <w:rPr>
          <w:rFonts w:ascii="Times New Roman" w:eastAsia="Times New Roman" w:hAnsi="Times New Roman" w:cs="Times New Roman"/>
          <w:sz w:val="24"/>
          <w:szCs w:val="24"/>
          <w:lang w:val="en-GB" w:eastAsia="en-GB"/>
        </w:rPr>
        <w:t xml:space="preserve"> </w:t>
      </w:r>
      <w:r w:rsidRPr="007E4AB3">
        <w:rPr>
          <w:rFonts w:ascii="Times New Roman" w:eastAsia="Times New Roman" w:hAnsi="Times New Roman" w:cs="Times New Roman"/>
          <w:sz w:val="24"/>
          <w:szCs w:val="24"/>
          <w:lang w:val="en-GB" w:eastAsia="en-GB"/>
        </w:rPr>
        <w:t xml:space="preserve">Ultimately, no single model guarantees success. The critical differentiators are the </w:t>
      </w:r>
      <w:r w:rsidRPr="007E4AB3">
        <w:rPr>
          <w:rFonts w:ascii="Times New Roman" w:eastAsia="Times New Roman" w:hAnsi="Times New Roman" w:cs="Times New Roman"/>
          <w:b/>
          <w:bCs/>
          <w:sz w:val="24"/>
          <w:szCs w:val="24"/>
          <w:lang w:val="en-GB" w:eastAsia="en-GB"/>
        </w:rPr>
        <w:t>agility of governance structures</w:t>
      </w:r>
      <w:r w:rsidRPr="007E4AB3">
        <w:rPr>
          <w:rFonts w:ascii="Times New Roman" w:eastAsia="Times New Roman" w:hAnsi="Times New Roman" w:cs="Times New Roman"/>
          <w:sz w:val="24"/>
          <w:szCs w:val="24"/>
          <w:lang w:val="en-GB" w:eastAsia="en-GB"/>
        </w:rPr>
        <w:t xml:space="preserve">, the </w:t>
      </w:r>
      <w:r w:rsidRPr="007E4AB3">
        <w:rPr>
          <w:rFonts w:ascii="Times New Roman" w:eastAsia="Times New Roman" w:hAnsi="Times New Roman" w:cs="Times New Roman"/>
          <w:b/>
          <w:bCs/>
          <w:sz w:val="24"/>
          <w:szCs w:val="24"/>
          <w:lang w:val="en-GB" w:eastAsia="en-GB"/>
        </w:rPr>
        <w:t>capacity for coordination across levels of government</w:t>
      </w:r>
      <w:r w:rsidRPr="007E4AB3">
        <w:rPr>
          <w:rFonts w:ascii="Times New Roman" w:eastAsia="Times New Roman" w:hAnsi="Times New Roman" w:cs="Times New Roman"/>
          <w:sz w:val="24"/>
          <w:szCs w:val="24"/>
          <w:lang w:val="en-GB" w:eastAsia="en-GB"/>
        </w:rPr>
        <w:t xml:space="preserve">, and the </w:t>
      </w:r>
      <w:r w:rsidRPr="007E4AB3">
        <w:rPr>
          <w:rFonts w:ascii="Times New Roman" w:eastAsia="Times New Roman" w:hAnsi="Times New Roman" w:cs="Times New Roman"/>
          <w:b/>
          <w:bCs/>
          <w:sz w:val="24"/>
          <w:szCs w:val="24"/>
          <w:lang w:val="en-GB" w:eastAsia="en-GB"/>
        </w:rPr>
        <w:t>ability to adapt and learn</w:t>
      </w:r>
      <w:r w:rsidRPr="007E4AB3">
        <w:rPr>
          <w:rFonts w:ascii="Times New Roman" w:eastAsia="Times New Roman" w:hAnsi="Times New Roman" w:cs="Times New Roman"/>
          <w:sz w:val="24"/>
          <w:szCs w:val="24"/>
          <w:lang w:val="en-GB" w:eastAsia="en-GB"/>
        </w:rPr>
        <w:t xml:space="preserve"> as new challenges emerge. Future pandemic preparedness must invest in strengthening both central capabilities and intergovernmental coordination frameworks. </w:t>
      </w:r>
    </w:p>
    <w:p w14:paraId="3EF18AB1" w14:textId="77777777" w:rsidR="001B5A2C" w:rsidRPr="007E4AB3" w:rsidRDefault="001B5A2C" w:rsidP="007E4AB3">
      <w:pPr>
        <w:widowControl/>
        <w:autoSpaceDE/>
        <w:autoSpaceDN/>
        <w:spacing w:line="360" w:lineRule="auto"/>
        <w:jc w:val="both"/>
        <w:rPr>
          <w:rFonts w:ascii="Times New Roman" w:eastAsia="Times New Roman" w:hAnsi="Times New Roman" w:cs="Times New Roman"/>
          <w:sz w:val="24"/>
          <w:szCs w:val="24"/>
          <w:lang w:val="en-GB" w:eastAsia="en-GB"/>
        </w:rPr>
      </w:pPr>
    </w:p>
    <w:p w14:paraId="0A512441" w14:textId="69FFE0F9" w:rsidR="007E4AB3" w:rsidRPr="007E4AB3" w:rsidRDefault="007E4AB3" w:rsidP="007E4AB3">
      <w:pPr>
        <w:widowControl/>
        <w:autoSpaceDE/>
        <w:autoSpaceDN/>
        <w:spacing w:line="360" w:lineRule="auto"/>
        <w:jc w:val="both"/>
        <w:outlineLvl w:val="1"/>
        <w:rPr>
          <w:rFonts w:ascii="Times New Roman" w:eastAsia="Times New Roman" w:hAnsi="Times New Roman" w:cs="Times New Roman"/>
          <w:b/>
          <w:bCs/>
          <w:sz w:val="28"/>
          <w:szCs w:val="28"/>
          <w:lang w:val="en-GB" w:eastAsia="en-GB"/>
        </w:rPr>
      </w:pPr>
      <w:r w:rsidRPr="007E4AB3">
        <w:rPr>
          <w:rFonts w:ascii="Times New Roman" w:eastAsia="Times New Roman" w:hAnsi="Times New Roman" w:cs="Times New Roman"/>
          <w:b/>
          <w:bCs/>
          <w:sz w:val="28"/>
          <w:szCs w:val="28"/>
          <w:lang w:val="en-GB" w:eastAsia="en-GB"/>
        </w:rPr>
        <w:t xml:space="preserve">3. Critical Analysis: Leadership Styles in Spain, South Korea, and Canada </w:t>
      </w:r>
    </w:p>
    <w:p w14:paraId="65E891C0" w14:textId="6EE32070" w:rsidR="007E4AB3" w:rsidRPr="007E4AB3" w:rsidRDefault="007E4AB3" w:rsidP="007E4AB3">
      <w:pPr>
        <w:widowControl/>
        <w:autoSpaceDE/>
        <w:autoSpaceDN/>
        <w:spacing w:line="360" w:lineRule="auto"/>
        <w:jc w:val="both"/>
        <w:outlineLvl w:val="2"/>
        <w:rPr>
          <w:rFonts w:ascii="Times New Roman" w:eastAsia="Times New Roman" w:hAnsi="Times New Roman" w:cs="Times New Roman"/>
          <w:b/>
          <w:bCs/>
          <w:sz w:val="24"/>
          <w:szCs w:val="24"/>
          <w:lang w:val="en-GB" w:eastAsia="en-GB"/>
        </w:rPr>
      </w:pPr>
      <w:r w:rsidRPr="007E4AB3">
        <w:rPr>
          <w:rFonts w:ascii="Times New Roman" w:eastAsia="Times New Roman" w:hAnsi="Times New Roman" w:cs="Times New Roman"/>
          <w:b/>
          <w:bCs/>
          <w:sz w:val="24"/>
          <w:szCs w:val="24"/>
          <w:lang w:val="en-GB" w:eastAsia="en-GB"/>
        </w:rPr>
        <w:t xml:space="preserve">3.1 Leadership Framework and Criteria </w:t>
      </w:r>
    </w:p>
    <w:p w14:paraId="262C5F2C" w14:textId="77777777" w:rsidR="007E4AB3" w:rsidRDefault="007E4AB3" w:rsidP="007E4AB3">
      <w:pPr>
        <w:widowControl/>
        <w:autoSpaceDE/>
        <w:autoSpaceDN/>
        <w:spacing w:line="360" w:lineRule="auto"/>
        <w:jc w:val="both"/>
        <w:rPr>
          <w:rFonts w:ascii="Times New Roman" w:eastAsia="Times New Roman" w:hAnsi="Times New Roman" w:cs="Times New Roman"/>
          <w:sz w:val="24"/>
          <w:szCs w:val="24"/>
          <w:lang w:val="en-GB" w:eastAsia="en-GB"/>
        </w:rPr>
      </w:pPr>
      <w:r w:rsidRPr="007E4AB3">
        <w:rPr>
          <w:rFonts w:ascii="Times New Roman" w:eastAsia="Times New Roman" w:hAnsi="Times New Roman" w:cs="Times New Roman"/>
          <w:sz w:val="24"/>
          <w:szCs w:val="24"/>
          <w:lang w:val="en-GB" w:eastAsia="en-GB"/>
        </w:rPr>
        <w:t xml:space="preserve">Leadership plays a pivotal role in the shaping and performance of health systems during crises, particularly in the face of a global pandemic such as COVID-19. This section critically analyses the leadership responses of three national figures: Spain’s Minister of Health Salvador Illa, South Korea’s </w:t>
      </w:r>
      <w:r w:rsidRPr="007E4AB3">
        <w:rPr>
          <w:rFonts w:ascii="Times New Roman" w:eastAsia="Times New Roman" w:hAnsi="Times New Roman" w:cs="Times New Roman"/>
          <w:sz w:val="24"/>
          <w:szCs w:val="24"/>
          <w:lang w:val="en-GB" w:eastAsia="en-GB"/>
        </w:rPr>
        <w:lastRenderedPageBreak/>
        <w:t>Prime Minister Chung Sye-</w:t>
      </w:r>
      <w:proofErr w:type="spellStart"/>
      <w:r w:rsidRPr="007E4AB3">
        <w:rPr>
          <w:rFonts w:ascii="Times New Roman" w:eastAsia="Times New Roman" w:hAnsi="Times New Roman" w:cs="Times New Roman"/>
          <w:sz w:val="24"/>
          <w:szCs w:val="24"/>
          <w:lang w:val="en-GB" w:eastAsia="en-GB"/>
        </w:rPr>
        <w:t>kyun</w:t>
      </w:r>
      <w:proofErr w:type="spellEnd"/>
      <w:r w:rsidRPr="007E4AB3">
        <w:rPr>
          <w:rFonts w:ascii="Times New Roman" w:eastAsia="Times New Roman" w:hAnsi="Times New Roman" w:cs="Times New Roman"/>
          <w:sz w:val="24"/>
          <w:szCs w:val="24"/>
          <w:lang w:val="en-GB" w:eastAsia="en-GB"/>
        </w:rPr>
        <w:t xml:space="preserve">, and Canada’s Prime Minister Justin Trudeau. The comparison is structured around four established leadership frameworks: </w:t>
      </w:r>
      <w:r w:rsidRPr="007E4AB3">
        <w:rPr>
          <w:rFonts w:ascii="Times New Roman" w:eastAsia="Times New Roman" w:hAnsi="Times New Roman" w:cs="Times New Roman"/>
          <w:b/>
          <w:bCs/>
          <w:sz w:val="24"/>
          <w:szCs w:val="24"/>
          <w:lang w:val="en-GB" w:eastAsia="en-GB"/>
        </w:rPr>
        <w:t>crisis leadership</w:t>
      </w:r>
      <w:r w:rsidRPr="007E4AB3">
        <w:rPr>
          <w:rFonts w:ascii="Times New Roman" w:eastAsia="Times New Roman" w:hAnsi="Times New Roman" w:cs="Times New Roman"/>
          <w:sz w:val="24"/>
          <w:szCs w:val="24"/>
          <w:lang w:val="en-GB" w:eastAsia="en-GB"/>
        </w:rPr>
        <w:t xml:space="preserve">, </w:t>
      </w:r>
      <w:r w:rsidRPr="007E4AB3">
        <w:rPr>
          <w:rFonts w:ascii="Times New Roman" w:eastAsia="Times New Roman" w:hAnsi="Times New Roman" w:cs="Times New Roman"/>
          <w:b/>
          <w:bCs/>
          <w:sz w:val="24"/>
          <w:szCs w:val="24"/>
          <w:lang w:val="en-GB" w:eastAsia="en-GB"/>
        </w:rPr>
        <w:t>transformational vs transactional leadership</w:t>
      </w:r>
      <w:r w:rsidRPr="007E4AB3">
        <w:rPr>
          <w:rFonts w:ascii="Times New Roman" w:eastAsia="Times New Roman" w:hAnsi="Times New Roman" w:cs="Times New Roman"/>
          <w:sz w:val="24"/>
          <w:szCs w:val="24"/>
          <w:lang w:val="en-GB" w:eastAsia="en-GB"/>
        </w:rPr>
        <w:t xml:space="preserve">, </w:t>
      </w:r>
      <w:r w:rsidRPr="007E4AB3">
        <w:rPr>
          <w:rFonts w:ascii="Times New Roman" w:eastAsia="Times New Roman" w:hAnsi="Times New Roman" w:cs="Times New Roman"/>
          <w:b/>
          <w:bCs/>
          <w:sz w:val="24"/>
          <w:szCs w:val="24"/>
          <w:lang w:val="en-GB" w:eastAsia="en-GB"/>
        </w:rPr>
        <w:t>adaptive leadership</w:t>
      </w:r>
      <w:r w:rsidRPr="007E4AB3">
        <w:rPr>
          <w:rFonts w:ascii="Times New Roman" w:eastAsia="Times New Roman" w:hAnsi="Times New Roman" w:cs="Times New Roman"/>
          <w:sz w:val="24"/>
          <w:szCs w:val="24"/>
          <w:lang w:val="en-GB" w:eastAsia="en-GB"/>
        </w:rPr>
        <w:t xml:space="preserve">, and </w:t>
      </w:r>
      <w:r w:rsidRPr="007E4AB3">
        <w:rPr>
          <w:rFonts w:ascii="Times New Roman" w:eastAsia="Times New Roman" w:hAnsi="Times New Roman" w:cs="Times New Roman"/>
          <w:b/>
          <w:bCs/>
          <w:sz w:val="24"/>
          <w:szCs w:val="24"/>
          <w:lang w:val="en-GB" w:eastAsia="en-GB"/>
        </w:rPr>
        <w:t>distributed leadership</w:t>
      </w:r>
      <w:r w:rsidRPr="007E4AB3">
        <w:rPr>
          <w:rFonts w:ascii="Times New Roman" w:eastAsia="Times New Roman" w:hAnsi="Times New Roman" w:cs="Times New Roman"/>
          <w:sz w:val="24"/>
          <w:szCs w:val="24"/>
          <w:lang w:val="en-GB" w:eastAsia="en-GB"/>
        </w:rPr>
        <w:t>.</w:t>
      </w:r>
    </w:p>
    <w:p w14:paraId="130986E1" w14:textId="77777777" w:rsidR="007E4AB3" w:rsidRPr="007E4AB3" w:rsidRDefault="007E4AB3" w:rsidP="007E4AB3">
      <w:pPr>
        <w:widowControl/>
        <w:autoSpaceDE/>
        <w:autoSpaceDN/>
        <w:spacing w:line="360" w:lineRule="auto"/>
        <w:jc w:val="both"/>
        <w:rPr>
          <w:rFonts w:ascii="Times New Roman" w:eastAsia="Times New Roman" w:hAnsi="Times New Roman" w:cs="Times New Roman"/>
          <w:sz w:val="24"/>
          <w:szCs w:val="24"/>
          <w:lang w:val="en-GB" w:eastAsia="en-GB"/>
        </w:rPr>
      </w:pPr>
    </w:p>
    <w:p w14:paraId="0F4BEE75" w14:textId="77777777" w:rsidR="007E4AB3" w:rsidRDefault="007E4AB3" w:rsidP="007E4AB3">
      <w:pPr>
        <w:widowControl/>
        <w:autoSpaceDE/>
        <w:autoSpaceDN/>
        <w:spacing w:line="360" w:lineRule="auto"/>
        <w:jc w:val="both"/>
        <w:rPr>
          <w:rFonts w:ascii="Times New Roman" w:eastAsia="Times New Roman" w:hAnsi="Times New Roman" w:cs="Times New Roman"/>
          <w:sz w:val="24"/>
          <w:szCs w:val="24"/>
          <w:lang w:val="en-GB" w:eastAsia="en-GB"/>
        </w:rPr>
      </w:pPr>
      <w:r w:rsidRPr="007E4AB3">
        <w:rPr>
          <w:rFonts w:ascii="Times New Roman" w:eastAsia="Times New Roman" w:hAnsi="Times New Roman" w:cs="Times New Roman"/>
          <w:sz w:val="24"/>
          <w:szCs w:val="24"/>
          <w:lang w:val="en-GB" w:eastAsia="en-GB"/>
        </w:rPr>
        <w:t>Crisis leadership, as defined by Boin et al. (2013), involves sensemaking in uncertainty, timely decision-making, and clear communication. Transformational leadership, characterised by vision, motivation, and change-driving, contrasts with transactional leadership, which emphasises rule-following and performance-based exchanges (Bass, 1990). Adaptive leadership, described by Heifetz et al. (2009), focuses on mobilising people and systems to adjust to complexity and emergent challenges. Lastly, distributed leadership highlights collaboration and shared responsibility, which is particularly relevant in decentralised systems (Spillane, 2006).</w:t>
      </w:r>
    </w:p>
    <w:p w14:paraId="55DCC664" w14:textId="77777777" w:rsidR="007E4AB3" w:rsidRPr="007E4AB3" w:rsidRDefault="007E4AB3" w:rsidP="007E4AB3">
      <w:pPr>
        <w:widowControl/>
        <w:autoSpaceDE/>
        <w:autoSpaceDN/>
        <w:spacing w:line="360" w:lineRule="auto"/>
        <w:jc w:val="both"/>
        <w:rPr>
          <w:rFonts w:ascii="Times New Roman" w:eastAsia="Times New Roman" w:hAnsi="Times New Roman" w:cs="Times New Roman"/>
          <w:sz w:val="24"/>
          <w:szCs w:val="24"/>
          <w:lang w:val="en-GB" w:eastAsia="en-GB"/>
        </w:rPr>
      </w:pPr>
    </w:p>
    <w:p w14:paraId="6F07BF50" w14:textId="77777777" w:rsidR="007E4AB3" w:rsidRDefault="007E4AB3" w:rsidP="007E4AB3">
      <w:pPr>
        <w:widowControl/>
        <w:autoSpaceDE/>
        <w:autoSpaceDN/>
        <w:spacing w:line="360" w:lineRule="auto"/>
        <w:jc w:val="both"/>
        <w:rPr>
          <w:rFonts w:ascii="Times New Roman" w:eastAsia="Times New Roman" w:hAnsi="Times New Roman" w:cs="Times New Roman"/>
          <w:sz w:val="24"/>
          <w:szCs w:val="24"/>
          <w:lang w:val="en-GB" w:eastAsia="en-GB"/>
        </w:rPr>
      </w:pPr>
      <w:r w:rsidRPr="007E4AB3">
        <w:rPr>
          <w:rFonts w:ascii="Times New Roman" w:eastAsia="Times New Roman" w:hAnsi="Times New Roman" w:cs="Times New Roman"/>
          <w:sz w:val="24"/>
          <w:szCs w:val="24"/>
          <w:lang w:val="en-GB" w:eastAsia="en-GB"/>
        </w:rPr>
        <w:t xml:space="preserve">To evaluate these leaders, seven criteria are applied consistently across the three case studies: </w:t>
      </w:r>
      <w:r w:rsidRPr="007E4AB3">
        <w:rPr>
          <w:rFonts w:ascii="Times New Roman" w:eastAsia="Times New Roman" w:hAnsi="Times New Roman" w:cs="Times New Roman"/>
          <w:b/>
          <w:bCs/>
          <w:sz w:val="24"/>
          <w:szCs w:val="24"/>
          <w:lang w:val="en-GB" w:eastAsia="en-GB"/>
        </w:rPr>
        <w:t>clarity of purpose</w:t>
      </w:r>
      <w:r w:rsidRPr="007E4AB3">
        <w:rPr>
          <w:rFonts w:ascii="Times New Roman" w:eastAsia="Times New Roman" w:hAnsi="Times New Roman" w:cs="Times New Roman"/>
          <w:sz w:val="24"/>
          <w:szCs w:val="24"/>
          <w:lang w:val="en-GB" w:eastAsia="en-GB"/>
        </w:rPr>
        <w:t xml:space="preserve">, </w:t>
      </w:r>
      <w:r w:rsidRPr="007E4AB3">
        <w:rPr>
          <w:rFonts w:ascii="Times New Roman" w:eastAsia="Times New Roman" w:hAnsi="Times New Roman" w:cs="Times New Roman"/>
          <w:b/>
          <w:bCs/>
          <w:sz w:val="24"/>
          <w:szCs w:val="24"/>
          <w:lang w:val="en-GB" w:eastAsia="en-GB"/>
        </w:rPr>
        <w:t>transparency</w:t>
      </w:r>
      <w:r w:rsidRPr="007E4AB3">
        <w:rPr>
          <w:rFonts w:ascii="Times New Roman" w:eastAsia="Times New Roman" w:hAnsi="Times New Roman" w:cs="Times New Roman"/>
          <w:sz w:val="24"/>
          <w:szCs w:val="24"/>
          <w:lang w:val="en-GB" w:eastAsia="en-GB"/>
        </w:rPr>
        <w:t xml:space="preserve">, </w:t>
      </w:r>
      <w:r w:rsidRPr="007E4AB3">
        <w:rPr>
          <w:rFonts w:ascii="Times New Roman" w:eastAsia="Times New Roman" w:hAnsi="Times New Roman" w:cs="Times New Roman"/>
          <w:b/>
          <w:bCs/>
          <w:sz w:val="24"/>
          <w:szCs w:val="24"/>
          <w:lang w:val="en-GB" w:eastAsia="en-GB"/>
        </w:rPr>
        <w:t>empathy</w:t>
      </w:r>
      <w:r w:rsidRPr="007E4AB3">
        <w:rPr>
          <w:rFonts w:ascii="Times New Roman" w:eastAsia="Times New Roman" w:hAnsi="Times New Roman" w:cs="Times New Roman"/>
          <w:sz w:val="24"/>
          <w:szCs w:val="24"/>
          <w:lang w:val="en-GB" w:eastAsia="en-GB"/>
        </w:rPr>
        <w:t xml:space="preserve">, </w:t>
      </w:r>
      <w:r w:rsidRPr="007E4AB3">
        <w:rPr>
          <w:rFonts w:ascii="Times New Roman" w:eastAsia="Times New Roman" w:hAnsi="Times New Roman" w:cs="Times New Roman"/>
          <w:b/>
          <w:bCs/>
          <w:sz w:val="24"/>
          <w:szCs w:val="24"/>
          <w:lang w:val="en-GB" w:eastAsia="en-GB"/>
        </w:rPr>
        <w:t>coordination ability</w:t>
      </w:r>
      <w:r w:rsidRPr="007E4AB3">
        <w:rPr>
          <w:rFonts w:ascii="Times New Roman" w:eastAsia="Times New Roman" w:hAnsi="Times New Roman" w:cs="Times New Roman"/>
          <w:sz w:val="24"/>
          <w:szCs w:val="24"/>
          <w:lang w:val="en-GB" w:eastAsia="en-GB"/>
        </w:rPr>
        <w:t xml:space="preserve">, </w:t>
      </w:r>
      <w:r w:rsidRPr="007E4AB3">
        <w:rPr>
          <w:rFonts w:ascii="Times New Roman" w:eastAsia="Times New Roman" w:hAnsi="Times New Roman" w:cs="Times New Roman"/>
          <w:b/>
          <w:bCs/>
          <w:sz w:val="24"/>
          <w:szCs w:val="24"/>
          <w:lang w:val="en-GB" w:eastAsia="en-GB"/>
        </w:rPr>
        <w:t>evidence-based decision-making</w:t>
      </w:r>
      <w:r w:rsidRPr="007E4AB3">
        <w:rPr>
          <w:rFonts w:ascii="Times New Roman" w:eastAsia="Times New Roman" w:hAnsi="Times New Roman" w:cs="Times New Roman"/>
          <w:sz w:val="24"/>
          <w:szCs w:val="24"/>
          <w:lang w:val="en-GB" w:eastAsia="en-GB"/>
        </w:rPr>
        <w:t xml:space="preserve">, </w:t>
      </w:r>
      <w:r w:rsidRPr="007E4AB3">
        <w:rPr>
          <w:rFonts w:ascii="Times New Roman" w:eastAsia="Times New Roman" w:hAnsi="Times New Roman" w:cs="Times New Roman"/>
          <w:b/>
          <w:bCs/>
          <w:sz w:val="24"/>
          <w:szCs w:val="24"/>
          <w:lang w:val="en-GB" w:eastAsia="en-GB"/>
        </w:rPr>
        <w:t>stakeholder alignment</w:t>
      </w:r>
      <w:r w:rsidRPr="007E4AB3">
        <w:rPr>
          <w:rFonts w:ascii="Times New Roman" w:eastAsia="Times New Roman" w:hAnsi="Times New Roman" w:cs="Times New Roman"/>
          <w:sz w:val="24"/>
          <w:szCs w:val="24"/>
          <w:lang w:val="en-GB" w:eastAsia="en-GB"/>
        </w:rPr>
        <w:t xml:space="preserve">, and </w:t>
      </w:r>
      <w:r w:rsidRPr="007E4AB3">
        <w:rPr>
          <w:rFonts w:ascii="Times New Roman" w:eastAsia="Times New Roman" w:hAnsi="Times New Roman" w:cs="Times New Roman"/>
          <w:b/>
          <w:bCs/>
          <w:sz w:val="24"/>
          <w:szCs w:val="24"/>
          <w:lang w:val="en-GB" w:eastAsia="en-GB"/>
        </w:rPr>
        <w:t>adaptive learning</w:t>
      </w:r>
      <w:r w:rsidRPr="007E4AB3">
        <w:rPr>
          <w:rFonts w:ascii="Times New Roman" w:eastAsia="Times New Roman" w:hAnsi="Times New Roman" w:cs="Times New Roman"/>
          <w:sz w:val="24"/>
          <w:szCs w:val="24"/>
          <w:lang w:val="en-GB" w:eastAsia="en-GB"/>
        </w:rPr>
        <w:t>. These criteria reflect both relational and strategic aspects of leadership, in line with COVID-19-specific public health governance needs (WHO, 2020). Each leader’s approach is judged not only by policy outcomes, but also by their impact on trust, system resilience, and population compliance.</w:t>
      </w:r>
    </w:p>
    <w:p w14:paraId="379F011F" w14:textId="77777777" w:rsidR="007E4AB3" w:rsidRPr="007E4AB3" w:rsidRDefault="007E4AB3" w:rsidP="007E4AB3">
      <w:pPr>
        <w:widowControl/>
        <w:autoSpaceDE/>
        <w:autoSpaceDN/>
        <w:spacing w:line="360" w:lineRule="auto"/>
        <w:jc w:val="both"/>
        <w:rPr>
          <w:rFonts w:ascii="Times New Roman" w:eastAsia="Times New Roman" w:hAnsi="Times New Roman" w:cs="Times New Roman"/>
          <w:sz w:val="24"/>
          <w:szCs w:val="24"/>
          <w:lang w:val="en-GB" w:eastAsia="en-GB"/>
        </w:rPr>
      </w:pPr>
    </w:p>
    <w:p w14:paraId="174364D7" w14:textId="77777777" w:rsidR="007E4AB3" w:rsidRPr="007E4AB3" w:rsidRDefault="007E4AB3" w:rsidP="007E4AB3">
      <w:pPr>
        <w:widowControl/>
        <w:autoSpaceDE/>
        <w:autoSpaceDN/>
        <w:spacing w:line="360" w:lineRule="auto"/>
        <w:jc w:val="both"/>
        <w:rPr>
          <w:rFonts w:ascii="Times New Roman" w:eastAsia="Times New Roman" w:hAnsi="Times New Roman" w:cs="Times New Roman"/>
          <w:sz w:val="24"/>
          <w:szCs w:val="24"/>
          <w:lang w:val="en-GB" w:eastAsia="en-GB"/>
        </w:rPr>
      </w:pPr>
      <w:r w:rsidRPr="007E4AB3">
        <w:rPr>
          <w:rFonts w:ascii="Times New Roman" w:eastAsia="Times New Roman" w:hAnsi="Times New Roman" w:cs="Times New Roman"/>
          <w:b/>
          <w:bCs/>
          <w:sz w:val="24"/>
          <w:szCs w:val="24"/>
          <w:lang w:val="en-GB" w:eastAsia="en-GB"/>
        </w:rPr>
        <w:t>Table 2: Leadership Behaviours Mapped to Pandemic Outcomes</w:t>
      </w:r>
    </w:p>
    <w:tbl>
      <w:tblPr>
        <w:tblStyle w:val="TableGrid"/>
        <w:tblW w:w="0" w:type="auto"/>
        <w:tblLook w:val="04A0" w:firstRow="1" w:lastRow="0" w:firstColumn="1" w:lastColumn="0" w:noHBand="0" w:noVBand="1"/>
      </w:tblPr>
      <w:tblGrid>
        <w:gridCol w:w="1687"/>
        <w:gridCol w:w="2657"/>
        <w:gridCol w:w="2739"/>
        <w:gridCol w:w="2537"/>
      </w:tblGrid>
      <w:tr w:rsidR="007E4AB3" w:rsidRPr="007E4AB3" w14:paraId="5403F540" w14:textId="77777777" w:rsidTr="007E4AB3">
        <w:tc>
          <w:tcPr>
            <w:tcW w:w="0" w:type="auto"/>
            <w:hideMark/>
          </w:tcPr>
          <w:p w14:paraId="0F803A7D" w14:textId="77777777" w:rsidR="007E4AB3" w:rsidRPr="007E4AB3" w:rsidRDefault="007E4AB3" w:rsidP="007E4AB3">
            <w:pPr>
              <w:widowControl/>
              <w:autoSpaceDE/>
              <w:autoSpaceDN/>
              <w:spacing w:line="360" w:lineRule="auto"/>
              <w:jc w:val="both"/>
              <w:rPr>
                <w:rFonts w:ascii="Times New Roman" w:eastAsia="Times New Roman" w:hAnsi="Times New Roman" w:cs="Times New Roman"/>
                <w:b/>
                <w:bCs/>
                <w:sz w:val="24"/>
                <w:szCs w:val="24"/>
                <w:lang w:val="en-GB" w:eastAsia="en-GB"/>
              </w:rPr>
            </w:pPr>
            <w:r w:rsidRPr="007E4AB3">
              <w:rPr>
                <w:rFonts w:ascii="Times New Roman" w:eastAsia="Times New Roman" w:hAnsi="Times New Roman" w:cs="Times New Roman"/>
                <w:b/>
                <w:bCs/>
                <w:sz w:val="24"/>
                <w:szCs w:val="24"/>
                <w:lang w:val="en-GB" w:eastAsia="en-GB"/>
              </w:rPr>
              <w:t>Criteria</w:t>
            </w:r>
          </w:p>
        </w:tc>
        <w:tc>
          <w:tcPr>
            <w:tcW w:w="0" w:type="auto"/>
            <w:hideMark/>
          </w:tcPr>
          <w:p w14:paraId="45509198" w14:textId="77777777" w:rsidR="007E4AB3" w:rsidRPr="007E4AB3" w:rsidRDefault="007E4AB3" w:rsidP="007E4AB3">
            <w:pPr>
              <w:widowControl/>
              <w:autoSpaceDE/>
              <w:autoSpaceDN/>
              <w:spacing w:line="360" w:lineRule="auto"/>
              <w:jc w:val="both"/>
              <w:rPr>
                <w:rFonts w:ascii="Times New Roman" w:eastAsia="Times New Roman" w:hAnsi="Times New Roman" w:cs="Times New Roman"/>
                <w:b/>
                <w:bCs/>
                <w:sz w:val="24"/>
                <w:szCs w:val="24"/>
                <w:lang w:val="en-GB" w:eastAsia="en-GB"/>
              </w:rPr>
            </w:pPr>
            <w:r w:rsidRPr="007E4AB3">
              <w:rPr>
                <w:rFonts w:ascii="Times New Roman" w:eastAsia="Times New Roman" w:hAnsi="Times New Roman" w:cs="Times New Roman"/>
                <w:b/>
                <w:bCs/>
                <w:sz w:val="24"/>
                <w:szCs w:val="24"/>
                <w:lang w:val="en-GB" w:eastAsia="en-GB"/>
              </w:rPr>
              <w:t>Salvador Illa (Spain)</w:t>
            </w:r>
          </w:p>
        </w:tc>
        <w:tc>
          <w:tcPr>
            <w:tcW w:w="0" w:type="auto"/>
            <w:hideMark/>
          </w:tcPr>
          <w:p w14:paraId="3EEE594C" w14:textId="77777777" w:rsidR="007E4AB3" w:rsidRPr="007E4AB3" w:rsidRDefault="007E4AB3" w:rsidP="007E4AB3">
            <w:pPr>
              <w:widowControl/>
              <w:autoSpaceDE/>
              <w:autoSpaceDN/>
              <w:spacing w:line="360" w:lineRule="auto"/>
              <w:jc w:val="both"/>
              <w:rPr>
                <w:rFonts w:ascii="Times New Roman" w:eastAsia="Times New Roman" w:hAnsi="Times New Roman" w:cs="Times New Roman"/>
                <w:b/>
                <w:bCs/>
                <w:sz w:val="24"/>
                <w:szCs w:val="24"/>
                <w:lang w:val="en-GB" w:eastAsia="en-GB"/>
              </w:rPr>
            </w:pPr>
            <w:r w:rsidRPr="007E4AB3">
              <w:rPr>
                <w:rFonts w:ascii="Times New Roman" w:eastAsia="Times New Roman" w:hAnsi="Times New Roman" w:cs="Times New Roman"/>
                <w:b/>
                <w:bCs/>
                <w:sz w:val="24"/>
                <w:szCs w:val="24"/>
                <w:lang w:val="en-GB" w:eastAsia="en-GB"/>
              </w:rPr>
              <w:t>Chung Sye-</w:t>
            </w:r>
            <w:proofErr w:type="spellStart"/>
            <w:r w:rsidRPr="007E4AB3">
              <w:rPr>
                <w:rFonts w:ascii="Times New Roman" w:eastAsia="Times New Roman" w:hAnsi="Times New Roman" w:cs="Times New Roman"/>
                <w:b/>
                <w:bCs/>
                <w:sz w:val="24"/>
                <w:szCs w:val="24"/>
                <w:lang w:val="en-GB" w:eastAsia="en-GB"/>
              </w:rPr>
              <w:t>kyun</w:t>
            </w:r>
            <w:proofErr w:type="spellEnd"/>
            <w:r w:rsidRPr="007E4AB3">
              <w:rPr>
                <w:rFonts w:ascii="Times New Roman" w:eastAsia="Times New Roman" w:hAnsi="Times New Roman" w:cs="Times New Roman"/>
                <w:b/>
                <w:bCs/>
                <w:sz w:val="24"/>
                <w:szCs w:val="24"/>
                <w:lang w:val="en-GB" w:eastAsia="en-GB"/>
              </w:rPr>
              <w:t xml:space="preserve"> (South Korea)</w:t>
            </w:r>
          </w:p>
        </w:tc>
        <w:tc>
          <w:tcPr>
            <w:tcW w:w="0" w:type="auto"/>
            <w:hideMark/>
          </w:tcPr>
          <w:p w14:paraId="58E493B9" w14:textId="77777777" w:rsidR="007E4AB3" w:rsidRPr="007E4AB3" w:rsidRDefault="007E4AB3" w:rsidP="007E4AB3">
            <w:pPr>
              <w:widowControl/>
              <w:autoSpaceDE/>
              <w:autoSpaceDN/>
              <w:spacing w:line="360" w:lineRule="auto"/>
              <w:jc w:val="both"/>
              <w:rPr>
                <w:rFonts w:ascii="Times New Roman" w:eastAsia="Times New Roman" w:hAnsi="Times New Roman" w:cs="Times New Roman"/>
                <w:b/>
                <w:bCs/>
                <w:sz w:val="24"/>
                <w:szCs w:val="24"/>
                <w:lang w:val="en-GB" w:eastAsia="en-GB"/>
              </w:rPr>
            </w:pPr>
            <w:r w:rsidRPr="007E4AB3">
              <w:rPr>
                <w:rFonts w:ascii="Times New Roman" w:eastAsia="Times New Roman" w:hAnsi="Times New Roman" w:cs="Times New Roman"/>
                <w:b/>
                <w:bCs/>
                <w:sz w:val="24"/>
                <w:szCs w:val="24"/>
                <w:lang w:val="en-GB" w:eastAsia="en-GB"/>
              </w:rPr>
              <w:t>Justin Trudeau (Canada)</w:t>
            </w:r>
          </w:p>
        </w:tc>
      </w:tr>
      <w:tr w:rsidR="007E4AB3" w:rsidRPr="007E4AB3" w14:paraId="77428819" w14:textId="77777777" w:rsidTr="007E4AB3">
        <w:tc>
          <w:tcPr>
            <w:tcW w:w="0" w:type="auto"/>
            <w:hideMark/>
          </w:tcPr>
          <w:p w14:paraId="36E4784F" w14:textId="77777777" w:rsidR="007E4AB3" w:rsidRPr="007E4AB3" w:rsidRDefault="007E4AB3" w:rsidP="007E4AB3">
            <w:pPr>
              <w:widowControl/>
              <w:autoSpaceDE/>
              <w:autoSpaceDN/>
              <w:spacing w:line="360" w:lineRule="auto"/>
              <w:jc w:val="both"/>
              <w:rPr>
                <w:rFonts w:ascii="Times New Roman" w:eastAsia="Times New Roman" w:hAnsi="Times New Roman" w:cs="Times New Roman"/>
                <w:sz w:val="24"/>
                <w:szCs w:val="24"/>
                <w:lang w:val="en-GB" w:eastAsia="en-GB"/>
              </w:rPr>
            </w:pPr>
            <w:r w:rsidRPr="007E4AB3">
              <w:rPr>
                <w:rFonts w:ascii="Times New Roman" w:eastAsia="Times New Roman" w:hAnsi="Times New Roman" w:cs="Times New Roman"/>
                <w:sz w:val="24"/>
                <w:szCs w:val="24"/>
                <w:lang w:val="en-GB" w:eastAsia="en-GB"/>
              </w:rPr>
              <w:t>Clarity of Purpose</w:t>
            </w:r>
          </w:p>
        </w:tc>
        <w:tc>
          <w:tcPr>
            <w:tcW w:w="0" w:type="auto"/>
            <w:hideMark/>
          </w:tcPr>
          <w:p w14:paraId="75E8434A" w14:textId="77777777" w:rsidR="007E4AB3" w:rsidRPr="007E4AB3" w:rsidRDefault="007E4AB3" w:rsidP="007E4AB3">
            <w:pPr>
              <w:widowControl/>
              <w:autoSpaceDE/>
              <w:autoSpaceDN/>
              <w:spacing w:line="360" w:lineRule="auto"/>
              <w:jc w:val="both"/>
              <w:rPr>
                <w:rFonts w:ascii="Times New Roman" w:eastAsia="Times New Roman" w:hAnsi="Times New Roman" w:cs="Times New Roman"/>
                <w:sz w:val="24"/>
                <w:szCs w:val="24"/>
                <w:lang w:val="en-GB" w:eastAsia="en-GB"/>
              </w:rPr>
            </w:pPr>
            <w:r w:rsidRPr="007E4AB3">
              <w:rPr>
                <w:rFonts w:ascii="Times New Roman" w:eastAsia="Times New Roman" w:hAnsi="Times New Roman" w:cs="Times New Roman"/>
                <w:sz w:val="24"/>
                <w:szCs w:val="24"/>
                <w:lang w:val="en-GB" w:eastAsia="en-GB"/>
              </w:rPr>
              <w:t>Initially vague; improved with vaccine rollout (Alemán et al., 2021)</w:t>
            </w:r>
          </w:p>
        </w:tc>
        <w:tc>
          <w:tcPr>
            <w:tcW w:w="0" w:type="auto"/>
            <w:hideMark/>
          </w:tcPr>
          <w:p w14:paraId="6A6A70DB" w14:textId="77777777" w:rsidR="007E4AB3" w:rsidRPr="007E4AB3" w:rsidRDefault="007E4AB3" w:rsidP="007E4AB3">
            <w:pPr>
              <w:widowControl/>
              <w:autoSpaceDE/>
              <w:autoSpaceDN/>
              <w:spacing w:line="360" w:lineRule="auto"/>
              <w:jc w:val="both"/>
              <w:rPr>
                <w:rFonts w:ascii="Times New Roman" w:eastAsia="Times New Roman" w:hAnsi="Times New Roman" w:cs="Times New Roman"/>
                <w:sz w:val="24"/>
                <w:szCs w:val="24"/>
                <w:lang w:val="en-GB" w:eastAsia="en-GB"/>
              </w:rPr>
            </w:pPr>
            <w:r w:rsidRPr="007E4AB3">
              <w:rPr>
                <w:rFonts w:ascii="Times New Roman" w:eastAsia="Times New Roman" w:hAnsi="Times New Roman" w:cs="Times New Roman"/>
                <w:sz w:val="24"/>
                <w:szCs w:val="24"/>
                <w:lang w:val="en-GB" w:eastAsia="en-GB"/>
              </w:rPr>
              <w:t>Clear central goals, rapid action (Kim &amp; Lee, 2020)</w:t>
            </w:r>
          </w:p>
        </w:tc>
        <w:tc>
          <w:tcPr>
            <w:tcW w:w="0" w:type="auto"/>
            <w:hideMark/>
          </w:tcPr>
          <w:p w14:paraId="10786EE2" w14:textId="77777777" w:rsidR="007E4AB3" w:rsidRPr="007E4AB3" w:rsidRDefault="007E4AB3" w:rsidP="007E4AB3">
            <w:pPr>
              <w:widowControl/>
              <w:autoSpaceDE/>
              <w:autoSpaceDN/>
              <w:spacing w:line="360" w:lineRule="auto"/>
              <w:jc w:val="both"/>
              <w:rPr>
                <w:rFonts w:ascii="Times New Roman" w:eastAsia="Times New Roman" w:hAnsi="Times New Roman" w:cs="Times New Roman"/>
                <w:sz w:val="24"/>
                <w:szCs w:val="24"/>
                <w:lang w:val="en-GB" w:eastAsia="en-GB"/>
              </w:rPr>
            </w:pPr>
            <w:r w:rsidRPr="007E4AB3">
              <w:rPr>
                <w:rFonts w:ascii="Times New Roman" w:eastAsia="Times New Roman" w:hAnsi="Times New Roman" w:cs="Times New Roman"/>
                <w:sz w:val="24"/>
                <w:szCs w:val="24"/>
                <w:lang w:val="en-GB" w:eastAsia="en-GB"/>
              </w:rPr>
              <w:t>Unified national purpose, but delivery fragmented (Wilson &amp; Lazar, 2021)</w:t>
            </w:r>
          </w:p>
        </w:tc>
      </w:tr>
      <w:tr w:rsidR="007E4AB3" w:rsidRPr="007E4AB3" w14:paraId="5A344D91" w14:textId="77777777" w:rsidTr="007E4AB3">
        <w:tc>
          <w:tcPr>
            <w:tcW w:w="0" w:type="auto"/>
            <w:hideMark/>
          </w:tcPr>
          <w:p w14:paraId="4E6C2988" w14:textId="77777777" w:rsidR="007E4AB3" w:rsidRPr="007E4AB3" w:rsidRDefault="007E4AB3" w:rsidP="007E4AB3">
            <w:pPr>
              <w:widowControl/>
              <w:autoSpaceDE/>
              <w:autoSpaceDN/>
              <w:spacing w:line="360" w:lineRule="auto"/>
              <w:jc w:val="both"/>
              <w:rPr>
                <w:rFonts w:ascii="Times New Roman" w:eastAsia="Times New Roman" w:hAnsi="Times New Roman" w:cs="Times New Roman"/>
                <w:sz w:val="24"/>
                <w:szCs w:val="24"/>
                <w:lang w:val="en-GB" w:eastAsia="en-GB"/>
              </w:rPr>
            </w:pPr>
            <w:r w:rsidRPr="007E4AB3">
              <w:rPr>
                <w:rFonts w:ascii="Times New Roman" w:eastAsia="Times New Roman" w:hAnsi="Times New Roman" w:cs="Times New Roman"/>
                <w:sz w:val="24"/>
                <w:szCs w:val="24"/>
                <w:lang w:val="en-GB" w:eastAsia="en-GB"/>
              </w:rPr>
              <w:t>Transparency</w:t>
            </w:r>
          </w:p>
        </w:tc>
        <w:tc>
          <w:tcPr>
            <w:tcW w:w="0" w:type="auto"/>
            <w:hideMark/>
          </w:tcPr>
          <w:p w14:paraId="26822963" w14:textId="77777777" w:rsidR="007E4AB3" w:rsidRPr="007E4AB3" w:rsidRDefault="007E4AB3" w:rsidP="007E4AB3">
            <w:pPr>
              <w:widowControl/>
              <w:autoSpaceDE/>
              <w:autoSpaceDN/>
              <w:spacing w:line="360" w:lineRule="auto"/>
              <w:jc w:val="both"/>
              <w:rPr>
                <w:rFonts w:ascii="Times New Roman" w:eastAsia="Times New Roman" w:hAnsi="Times New Roman" w:cs="Times New Roman"/>
                <w:sz w:val="24"/>
                <w:szCs w:val="24"/>
                <w:lang w:val="en-GB" w:eastAsia="en-GB"/>
              </w:rPr>
            </w:pPr>
            <w:r w:rsidRPr="007E4AB3">
              <w:rPr>
                <w:rFonts w:ascii="Times New Roman" w:eastAsia="Times New Roman" w:hAnsi="Times New Roman" w:cs="Times New Roman"/>
                <w:sz w:val="24"/>
                <w:szCs w:val="24"/>
                <w:lang w:val="en-GB" w:eastAsia="en-GB"/>
              </w:rPr>
              <w:t>Mixed; under-communicated early risks (Hernández-Quevedo et al., 2021)</w:t>
            </w:r>
          </w:p>
        </w:tc>
        <w:tc>
          <w:tcPr>
            <w:tcW w:w="0" w:type="auto"/>
            <w:hideMark/>
          </w:tcPr>
          <w:p w14:paraId="6A7A92C7" w14:textId="77777777" w:rsidR="007E4AB3" w:rsidRPr="007E4AB3" w:rsidRDefault="007E4AB3" w:rsidP="007E4AB3">
            <w:pPr>
              <w:widowControl/>
              <w:autoSpaceDE/>
              <w:autoSpaceDN/>
              <w:spacing w:line="360" w:lineRule="auto"/>
              <w:jc w:val="both"/>
              <w:rPr>
                <w:rFonts w:ascii="Times New Roman" w:eastAsia="Times New Roman" w:hAnsi="Times New Roman" w:cs="Times New Roman"/>
                <w:sz w:val="24"/>
                <w:szCs w:val="24"/>
                <w:lang w:val="en-GB" w:eastAsia="en-GB"/>
              </w:rPr>
            </w:pPr>
            <w:r w:rsidRPr="007E4AB3">
              <w:rPr>
                <w:rFonts w:ascii="Times New Roman" w:eastAsia="Times New Roman" w:hAnsi="Times New Roman" w:cs="Times New Roman"/>
                <w:sz w:val="24"/>
                <w:szCs w:val="24"/>
                <w:lang w:val="en-GB" w:eastAsia="en-GB"/>
              </w:rPr>
              <w:t>High, enabled trust and data sharing (Lee &amp; Lee, 2020)</w:t>
            </w:r>
          </w:p>
        </w:tc>
        <w:tc>
          <w:tcPr>
            <w:tcW w:w="0" w:type="auto"/>
            <w:hideMark/>
          </w:tcPr>
          <w:p w14:paraId="7B5DD7FF" w14:textId="77777777" w:rsidR="007E4AB3" w:rsidRPr="007E4AB3" w:rsidRDefault="007E4AB3" w:rsidP="007E4AB3">
            <w:pPr>
              <w:widowControl/>
              <w:autoSpaceDE/>
              <w:autoSpaceDN/>
              <w:spacing w:line="360" w:lineRule="auto"/>
              <w:jc w:val="both"/>
              <w:rPr>
                <w:rFonts w:ascii="Times New Roman" w:eastAsia="Times New Roman" w:hAnsi="Times New Roman" w:cs="Times New Roman"/>
                <w:sz w:val="24"/>
                <w:szCs w:val="24"/>
                <w:lang w:val="en-GB" w:eastAsia="en-GB"/>
              </w:rPr>
            </w:pPr>
            <w:r w:rsidRPr="007E4AB3">
              <w:rPr>
                <w:rFonts w:ascii="Times New Roman" w:eastAsia="Times New Roman" w:hAnsi="Times New Roman" w:cs="Times New Roman"/>
                <w:sz w:val="24"/>
                <w:szCs w:val="24"/>
                <w:lang w:val="en-GB" w:eastAsia="en-GB"/>
              </w:rPr>
              <w:t>Regular briefings, transparent on limits (Flood et al., 2021)</w:t>
            </w:r>
          </w:p>
        </w:tc>
      </w:tr>
      <w:tr w:rsidR="007E4AB3" w:rsidRPr="007E4AB3" w14:paraId="718745FD" w14:textId="77777777" w:rsidTr="007E4AB3">
        <w:tc>
          <w:tcPr>
            <w:tcW w:w="0" w:type="auto"/>
            <w:hideMark/>
          </w:tcPr>
          <w:p w14:paraId="23909E4D" w14:textId="77777777" w:rsidR="007E4AB3" w:rsidRPr="007E4AB3" w:rsidRDefault="007E4AB3" w:rsidP="007E4AB3">
            <w:pPr>
              <w:widowControl/>
              <w:autoSpaceDE/>
              <w:autoSpaceDN/>
              <w:spacing w:line="360" w:lineRule="auto"/>
              <w:jc w:val="both"/>
              <w:rPr>
                <w:rFonts w:ascii="Times New Roman" w:eastAsia="Times New Roman" w:hAnsi="Times New Roman" w:cs="Times New Roman"/>
                <w:sz w:val="24"/>
                <w:szCs w:val="24"/>
                <w:lang w:val="en-GB" w:eastAsia="en-GB"/>
              </w:rPr>
            </w:pPr>
            <w:r w:rsidRPr="007E4AB3">
              <w:rPr>
                <w:rFonts w:ascii="Times New Roman" w:eastAsia="Times New Roman" w:hAnsi="Times New Roman" w:cs="Times New Roman"/>
                <w:sz w:val="24"/>
                <w:szCs w:val="24"/>
                <w:lang w:val="en-GB" w:eastAsia="en-GB"/>
              </w:rPr>
              <w:t>Empathy</w:t>
            </w:r>
          </w:p>
        </w:tc>
        <w:tc>
          <w:tcPr>
            <w:tcW w:w="0" w:type="auto"/>
            <w:hideMark/>
          </w:tcPr>
          <w:p w14:paraId="7E15B5A7" w14:textId="77777777" w:rsidR="007E4AB3" w:rsidRPr="007E4AB3" w:rsidRDefault="007E4AB3" w:rsidP="007E4AB3">
            <w:pPr>
              <w:widowControl/>
              <w:autoSpaceDE/>
              <w:autoSpaceDN/>
              <w:spacing w:line="360" w:lineRule="auto"/>
              <w:jc w:val="both"/>
              <w:rPr>
                <w:rFonts w:ascii="Times New Roman" w:eastAsia="Times New Roman" w:hAnsi="Times New Roman" w:cs="Times New Roman"/>
                <w:sz w:val="24"/>
                <w:szCs w:val="24"/>
                <w:lang w:val="en-GB" w:eastAsia="en-GB"/>
              </w:rPr>
            </w:pPr>
            <w:r w:rsidRPr="007E4AB3">
              <w:rPr>
                <w:rFonts w:ascii="Times New Roman" w:eastAsia="Times New Roman" w:hAnsi="Times New Roman" w:cs="Times New Roman"/>
                <w:sz w:val="24"/>
                <w:szCs w:val="24"/>
                <w:lang w:val="en-GB" w:eastAsia="en-GB"/>
              </w:rPr>
              <w:t>Moderate; emphasised national unity during second wave</w:t>
            </w:r>
          </w:p>
        </w:tc>
        <w:tc>
          <w:tcPr>
            <w:tcW w:w="0" w:type="auto"/>
            <w:hideMark/>
          </w:tcPr>
          <w:p w14:paraId="21E6C506" w14:textId="77777777" w:rsidR="007E4AB3" w:rsidRPr="007E4AB3" w:rsidRDefault="007E4AB3" w:rsidP="007E4AB3">
            <w:pPr>
              <w:widowControl/>
              <w:autoSpaceDE/>
              <w:autoSpaceDN/>
              <w:spacing w:line="360" w:lineRule="auto"/>
              <w:jc w:val="both"/>
              <w:rPr>
                <w:rFonts w:ascii="Times New Roman" w:eastAsia="Times New Roman" w:hAnsi="Times New Roman" w:cs="Times New Roman"/>
                <w:sz w:val="24"/>
                <w:szCs w:val="24"/>
                <w:lang w:val="en-GB" w:eastAsia="en-GB"/>
              </w:rPr>
            </w:pPr>
            <w:r w:rsidRPr="007E4AB3">
              <w:rPr>
                <w:rFonts w:ascii="Times New Roman" w:eastAsia="Times New Roman" w:hAnsi="Times New Roman" w:cs="Times New Roman"/>
                <w:sz w:val="24"/>
                <w:szCs w:val="24"/>
                <w:lang w:val="en-GB" w:eastAsia="en-GB"/>
              </w:rPr>
              <w:t xml:space="preserve">Strong; framed interventions with social </w:t>
            </w:r>
            <w:r w:rsidRPr="007E4AB3">
              <w:rPr>
                <w:rFonts w:ascii="Times New Roman" w:eastAsia="Times New Roman" w:hAnsi="Times New Roman" w:cs="Times New Roman"/>
                <w:sz w:val="24"/>
                <w:szCs w:val="24"/>
                <w:lang w:val="en-GB" w:eastAsia="en-GB"/>
              </w:rPr>
              <w:lastRenderedPageBreak/>
              <w:t>responsibility (Park et al., 2021)</w:t>
            </w:r>
          </w:p>
        </w:tc>
        <w:tc>
          <w:tcPr>
            <w:tcW w:w="0" w:type="auto"/>
            <w:hideMark/>
          </w:tcPr>
          <w:p w14:paraId="2D214CAD" w14:textId="77777777" w:rsidR="007E4AB3" w:rsidRPr="007E4AB3" w:rsidRDefault="007E4AB3" w:rsidP="007E4AB3">
            <w:pPr>
              <w:widowControl/>
              <w:autoSpaceDE/>
              <w:autoSpaceDN/>
              <w:spacing w:line="360" w:lineRule="auto"/>
              <w:jc w:val="both"/>
              <w:rPr>
                <w:rFonts w:ascii="Times New Roman" w:eastAsia="Times New Roman" w:hAnsi="Times New Roman" w:cs="Times New Roman"/>
                <w:sz w:val="24"/>
                <w:szCs w:val="24"/>
                <w:lang w:val="en-GB" w:eastAsia="en-GB"/>
              </w:rPr>
            </w:pPr>
            <w:r w:rsidRPr="007E4AB3">
              <w:rPr>
                <w:rFonts w:ascii="Times New Roman" w:eastAsia="Times New Roman" w:hAnsi="Times New Roman" w:cs="Times New Roman"/>
                <w:sz w:val="24"/>
                <w:szCs w:val="24"/>
                <w:lang w:val="en-GB" w:eastAsia="en-GB"/>
              </w:rPr>
              <w:lastRenderedPageBreak/>
              <w:t xml:space="preserve">Strong; addressed public with compassion </w:t>
            </w:r>
            <w:r w:rsidRPr="007E4AB3">
              <w:rPr>
                <w:rFonts w:ascii="Times New Roman" w:eastAsia="Times New Roman" w:hAnsi="Times New Roman" w:cs="Times New Roman"/>
                <w:sz w:val="24"/>
                <w:szCs w:val="24"/>
                <w:lang w:val="en-GB" w:eastAsia="en-GB"/>
              </w:rPr>
              <w:lastRenderedPageBreak/>
              <w:t>and unity (Brown, 2021)</w:t>
            </w:r>
          </w:p>
        </w:tc>
      </w:tr>
      <w:tr w:rsidR="007E4AB3" w:rsidRPr="007E4AB3" w14:paraId="486049F2" w14:textId="77777777" w:rsidTr="007E4AB3">
        <w:tc>
          <w:tcPr>
            <w:tcW w:w="0" w:type="auto"/>
            <w:hideMark/>
          </w:tcPr>
          <w:p w14:paraId="6D94DD24" w14:textId="77777777" w:rsidR="007E4AB3" w:rsidRPr="007E4AB3" w:rsidRDefault="007E4AB3" w:rsidP="007E4AB3">
            <w:pPr>
              <w:widowControl/>
              <w:autoSpaceDE/>
              <w:autoSpaceDN/>
              <w:spacing w:line="360" w:lineRule="auto"/>
              <w:jc w:val="both"/>
              <w:rPr>
                <w:rFonts w:ascii="Times New Roman" w:eastAsia="Times New Roman" w:hAnsi="Times New Roman" w:cs="Times New Roman"/>
                <w:sz w:val="24"/>
                <w:szCs w:val="24"/>
                <w:lang w:val="en-GB" w:eastAsia="en-GB"/>
              </w:rPr>
            </w:pPr>
            <w:r w:rsidRPr="007E4AB3">
              <w:rPr>
                <w:rFonts w:ascii="Times New Roman" w:eastAsia="Times New Roman" w:hAnsi="Times New Roman" w:cs="Times New Roman"/>
                <w:sz w:val="24"/>
                <w:szCs w:val="24"/>
                <w:lang w:val="en-GB" w:eastAsia="en-GB"/>
              </w:rPr>
              <w:lastRenderedPageBreak/>
              <w:t>Coordination</w:t>
            </w:r>
          </w:p>
        </w:tc>
        <w:tc>
          <w:tcPr>
            <w:tcW w:w="0" w:type="auto"/>
            <w:hideMark/>
          </w:tcPr>
          <w:p w14:paraId="02F48D04" w14:textId="77777777" w:rsidR="007E4AB3" w:rsidRPr="007E4AB3" w:rsidRDefault="007E4AB3" w:rsidP="007E4AB3">
            <w:pPr>
              <w:widowControl/>
              <w:autoSpaceDE/>
              <w:autoSpaceDN/>
              <w:spacing w:line="360" w:lineRule="auto"/>
              <w:jc w:val="both"/>
              <w:rPr>
                <w:rFonts w:ascii="Times New Roman" w:eastAsia="Times New Roman" w:hAnsi="Times New Roman" w:cs="Times New Roman"/>
                <w:sz w:val="24"/>
                <w:szCs w:val="24"/>
                <w:lang w:val="en-GB" w:eastAsia="en-GB"/>
              </w:rPr>
            </w:pPr>
            <w:r w:rsidRPr="007E4AB3">
              <w:rPr>
                <w:rFonts w:ascii="Times New Roman" w:eastAsia="Times New Roman" w:hAnsi="Times New Roman" w:cs="Times New Roman"/>
                <w:sz w:val="24"/>
                <w:szCs w:val="24"/>
                <w:lang w:val="en-GB" w:eastAsia="en-GB"/>
              </w:rPr>
              <w:t>Initially weak across Autonomous Communities</w:t>
            </w:r>
          </w:p>
        </w:tc>
        <w:tc>
          <w:tcPr>
            <w:tcW w:w="0" w:type="auto"/>
            <w:hideMark/>
          </w:tcPr>
          <w:p w14:paraId="7AD28B52" w14:textId="77777777" w:rsidR="007E4AB3" w:rsidRPr="007E4AB3" w:rsidRDefault="007E4AB3" w:rsidP="007E4AB3">
            <w:pPr>
              <w:widowControl/>
              <w:autoSpaceDE/>
              <w:autoSpaceDN/>
              <w:spacing w:line="360" w:lineRule="auto"/>
              <w:jc w:val="both"/>
              <w:rPr>
                <w:rFonts w:ascii="Times New Roman" w:eastAsia="Times New Roman" w:hAnsi="Times New Roman" w:cs="Times New Roman"/>
                <w:sz w:val="24"/>
                <w:szCs w:val="24"/>
                <w:lang w:val="en-GB" w:eastAsia="en-GB"/>
              </w:rPr>
            </w:pPr>
            <w:r w:rsidRPr="007E4AB3">
              <w:rPr>
                <w:rFonts w:ascii="Times New Roman" w:eastAsia="Times New Roman" w:hAnsi="Times New Roman" w:cs="Times New Roman"/>
                <w:sz w:val="24"/>
                <w:szCs w:val="24"/>
                <w:lang w:val="en-GB" w:eastAsia="en-GB"/>
              </w:rPr>
              <w:t>Strong inter-ministerial coordination (KDCA-led)</w:t>
            </w:r>
          </w:p>
        </w:tc>
        <w:tc>
          <w:tcPr>
            <w:tcW w:w="0" w:type="auto"/>
            <w:hideMark/>
          </w:tcPr>
          <w:p w14:paraId="7A37C3D2" w14:textId="77777777" w:rsidR="007E4AB3" w:rsidRPr="007E4AB3" w:rsidRDefault="007E4AB3" w:rsidP="007E4AB3">
            <w:pPr>
              <w:widowControl/>
              <w:autoSpaceDE/>
              <w:autoSpaceDN/>
              <w:spacing w:line="360" w:lineRule="auto"/>
              <w:jc w:val="both"/>
              <w:rPr>
                <w:rFonts w:ascii="Times New Roman" w:eastAsia="Times New Roman" w:hAnsi="Times New Roman" w:cs="Times New Roman"/>
                <w:sz w:val="24"/>
                <w:szCs w:val="24"/>
                <w:lang w:val="en-GB" w:eastAsia="en-GB"/>
              </w:rPr>
            </w:pPr>
            <w:r w:rsidRPr="007E4AB3">
              <w:rPr>
                <w:rFonts w:ascii="Times New Roman" w:eastAsia="Times New Roman" w:hAnsi="Times New Roman" w:cs="Times New Roman"/>
                <w:sz w:val="24"/>
                <w:szCs w:val="24"/>
                <w:lang w:val="en-GB" w:eastAsia="en-GB"/>
              </w:rPr>
              <w:t>Coordination hindered by federal structure (Atkinson, 2022)</w:t>
            </w:r>
          </w:p>
        </w:tc>
      </w:tr>
      <w:tr w:rsidR="007E4AB3" w:rsidRPr="007E4AB3" w14:paraId="379B94F2" w14:textId="77777777" w:rsidTr="007E4AB3">
        <w:tc>
          <w:tcPr>
            <w:tcW w:w="0" w:type="auto"/>
            <w:hideMark/>
          </w:tcPr>
          <w:p w14:paraId="3101B017" w14:textId="77777777" w:rsidR="007E4AB3" w:rsidRPr="007E4AB3" w:rsidRDefault="007E4AB3" w:rsidP="007E4AB3">
            <w:pPr>
              <w:widowControl/>
              <w:autoSpaceDE/>
              <w:autoSpaceDN/>
              <w:spacing w:line="360" w:lineRule="auto"/>
              <w:jc w:val="both"/>
              <w:rPr>
                <w:rFonts w:ascii="Times New Roman" w:eastAsia="Times New Roman" w:hAnsi="Times New Roman" w:cs="Times New Roman"/>
                <w:sz w:val="24"/>
                <w:szCs w:val="24"/>
                <w:lang w:val="en-GB" w:eastAsia="en-GB"/>
              </w:rPr>
            </w:pPr>
            <w:r w:rsidRPr="007E4AB3">
              <w:rPr>
                <w:rFonts w:ascii="Times New Roman" w:eastAsia="Times New Roman" w:hAnsi="Times New Roman" w:cs="Times New Roman"/>
                <w:sz w:val="24"/>
                <w:szCs w:val="24"/>
                <w:lang w:val="en-GB" w:eastAsia="en-GB"/>
              </w:rPr>
              <w:t>Evidence Use</w:t>
            </w:r>
          </w:p>
        </w:tc>
        <w:tc>
          <w:tcPr>
            <w:tcW w:w="0" w:type="auto"/>
            <w:hideMark/>
          </w:tcPr>
          <w:p w14:paraId="28CD40C4" w14:textId="77777777" w:rsidR="007E4AB3" w:rsidRPr="007E4AB3" w:rsidRDefault="007E4AB3" w:rsidP="007E4AB3">
            <w:pPr>
              <w:widowControl/>
              <w:autoSpaceDE/>
              <w:autoSpaceDN/>
              <w:spacing w:line="360" w:lineRule="auto"/>
              <w:jc w:val="both"/>
              <w:rPr>
                <w:rFonts w:ascii="Times New Roman" w:eastAsia="Times New Roman" w:hAnsi="Times New Roman" w:cs="Times New Roman"/>
                <w:sz w:val="24"/>
                <w:szCs w:val="24"/>
                <w:lang w:val="en-GB" w:eastAsia="en-GB"/>
              </w:rPr>
            </w:pPr>
            <w:r w:rsidRPr="007E4AB3">
              <w:rPr>
                <w:rFonts w:ascii="Times New Roman" w:eastAsia="Times New Roman" w:hAnsi="Times New Roman" w:cs="Times New Roman"/>
                <w:sz w:val="24"/>
                <w:szCs w:val="24"/>
                <w:lang w:val="en-GB" w:eastAsia="en-GB"/>
              </w:rPr>
              <w:t>Improved with vaccination phase</w:t>
            </w:r>
          </w:p>
        </w:tc>
        <w:tc>
          <w:tcPr>
            <w:tcW w:w="0" w:type="auto"/>
            <w:hideMark/>
          </w:tcPr>
          <w:p w14:paraId="653A73F2" w14:textId="77777777" w:rsidR="007E4AB3" w:rsidRPr="007E4AB3" w:rsidRDefault="007E4AB3" w:rsidP="007E4AB3">
            <w:pPr>
              <w:widowControl/>
              <w:autoSpaceDE/>
              <w:autoSpaceDN/>
              <w:spacing w:line="360" w:lineRule="auto"/>
              <w:jc w:val="both"/>
              <w:rPr>
                <w:rFonts w:ascii="Times New Roman" w:eastAsia="Times New Roman" w:hAnsi="Times New Roman" w:cs="Times New Roman"/>
                <w:sz w:val="24"/>
                <w:szCs w:val="24"/>
                <w:lang w:val="en-GB" w:eastAsia="en-GB"/>
              </w:rPr>
            </w:pPr>
            <w:r w:rsidRPr="007E4AB3">
              <w:rPr>
                <w:rFonts w:ascii="Times New Roman" w:eastAsia="Times New Roman" w:hAnsi="Times New Roman" w:cs="Times New Roman"/>
                <w:sz w:val="24"/>
                <w:szCs w:val="24"/>
                <w:lang w:val="en-GB" w:eastAsia="en-GB"/>
              </w:rPr>
              <w:t>High; guided by epidemiological data</w:t>
            </w:r>
          </w:p>
        </w:tc>
        <w:tc>
          <w:tcPr>
            <w:tcW w:w="0" w:type="auto"/>
            <w:hideMark/>
          </w:tcPr>
          <w:p w14:paraId="0E7EF577" w14:textId="77777777" w:rsidR="007E4AB3" w:rsidRPr="007E4AB3" w:rsidRDefault="007E4AB3" w:rsidP="007E4AB3">
            <w:pPr>
              <w:widowControl/>
              <w:autoSpaceDE/>
              <w:autoSpaceDN/>
              <w:spacing w:line="360" w:lineRule="auto"/>
              <w:jc w:val="both"/>
              <w:rPr>
                <w:rFonts w:ascii="Times New Roman" w:eastAsia="Times New Roman" w:hAnsi="Times New Roman" w:cs="Times New Roman"/>
                <w:sz w:val="24"/>
                <w:szCs w:val="24"/>
                <w:lang w:val="en-GB" w:eastAsia="en-GB"/>
              </w:rPr>
            </w:pPr>
            <w:proofErr w:type="gramStart"/>
            <w:r w:rsidRPr="007E4AB3">
              <w:rPr>
                <w:rFonts w:ascii="Times New Roman" w:eastAsia="Times New Roman" w:hAnsi="Times New Roman" w:cs="Times New Roman"/>
                <w:sz w:val="24"/>
                <w:szCs w:val="24"/>
                <w:lang w:val="en-GB" w:eastAsia="en-GB"/>
              </w:rPr>
              <w:t>Variable;</w:t>
            </w:r>
            <w:proofErr w:type="gramEnd"/>
            <w:r w:rsidRPr="007E4AB3">
              <w:rPr>
                <w:rFonts w:ascii="Times New Roman" w:eastAsia="Times New Roman" w:hAnsi="Times New Roman" w:cs="Times New Roman"/>
                <w:sz w:val="24"/>
                <w:szCs w:val="24"/>
                <w:lang w:val="en-GB" w:eastAsia="en-GB"/>
              </w:rPr>
              <w:t xml:space="preserve"> national guidance sometimes ignored provincially</w:t>
            </w:r>
          </w:p>
        </w:tc>
      </w:tr>
      <w:tr w:rsidR="007E4AB3" w:rsidRPr="007E4AB3" w14:paraId="0B6C918A" w14:textId="77777777" w:rsidTr="007E4AB3">
        <w:tc>
          <w:tcPr>
            <w:tcW w:w="0" w:type="auto"/>
            <w:hideMark/>
          </w:tcPr>
          <w:p w14:paraId="66ADE306" w14:textId="77777777" w:rsidR="007E4AB3" w:rsidRPr="007E4AB3" w:rsidRDefault="007E4AB3" w:rsidP="007E4AB3">
            <w:pPr>
              <w:widowControl/>
              <w:autoSpaceDE/>
              <w:autoSpaceDN/>
              <w:spacing w:line="360" w:lineRule="auto"/>
              <w:jc w:val="both"/>
              <w:rPr>
                <w:rFonts w:ascii="Times New Roman" w:eastAsia="Times New Roman" w:hAnsi="Times New Roman" w:cs="Times New Roman"/>
                <w:sz w:val="24"/>
                <w:szCs w:val="24"/>
                <w:lang w:val="en-GB" w:eastAsia="en-GB"/>
              </w:rPr>
            </w:pPr>
            <w:r w:rsidRPr="007E4AB3">
              <w:rPr>
                <w:rFonts w:ascii="Times New Roman" w:eastAsia="Times New Roman" w:hAnsi="Times New Roman" w:cs="Times New Roman"/>
                <w:sz w:val="24"/>
                <w:szCs w:val="24"/>
                <w:lang w:val="en-GB" w:eastAsia="en-GB"/>
              </w:rPr>
              <w:t>Stakeholder Alignment</w:t>
            </w:r>
          </w:p>
        </w:tc>
        <w:tc>
          <w:tcPr>
            <w:tcW w:w="0" w:type="auto"/>
            <w:hideMark/>
          </w:tcPr>
          <w:p w14:paraId="37EB5896" w14:textId="77777777" w:rsidR="007E4AB3" w:rsidRPr="007E4AB3" w:rsidRDefault="007E4AB3" w:rsidP="007E4AB3">
            <w:pPr>
              <w:widowControl/>
              <w:autoSpaceDE/>
              <w:autoSpaceDN/>
              <w:spacing w:line="360" w:lineRule="auto"/>
              <w:jc w:val="both"/>
              <w:rPr>
                <w:rFonts w:ascii="Times New Roman" w:eastAsia="Times New Roman" w:hAnsi="Times New Roman" w:cs="Times New Roman"/>
                <w:sz w:val="24"/>
                <w:szCs w:val="24"/>
                <w:lang w:val="en-GB" w:eastAsia="en-GB"/>
              </w:rPr>
            </w:pPr>
            <w:r w:rsidRPr="007E4AB3">
              <w:rPr>
                <w:rFonts w:ascii="Times New Roman" w:eastAsia="Times New Roman" w:hAnsi="Times New Roman" w:cs="Times New Roman"/>
                <w:sz w:val="24"/>
                <w:szCs w:val="24"/>
                <w:lang w:val="en-GB" w:eastAsia="en-GB"/>
              </w:rPr>
              <w:t>Weak inter-regional cohesion</w:t>
            </w:r>
          </w:p>
        </w:tc>
        <w:tc>
          <w:tcPr>
            <w:tcW w:w="0" w:type="auto"/>
            <w:hideMark/>
          </w:tcPr>
          <w:p w14:paraId="5AB2528D" w14:textId="77777777" w:rsidR="007E4AB3" w:rsidRPr="007E4AB3" w:rsidRDefault="007E4AB3" w:rsidP="007E4AB3">
            <w:pPr>
              <w:widowControl/>
              <w:autoSpaceDE/>
              <w:autoSpaceDN/>
              <w:spacing w:line="360" w:lineRule="auto"/>
              <w:jc w:val="both"/>
              <w:rPr>
                <w:rFonts w:ascii="Times New Roman" w:eastAsia="Times New Roman" w:hAnsi="Times New Roman" w:cs="Times New Roman"/>
                <w:sz w:val="24"/>
                <w:szCs w:val="24"/>
                <w:lang w:val="en-GB" w:eastAsia="en-GB"/>
              </w:rPr>
            </w:pPr>
            <w:r w:rsidRPr="007E4AB3">
              <w:rPr>
                <w:rFonts w:ascii="Times New Roman" w:eastAsia="Times New Roman" w:hAnsi="Times New Roman" w:cs="Times New Roman"/>
                <w:sz w:val="24"/>
                <w:szCs w:val="24"/>
                <w:lang w:val="en-GB" w:eastAsia="en-GB"/>
              </w:rPr>
              <w:t>Strong multi-sector alignment</w:t>
            </w:r>
          </w:p>
        </w:tc>
        <w:tc>
          <w:tcPr>
            <w:tcW w:w="0" w:type="auto"/>
            <w:hideMark/>
          </w:tcPr>
          <w:p w14:paraId="0615BFD2" w14:textId="77777777" w:rsidR="007E4AB3" w:rsidRPr="007E4AB3" w:rsidRDefault="007E4AB3" w:rsidP="007E4AB3">
            <w:pPr>
              <w:widowControl/>
              <w:autoSpaceDE/>
              <w:autoSpaceDN/>
              <w:spacing w:line="360" w:lineRule="auto"/>
              <w:jc w:val="both"/>
              <w:rPr>
                <w:rFonts w:ascii="Times New Roman" w:eastAsia="Times New Roman" w:hAnsi="Times New Roman" w:cs="Times New Roman"/>
                <w:sz w:val="24"/>
                <w:szCs w:val="24"/>
                <w:lang w:val="en-GB" w:eastAsia="en-GB"/>
              </w:rPr>
            </w:pPr>
            <w:r w:rsidRPr="007E4AB3">
              <w:rPr>
                <w:rFonts w:ascii="Times New Roman" w:eastAsia="Times New Roman" w:hAnsi="Times New Roman" w:cs="Times New Roman"/>
                <w:sz w:val="24"/>
                <w:szCs w:val="24"/>
                <w:lang w:val="en-GB" w:eastAsia="en-GB"/>
              </w:rPr>
              <w:t>Moderate; provinces varied in compliance (Wilson, 2022)</w:t>
            </w:r>
          </w:p>
        </w:tc>
      </w:tr>
      <w:tr w:rsidR="007E4AB3" w:rsidRPr="007E4AB3" w14:paraId="6DB3BBFE" w14:textId="77777777" w:rsidTr="007E4AB3">
        <w:tc>
          <w:tcPr>
            <w:tcW w:w="0" w:type="auto"/>
            <w:hideMark/>
          </w:tcPr>
          <w:p w14:paraId="5F182217" w14:textId="77777777" w:rsidR="007E4AB3" w:rsidRPr="007E4AB3" w:rsidRDefault="007E4AB3" w:rsidP="007E4AB3">
            <w:pPr>
              <w:widowControl/>
              <w:autoSpaceDE/>
              <w:autoSpaceDN/>
              <w:spacing w:line="360" w:lineRule="auto"/>
              <w:jc w:val="both"/>
              <w:rPr>
                <w:rFonts w:ascii="Times New Roman" w:eastAsia="Times New Roman" w:hAnsi="Times New Roman" w:cs="Times New Roman"/>
                <w:sz w:val="24"/>
                <w:szCs w:val="24"/>
                <w:lang w:val="en-GB" w:eastAsia="en-GB"/>
              </w:rPr>
            </w:pPr>
            <w:r w:rsidRPr="007E4AB3">
              <w:rPr>
                <w:rFonts w:ascii="Times New Roman" w:eastAsia="Times New Roman" w:hAnsi="Times New Roman" w:cs="Times New Roman"/>
                <w:sz w:val="24"/>
                <w:szCs w:val="24"/>
                <w:lang w:val="en-GB" w:eastAsia="en-GB"/>
              </w:rPr>
              <w:t>Adaptive Learning</w:t>
            </w:r>
          </w:p>
        </w:tc>
        <w:tc>
          <w:tcPr>
            <w:tcW w:w="0" w:type="auto"/>
            <w:hideMark/>
          </w:tcPr>
          <w:p w14:paraId="3BE0A6B8" w14:textId="77777777" w:rsidR="007E4AB3" w:rsidRPr="007E4AB3" w:rsidRDefault="007E4AB3" w:rsidP="007E4AB3">
            <w:pPr>
              <w:widowControl/>
              <w:autoSpaceDE/>
              <w:autoSpaceDN/>
              <w:spacing w:line="360" w:lineRule="auto"/>
              <w:jc w:val="both"/>
              <w:rPr>
                <w:rFonts w:ascii="Times New Roman" w:eastAsia="Times New Roman" w:hAnsi="Times New Roman" w:cs="Times New Roman"/>
                <w:sz w:val="24"/>
                <w:szCs w:val="24"/>
                <w:lang w:val="en-GB" w:eastAsia="en-GB"/>
              </w:rPr>
            </w:pPr>
            <w:r w:rsidRPr="007E4AB3">
              <w:rPr>
                <w:rFonts w:ascii="Times New Roman" w:eastAsia="Times New Roman" w:hAnsi="Times New Roman" w:cs="Times New Roman"/>
                <w:sz w:val="24"/>
                <w:szCs w:val="24"/>
                <w:lang w:val="en-GB" w:eastAsia="en-GB"/>
              </w:rPr>
              <w:t>Demonstrated improvement in rollout phase</w:t>
            </w:r>
          </w:p>
        </w:tc>
        <w:tc>
          <w:tcPr>
            <w:tcW w:w="0" w:type="auto"/>
            <w:hideMark/>
          </w:tcPr>
          <w:p w14:paraId="3468BCEF" w14:textId="77777777" w:rsidR="007E4AB3" w:rsidRPr="007E4AB3" w:rsidRDefault="007E4AB3" w:rsidP="007E4AB3">
            <w:pPr>
              <w:widowControl/>
              <w:autoSpaceDE/>
              <w:autoSpaceDN/>
              <w:spacing w:line="360" w:lineRule="auto"/>
              <w:jc w:val="both"/>
              <w:rPr>
                <w:rFonts w:ascii="Times New Roman" w:eastAsia="Times New Roman" w:hAnsi="Times New Roman" w:cs="Times New Roman"/>
                <w:sz w:val="24"/>
                <w:szCs w:val="24"/>
                <w:lang w:val="en-GB" w:eastAsia="en-GB"/>
              </w:rPr>
            </w:pPr>
            <w:r w:rsidRPr="007E4AB3">
              <w:rPr>
                <w:rFonts w:ascii="Times New Roman" w:eastAsia="Times New Roman" w:hAnsi="Times New Roman" w:cs="Times New Roman"/>
                <w:sz w:val="24"/>
                <w:szCs w:val="24"/>
                <w:lang w:val="en-GB" w:eastAsia="en-GB"/>
              </w:rPr>
              <w:t>High; response evolved with outbreak stages</w:t>
            </w:r>
          </w:p>
        </w:tc>
        <w:tc>
          <w:tcPr>
            <w:tcW w:w="0" w:type="auto"/>
            <w:hideMark/>
          </w:tcPr>
          <w:p w14:paraId="3124D95E" w14:textId="77777777" w:rsidR="007E4AB3" w:rsidRPr="007E4AB3" w:rsidRDefault="007E4AB3" w:rsidP="007E4AB3">
            <w:pPr>
              <w:widowControl/>
              <w:autoSpaceDE/>
              <w:autoSpaceDN/>
              <w:spacing w:line="360" w:lineRule="auto"/>
              <w:jc w:val="both"/>
              <w:rPr>
                <w:rFonts w:ascii="Times New Roman" w:eastAsia="Times New Roman" w:hAnsi="Times New Roman" w:cs="Times New Roman"/>
                <w:sz w:val="24"/>
                <w:szCs w:val="24"/>
                <w:lang w:val="en-GB" w:eastAsia="en-GB"/>
              </w:rPr>
            </w:pPr>
            <w:r w:rsidRPr="007E4AB3">
              <w:rPr>
                <w:rFonts w:ascii="Times New Roman" w:eastAsia="Times New Roman" w:hAnsi="Times New Roman" w:cs="Times New Roman"/>
                <w:sz w:val="24"/>
                <w:szCs w:val="24"/>
                <w:lang w:val="en-GB" w:eastAsia="en-GB"/>
              </w:rPr>
              <w:t xml:space="preserve">Moderate; fiscal response </w:t>
            </w:r>
            <w:proofErr w:type="gramStart"/>
            <w:r w:rsidRPr="007E4AB3">
              <w:rPr>
                <w:rFonts w:ascii="Times New Roman" w:eastAsia="Times New Roman" w:hAnsi="Times New Roman" w:cs="Times New Roman"/>
                <w:sz w:val="24"/>
                <w:szCs w:val="24"/>
                <w:lang w:val="en-GB" w:eastAsia="en-GB"/>
              </w:rPr>
              <w:t>adapted,</w:t>
            </w:r>
            <w:proofErr w:type="gramEnd"/>
            <w:r w:rsidRPr="007E4AB3">
              <w:rPr>
                <w:rFonts w:ascii="Times New Roman" w:eastAsia="Times New Roman" w:hAnsi="Times New Roman" w:cs="Times New Roman"/>
                <w:sz w:val="24"/>
                <w:szCs w:val="24"/>
                <w:lang w:val="en-GB" w:eastAsia="en-GB"/>
              </w:rPr>
              <w:t xml:space="preserve"> structural reforms slower</w:t>
            </w:r>
          </w:p>
        </w:tc>
      </w:tr>
    </w:tbl>
    <w:p w14:paraId="233FFF1A" w14:textId="69FAE1F1" w:rsidR="007E4AB3" w:rsidRPr="007E4AB3" w:rsidRDefault="007E4AB3" w:rsidP="007E4AB3">
      <w:pPr>
        <w:widowControl/>
        <w:autoSpaceDE/>
        <w:autoSpaceDN/>
        <w:spacing w:line="360" w:lineRule="auto"/>
        <w:jc w:val="both"/>
        <w:rPr>
          <w:rFonts w:ascii="Times New Roman" w:eastAsia="Times New Roman" w:hAnsi="Times New Roman" w:cs="Times New Roman"/>
          <w:sz w:val="24"/>
          <w:szCs w:val="24"/>
          <w:lang w:val="en-GB" w:eastAsia="en-GB"/>
        </w:rPr>
      </w:pPr>
    </w:p>
    <w:p w14:paraId="692A5DC9" w14:textId="1324D2C3" w:rsidR="007E4AB3" w:rsidRPr="007E4AB3" w:rsidRDefault="007E4AB3" w:rsidP="007E4AB3">
      <w:pPr>
        <w:widowControl/>
        <w:autoSpaceDE/>
        <w:autoSpaceDN/>
        <w:spacing w:line="360" w:lineRule="auto"/>
        <w:jc w:val="both"/>
        <w:outlineLvl w:val="2"/>
        <w:rPr>
          <w:rFonts w:ascii="Times New Roman" w:eastAsia="Times New Roman" w:hAnsi="Times New Roman" w:cs="Times New Roman"/>
          <w:b/>
          <w:bCs/>
          <w:sz w:val="24"/>
          <w:szCs w:val="24"/>
          <w:lang w:val="en-GB" w:eastAsia="en-GB"/>
        </w:rPr>
      </w:pPr>
      <w:r w:rsidRPr="007E4AB3">
        <w:rPr>
          <w:rFonts w:ascii="Times New Roman" w:eastAsia="Times New Roman" w:hAnsi="Times New Roman" w:cs="Times New Roman"/>
          <w:b/>
          <w:bCs/>
          <w:sz w:val="24"/>
          <w:szCs w:val="24"/>
          <w:lang w:val="en-GB" w:eastAsia="en-GB"/>
        </w:rPr>
        <w:t xml:space="preserve">3.2 Spain – Minister of Health Salvador Illa </w:t>
      </w:r>
    </w:p>
    <w:p w14:paraId="1BA1CBC1" w14:textId="42F947AA" w:rsidR="007E4AB3" w:rsidRDefault="007E4AB3" w:rsidP="007E4AB3">
      <w:pPr>
        <w:widowControl/>
        <w:autoSpaceDE/>
        <w:autoSpaceDN/>
        <w:spacing w:line="360" w:lineRule="auto"/>
        <w:jc w:val="both"/>
        <w:rPr>
          <w:rFonts w:ascii="Times New Roman" w:eastAsia="Times New Roman" w:hAnsi="Times New Roman" w:cs="Times New Roman"/>
          <w:sz w:val="24"/>
          <w:szCs w:val="24"/>
          <w:lang w:val="en-GB" w:eastAsia="en-GB"/>
        </w:rPr>
      </w:pPr>
      <w:r w:rsidRPr="007E4AB3">
        <w:rPr>
          <w:rFonts w:ascii="Times New Roman" w:eastAsia="Times New Roman" w:hAnsi="Times New Roman" w:cs="Times New Roman"/>
          <w:sz w:val="24"/>
          <w:szCs w:val="24"/>
          <w:lang w:val="en-GB" w:eastAsia="en-GB"/>
        </w:rPr>
        <w:t>Salvador Illa, as Spain’s Minister of Health during the initial and most critical phases of the COVID-19 pandemic, operated within a fragmented and politically tense governance context. Spain’s health system is highly decentralised, with its 17 Autonomous Communities holding substantial authority over healthcare planning and delivery. This structure complicated coordination and accountability, and it significantly shaped Illa’s leadership opportunities and constraints.</w:t>
      </w:r>
      <w:r>
        <w:rPr>
          <w:rFonts w:ascii="Times New Roman" w:eastAsia="Times New Roman" w:hAnsi="Times New Roman" w:cs="Times New Roman"/>
          <w:sz w:val="24"/>
          <w:szCs w:val="24"/>
          <w:lang w:val="en-GB" w:eastAsia="en-GB"/>
        </w:rPr>
        <w:t xml:space="preserve"> </w:t>
      </w:r>
      <w:r w:rsidRPr="007E4AB3">
        <w:rPr>
          <w:rFonts w:ascii="Times New Roman" w:eastAsia="Times New Roman" w:hAnsi="Times New Roman" w:cs="Times New Roman"/>
          <w:sz w:val="24"/>
          <w:szCs w:val="24"/>
          <w:lang w:val="en-GB" w:eastAsia="en-GB"/>
        </w:rPr>
        <w:t xml:space="preserve">Early in the pandemic, Illa’s leadership was marked by delayed public communication and a downplaying of the risk. On 30 January 2020, he asserted, “we do not minimise anything… the system is prepared to confront the situation,” even as other countries were escalating containment efforts (ECDC, 2020). This reflects a failure in the </w:t>
      </w:r>
      <w:r w:rsidRPr="007E4AB3">
        <w:rPr>
          <w:rFonts w:ascii="Times New Roman" w:eastAsia="Times New Roman" w:hAnsi="Times New Roman" w:cs="Times New Roman"/>
          <w:b/>
          <w:bCs/>
          <w:sz w:val="24"/>
          <w:szCs w:val="24"/>
          <w:lang w:val="en-GB" w:eastAsia="en-GB"/>
        </w:rPr>
        <w:t>sensemaking</w:t>
      </w:r>
      <w:r w:rsidRPr="007E4AB3">
        <w:rPr>
          <w:rFonts w:ascii="Times New Roman" w:eastAsia="Times New Roman" w:hAnsi="Times New Roman" w:cs="Times New Roman"/>
          <w:sz w:val="24"/>
          <w:szCs w:val="24"/>
          <w:lang w:val="en-GB" w:eastAsia="en-GB"/>
        </w:rPr>
        <w:t xml:space="preserve"> component of crisis leadership (Boin et al., 2013), where leaders must interpret signals and communicate risk in a timely manner. His underestimation of threat levels contributed to the narrative of “too little, too late,” a refrain echoed by media and scholars (Hernández-Quevedo et al., 2021).</w:t>
      </w:r>
    </w:p>
    <w:p w14:paraId="3EF0577D" w14:textId="77777777" w:rsidR="007E4AB3" w:rsidRPr="007E4AB3" w:rsidRDefault="007E4AB3" w:rsidP="007E4AB3">
      <w:pPr>
        <w:widowControl/>
        <w:autoSpaceDE/>
        <w:autoSpaceDN/>
        <w:spacing w:line="360" w:lineRule="auto"/>
        <w:jc w:val="both"/>
        <w:rPr>
          <w:rFonts w:ascii="Times New Roman" w:eastAsia="Times New Roman" w:hAnsi="Times New Roman" w:cs="Times New Roman"/>
          <w:sz w:val="24"/>
          <w:szCs w:val="24"/>
          <w:lang w:val="en-GB" w:eastAsia="en-GB"/>
        </w:rPr>
      </w:pPr>
    </w:p>
    <w:p w14:paraId="41677128" w14:textId="302AD8AB" w:rsidR="007E4AB3" w:rsidRDefault="007E4AB3" w:rsidP="007E4AB3">
      <w:pPr>
        <w:widowControl/>
        <w:autoSpaceDE/>
        <w:autoSpaceDN/>
        <w:spacing w:line="360" w:lineRule="auto"/>
        <w:jc w:val="both"/>
        <w:rPr>
          <w:rFonts w:ascii="Times New Roman" w:eastAsia="Times New Roman" w:hAnsi="Times New Roman" w:cs="Times New Roman"/>
          <w:sz w:val="24"/>
          <w:szCs w:val="24"/>
          <w:lang w:val="en-GB" w:eastAsia="en-GB"/>
        </w:rPr>
      </w:pPr>
      <w:r w:rsidRPr="007E4AB3">
        <w:rPr>
          <w:rFonts w:ascii="Times New Roman" w:eastAsia="Times New Roman" w:hAnsi="Times New Roman" w:cs="Times New Roman"/>
          <w:sz w:val="24"/>
          <w:szCs w:val="24"/>
          <w:lang w:val="en-GB" w:eastAsia="en-GB"/>
        </w:rPr>
        <w:t xml:space="preserve">From a </w:t>
      </w:r>
      <w:r w:rsidRPr="007E4AB3">
        <w:rPr>
          <w:rFonts w:ascii="Times New Roman" w:eastAsia="Times New Roman" w:hAnsi="Times New Roman" w:cs="Times New Roman"/>
          <w:b/>
          <w:bCs/>
          <w:sz w:val="24"/>
          <w:szCs w:val="24"/>
          <w:lang w:val="en-GB" w:eastAsia="en-GB"/>
        </w:rPr>
        <w:t>transformational leadership</w:t>
      </w:r>
      <w:r w:rsidRPr="007E4AB3">
        <w:rPr>
          <w:rFonts w:ascii="Times New Roman" w:eastAsia="Times New Roman" w:hAnsi="Times New Roman" w:cs="Times New Roman"/>
          <w:sz w:val="24"/>
          <w:szCs w:val="24"/>
          <w:lang w:val="en-GB" w:eastAsia="en-GB"/>
        </w:rPr>
        <w:t xml:space="preserve"> perspective, Illa struggled to generate a unifying vision early on. With conflicting messages from central and regional governments, public trust declined. This fragmentation stemmed in part from weak intergovernmental coordination mechanisms that were not </w:t>
      </w:r>
      <w:r w:rsidRPr="007E4AB3">
        <w:rPr>
          <w:rFonts w:ascii="Times New Roman" w:eastAsia="Times New Roman" w:hAnsi="Times New Roman" w:cs="Times New Roman"/>
          <w:sz w:val="24"/>
          <w:szCs w:val="24"/>
          <w:lang w:val="en-GB" w:eastAsia="en-GB"/>
        </w:rPr>
        <w:lastRenderedPageBreak/>
        <w:t xml:space="preserve">robustly activated until mid-March 2020, when the Spanish government declared a state of alarm and re-centralised powers (Alemán et al., 2021). Illa’s approach thus transitioned into a more </w:t>
      </w:r>
      <w:r w:rsidRPr="007E4AB3">
        <w:rPr>
          <w:rFonts w:ascii="Times New Roman" w:eastAsia="Times New Roman" w:hAnsi="Times New Roman" w:cs="Times New Roman"/>
          <w:b/>
          <w:bCs/>
          <w:sz w:val="24"/>
          <w:szCs w:val="24"/>
          <w:lang w:val="en-GB" w:eastAsia="en-GB"/>
        </w:rPr>
        <w:t>transactional</w:t>
      </w:r>
      <w:r w:rsidRPr="007E4AB3">
        <w:rPr>
          <w:rFonts w:ascii="Times New Roman" w:eastAsia="Times New Roman" w:hAnsi="Times New Roman" w:cs="Times New Roman"/>
          <w:sz w:val="24"/>
          <w:szCs w:val="24"/>
          <w:lang w:val="en-GB" w:eastAsia="en-GB"/>
        </w:rPr>
        <w:t xml:space="preserve"> mode—enforcing emergency powers, issuing national decrees, and centralising procurement—rather than inspiring collective action.</w:t>
      </w:r>
      <w:r>
        <w:rPr>
          <w:rFonts w:ascii="Times New Roman" w:eastAsia="Times New Roman" w:hAnsi="Times New Roman" w:cs="Times New Roman"/>
          <w:sz w:val="24"/>
          <w:szCs w:val="24"/>
          <w:lang w:val="en-GB" w:eastAsia="en-GB"/>
        </w:rPr>
        <w:t xml:space="preserve"> </w:t>
      </w:r>
      <w:r w:rsidRPr="007E4AB3">
        <w:rPr>
          <w:rFonts w:ascii="Times New Roman" w:eastAsia="Times New Roman" w:hAnsi="Times New Roman" w:cs="Times New Roman"/>
          <w:sz w:val="24"/>
          <w:szCs w:val="24"/>
          <w:lang w:val="en-GB" w:eastAsia="en-GB"/>
        </w:rPr>
        <w:t xml:space="preserve">Despite these initial shortcomings, Illa's leadership became more effective during the vaccination phase. He presided over one of the most successful rollouts in Europe, attributed to a centralised strategy, strong primary care infrastructure, and streamlined logistics (Domínguez et al., 2022). His coordination of procurement and distribution across regions improved significantly. This shift aligns more closely with </w:t>
      </w:r>
      <w:r w:rsidRPr="007E4AB3">
        <w:rPr>
          <w:rFonts w:ascii="Times New Roman" w:eastAsia="Times New Roman" w:hAnsi="Times New Roman" w:cs="Times New Roman"/>
          <w:b/>
          <w:bCs/>
          <w:sz w:val="24"/>
          <w:szCs w:val="24"/>
          <w:lang w:val="en-GB" w:eastAsia="en-GB"/>
        </w:rPr>
        <w:t>adaptive leadership</w:t>
      </w:r>
      <w:r w:rsidRPr="007E4AB3">
        <w:rPr>
          <w:rFonts w:ascii="Times New Roman" w:eastAsia="Times New Roman" w:hAnsi="Times New Roman" w:cs="Times New Roman"/>
          <w:sz w:val="24"/>
          <w:szCs w:val="24"/>
          <w:lang w:val="en-GB" w:eastAsia="en-GB"/>
        </w:rPr>
        <w:t>, as he demonstrated learning from early failures, shifted strategy, and restructured delivery mechanisms in real-time.</w:t>
      </w:r>
    </w:p>
    <w:p w14:paraId="4A1A9215" w14:textId="77777777" w:rsidR="007E4AB3" w:rsidRPr="007E4AB3" w:rsidRDefault="007E4AB3" w:rsidP="007E4AB3">
      <w:pPr>
        <w:widowControl/>
        <w:autoSpaceDE/>
        <w:autoSpaceDN/>
        <w:spacing w:line="360" w:lineRule="auto"/>
        <w:jc w:val="both"/>
        <w:rPr>
          <w:rFonts w:ascii="Times New Roman" w:eastAsia="Times New Roman" w:hAnsi="Times New Roman" w:cs="Times New Roman"/>
          <w:sz w:val="24"/>
          <w:szCs w:val="24"/>
          <w:lang w:val="en-GB" w:eastAsia="en-GB"/>
        </w:rPr>
      </w:pPr>
    </w:p>
    <w:p w14:paraId="43E1E81B" w14:textId="08D124E4" w:rsidR="007E4AB3" w:rsidRPr="007E4AB3" w:rsidRDefault="007E4AB3" w:rsidP="007E4AB3">
      <w:pPr>
        <w:widowControl/>
        <w:autoSpaceDE/>
        <w:autoSpaceDN/>
        <w:spacing w:line="360" w:lineRule="auto"/>
        <w:jc w:val="both"/>
        <w:rPr>
          <w:rFonts w:ascii="Times New Roman" w:eastAsia="Times New Roman" w:hAnsi="Times New Roman" w:cs="Times New Roman"/>
          <w:sz w:val="24"/>
          <w:szCs w:val="24"/>
          <w:lang w:val="en-GB" w:eastAsia="en-GB"/>
        </w:rPr>
      </w:pPr>
      <w:r w:rsidRPr="007E4AB3">
        <w:rPr>
          <w:rFonts w:ascii="Times New Roman" w:eastAsia="Times New Roman" w:hAnsi="Times New Roman" w:cs="Times New Roman"/>
          <w:sz w:val="24"/>
          <w:szCs w:val="24"/>
          <w:lang w:val="en-GB" w:eastAsia="en-GB"/>
        </w:rPr>
        <w:t xml:space="preserve">Empathy and public engagement were less central to Illa’s leadership style. Compared to Trudeau’s emotive appeals or Chung’s inclusive messaging, Illa maintained a bureaucratic, technocratic tone. However, during the second wave, he showed greater engagement with regional leaders and acknowledged public fatigue, indicating some capacity for </w:t>
      </w:r>
      <w:r w:rsidRPr="007E4AB3">
        <w:rPr>
          <w:rFonts w:ascii="Times New Roman" w:eastAsia="Times New Roman" w:hAnsi="Times New Roman" w:cs="Times New Roman"/>
          <w:b/>
          <w:bCs/>
          <w:sz w:val="24"/>
          <w:szCs w:val="24"/>
          <w:lang w:val="en-GB" w:eastAsia="en-GB"/>
        </w:rPr>
        <w:t>adaptive learning</w:t>
      </w:r>
      <w:r w:rsidRPr="007E4AB3">
        <w:rPr>
          <w:rFonts w:ascii="Times New Roman" w:eastAsia="Times New Roman" w:hAnsi="Times New Roman" w:cs="Times New Roman"/>
          <w:sz w:val="24"/>
          <w:szCs w:val="24"/>
          <w:lang w:val="en-GB" w:eastAsia="en-GB"/>
        </w:rPr>
        <w:t xml:space="preserve"> (OECD, 2021).</w:t>
      </w:r>
      <w:r>
        <w:rPr>
          <w:rFonts w:ascii="Times New Roman" w:eastAsia="Times New Roman" w:hAnsi="Times New Roman" w:cs="Times New Roman"/>
          <w:sz w:val="24"/>
          <w:szCs w:val="24"/>
          <w:lang w:val="en-GB" w:eastAsia="en-GB"/>
        </w:rPr>
        <w:t xml:space="preserve"> </w:t>
      </w:r>
      <w:r w:rsidRPr="007E4AB3">
        <w:rPr>
          <w:rFonts w:ascii="Times New Roman" w:eastAsia="Times New Roman" w:hAnsi="Times New Roman" w:cs="Times New Roman"/>
          <w:sz w:val="24"/>
          <w:szCs w:val="24"/>
          <w:lang w:val="en-GB" w:eastAsia="en-GB"/>
        </w:rPr>
        <w:t xml:space="preserve">In conclusion, Salvador Illa’s leadership reflects the challenges of navigating a decentralised system during crisis. His early performance was hindered by fragmented authority, limited sensemaking, and poor coordination. Yet, his stewardship of the vaccination campaign reveals the potential for </w:t>
      </w:r>
      <w:r w:rsidRPr="007E4AB3">
        <w:rPr>
          <w:rFonts w:ascii="Times New Roman" w:eastAsia="Times New Roman" w:hAnsi="Times New Roman" w:cs="Times New Roman"/>
          <w:b/>
          <w:bCs/>
          <w:sz w:val="24"/>
          <w:szCs w:val="24"/>
          <w:lang w:val="en-GB" w:eastAsia="en-GB"/>
        </w:rPr>
        <w:t>adaptive leadership</w:t>
      </w:r>
      <w:r w:rsidRPr="007E4AB3">
        <w:rPr>
          <w:rFonts w:ascii="Times New Roman" w:eastAsia="Times New Roman" w:hAnsi="Times New Roman" w:cs="Times New Roman"/>
          <w:sz w:val="24"/>
          <w:szCs w:val="24"/>
          <w:lang w:val="en-GB" w:eastAsia="en-GB"/>
        </w:rPr>
        <w:t xml:space="preserve"> once clarity of purpose, central mechanisms, and evidence-based strategies are embraced. His case demonstrates how leadership can evolve over time and be both constrained and enabled by system design.</w:t>
      </w:r>
    </w:p>
    <w:p w14:paraId="4C923D02" w14:textId="5A8103FC" w:rsidR="007E4AB3" w:rsidRPr="007E4AB3" w:rsidRDefault="007E4AB3" w:rsidP="007E4AB3">
      <w:pPr>
        <w:widowControl/>
        <w:autoSpaceDE/>
        <w:autoSpaceDN/>
        <w:spacing w:line="360" w:lineRule="auto"/>
        <w:jc w:val="both"/>
        <w:rPr>
          <w:rFonts w:ascii="Times New Roman" w:eastAsia="Times New Roman" w:hAnsi="Times New Roman" w:cs="Times New Roman"/>
          <w:sz w:val="24"/>
          <w:szCs w:val="24"/>
          <w:lang w:val="en-GB" w:eastAsia="en-GB"/>
        </w:rPr>
      </w:pPr>
    </w:p>
    <w:p w14:paraId="213B5078" w14:textId="40A2D6FA" w:rsidR="007E4AB3" w:rsidRPr="007E4AB3" w:rsidRDefault="007E4AB3" w:rsidP="007E4AB3">
      <w:pPr>
        <w:widowControl/>
        <w:autoSpaceDE/>
        <w:autoSpaceDN/>
        <w:spacing w:line="360" w:lineRule="auto"/>
        <w:jc w:val="both"/>
        <w:outlineLvl w:val="2"/>
        <w:rPr>
          <w:rFonts w:ascii="Times New Roman" w:eastAsia="Times New Roman" w:hAnsi="Times New Roman" w:cs="Times New Roman"/>
          <w:b/>
          <w:bCs/>
          <w:sz w:val="24"/>
          <w:szCs w:val="24"/>
          <w:lang w:val="en-GB" w:eastAsia="en-GB"/>
        </w:rPr>
      </w:pPr>
      <w:r w:rsidRPr="007E4AB3">
        <w:rPr>
          <w:rFonts w:ascii="Times New Roman" w:eastAsia="Times New Roman" w:hAnsi="Times New Roman" w:cs="Times New Roman"/>
          <w:b/>
          <w:bCs/>
          <w:sz w:val="24"/>
          <w:szCs w:val="24"/>
          <w:lang w:val="en-GB" w:eastAsia="en-GB"/>
        </w:rPr>
        <w:t>3.3 South Korea – Prime Minister Chung Sye-</w:t>
      </w:r>
      <w:proofErr w:type="spellStart"/>
      <w:r w:rsidRPr="007E4AB3">
        <w:rPr>
          <w:rFonts w:ascii="Times New Roman" w:eastAsia="Times New Roman" w:hAnsi="Times New Roman" w:cs="Times New Roman"/>
          <w:b/>
          <w:bCs/>
          <w:sz w:val="24"/>
          <w:szCs w:val="24"/>
          <w:lang w:val="en-GB" w:eastAsia="en-GB"/>
        </w:rPr>
        <w:t>kyun</w:t>
      </w:r>
      <w:proofErr w:type="spellEnd"/>
      <w:r w:rsidRPr="007E4AB3">
        <w:rPr>
          <w:rFonts w:ascii="Times New Roman" w:eastAsia="Times New Roman" w:hAnsi="Times New Roman" w:cs="Times New Roman"/>
          <w:b/>
          <w:bCs/>
          <w:sz w:val="24"/>
          <w:szCs w:val="24"/>
          <w:lang w:val="en-GB" w:eastAsia="en-GB"/>
        </w:rPr>
        <w:t xml:space="preserve"> </w:t>
      </w:r>
    </w:p>
    <w:p w14:paraId="14A0096A" w14:textId="15F73D23" w:rsidR="007E4AB3" w:rsidRDefault="007E4AB3" w:rsidP="007E4AB3">
      <w:pPr>
        <w:widowControl/>
        <w:autoSpaceDE/>
        <w:autoSpaceDN/>
        <w:spacing w:line="360" w:lineRule="auto"/>
        <w:jc w:val="both"/>
        <w:rPr>
          <w:rFonts w:ascii="Times New Roman" w:eastAsia="Times New Roman" w:hAnsi="Times New Roman" w:cs="Times New Roman"/>
          <w:sz w:val="24"/>
          <w:szCs w:val="24"/>
          <w:lang w:val="en-GB" w:eastAsia="en-GB"/>
        </w:rPr>
      </w:pPr>
      <w:r w:rsidRPr="007E4AB3">
        <w:rPr>
          <w:rFonts w:ascii="Times New Roman" w:eastAsia="Times New Roman" w:hAnsi="Times New Roman" w:cs="Times New Roman"/>
          <w:sz w:val="24"/>
          <w:szCs w:val="24"/>
          <w:lang w:val="en-GB" w:eastAsia="en-GB"/>
        </w:rPr>
        <w:t>Prime Minister Chung Sye-</w:t>
      </w:r>
      <w:proofErr w:type="spellStart"/>
      <w:r w:rsidRPr="007E4AB3">
        <w:rPr>
          <w:rFonts w:ascii="Times New Roman" w:eastAsia="Times New Roman" w:hAnsi="Times New Roman" w:cs="Times New Roman"/>
          <w:sz w:val="24"/>
          <w:szCs w:val="24"/>
          <w:lang w:val="en-GB" w:eastAsia="en-GB"/>
        </w:rPr>
        <w:t>kyun’s</w:t>
      </w:r>
      <w:proofErr w:type="spellEnd"/>
      <w:r w:rsidRPr="007E4AB3">
        <w:rPr>
          <w:rFonts w:ascii="Times New Roman" w:eastAsia="Times New Roman" w:hAnsi="Times New Roman" w:cs="Times New Roman"/>
          <w:sz w:val="24"/>
          <w:szCs w:val="24"/>
          <w:lang w:val="en-GB" w:eastAsia="en-GB"/>
        </w:rPr>
        <w:t xml:space="preserve"> leadership during the COVID-19 pandemic exemplified the strength of decisive, transparent, and coordinated action within a centralised health governance structure. Chung adopted a leadership style rooted in </w:t>
      </w:r>
      <w:r w:rsidRPr="007E4AB3">
        <w:rPr>
          <w:rFonts w:ascii="Times New Roman" w:eastAsia="Times New Roman" w:hAnsi="Times New Roman" w:cs="Times New Roman"/>
          <w:b/>
          <w:bCs/>
          <w:sz w:val="24"/>
          <w:szCs w:val="24"/>
          <w:lang w:val="en-GB" w:eastAsia="en-GB"/>
        </w:rPr>
        <w:t>crisis communication</w:t>
      </w:r>
      <w:r w:rsidRPr="007E4AB3">
        <w:rPr>
          <w:rFonts w:ascii="Times New Roman" w:eastAsia="Times New Roman" w:hAnsi="Times New Roman" w:cs="Times New Roman"/>
          <w:sz w:val="24"/>
          <w:szCs w:val="24"/>
          <w:lang w:val="en-GB" w:eastAsia="en-GB"/>
        </w:rPr>
        <w:t xml:space="preserve">, </w:t>
      </w:r>
      <w:r w:rsidRPr="007E4AB3">
        <w:rPr>
          <w:rFonts w:ascii="Times New Roman" w:eastAsia="Times New Roman" w:hAnsi="Times New Roman" w:cs="Times New Roman"/>
          <w:b/>
          <w:bCs/>
          <w:sz w:val="24"/>
          <w:szCs w:val="24"/>
          <w:lang w:val="en-GB" w:eastAsia="en-GB"/>
        </w:rPr>
        <w:t>adaptive governance</w:t>
      </w:r>
      <w:r w:rsidRPr="007E4AB3">
        <w:rPr>
          <w:rFonts w:ascii="Times New Roman" w:eastAsia="Times New Roman" w:hAnsi="Times New Roman" w:cs="Times New Roman"/>
          <w:sz w:val="24"/>
          <w:szCs w:val="24"/>
          <w:lang w:val="en-GB" w:eastAsia="en-GB"/>
        </w:rPr>
        <w:t xml:space="preserve">, and </w:t>
      </w:r>
      <w:r w:rsidRPr="007E4AB3">
        <w:rPr>
          <w:rFonts w:ascii="Times New Roman" w:eastAsia="Times New Roman" w:hAnsi="Times New Roman" w:cs="Times New Roman"/>
          <w:b/>
          <w:bCs/>
          <w:sz w:val="24"/>
          <w:szCs w:val="24"/>
          <w:lang w:val="en-GB" w:eastAsia="en-GB"/>
        </w:rPr>
        <w:t>distributed institutional collaboration</w:t>
      </w:r>
      <w:r w:rsidRPr="007E4AB3">
        <w:rPr>
          <w:rFonts w:ascii="Times New Roman" w:eastAsia="Times New Roman" w:hAnsi="Times New Roman" w:cs="Times New Roman"/>
          <w:sz w:val="24"/>
          <w:szCs w:val="24"/>
          <w:lang w:val="en-GB" w:eastAsia="en-GB"/>
        </w:rPr>
        <w:t>, achieving widespread recognition both domestically and internationally (Kim &amp; Lee, 2020).</w:t>
      </w:r>
      <w:r>
        <w:rPr>
          <w:rFonts w:ascii="Times New Roman" w:eastAsia="Times New Roman" w:hAnsi="Times New Roman" w:cs="Times New Roman"/>
          <w:sz w:val="24"/>
          <w:szCs w:val="24"/>
          <w:lang w:val="en-GB" w:eastAsia="en-GB"/>
        </w:rPr>
        <w:t xml:space="preserve"> </w:t>
      </w:r>
      <w:r w:rsidRPr="007E4AB3">
        <w:rPr>
          <w:rFonts w:ascii="Times New Roman" w:eastAsia="Times New Roman" w:hAnsi="Times New Roman" w:cs="Times New Roman"/>
          <w:sz w:val="24"/>
          <w:szCs w:val="24"/>
          <w:lang w:val="en-GB" w:eastAsia="en-GB"/>
        </w:rPr>
        <w:t xml:space="preserve">Chung’s emphasis on transparency, respect, and openness created a foundation for legitimacy and public compliance. From the onset, his government provided daily briefings, openly shared epidemiological data, and acknowledged uncertainties—an approach aligned with the principles of </w:t>
      </w:r>
      <w:r w:rsidRPr="007E4AB3">
        <w:rPr>
          <w:rFonts w:ascii="Times New Roman" w:eastAsia="Times New Roman" w:hAnsi="Times New Roman" w:cs="Times New Roman"/>
          <w:b/>
          <w:bCs/>
          <w:sz w:val="24"/>
          <w:szCs w:val="24"/>
          <w:lang w:val="en-GB" w:eastAsia="en-GB"/>
        </w:rPr>
        <w:t>sensemaking and trust-building</w:t>
      </w:r>
      <w:r w:rsidRPr="007E4AB3">
        <w:rPr>
          <w:rFonts w:ascii="Times New Roman" w:eastAsia="Times New Roman" w:hAnsi="Times New Roman" w:cs="Times New Roman"/>
          <w:sz w:val="24"/>
          <w:szCs w:val="24"/>
          <w:lang w:val="en-GB" w:eastAsia="en-GB"/>
        </w:rPr>
        <w:t xml:space="preserve"> (Boin et al., 2013). This openness enhanced credibility and allowed the government to justify intrusive measures such as digital contact tracing and movement restrictions.</w:t>
      </w:r>
    </w:p>
    <w:p w14:paraId="68BD89A8" w14:textId="77777777" w:rsidR="007E4AB3" w:rsidRPr="007E4AB3" w:rsidRDefault="007E4AB3" w:rsidP="007E4AB3">
      <w:pPr>
        <w:widowControl/>
        <w:autoSpaceDE/>
        <w:autoSpaceDN/>
        <w:spacing w:line="360" w:lineRule="auto"/>
        <w:jc w:val="both"/>
        <w:rPr>
          <w:rFonts w:ascii="Times New Roman" w:eastAsia="Times New Roman" w:hAnsi="Times New Roman" w:cs="Times New Roman"/>
          <w:sz w:val="24"/>
          <w:szCs w:val="24"/>
          <w:lang w:val="en-GB" w:eastAsia="en-GB"/>
        </w:rPr>
      </w:pPr>
    </w:p>
    <w:p w14:paraId="40F09360" w14:textId="7F6D74F4" w:rsidR="007E4AB3" w:rsidRDefault="007E4AB3" w:rsidP="007E4AB3">
      <w:pPr>
        <w:widowControl/>
        <w:autoSpaceDE/>
        <w:autoSpaceDN/>
        <w:spacing w:line="360" w:lineRule="auto"/>
        <w:jc w:val="both"/>
        <w:rPr>
          <w:rFonts w:ascii="Times New Roman" w:eastAsia="Times New Roman" w:hAnsi="Times New Roman" w:cs="Times New Roman"/>
          <w:sz w:val="24"/>
          <w:szCs w:val="24"/>
          <w:lang w:val="en-GB" w:eastAsia="en-GB"/>
        </w:rPr>
      </w:pPr>
      <w:r w:rsidRPr="007E4AB3">
        <w:rPr>
          <w:rFonts w:ascii="Times New Roman" w:eastAsia="Times New Roman" w:hAnsi="Times New Roman" w:cs="Times New Roman"/>
          <w:sz w:val="24"/>
          <w:szCs w:val="24"/>
          <w:lang w:val="en-GB" w:eastAsia="en-GB"/>
        </w:rPr>
        <w:lastRenderedPageBreak/>
        <w:t xml:space="preserve">The South Korean response was heavily coordinated through the Korea Disease Control and Prevention Agency (KDCA), which operated under Chung’s political leadership. His role was not to micromanage, but to </w:t>
      </w:r>
      <w:r w:rsidRPr="007E4AB3">
        <w:rPr>
          <w:rFonts w:ascii="Times New Roman" w:eastAsia="Times New Roman" w:hAnsi="Times New Roman" w:cs="Times New Roman"/>
          <w:b/>
          <w:bCs/>
          <w:sz w:val="24"/>
          <w:szCs w:val="24"/>
          <w:lang w:val="en-GB" w:eastAsia="en-GB"/>
        </w:rPr>
        <w:t>mobilise institutions</w:t>
      </w:r>
      <w:r w:rsidRPr="007E4AB3">
        <w:rPr>
          <w:rFonts w:ascii="Times New Roman" w:eastAsia="Times New Roman" w:hAnsi="Times New Roman" w:cs="Times New Roman"/>
          <w:sz w:val="24"/>
          <w:szCs w:val="24"/>
          <w:lang w:val="en-GB" w:eastAsia="en-GB"/>
        </w:rPr>
        <w:t xml:space="preserve"> and remove bureaucratic obstacles—an example of </w:t>
      </w:r>
      <w:r w:rsidRPr="007E4AB3">
        <w:rPr>
          <w:rFonts w:ascii="Times New Roman" w:eastAsia="Times New Roman" w:hAnsi="Times New Roman" w:cs="Times New Roman"/>
          <w:b/>
          <w:bCs/>
          <w:sz w:val="24"/>
          <w:szCs w:val="24"/>
          <w:lang w:val="en-GB" w:eastAsia="en-GB"/>
        </w:rPr>
        <w:t>adaptive and distributed leadership</w:t>
      </w:r>
      <w:r w:rsidRPr="007E4AB3">
        <w:rPr>
          <w:rFonts w:ascii="Times New Roman" w:eastAsia="Times New Roman" w:hAnsi="Times New Roman" w:cs="Times New Roman"/>
          <w:sz w:val="24"/>
          <w:szCs w:val="24"/>
          <w:lang w:val="en-GB" w:eastAsia="en-GB"/>
        </w:rPr>
        <w:t>. By empowering experts and enabling cross-ministerial collaboration, Chung ensured a fast, data-driven response. The synergy between political leadership and technical agencies facilitated swift implementation of the "3T" strategy: testing, tracing, and treatment (Park et al., 2021).</w:t>
      </w:r>
      <w:r>
        <w:rPr>
          <w:rFonts w:ascii="Times New Roman" w:eastAsia="Times New Roman" w:hAnsi="Times New Roman" w:cs="Times New Roman"/>
          <w:sz w:val="24"/>
          <w:szCs w:val="24"/>
          <w:lang w:val="en-GB" w:eastAsia="en-GB"/>
        </w:rPr>
        <w:t xml:space="preserve"> </w:t>
      </w:r>
      <w:r w:rsidRPr="007E4AB3">
        <w:rPr>
          <w:rFonts w:ascii="Times New Roman" w:eastAsia="Times New Roman" w:hAnsi="Times New Roman" w:cs="Times New Roman"/>
          <w:sz w:val="24"/>
          <w:szCs w:val="24"/>
          <w:lang w:val="en-GB" w:eastAsia="en-GB"/>
        </w:rPr>
        <w:t xml:space="preserve">Chung's communication style integrated </w:t>
      </w:r>
      <w:r w:rsidRPr="007E4AB3">
        <w:rPr>
          <w:rFonts w:ascii="Times New Roman" w:eastAsia="Times New Roman" w:hAnsi="Times New Roman" w:cs="Times New Roman"/>
          <w:b/>
          <w:bCs/>
          <w:sz w:val="24"/>
          <w:szCs w:val="24"/>
          <w:lang w:val="en-GB" w:eastAsia="en-GB"/>
        </w:rPr>
        <w:t>transformational elements</w:t>
      </w:r>
      <w:r w:rsidRPr="007E4AB3">
        <w:rPr>
          <w:rFonts w:ascii="Times New Roman" w:eastAsia="Times New Roman" w:hAnsi="Times New Roman" w:cs="Times New Roman"/>
          <w:sz w:val="24"/>
          <w:szCs w:val="24"/>
          <w:lang w:val="en-GB" w:eastAsia="en-GB"/>
        </w:rPr>
        <w:t xml:space="preserve">, such as appealing to civic duty and national pride. His public addresses regularly invoked collective responsibility, which strengthened compliance and social solidarity. At the same time, </w:t>
      </w:r>
      <w:r w:rsidRPr="007E4AB3">
        <w:rPr>
          <w:rFonts w:ascii="Times New Roman" w:eastAsia="Times New Roman" w:hAnsi="Times New Roman" w:cs="Times New Roman"/>
          <w:b/>
          <w:bCs/>
          <w:sz w:val="24"/>
          <w:szCs w:val="24"/>
          <w:lang w:val="en-GB" w:eastAsia="en-GB"/>
        </w:rPr>
        <w:t>transactional elements</w:t>
      </w:r>
      <w:r w:rsidRPr="007E4AB3">
        <w:rPr>
          <w:rFonts w:ascii="Times New Roman" w:eastAsia="Times New Roman" w:hAnsi="Times New Roman" w:cs="Times New Roman"/>
          <w:sz w:val="24"/>
          <w:szCs w:val="24"/>
          <w:lang w:val="en-GB" w:eastAsia="en-GB"/>
        </w:rPr>
        <w:t xml:space="preserve"> were embedded in enforcement structures, including fines for quarantine breaches and restrictions on high-risk venues. The blend of moral appeal and structured enforcement ensured that public health mandates were both persuasive and actionable.</w:t>
      </w:r>
    </w:p>
    <w:p w14:paraId="4172B993" w14:textId="77777777" w:rsidR="007E4AB3" w:rsidRPr="007E4AB3" w:rsidRDefault="007E4AB3" w:rsidP="007E4AB3">
      <w:pPr>
        <w:widowControl/>
        <w:autoSpaceDE/>
        <w:autoSpaceDN/>
        <w:spacing w:line="360" w:lineRule="auto"/>
        <w:jc w:val="both"/>
        <w:rPr>
          <w:rFonts w:ascii="Times New Roman" w:eastAsia="Times New Roman" w:hAnsi="Times New Roman" w:cs="Times New Roman"/>
          <w:sz w:val="24"/>
          <w:szCs w:val="24"/>
          <w:lang w:val="en-GB" w:eastAsia="en-GB"/>
        </w:rPr>
      </w:pPr>
    </w:p>
    <w:p w14:paraId="6E3865BE" w14:textId="14C0A6CE" w:rsidR="007E4AB3" w:rsidRPr="007E4AB3" w:rsidRDefault="007E4AB3" w:rsidP="007E4AB3">
      <w:pPr>
        <w:widowControl/>
        <w:autoSpaceDE/>
        <w:autoSpaceDN/>
        <w:spacing w:line="360" w:lineRule="auto"/>
        <w:jc w:val="both"/>
        <w:rPr>
          <w:rFonts w:ascii="Times New Roman" w:eastAsia="Times New Roman" w:hAnsi="Times New Roman" w:cs="Times New Roman"/>
          <w:sz w:val="24"/>
          <w:szCs w:val="24"/>
          <w:lang w:val="en-GB" w:eastAsia="en-GB"/>
        </w:rPr>
      </w:pPr>
      <w:r w:rsidRPr="007E4AB3">
        <w:rPr>
          <w:rFonts w:ascii="Times New Roman" w:eastAsia="Times New Roman" w:hAnsi="Times New Roman" w:cs="Times New Roman"/>
          <w:sz w:val="24"/>
          <w:szCs w:val="24"/>
          <w:lang w:val="en-GB" w:eastAsia="en-GB"/>
        </w:rPr>
        <w:t xml:space="preserve">However, Chung’s leadership was not without controversy. The extensive use of digital surveillance tools raised concerns about </w:t>
      </w:r>
      <w:r w:rsidRPr="007E4AB3">
        <w:rPr>
          <w:rFonts w:ascii="Times New Roman" w:eastAsia="Times New Roman" w:hAnsi="Times New Roman" w:cs="Times New Roman"/>
          <w:b/>
          <w:bCs/>
          <w:sz w:val="24"/>
          <w:szCs w:val="24"/>
          <w:lang w:val="en-GB" w:eastAsia="en-GB"/>
        </w:rPr>
        <w:t>civil liberties and privacy</w:t>
      </w:r>
      <w:r w:rsidRPr="007E4AB3">
        <w:rPr>
          <w:rFonts w:ascii="Times New Roman" w:eastAsia="Times New Roman" w:hAnsi="Times New Roman" w:cs="Times New Roman"/>
          <w:sz w:val="24"/>
          <w:szCs w:val="24"/>
          <w:lang w:val="en-GB" w:eastAsia="en-GB"/>
        </w:rPr>
        <w:t xml:space="preserve">. Although public opinion largely supported these measures during the crisis, scholars have warned about normalising surveillance beyond the pandemic (Kang &amp; Park, 2021). This reflects one of the trade-offs inherent in </w:t>
      </w:r>
      <w:r w:rsidRPr="007E4AB3">
        <w:rPr>
          <w:rFonts w:ascii="Times New Roman" w:eastAsia="Times New Roman" w:hAnsi="Times New Roman" w:cs="Times New Roman"/>
          <w:b/>
          <w:bCs/>
          <w:sz w:val="24"/>
          <w:szCs w:val="24"/>
          <w:lang w:val="en-GB" w:eastAsia="en-GB"/>
        </w:rPr>
        <w:t>crisis leadership</w:t>
      </w:r>
      <w:r w:rsidRPr="007E4AB3">
        <w:rPr>
          <w:rFonts w:ascii="Times New Roman" w:eastAsia="Times New Roman" w:hAnsi="Times New Roman" w:cs="Times New Roman"/>
          <w:sz w:val="24"/>
          <w:szCs w:val="24"/>
          <w:lang w:val="en-GB" w:eastAsia="en-GB"/>
        </w:rPr>
        <w:t xml:space="preserve">—balancing rights with protection. Chung managed these tensions by embedding transparency and legal oversight into the surveillance infrastructure, mitigating </w:t>
      </w:r>
      <w:r w:rsidRPr="007E4AB3">
        <w:rPr>
          <w:rFonts w:ascii="Times New Roman" w:eastAsia="Times New Roman" w:hAnsi="Times New Roman" w:cs="Times New Roman"/>
          <w:sz w:val="24"/>
          <w:szCs w:val="24"/>
          <w:lang w:val="en-GB" w:eastAsia="en-GB"/>
        </w:rPr>
        <w:t>concerns,</w:t>
      </w:r>
      <w:r w:rsidRPr="007E4AB3">
        <w:rPr>
          <w:rFonts w:ascii="Times New Roman" w:eastAsia="Times New Roman" w:hAnsi="Times New Roman" w:cs="Times New Roman"/>
          <w:sz w:val="24"/>
          <w:szCs w:val="24"/>
          <w:lang w:val="en-GB" w:eastAsia="en-GB"/>
        </w:rPr>
        <w:t xml:space="preserve"> and enhancing public trust.</w:t>
      </w:r>
      <w:r>
        <w:rPr>
          <w:rFonts w:ascii="Times New Roman" w:eastAsia="Times New Roman" w:hAnsi="Times New Roman" w:cs="Times New Roman"/>
          <w:sz w:val="24"/>
          <w:szCs w:val="24"/>
          <w:lang w:val="en-GB" w:eastAsia="en-GB"/>
        </w:rPr>
        <w:t xml:space="preserve"> </w:t>
      </w:r>
      <w:r w:rsidRPr="007E4AB3">
        <w:rPr>
          <w:rFonts w:ascii="Times New Roman" w:eastAsia="Times New Roman" w:hAnsi="Times New Roman" w:cs="Times New Roman"/>
          <w:sz w:val="24"/>
          <w:szCs w:val="24"/>
          <w:lang w:val="en-GB" w:eastAsia="en-GB"/>
        </w:rPr>
        <w:t xml:space="preserve">His approach also demonstrated </w:t>
      </w:r>
      <w:r w:rsidRPr="007E4AB3">
        <w:rPr>
          <w:rFonts w:ascii="Times New Roman" w:eastAsia="Times New Roman" w:hAnsi="Times New Roman" w:cs="Times New Roman"/>
          <w:b/>
          <w:bCs/>
          <w:sz w:val="24"/>
          <w:szCs w:val="24"/>
          <w:lang w:val="en-GB" w:eastAsia="en-GB"/>
        </w:rPr>
        <w:t>learning and flexibility</w:t>
      </w:r>
      <w:r w:rsidRPr="007E4AB3">
        <w:rPr>
          <w:rFonts w:ascii="Times New Roman" w:eastAsia="Times New Roman" w:hAnsi="Times New Roman" w:cs="Times New Roman"/>
          <w:sz w:val="24"/>
          <w:szCs w:val="24"/>
          <w:lang w:val="en-GB" w:eastAsia="en-GB"/>
        </w:rPr>
        <w:t xml:space="preserve">. For instance, as fatigue set in and cases surged in late 2020, policies were recalibrated to target high-risk areas rather than imposing blanket lockdowns. This responsiveness, grounded in data and informed by stakeholder feedback, exemplifies </w:t>
      </w:r>
      <w:r w:rsidRPr="007E4AB3">
        <w:rPr>
          <w:rFonts w:ascii="Times New Roman" w:eastAsia="Times New Roman" w:hAnsi="Times New Roman" w:cs="Times New Roman"/>
          <w:b/>
          <w:bCs/>
          <w:sz w:val="24"/>
          <w:szCs w:val="24"/>
          <w:lang w:val="en-GB" w:eastAsia="en-GB"/>
        </w:rPr>
        <w:t>adaptive leadership</w:t>
      </w:r>
      <w:r w:rsidRPr="007E4AB3">
        <w:rPr>
          <w:rFonts w:ascii="Times New Roman" w:eastAsia="Times New Roman" w:hAnsi="Times New Roman" w:cs="Times New Roman"/>
          <w:sz w:val="24"/>
          <w:szCs w:val="24"/>
          <w:lang w:val="en-GB" w:eastAsia="en-GB"/>
        </w:rPr>
        <w:t xml:space="preserve"> (Heifetz et al., 2009).</w:t>
      </w:r>
      <w:r>
        <w:rPr>
          <w:rFonts w:ascii="Times New Roman" w:eastAsia="Times New Roman" w:hAnsi="Times New Roman" w:cs="Times New Roman"/>
          <w:sz w:val="24"/>
          <w:szCs w:val="24"/>
          <w:lang w:val="en-GB" w:eastAsia="en-GB"/>
        </w:rPr>
        <w:t xml:space="preserve"> </w:t>
      </w:r>
      <w:r w:rsidRPr="007E4AB3">
        <w:rPr>
          <w:rFonts w:ascii="Times New Roman" w:eastAsia="Times New Roman" w:hAnsi="Times New Roman" w:cs="Times New Roman"/>
          <w:sz w:val="24"/>
          <w:szCs w:val="24"/>
          <w:lang w:val="en-GB" w:eastAsia="en-GB"/>
        </w:rPr>
        <w:t>Chung’s leadership showcases how strong central political leadership can harmonise with institutional expertise and public trust to manage a complex health crisis. His ability to coordinate agencies, communicate transparently, and balance ethical concerns contributed to South Korea’s relatively low death rates and high levels of compliance.</w:t>
      </w:r>
    </w:p>
    <w:p w14:paraId="04A42F1A" w14:textId="3DCBFB4A" w:rsidR="007E4AB3" w:rsidRPr="007E4AB3" w:rsidRDefault="007E4AB3" w:rsidP="007E4AB3">
      <w:pPr>
        <w:widowControl/>
        <w:autoSpaceDE/>
        <w:autoSpaceDN/>
        <w:spacing w:line="360" w:lineRule="auto"/>
        <w:jc w:val="both"/>
        <w:rPr>
          <w:rFonts w:ascii="Times New Roman" w:eastAsia="Times New Roman" w:hAnsi="Times New Roman" w:cs="Times New Roman"/>
          <w:sz w:val="24"/>
          <w:szCs w:val="24"/>
          <w:lang w:val="en-GB" w:eastAsia="en-GB"/>
        </w:rPr>
      </w:pPr>
    </w:p>
    <w:p w14:paraId="29AF9C56" w14:textId="61AA1C9F" w:rsidR="007E4AB3" w:rsidRPr="007E4AB3" w:rsidRDefault="007E4AB3" w:rsidP="007E4AB3">
      <w:pPr>
        <w:widowControl/>
        <w:autoSpaceDE/>
        <w:autoSpaceDN/>
        <w:spacing w:line="360" w:lineRule="auto"/>
        <w:jc w:val="both"/>
        <w:outlineLvl w:val="2"/>
        <w:rPr>
          <w:rFonts w:ascii="Times New Roman" w:eastAsia="Times New Roman" w:hAnsi="Times New Roman" w:cs="Times New Roman"/>
          <w:b/>
          <w:bCs/>
          <w:sz w:val="24"/>
          <w:szCs w:val="24"/>
          <w:lang w:val="en-GB" w:eastAsia="en-GB"/>
        </w:rPr>
      </w:pPr>
      <w:r w:rsidRPr="007E4AB3">
        <w:rPr>
          <w:rFonts w:ascii="Times New Roman" w:eastAsia="Times New Roman" w:hAnsi="Times New Roman" w:cs="Times New Roman"/>
          <w:b/>
          <w:bCs/>
          <w:sz w:val="24"/>
          <w:szCs w:val="24"/>
          <w:lang w:val="en-GB" w:eastAsia="en-GB"/>
        </w:rPr>
        <w:t xml:space="preserve">3.4 Canada – Prime Minister Justin Trudeau </w:t>
      </w:r>
    </w:p>
    <w:p w14:paraId="0A8DBBEB" w14:textId="23935892" w:rsidR="007E4AB3" w:rsidRDefault="007E4AB3" w:rsidP="007E4AB3">
      <w:pPr>
        <w:widowControl/>
        <w:autoSpaceDE/>
        <w:autoSpaceDN/>
        <w:spacing w:line="360" w:lineRule="auto"/>
        <w:jc w:val="both"/>
        <w:rPr>
          <w:rFonts w:ascii="Times New Roman" w:eastAsia="Times New Roman" w:hAnsi="Times New Roman" w:cs="Times New Roman"/>
          <w:sz w:val="24"/>
          <w:szCs w:val="24"/>
          <w:lang w:val="en-GB" w:eastAsia="en-GB"/>
        </w:rPr>
      </w:pPr>
      <w:r w:rsidRPr="007E4AB3">
        <w:rPr>
          <w:rFonts w:ascii="Times New Roman" w:eastAsia="Times New Roman" w:hAnsi="Times New Roman" w:cs="Times New Roman"/>
          <w:sz w:val="24"/>
          <w:szCs w:val="24"/>
          <w:lang w:val="en-GB" w:eastAsia="en-GB"/>
        </w:rPr>
        <w:t xml:space="preserve">Justin Trudeau’s leadership during the COVID-19 pandemic was shaped by the realities of Canada’s federal political system, where provinces and territories hold primary responsibility for healthcare delivery and public health. In this context, Trudeau adopted a </w:t>
      </w:r>
      <w:r w:rsidRPr="007E4AB3">
        <w:rPr>
          <w:rFonts w:ascii="Times New Roman" w:eastAsia="Times New Roman" w:hAnsi="Times New Roman" w:cs="Times New Roman"/>
          <w:b/>
          <w:bCs/>
          <w:sz w:val="24"/>
          <w:szCs w:val="24"/>
          <w:lang w:val="en-GB" w:eastAsia="en-GB"/>
        </w:rPr>
        <w:t>unifying, facilitative leadership style</w:t>
      </w:r>
      <w:r w:rsidRPr="007E4AB3">
        <w:rPr>
          <w:rFonts w:ascii="Times New Roman" w:eastAsia="Times New Roman" w:hAnsi="Times New Roman" w:cs="Times New Roman"/>
          <w:sz w:val="24"/>
          <w:szCs w:val="24"/>
          <w:lang w:val="en-GB" w:eastAsia="en-GB"/>
        </w:rPr>
        <w:t xml:space="preserve">, characterised by empathetic communication, fiscal mobilisation, and support for provincial autonomy. His approach aligns with key principles of </w:t>
      </w:r>
      <w:r w:rsidRPr="007E4AB3">
        <w:rPr>
          <w:rFonts w:ascii="Times New Roman" w:eastAsia="Times New Roman" w:hAnsi="Times New Roman" w:cs="Times New Roman"/>
          <w:b/>
          <w:bCs/>
          <w:sz w:val="24"/>
          <w:szCs w:val="24"/>
          <w:lang w:val="en-GB" w:eastAsia="en-GB"/>
        </w:rPr>
        <w:t>transformational and adaptive leadership</w:t>
      </w:r>
      <w:r w:rsidRPr="007E4AB3">
        <w:rPr>
          <w:rFonts w:ascii="Times New Roman" w:eastAsia="Times New Roman" w:hAnsi="Times New Roman" w:cs="Times New Roman"/>
          <w:sz w:val="24"/>
          <w:szCs w:val="24"/>
          <w:lang w:val="en-GB" w:eastAsia="en-GB"/>
        </w:rPr>
        <w:t xml:space="preserve">, </w:t>
      </w:r>
      <w:r w:rsidRPr="007E4AB3">
        <w:rPr>
          <w:rFonts w:ascii="Times New Roman" w:eastAsia="Times New Roman" w:hAnsi="Times New Roman" w:cs="Times New Roman"/>
          <w:sz w:val="24"/>
          <w:szCs w:val="24"/>
          <w:lang w:val="en-GB" w:eastAsia="en-GB"/>
        </w:rPr>
        <w:lastRenderedPageBreak/>
        <w:t>though structural constraints often limited direct impact on health system performance.</w:t>
      </w:r>
      <w:r w:rsidR="001B5A2C">
        <w:rPr>
          <w:rFonts w:ascii="Times New Roman" w:eastAsia="Times New Roman" w:hAnsi="Times New Roman" w:cs="Times New Roman"/>
          <w:sz w:val="24"/>
          <w:szCs w:val="24"/>
          <w:lang w:val="en-GB" w:eastAsia="en-GB"/>
        </w:rPr>
        <w:t xml:space="preserve"> </w:t>
      </w:r>
      <w:r w:rsidRPr="007E4AB3">
        <w:rPr>
          <w:rFonts w:ascii="Times New Roman" w:eastAsia="Times New Roman" w:hAnsi="Times New Roman" w:cs="Times New Roman"/>
          <w:sz w:val="24"/>
          <w:szCs w:val="24"/>
          <w:lang w:val="en-GB" w:eastAsia="en-GB"/>
        </w:rPr>
        <w:t xml:space="preserve">Trudeau’s daily briefings in 2020 were marked by empathy, inclusiveness, and personal appeals to Canadians. He openly acknowledged uncertainties, urged citizens to “listen to science,” and tailored messaging to diverse communities, including Indigenous populations (Brown, 2021). His tone reflected </w:t>
      </w:r>
      <w:r w:rsidRPr="007E4AB3">
        <w:rPr>
          <w:rFonts w:ascii="Times New Roman" w:eastAsia="Times New Roman" w:hAnsi="Times New Roman" w:cs="Times New Roman"/>
          <w:b/>
          <w:bCs/>
          <w:sz w:val="24"/>
          <w:szCs w:val="24"/>
          <w:lang w:val="en-GB" w:eastAsia="en-GB"/>
        </w:rPr>
        <w:t>transformational leadership</w:t>
      </w:r>
      <w:r w:rsidRPr="007E4AB3">
        <w:rPr>
          <w:rFonts w:ascii="Times New Roman" w:eastAsia="Times New Roman" w:hAnsi="Times New Roman" w:cs="Times New Roman"/>
          <w:sz w:val="24"/>
          <w:szCs w:val="24"/>
          <w:lang w:val="en-GB" w:eastAsia="en-GB"/>
        </w:rPr>
        <w:t>, aiming to instil trust and collective responsibility during a time of national anxiety.</w:t>
      </w:r>
    </w:p>
    <w:p w14:paraId="7A47537B" w14:textId="77777777" w:rsidR="001B5A2C" w:rsidRPr="007E4AB3" w:rsidRDefault="001B5A2C" w:rsidP="007E4AB3">
      <w:pPr>
        <w:widowControl/>
        <w:autoSpaceDE/>
        <w:autoSpaceDN/>
        <w:spacing w:line="360" w:lineRule="auto"/>
        <w:jc w:val="both"/>
        <w:rPr>
          <w:rFonts w:ascii="Times New Roman" w:eastAsia="Times New Roman" w:hAnsi="Times New Roman" w:cs="Times New Roman"/>
          <w:sz w:val="24"/>
          <w:szCs w:val="24"/>
          <w:lang w:val="en-GB" w:eastAsia="en-GB"/>
        </w:rPr>
      </w:pPr>
    </w:p>
    <w:p w14:paraId="07BCA19F" w14:textId="3512CFC9" w:rsidR="007E4AB3" w:rsidRDefault="007E4AB3" w:rsidP="007E4AB3">
      <w:pPr>
        <w:widowControl/>
        <w:autoSpaceDE/>
        <w:autoSpaceDN/>
        <w:spacing w:line="360" w:lineRule="auto"/>
        <w:jc w:val="both"/>
        <w:rPr>
          <w:rFonts w:ascii="Times New Roman" w:eastAsia="Times New Roman" w:hAnsi="Times New Roman" w:cs="Times New Roman"/>
          <w:sz w:val="24"/>
          <w:szCs w:val="24"/>
          <w:lang w:val="en-GB" w:eastAsia="en-GB"/>
        </w:rPr>
      </w:pPr>
      <w:r w:rsidRPr="007E4AB3">
        <w:rPr>
          <w:rFonts w:ascii="Times New Roman" w:eastAsia="Times New Roman" w:hAnsi="Times New Roman" w:cs="Times New Roman"/>
          <w:sz w:val="24"/>
          <w:szCs w:val="24"/>
          <w:lang w:val="en-GB" w:eastAsia="en-GB"/>
        </w:rPr>
        <w:t xml:space="preserve">Given his limited jurisdiction over healthcare, Trudeau focused on </w:t>
      </w:r>
      <w:r w:rsidRPr="007E4AB3">
        <w:rPr>
          <w:rFonts w:ascii="Times New Roman" w:eastAsia="Times New Roman" w:hAnsi="Times New Roman" w:cs="Times New Roman"/>
          <w:b/>
          <w:bCs/>
          <w:sz w:val="24"/>
          <w:szCs w:val="24"/>
          <w:lang w:val="en-GB" w:eastAsia="en-GB"/>
        </w:rPr>
        <w:t>coordinating from the centre</w:t>
      </w:r>
      <w:r w:rsidRPr="007E4AB3">
        <w:rPr>
          <w:rFonts w:ascii="Times New Roman" w:eastAsia="Times New Roman" w:hAnsi="Times New Roman" w:cs="Times New Roman"/>
          <w:sz w:val="24"/>
          <w:szCs w:val="24"/>
          <w:lang w:val="en-GB" w:eastAsia="en-GB"/>
        </w:rPr>
        <w:t xml:space="preserve">. The federal government implemented fiscal interventions such as the Canada Emergency Response Benefit (CERB) and supported provinces with funds for PPE, testing, and later, vaccination logistics (Atkinson, 2022). These actions demonstrated </w:t>
      </w:r>
      <w:r w:rsidRPr="007E4AB3">
        <w:rPr>
          <w:rFonts w:ascii="Times New Roman" w:eastAsia="Times New Roman" w:hAnsi="Times New Roman" w:cs="Times New Roman"/>
          <w:b/>
          <w:bCs/>
          <w:sz w:val="24"/>
          <w:szCs w:val="24"/>
          <w:lang w:val="en-GB" w:eastAsia="en-GB"/>
        </w:rPr>
        <w:t>adaptive leadership</w:t>
      </w:r>
      <w:r w:rsidRPr="007E4AB3">
        <w:rPr>
          <w:rFonts w:ascii="Times New Roman" w:eastAsia="Times New Roman" w:hAnsi="Times New Roman" w:cs="Times New Roman"/>
          <w:sz w:val="24"/>
          <w:szCs w:val="24"/>
          <w:lang w:val="en-GB" w:eastAsia="en-GB"/>
        </w:rPr>
        <w:t>, particularly in responding to evolving social and economic needs.</w:t>
      </w:r>
      <w:r w:rsidR="001B5A2C">
        <w:rPr>
          <w:rFonts w:ascii="Times New Roman" w:eastAsia="Times New Roman" w:hAnsi="Times New Roman" w:cs="Times New Roman"/>
          <w:sz w:val="24"/>
          <w:szCs w:val="24"/>
          <w:lang w:val="en-GB" w:eastAsia="en-GB"/>
        </w:rPr>
        <w:t xml:space="preserve"> </w:t>
      </w:r>
      <w:r w:rsidRPr="007E4AB3">
        <w:rPr>
          <w:rFonts w:ascii="Times New Roman" w:eastAsia="Times New Roman" w:hAnsi="Times New Roman" w:cs="Times New Roman"/>
          <w:sz w:val="24"/>
          <w:szCs w:val="24"/>
          <w:lang w:val="en-GB" w:eastAsia="en-GB"/>
        </w:rPr>
        <w:t>Trudeau’s government also took the lead in vaccine procurement, entering into advance purchase agreements with multiple suppliers. This centralised procurement was crucial in ensuring equitable supply across provinces. However, the delivery of vaccines, prioritisation strategies, and communication fell under provincial jurisdiction, leading to fragmented experiences across the country (Flood et al., 2021). While Trudeau urged consistency and provided guidance through the Public Health Agency of Canada, enforcement remained weak due to constitutional limits.</w:t>
      </w:r>
    </w:p>
    <w:p w14:paraId="57C76466" w14:textId="77777777" w:rsidR="001B5A2C" w:rsidRPr="007E4AB3" w:rsidRDefault="001B5A2C" w:rsidP="007E4AB3">
      <w:pPr>
        <w:widowControl/>
        <w:autoSpaceDE/>
        <w:autoSpaceDN/>
        <w:spacing w:line="360" w:lineRule="auto"/>
        <w:jc w:val="both"/>
        <w:rPr>
          <w:rFonts w:ascii="Times New Roman" w:eastAsia="Times New Roman" w:hAnsi="Times New Roman" w:cs="Times New Roman"/>
          <w:sz w:val="24"/>
          <w:szCs w:val="24"/>
          <w:lang w:val="en-GB" w:eastAsia="en-GB"/>
        </w:rPr>
      </w:pPr>
    </w:p>
    <w:p w14:paraId="2EF105A7" w14:textId="3298FB40" w:rsidR="007E4AB3" w:rsidRPr="007E4AB3" w:rsidRDefault="007E4AB3" w:rsidP="007E4AB3">
      <w:pPr>
        <w:widowControl/>
        <w:autoSpaceDE/>
        <w:autoSpaceDN/>
        <w:spacing w:line="360" w:lineRule="auto"/>
        <w:jc w:val="both"/>
        <w:rPr>
          <w:rFonts w:ascii="Times New Roman" w:eastAsia="Times New Roman" w:hAnsi="Times New Roman" w:cs="Times New Roman"/>
          <w:sz w:val="24"/>
          <w:szCs w:val="24"/>
          <w:lang w:val="en-GB" w:eastAsia="en-GB"/>
        </w:rPr>
      </w:pPr>
      <w:r w:rsidRPr="007E4AB3">
        <w:rPr>
          <w:rFonts w:ascii="Times New Roman" w:eastAsia="Times New Roman" w:hAnsi="Times New Roman" w:cs="Times New Roman"/>
          <w:sz w:val="24"/>
          <w:szCs w:val="24"/>
          <w:lang w:val="en-GB" w:eastAsia="en-GB"/>
        </w:rPr>
        <w:t xml:space="preserve">Coordination challenges were evident in the lack of unified messaging. Provinces diverged on school closures, mask mandates, and lockdown timelines. Trudeau’s leadership sought to “nudge” rather than compel, which reflects </w:t>
      </w:r>
      <w:r w:rsidRPr="007E4AB3">
        <w:rPr>
          <w:rFonts w:ascii="Times New Roman" w:eastAsia="Times New Roman" w:hAnsi="Times New Roman" w:cs="Times New Roman"/>
          <w:b/>
          <w:bCs/>
          <w:sz w:val="24"/>
          <w:szCs w:val="24"/>
          <w:lang w:val="en-GB" w:eastAsia="en-GB"/>
        </w:rPr>
        <w:t>distributed leadership</w:t>
      </w:r>
      <w:r w:rsidRPr="007E4AB3">
        <w:rPr>
          <w:rFonts w:ascii="Times New Roman" w:eastAsia="Times New Roman" w:hAnsi="Times New Roman" w:cs="Times New Roman"/>
          <w:sz w:val="24"/>
          <w:szCs w:val="24"/>
          <w:lang w:val="en-GB" w:eastAsia="en-GB"/>
        </w:rPr>
        <w:t>—appropriate for federal contexts, but less effective in rapidly evolving crises (Wilson, 2022). His hands-off approach on contentious issues, such as vaccine mandates, drew criticism from those seeking more decisive national coordination.</w:t>
      </w:r>
      <w:r w:rsidR="001B5A2C">
        <w:rPr>
          <w:rFonts w:ascii="Times New Roman" w:eastAsia="Times New Roman" w:hAnsi="Times New Roman" w:cs="Times New Roman"/>
          <w:sz w:val="24"/>
          <w:szCs w:val="24"/>
          <w:lang w:val="en-GB" w:eastAsia="en-GB"/>
        </w:rPr>
        <w:t xml:space="preserve"> </w:t>
      </w:r>
      <w:r w:rsidRPr="007E4AB3">
        <w:rPr>
          <w:rFonts w:ascii="Times New Roman" w:eastAsia="Times New Roman" w:hAnsi="Times New Roman" w:cs="Times New Roman"/>
          <w:sz w:val="24"/>
          <w:szCs w:val="24"/>
          <w:lang w:val="en-GB" w:eastAsia="en-GB"/>
        </w:rPr>
        <w:t xml:space="preserve">Nonetheless, Trudeau’s leadership was not static. As new variants emerged, his government adjusted border controls, increased fiscal transfers, and collaborated with provinces on booster campaigns. These shifts illustrate </w:t>
      </w:r>
      <w:r w:rsidRPr="007E4AB3">
        <w:rPr>
          <w:rFonts w:ascii="Times New Roman" w:eastAsia="Times New Roman" w:hAnsi="Times New Roman" w:cs="Times New Roman"/>
          <w:b/>
          <w:bCs/>
          <w:sz w:val="24"/>
          <w:szCs w:val="24"/>
          <w:lang w:val="en-GB" w:eastAsia="en-GB"/>
        </w:rPr>
        <w:t>learning and adaptation</w:t>
      </w:r>
      <w:r w:rsidRPr="007E4AB3">
        <w:rPr>
          <w:rFonts w:ascii="Times New Roman" w:eastAsia="Times New Roman" w:hAnsi="Times New Roman" w:cs="Times New Roman"/>
          <w:sz w:val="24"/>
          <w:szCs w:val="24"/>
          <w:lang w:val="en-GB" w:eastAsia="en-GB"/>
        </w:rPr>
        <w:t>, even within limited authority. Importantly, Trudeau’s consistent empathy and transparency maintained public trust, which is essential in a health crisis.</w:t>
      </w:r>
      <w:r w:rsidR="001B5A2C">
        <w:rPr>
          <w:rFonts w:ascii="Times New Roman" w:eastAsia="Times New Roman" w:hAnsi="Times New Roman" w:cs="Times New Roman"/>
          <w:sz w:val="24"/>
          <w:szCs w:val="24"/>
          <w:lang w:val="en-GB" w:eastAsia="en-GB"/>
        </w:rPr>
        <w:t xml:space="preserve"> </w:t>
      </w:r>
      <w:r w:rsidRPr="007E4AB3">
        <w:rPr>
          <w:rFonts w:ascii="Times New Roman" w:eastAsia="Times New Roman" w:hAnsi="Times New Roman" w:cs="Times New Roman"/>
          <w:sz w:val="24"/>
          <w:szCs w:val="24"/>
          <w:lang w:val="en-GB" w:eastAsia="en-GB"/>
        </w:rPr>
        <w:t xml:space="preserve">Trudeau’s leadership was constrained by federalism but characterised by emotional intelligence, fiscal responsiveness, and coalition-building. His experience underscores the importance of </w:t>
      </w:r>
      <w:r w:rsidRPr="007E4AB3">
        <w:rPr>
          <w:rFonts w:ascii="Times New Roman" w:eastAsia="Times New Roman" w:hAnsi="Times New Roman" w:cs="Times New Roman"/>
          <w:b/>
          <w:bCs/>
          <w:sz w:val="24"/>
          <w:szCs w:val="24"/>
          <w:lang w:val="en-GB" w:eastAsia="en-GB"/>
        </w:rPr>
        <w:t>leadership-system fit</w:t>
      </w:r>
      <w:r w:rsidRPr="007E4AB3">
        <w:rPr>
          <w:rFonts w:ascii="Times New Roman" w:eastAsia="Times New Roman" w:hAnsi="Times New Roman" w:cs="Times New Roman"/>
          <w:sz w:val="24"/>
          <w:szCs w:val="24"/>
          <w:lang w:val="en-GB" w:eastAsia="en-GB"/>
        </w:rPr>
        <w:t>, where alignment between style and governance structure determines effectiveness.</w:t>
      </w:r>
    </w:p>
    <w:p w14:paraId="6F729E19" w14:textId="31EBA4E3" w:rsidR="007E4AB3" w:rsidRPr="007E4AB3" w:rsidRDefault="007E4AB3" w:rsidP="007E4AB3">
      <w:pPr>
        <w:widowControl/>
        <w:autoSpaceDE/>
        <w:autoSpaceDN/>
        <w:spacing w:line="360" w:lineRule="auto"/>
        <w:jc w:val="both"/>
        <w:rPr>
          <w:rFonts w:ascii="Times New Roman" w:eastAsia="Times New Roman" w:hAnsi="Times New Roman" w:cs="Times New Roman"/>
          <w:sz w:val="24"/>
          <w:szCs w:val="24"/>
          <w:lang w:val="en-GB" w:eastAsia="en-GB"/>
        </w:rPr>
      </w:pPr>
    </w:p>
    <w:p w14:paraId="1B281B65" w14:textId="38215BC0" w:rsidR="007E4AB3" w:rsidRPr="007E4AB3" w:rsidRDefault="007E4AB3" w:rsidP="007E4AB3">
      <w:pPr>
        <w:widowControl/>
        <w:autoSpaceDE/>
        <w:autoSpaceDN/>
        <w:spacing w:line="360" w:lineRule="auto"/>
        <w:jc w:val="both"/>
        <w:outlineLvl w:val="2"/>
        <w:rPr>
          <w:rFonts w:ascii="Times New Roman" w:eastAsia="Times New Roman" w:hAnsi="Times New Roman" w:cs="Times New Roman"/>
          <w:b/>
          <w:bCs/>
          <w:sz w:val="24"/>
          <w:szCs w:val="24"/>
          <w:lang w:val="en-GB" w:eastAsia="en-GB"/>
        </w:rPr>
      </w:pPr>
      <w:r w:rsidRPr="007E4AB3">
        <w:rPr>
          <w:rFonts w:ascii="Times New Roman" w:eastAsia="Times New Roman" w:hAnsi="Times New Roman" w:cs="Times New Roman"/>
          <w:b/>
          <w:bCs/>
          <w:sz w:val="24"/>
          <w:szCs w:val="24"/>
          <w:lang w:val="en-GB" w:eastAsia="en-GB"/>
        </w:rPr>
        <w:t xml:space="preserve">3.5 Comparative Synthesis: Leadership–System Fit </w:t>
      </w:r>
    </w:p>
    <w:p w14:paraId="6CAFC456" w14:textId="77777777" w:rsidR="007E4AB3" w:rsidRDefault="007E4AB3" w:rsidP="007E4AB3">
      <w:pPr>
        <w:widowControl/>
        <w:autoSpaceDE/>
        <w:autoSpaceDN/>
        <w:spacing w:line="360" w:lineRule="auto"/>
        <w:jc w:val="both"/>
        <w:rPr>
          <w:rFonts w:ascii="Times New Roman" w:eastAsia="Times New Roman" w:hAnsi="Times New Roman" w:cs="Times New Roman"/>
          <w:sz w:val="24"/>
          <w:szCs w:val="24"/>
          <w:lang w:val="en-GB" w:eastAsia="en-GB"/>
        </w:rPr>
      </w:pPr>
      <w:r w:rsidRPr="007E4AB3">
        <w:rPr>
          <w:rFonts w:ascii="Times New Roman" w:eastAsia="Times New Roman" w:hAnsi="Times New Roman" w:cs="Times New Roman"/>
          <w:sz w:val="24"/>
          <w:szCs w:val="24"/>
          <w:lang w:val="en-GB" w:eastAsia="en-GB"/>
        </w:rPr>
        <w:lastRenderedPageBreak/>
        <w:t xml:space="preserve">The comparative analysis of leadership in Spain, South Korea, and Canada underscores the importance of </w:t>
      </w:r>
      <w:r w:rsidRPr="007E4AB3">
        <w:rPr>
          <w:rFonts w:ascii="Times New Roman" w:eastAsia="Times New Roman" w:hAnsi="Times New Roman" w:cs="Times New Roman"/>
          <w:b/>
          <w:bCs/>
          <w:sz w:val="24"/>
          <w:szCs w:val="24"/>
          <w:lang w:val="en-GB" w:eastAsia="en-GB"/>
        </w:rPr>
        <w:t>contingency</w:t>
      </w:r>
      <w:r w:rsidRPr="007E4AB3">
        <w:rPr>
          <w:rFonts w:ascii="Times New Roman" w:eastAsia="Times New Roman" w:hAnsi="Times New Roman" w:cs="Times New Roman"/>
          <w:sz w:val="24"/>
          <w:szCs w:val="24"/>
          <w:lang w:val="en-GB" w:eastAsia="en-GB"/>
        </w:rPr>
        <w:t xml:space="preserve">—effective leadership depends on the alignment between leadership style and the governance system in place. In </w:t>
      </w:r>
      <w:r w:rsidRPr="007E4AB3">
        <w:rPr>
          <w:rFonts w:ascii="Times New Roman" w:eastAsia="Times New Roman" w:hAnsi="Times New Roman" w:cs="Times New Roman"/>
          <w:b/>
          <w:bCs/>
          <w:sz w:val="24"/>
          <w:szCs w:val="24"/>
          <w:lang w:val="en-GB" w:eastAsia="en-GB"/>
        </w:rPr>
        <w:t>centralised systems</w:t>
      </w:r>
      <w:r w:rsidRPr="007E4AB3">
        <w:rPr>
          <w:rFonts w:ascii="Times New Roman" w:eastAsia="Times New Roman" w:hAnsi="Times New Roman" w:cs="Times New Roman"/>
          <w:sz w:val="24"/>
          <w:szCs w:val="24"/>
          <w:lang w:val="en-GB" w:eastAsia="en-GB"/>
        </w:rPr>
        <w:t xml:space="preserve"> like South Korea, </w:t>
      </w:r>
      <w:r w:rsidRPr="007E4AB3">
        <w:rPr>
          <w:rFonts w:ascii="Times New Roman" w:eastAsia="Times New Roman" w:hAnsi="Times New Roman" w:cs="Times New Roman"/>
          <w:b/>
          <w:bCs/>
          <w:sz w:val="24"/>
          <w:szCs w:val="24"/>
          <w:lang w:val="en-GB" w:eastAsia="en-GB"/>
        </w:rPr>
        <w:t>directive, coordinated, and transparent leadership</w:t>
      </w:r>
      <w:r w:rsidRPr="007E4AB3">
        <w:rPr>
          <w:rFonts w:ascii="Times New Roman" w:eastAsia="Times New Roman" w:hAnsi="Times New Roman" w:cs="Times New Roman"/>
          <w:sz w:val="24"/>
          <w:szCs w:val="24"/>
          <w:lang w:val="en-GB" w:eastAsia="en-GB"/>
        </w:rPr>
        <w:t xml:space="preserve"> proved highly effective. Chung’s integration of political authority with institutional expertise ensured speed and coherence. Conversely, in </w:t>
      </w:r>
      <w:r w:rsidRPr="007E4AB3">
        <w:rPr>
          <w:rFonts w:ascii="Times New Roman" w:eastAsia="Times New Roman" w:hAnsi="Times New Roman" w:cs="Times New Roman"/>
          <w:b/>
          <w:bCs/>
          <w:sz w:val="24"/>
          <w:szCs w:val="24"/>
          <w:lang w:val="en-GB" w:eastAsia="en-GB"/>
        </w:rPr>
        <w:t>decentralised systems</w:t>
      </w:r>
      <w:r w:rsidRPr="007E4AB3">
        <w:rPr>
          <w:rFonts w:ascii="Times New Roman" w:eastAsia="Times New Roman" w:hAnsi="Times New Roman" w:cs="Times New Roman"/>
          <w:sz w:val="24"/>
          <w:szCs w:val="24"/>
          <w:lang w:val="en-GB" w:eastAsia="en-GB"/>
        </w:rPr>
        <w:t xml:space="preserve"> like Canada and Spain, leadership required more emphasis on </w:t>
      </w:r>
      <w:r w:rsidRPr="007E4AB3">
        <w:rPr>
          <w:rFonts w:ascii="Times New Roman" w:eastAsia="Times New Roman" w:hAnsi="Times New Roman" w:cs="Times New Roman"/>
          <w:b/>
          <w:bCs/>
          <w:sz w:val="24"/>
          <w:szCs w:val="24"/>
          <w:lang w:val="en-GB" w:eastAsia="en-GB"/>
        </w:rPr>
        <w:t>stakeholder alignment, communication, and facilitation</w:t>
      </w:r>
      <w:r w:rsidRPr="007E4AB3">
        <w:rPr>
          <w:rFonts w:ascii="Times New Roman" w:eastAsia="Times New Roman" w:hAnsi="Times New Roman" w:cs="Times New Roman"/>
          <w:sz w:val="24"/>
          <w:szCs w:val="24"/>
          <w:lang w:val="en-GB" w:eastAsia="en-GB"/>
        </w:rPr>
        <w:t>.</w:t>
      </w:r>
    </w:p>
    <w:p w14:paraId="3EE26107" w14:textId="77777777" w:rsidR="001B5A2C" w:rsidRPr="007E4AB3" w:rsidRDefault="001B5A2C" w:rsidP="007E4AB3">
      <w:pPr>
        <w:widowControl/>
        <w:autoSpaceDE/>
        <w:autoSpaceDN/>
        <w:spacing w:line="360" w:lineRule="auto"/>
        <w:jc w:val="both"/>
        <w:rPr>
          <w:rFonts w:ascii="Times New Roman" w:eastAsia="Times New Roman" w:hAnsi="Times New Roman" w:cs="Times New Roman"/>
          <w:sz w:val="24"/>
          <w:szCs w:val="24"/>
          <w:lang w:val="en-GB" w:eastAsia="en-GB"/>
        </w:rPr>
      </w:pPr>
    </w:p>
    <w:p w14:paraId="2E0BFE7F" w14:textId="77777777" w:rsidR="007E4AB3" w:rsidRDefault="007E4AB3" w:rsidP="007E4AB3">
      <w:pPr>
        <w:widowControl/>
        <w:autoSpaceDE/>
        <w:autoSpaceDN/>
        <w:spacing w:line="360" w:lineRule="auto"/>
        <w:jc w:val="both"/>
        <w:rPr>
          <w:rFonts w:ascii="Times New Roman" w:eastAsia="Times New Roman" w:hAnsi="Times New Roman" w:cs="Times New Roman"/>
          <w:sz w:val="24"/>
          <w:szCs w:val="24"/>
          <w:lang w:val="en-GB" w:eastAsia="en-GB"/>
        </w:rPr>
      </w:pPr>
      <w:r w:rsidRPr="007E4AB3">
        <w:rPr>
          <w:rFonts w:ascii="Times New Roman" w:eastAsia="Times New Roman" w:hAnsi="Times New Roman" w:cs="Times New Roman"/>
          <w:sz w:val="24"/>
          <w:szCs w:val="24"/>
          <w:lang w:val="en-GB" w:eastAsia="en-GB"/>
        </w:rPr>
        <w:t xml:space="preserve">Trudeau’s facilitative leadership aligned well with federalism but struggled to produce nationally consistent outcomes. Illa’s shift from decentralised ambiguity to centralised vaccine control reveals how adaptation can improve performance, albeit delayed. Thus, leadership in decentralised contexts must focus on </w:t>
      </w:r>
      <w:r w:rsidRPr="007E4AB3">
        <w:rPr>
          <w:rFonts w:ascii="Times New Roman" w:eastAsia="Times New Roman" w:hAnsi="Times New Roman" w:cs="Times New Roman"/>
          <w:b/>
          <w:bCs/>
          <w:sz w:val="24"/>
          <w:szCs w:val="24"/>
          <w:lang w:val="en-GB" w:eastAsia="en-GB"/>
        </w:rPr>
        <w:t>distributed coordination, communication architecture, and trust-building</w:t>
      </w:r>
      <w:r w:rsidRPr="007E4AB3">
        <w:rPr>
          <w:rFonts w:ascii="Times New Roman" w:eastAsia="Times New Roman" w:hAnsi="Times New Roman" w:cs="Times New Roman"/>
          <w:sz w:val="24"/>
          <w:szCs w:val="24"/>
          <w:lang w:val="en-GB" w:eastAsia="en-GB"/>
        </w:rPr>
        <w:t xml:space="preserve"> to mitigate fragmentation.</w:t>
      </w:r>
    </w:p>
    <w:p w14:paraId="5E42C84F" w14:textId="77777777" w:rsidR="001B5A2C" w:rsidRPr="007E4AB3" w:rsidRDefault="001B5A2C" w:rsidP="007E4AB3">
      <w:pPr>
        <w:widowControl/>
        <w:autoSpaceDE/>
        <w:autoSpaceDN/>
        <w:spacing w:line="360" w:lineRule="auto"/>
        <w:jc w:val="both"/>
        <w:rPr>
          <w:rFonts w:ascii="Times New Roman" w:eastAsia="Times New Roman" w:hAnsi="Times New Roman" w:cs="Times New Roman"/>
          <w:sz w:val="24"/>
          <w:szCs w:val="24"/>
          <w:lang w:val="en-GB" w:eastAsia="en-GB"/>
        </w:rPr>
      </w:pPr>
    </w:p>
    <w:p w14:paraId="1D2F0D4E" w14:textId="77777777" w:rsidR="007E4AB3" w:rsidRDefault="007E4AB3" w:rsidP="007E4AB3">
      <w:pPr>
        <w:widowControl/>
        <w:autoSpaceDE/>
        <w:autoSpaceDN/>
        <w:spacing w:line="360" w:lineRule="auto"/>
        <w:jc w:val="both"/>
        <w:rPr>
          <w:rFonts w:ascii="Times New Roman" w:eastAsia="Times New Roman" w:hAnsi="Times New Roman" w:cs="Times New Roman"/>
          <w:sz w:val="24"/>
          <w:szCs w:val="24"/>
          <w:lang w:val="en-GB" w:eastAsia="en-GB"/>
        </w:rPr>
      </w:pPr>
      <w:r w:rsidRPr="007E4AB3">
        <w:rPr>
          <w:rFonts w:ascii="Times New Roman" w:eastAsia="Times New Roman" w:hAnsi="Times New Roman" w:cs="Times New Roman"/>
          <w:sz w:val="24"/>
          <w:szCs w:val="24"/>
          <w:lang w:val="en-GB" w:eastAsia="en-GB"/>
        </w:rPr>
        <w:t xml:space="preserve">Three transferable lessons emerge: first, </w:t>
      </w:r>
      <w:r w:rsidRPr="007E4AB3">
        <w:rPr>
          <w:rFonts w:ascii="Times New Roman" w:eastAsia="Times New Roman" w:hAnsi="Times New Roman" w:cs="Times New Roman"/>
          <w:b/>
          <w:bCs/>
          <w:sz w:val="24"/>
          <w:szCs w:val="24"/>
          <w:lang w:val="en-GB" w:eastAsia="en-GB"/>
        </w:rPr>
        <w:t>institutional trust</w:t>
      </w:r>
      <w:r w:rsidRPr="007E4AB3">
        <w:rPr>
          <w:rFonts w:ascii="Times New Roman" w:eastAsia="Times New Roman" w:hAnsi="Times New Roman" w:cs="Times New Roman"/>
          <w:sz w:val="24"/>
          <w:szCs w:val="24"/>
          <w:lang w:val="en-GB" w:eastAsia="en-GB"/>
        </w:rPr>
        <w:t xml:space="preserve"> and transparency underpin public compliance; second, </w:t>
      </w:r>
      <w:r w:rsidRPr="007E4AB3">
        <w:rPr>
          <w:rFonts w:ascii="Times New Roman" w:eastAsia="Times New Roman" w:hAnsi="Times New Roman" w:cs="Times New Roman"/>
          <w:b/>
          <w:bCs/>
          <w:sz w:val="24"/>
          <w:szCs w:val="24"/>
          <w:lang w:val="en-GB" w:eastAsia="en-GB"/>
        </w:rPr>
        <w:t>clear and consistent communication architecture</w:t>
      </w:r>
      <w:r w:rsidRPr="007E4AB3">
        <w:rPr>
          <w:rFonts w:ascii="Times New Roman" w:eastAsia="Times New Roman" w:hAnsi="Times New Roman" w:cs="Times New Roman"/>
          <w:sz w:val="24"/>
          <w:szCs w:val="24"/>
          <w:lang w:val="en-GB" w:eastAsia="en-GB"/>
        </w:rPr>
        <w:t xml:space="preserve"> is essential in fragmented systems; and third, </w:t>
      </w:r>
      <w:r w:rsidRPr="007E4AB3">
        <w:rPr>
          <w:rFonts w:ascii="Times New Roman" w:eastAsia="Times New Roman" w:hAnsi="Times New Roman" w:cs="Times New Roman"/>
          <w:b/>
          <w:bCs/>
          <w:sz w:val="24"/>
          <w:szCs w:val="24"/>
          <w:lang w:val="en-GB" w:eastAsia="en-GB"/>
        </w:rPr>
        <w:t>adaptive learning loops</w:t>
      </w:r>
      <w:r w:rsidRPr="007E4AB3">
        <w:rPr>
          <w:rFonts w:ascii="Times New Roman" w:eastAsia="Times New Roman" w:hAnsi="Times New Roman" w:cs="Times New Roman"/>
          <w:sz w:val="24"/>
          <w:szCs w:val="24"/>
          <w:lang w:val="en-GB" w:eastAsia="en-GB"/>
        </w:rPr>
        <w:t>, where policy evolves based on real-time feedback, enhance long-term resilience. Future pandemic preparedness must account not only for technical capacity but also for leadership strategies that match system dynamics and societal expectations.</w:t>
      </w:r>
    </w:p>
    <w:p w14:paraId="2716A35F" w14:textId="77777777" w:rsidR="001B5A2C" w:rsidRPr="007E4AB3" w:rsidRDefault="001B5A2C" w:rsidP="007E4AB3">
      <w:pPr>
        <w:widowControl/>
        <w:autoSpaceDE/>
        <w:autoSpaceDN/>
        <w:spacing w:line="360" w:lineRule="auto"/>
        <w:jc w:val="both"/>
        <w:rPr>
          <w:rFonts w:ascii="Times New Roman" w:eastAsia="Times New Roman" w:hAnsi="Times New Roman" w:cs="Times New Roman"/>
          <w:sz w:val="24"/>
          <w:szCs w:val="24"/>
          <w:lang w:val="en-GB" w:eastAsia="en-GB"/>
        </w:rPr>
      </w:pPr>
    </w:p>
    <w:p w14:paraId="7F076F69" w14:textId="2A864DF4" w:rsidR="007E4AB3" w:rsidRPr="007E4AB3" w:rsidRDefault="007E4AB3" w:rsidP="007E4AB3">
      <w:pPr>
        <w:widowControl/>
        <w:autoSpaceDE/>
        <w:autoSpaceDN/>
        <w:spacing w:line="360" w:lineRule="auto"/>
        <w:jc w:val="both"/>
        <w:outlineLvl w:val="1"/>
        <w:rPr>
          <w:rFonts w:ascii="Times New Roman" w:eastAsia="Times New Roman" w:hAnsi="Times New Roman" w:cs="Times New Roman"/>
          <w:b/>
          <w:bCs/>
          <w:sz w:val="28"/>
          <w:szCs w:val="28"/>
          <w:lang w:val="en-GB" w:eastAsia="en-GB"/>
        </w:rPr>
      </w:pPr>
      <w:r w:rsidRPr="007E4AB3">
        <w:rPr>
          <w:rFonts w:ascii="Times New Roman" w:eastAsia="Times New Roman" w:hAnsi="Times New Roman" w:cs="Times New Roman"/>
          <w:b/>
          <w:bCs/>
          <w:sz w:val="28"/>
          <w:szCs w:val="28"/>
          <w:lang w:val="en-GB" w:eastAsia="en-GB"/>
        </w:rPr>
        <w:t xml:space="preserve">4. Conclusion </w:t>
      </w:r>
    </w:p>
    <w:p w14:paraId="5B4A06A7" w14:textId="77777777" w:rsidR="007E4AB3" w:rsidRDefault="007E4AB3" w:rsidP="007E4AB3">
      <w:pPr>
        <w:widowControl/>
        <w:autoSpaceDE/>
        <w:autoSpaceDN/>
        <w:spacing w:line="360" w:lineRule="auto"/>
        <w:jc w:val="both"/>
        <w:rPr>
          <w:rFonts w:ascii="Times New Roman" w:eastAsia="Times New Roman" w:hAnsi="Times New Roman" w:cs="Times New Roman"/>
          <w:sz w:val="24"/>
          <w:szCs w:val="24"/>
          <w:lang w:val="en-GB" w:eastAsia="en-GB"/>
        </w:rPr>
      </w:pPr>
      <w:r w:rsidRPr="007E4AB3">
        <w:rPr>
          <w:rFonts w:ascii="Times New Roman" w:eastAsia="Times New Roman" w:hAnsi="Times New Roman" w:cs="Times New Roman"/>
          <w:sz w:val="24"/>
          <w:szCs w:val="24"/>
          <w:lang w:val="en-GB" w:eastAsia="en-GB"/>
        </w:rPr>
        <w:t>This report has critically examined how variations in health system organisation and leadership styles influenced the COVID-19 pandemic response in Spain, South Korea, and Canada. It revealed that governance structures—whether centralised or decentralised—profoundly shaped decision-making speed, coordination capacity, and policy coherence. Spain’s initial fragmented response was hampered by decentralised authority but improved through later centralised vaccination efforts. South Korea’s centralised, highly coordinated model allowed for rapid implementation of testing and containment strategies, reflecting the advantages of institutional preparedness and political alignment. In contrast, Canada’s federal structure enabled locally tailored responses but struggled with consistent national messaging and coordination.</w:t>
      </w:r>
    </w:p>
    <w:p w14:paraId="5E6245FF" w14:textId="77777777" w:rsidR="001B5A2C" w:rsidRPr="007E4AB3" w:rsidRDefault="001B5A2C" w:rsidP="007E4AB3">
      <w:pPr>
        <w:widowControl/>
        <w:autoSpaceDE/>
        <w:autoSpaceDN/>
        <w:spacing w:line="360" w:lineRule="auto"/>
        <w:jc w:val="both"/>
        <w:rPr>
          <w:rFonts w:ascii="Times New Roman" w:eastAsia="Times New Roman" w:hAnsi="Times New Roman" w:cs="Times New Roman"/>
          <w:sz w:val="24"/>
          <w:szCs w:val="24"/>
          <w:lang w:val="en-GB" w:eastAsia="en-GB"/>
        </w:rPr>
      </w:pPr>
    </w:p>
    <w:p w14:paraId="68D1334E" w14:textId="4ABC09AA" w:rsidR="007E4AB3" w:rsidRPr="007E4AB3" w:rsidRDefault="007E4AB3" w:rsidP="007E4AB3">
      <w:pPr>
        <w:widowControl/>
        <w:autoSpaceDE/>
        <w:autoSpaceDN/>
        <w:spacing w:line="360" w:lineRule="auto"/>
        <w:jc w:val="both"/>
        <w:rPr>
          <w:rFonts w:ascii="Times New Roman" w:eastAsia="Times New Roman" w:hAnsi="Times New Roman" w:cs="Times New Roman"/>
          <w:sz w:val="24"/>
          <w:szCs w:val="24"/>
          <w:lang w:val="en-GB" w:eastAsia="en-GB"/>
        </w:rPr>
      </w:pPr>
      <w:r w:rsidRPr="007E4AB3">
        <w:rPr>
          <w:rFonts w:ascii="Times New Roman" w:eastAsia="Times New Roman" w:hAnsi="Times New Roman" w:cs="Times New Roman"/>
          <w:sz w:val="24"/>
          <w:szCs w:val="24"/>
          <w:lang w:val="en-GB" w:eastAsia="en-GB"/>
        </w:rPr>
        <w:t xml:space="preserve">From a leadership perspective, Prime Minister Chung’s proactive, transparent, and collaborative approach fostered institutional trust and effective system mobilisation. Minister Illa’s leadership </w:t>
      </w:r>
      <w:r w:rsidRPr="007E4AB3">
        <w:rPr>
          <w:rFonts w:ascii="Times New Roman" w:eastAsia="Times New Roman" w:hAnsi="Times New Roman" w:cs="Times New Roman"/>
          <w:sz w:val="24"/>
          <w:szCs w:val="24"/>
          <w:lang w:val="en-GB" w:eastAsia="en-GB"/>
        </w:rPr>
        <w:lastRenderedPageBreak/>
        <w:t>evolved from reactive to adaptive, illustrating the value of learning loops in crisis contexts. Prime Minister Trudeau’s empathetic, unifying style supported public trust and intergovernmental support, though structural limitations constrained central control.</w:t>
      </w:r>
      <w:r w:rsidR="001B5A2C">
        <w:rPr>
          <w:rFonts w:ascii="Times New Roman" w:eastAsia="Times New Roman" w:hAnsi="Times New Roman" w:cs="Times New Roman"/>
          <w:sz w:val="24"/>
          <w:szCs w:val="24"/>
          <w:lang w:val="en-GB" w:eastAsia="en-GB"/>
        </w:rPr>
        <w:t xml:space="preserve"> </w:t>
      </w:r>
      <w:r w:rsidRPr="007E4AB3">
        <w:rPr>
          <w:rFonts w:ascii="Times New Roman" w:eastAsia="Times New Roman" w:hAnsi="Times New Roman" w:cs="Times New Roman"/>
          <w:sz w:val="24"/>
          <w:szCs w:val="24"/>
          <w:lang w:val="en-GB" w:eastAsia="en-GB"/>
        </w:rPr>
        <w:t>The interplay between leadership and system architecture underscores the need for fit-for-purpose leadership in crisis governance. Future pandemic preparedness requires investing in adaptive systems, transparent communication channels, and leadership development tailored to political structures. Ultimately, resilient health systems depend not just on institutions, but on the leadership that activates and aligns them.</w:t>
      </w:r>
    </w:p>
    <w:p w14:paraId="0FCA69CF" w14:textId="77777777" w:rsidR="00414A34" w:rsidRDefault="00414A34" w:rsidP="007E4AB3">
      <w:pPr>
        <w:pStyle w:val="Heading2"/>
        <w:spacing w:before="0" w:after="0"/>
        <w:jc w:val="both"/>
        <w:rPr>
          <w:rFonts w:ascii="Times New Roman" w:hAnsi="Times New Roman" w:cs="Times New Roman"/>
          <w:sz w:val="28"/>
          <w:szCs w:val="28"/>
        </w:rPr>
      </w:pPr>
    </w:p>
    <w:p w14:paraId="067D815D" w14:textId="77777777" w:rsidR="001B5A2C" w:rsidRDefault="001B5A2C" w:rsidP="001B5A2C">
      <w:pPr>
        <w:rPr>
          <w:lang w:val="en-GB"/>
        </w:rPr>
      </w:pPr>
    </w:p>
    <w:p w14:paraId="68EB2E6E" w14:textId="77777777" w:rsidR="001B5A2C" w:rsidRDefault="001B5A2C" w:rsidP="001B5A2C">
      <w:pPr>
        <w:rPr>
          <w:lang w:val="en-GB"/>
        </w:rPr>
      </w:pPr>
    </w:p>
    <w:p w14:paraId="2721FA33" w14:textId="77777777" w:rsidR="001B5A2C" w:rsidRDefault="001B5A2C" w:rsidP="001B5A2C">
      <w:pPr>
        <w:rPr>
          <w:lang w:val="en-GB"/>
        </w:rPr>
      </w:pPr>
    </w:p>
    <w:p w14:paraId="51775835" w14:textId="77777777" w:rsidR="001B5A2C" w:rsidRDefault="001B5A2C" w:rsidP="001B5A2C">
      <w:pPr>
        <w:rPr>
          <w:lang w:val="en-GB"/>
        </w:rPr>
      </w:pPr>
    </w:p>
    <w:p w14:paraId="44354CD4" w14:textId="77777777" w:rsidR="001B5A2C" w:rsidRDefault="001B5A2C" w:rsidP="001B5A2C">
      <w:pPr>
        <w:rPr>
          <w:lang w:val="en-GB"/>
        </w:rPr>
      </w:pPr>
    </w:p>
    <w:p w14:paraId="34449B4F" w14:textId="77777777" w:rsidR="001B5A2C" w:rsidRDefault="001B5A2C" w:rsidP="001B5A2C">
      <w:pPr>
        <w:rPr>
          <w:lang w:val="en-GB"/>
        </w:rPr>
      </w:pPr>
    </w:p>
    <w:p w14:paraId="72BCC058" w14:textId="77777777" w:rsidR="001B5A2C" w:rsidRDefault="001B5A2C" w:rsidP="001B5A2C">
      <w:pPr>
        <w:rPr>
          <w:lang w:val="en-GB"/>
        </w:rPr>
      </w:pPr>
    </w:p>
    <w:p w14:paraId="065BFD27" w14:textId="77777777" w:rsidR="001B5A2C" w:rsidRDefault="001B5A2C" w:rsidP="001B5A2C">
      <w:pPr>
        <w:rPr>
          <w:lang w:val="en-GB"/>
        </w:rPr>
      </w:pPr>
    </w:p>
    <w:p w14:paraId="5BE2D6FC" w14:textId="77777777" w:rsidR="001B5A2C" w:rsidRDefault="001B5A2C" w:rsidP="001B5A2C">
      <w:pPr>
        <w:rPr>
          <w:lang w:val="en-GB"/>
        </w:rPr>
      </w:pPr>
    </w:p>
    <w:p w14:paraId="47888F44" w14:textId="77777777" w:rsidR="001B5A2C" w:rsidRDefault="001B5A2C" w:rsidP="001B5A2C">
      <w:pPr>
        <w:rPr>
          <w:lang w:val="en-GB"/>
        </w:rPr>
      </w:pPr>
    </w:p>
    <w:p w14:paraId="0A013818" w14:textId="77777777" w:rsidR="001B5A2C" w:rsidRDefault="001B5A2C" w:rsidP="001B5A2C">
      <w:pPr>
        <w:rPr>
          <w:lang w:val="en-GB"/>
        </w:rPr>
      </w:pPr>
    </w:p>
    <w:p w14:paraId="66E22952" w14:textId="77777777" w:rsidR="001B5A2C" w:rsidRDefault="001B5A2C" w:rsidP="001B5A2C">
      <w:pPr>
        <w:rPr>
          <w:lang w:val="en-GB"/>
        </w:rPr>
      </w:pPr>
    </w:p>
    <w:p w14:paraId="0AE19A05" w14:textId="77777777" w:rsidR="001B5A2C" w:rsidRDefault="001B5A2C" w:rsidP="001B5A2C">
      <w:pPr>
        <w:rPr>
          <w:lang w:val="en-GB"/>
        </w:rPr>
      </w:pPr>
    </w:p>
    <w:p w14:paraId="6C319350" w14:textId="77777777" w:rsidR="001B5A2C" w:rsidRDefault="001B5A2C" w:rsidP="001B5A2C">
      <w:pPr>
        <w:rPr>
          <w:lang w:val="en-GB"/>
        </w:rPr>
      </w:pPr>
    </w:p>
    <w:p w14:paraId="62C1CFB9" w14:textId="77777777" w:rsidR="001B5A2C" w:rsidRDefault="001B5A2C" w:rsidP="001B5A2C">
      <w:pPr>
        <w:rPr>
          <w:lang w:val="en-GB"/>
        </w:rPr>
      </w:pPr>
    </w:p>
    <w:p w14:paraId="12F8055E" w14:textId="77777777" w:rsidR="001B5A2C" w:rsidRDefault="001B5A2C" w:rsidP="001B5A2C">
      <w:pPr>
        <w:rPr>
          <w:lang w:val="en-GB"/>
        </w:rPr>
      </w:pPr>
    </w:p>
    <w:p w14:paraId="28622677" w14:textId="77777777" w:rsidR="001B5A2C" w:rsidRDefault="001B5A2C" w:rsidP="001B5A2C">
      <w:pPr>
        <w:rPr>
          <w:lang w:val="en-GB"/>
        </w:rPr>
      </w:pPr>
    </w:p>
    <w:p w14:paraId="039E4325" w14:textId="77777777" w:rsidR="001B5A2C" w:rsidRDefault="001B5A2C" w:rsidP="001B5A2C">
      <w:pPr>
        <w:rPr>
          <w:lang w:val="en-GB"/>
        </w:rPr>
      </w:pPr>
    </w:p>
    <w:p w14:paraId="507F1866" w14:textId="77777777" w:rsidR="001B5A2C" w:rsidRDefault="001B5A2C" w:rsidP="001B5A2C">
      <w:pPr>
        <w:rPr>
          <w:lang w:val="en-GB"/>
        </w:rPr>
      </w:pPr>
    </w:p>
    <w:p w14:paraId="1173FAB0" w14:textId="77777777" w:rsidR="001B5A2C" w:rsidRDefault="001B5A2C" w:rsidP="001B5A2C">
      <w:pPr>
        <w:rPr>
          <w:lang w:val="en-GB"/>
        </w:rPr>
      </w:pPr>
    </w:p>
    <w:p w14:paraId="1DBC50F3" w14:textId="77777777" w:rsidR="001B5A2C" w:rsidRDefault="001B5A2C" w:rsidP="001B5A2C">
      <w:pPr>
        <w:rPr>
          <w:lang w:val="en-GB"/>
        </w:rPr>
      </w:pPr>
    </w:p>
    <w:p w14:paraId="5A9E0438" w14:textId="77777777" w:rsidR="001B5A2C" w:rsidRDefault="001B5A2C" w:rsidP="001B5A2C">
      <w:pPr>
        <w:rPr>
          <w:lang w:val="en-GB"/>
        </w:rPr>
      </w:pPr>
    </w:p>
    <w:p w14:paraId="63F067A6" w14:textId="77777777" w:rsidR="001B5A2C" w:rsidRDefault="001B5A2C" w:rsidP="001B5A2C">
      <w:pPr>
        <w:rPr>
          <w:lang w:val="en-GB"/>
        </w:rPr>
      </w:pPr>
    </w:p>
    <w:p w14:paraId="62731CF8" w14:textId="77777777" w:rsidR="001B5A2C" w:rsidRDefault="001B5A2C" w:rsidP="001B5A2C">
      <w:pPr>
        <w:rPr>
          <w:lang w:val="en-GB"/>
        </w:rPr>
      </w:pPr>
    </w:p>
    <w:p w14:paraId="15D1EA60" w14:textId="77777777" w:rsidR="001B5A2C" w:rsidRDefault="001B5A2C" w:rsidP="001B5A2C">
      <w:pPr>
        <w:rPr>
          <w:lang w:val="en-GB"/>
        </w:rPr>
      </w:pPr>
    </w:p>
    <w:p w14:paraId="2F17D4B5" w14:textId="77777777" w:rsidR="001B5A2C" w:rsidRDefault="001B5A2C" w:rsidP="001B5A2C">
      <w:pPr>
        <w:rPr>
          <w:lang w:val="en-GB"/>
        </w:rPr>
      </w:pPr>
    </w:p>
    <w:p w14:paraId="23575339" w14:textId="77777777" w:rsidR="001B5A2C" w:rsidRDefault="001B5A2C" w:rsidP="001B5A2C">
      <w:pPr>
        <w:rPr>
          <w:lang w:val="en-GB"/>
        </w:rPr>
      </w:pPr>
    </w:p>
    <w:p w14:paraId="4009F466" w14:textId="77777777" w:rsidR="001B5A2C" w:rsidRDefault="001B5A2C" w:rsidP="001B5A2C">
      <w:pPr>
        <w:rPr>
          <w:lang w:val="en-GB"/>
        </w:rPr>
      </w:pPr>
    </w:p>
    <w:p w14:paraId="4E065543" w14:textId="77777777" w:rsidR="001B5A2C" w:rsidRDefault="001B5A2C" w:rsidP="001B5A2C">
      <w:pPr>
        <w:rPr>
          <w:lang w:val="en-GB"/>
        </w:rPr>
      </w:pPr>
    </w:p>
    <w:p w14:paraId="30E55F2E" w14:textId="77777777" w:rsidR="001B5A2C" w:rsidRDefault="001B5A2C" w:rsidP="001B5A2C">
      <w:pPr>
        <w:rPr>
          <w:lang w:val="en-GB"/>
        </w:rPr>
      </w:pPr>
    </w:p>
    <w:p w14:paraId="7A526030" w14:textId="77777777" w:rsidR="001B5A2C" w:rsidRDefault="001B5A2C" w:rsidP="001B5A2C">
      <w:pPr>
        <w:rPr>
          <w:lang w:val="en-GB"/>
        </w:rPr>
      </w:pPr>
    </w:p>
    <w:p w14:paraId="699131E1" w14:textId="77777777" w:rsidR="001B5A2C" w:rsidRDefault="001B5A2C" w:rsidP="001B5A2C">
      <w:pPr>
        <w:rPr>
          <w:lang w:val="en-GB"/>
        </w:rPr>
      </w:pPr>
    </w:p>
    <w:p w14:paraId="09F0AC39" w14:textId="77777777" w:rsidR="001B5A2C" w:rsidRDefault="001B5A2C" w:rsidP="001B5A2C">
      <w:pPr>
        <w:rPr>
          <w:lang w:val="en-GB"/>
        </w:rPr>
      </w:pPr>
    </w:p>
    <w:p w14:paraId="6A2EE306" w14:textId="77777777" w:rsidR="001B5A2C" w:rsidRDefault="001B5A2C" w:rsidP="001B5A2C">
      <w:pPr>
        <w:rPr>
          <w:lang w:val="en-GB"/>
        </w:rPr>
      </w:pPr>
    </w:p>
    <w:p w14:paraId="538905C3" w14:textId="77777777" w:rsidR="001B5A2C" w:rsidRDefault="001B5A2C" w:rsidP="001B5A2C">
      <w:pPr>
        <w:rPr>
          <w:lang w:val="en-GB"/>
        </w:rPr>
      </w:pPr>
    </w:p>
    <w:p w14:paraId="34B1813E" w14:textId="77777777" w:rsidR="001B5A2C" w:rsidRDefault="001B5A2C" w:rsidP="001B5A2C">
      <w:pPr>
        <w:rPr>
          <w:lang w:val="en-GB"/>
        </w:rPr>
      </w:pPr>
    </w:p>
    <w:p w14:paraId="654A27C4" w14:textId="77777777" w:rsidR="001B5A2C" w:rsidRDefault="001B5A2C" w:rsidP="001B5A2C">
      <w:pPr>
        <w:rPr>
          <w:lang w:val="en-GB"/>
        </w:rPr>
      </w:pPr>
    </w:p>
    <w:p w14:paraId="21065BD2" w14:textId="77777777" w:rsidR="001B5A2C" w:rsidRDefault="001B5A2C" w:rsidP="001B5A2C">
      <w:pPr>
        <w:rPr>
          <w:lang w:val="en-GB"/>
        </w:rPr>
      </w:pPr>
    </w:p>
    <w:p w14:paraId="0E28B2D8" w14:textId="77777777" w:rsidR="001B5A2C" w:rsidRDefault="001B5A2C" w:rsidP="001B5A2C">
      <w:pPr>
        <w:rPr>
          <w:lang w:val="en-GB"/>
        </w:rPr>
      </w:pPr>
    </w:p>
    <w:p w14:paraId="225F0119" w14:textId="1D4756B3" w:rsidR="001B5A2C" w:rsidRPr="001B5A2C" w:rsidRDefault="001B5A2C" w:rsidP="001B5A2C">
      <w:pPr>
        <w:rPr>
          <w:rFonts w:ascii="Times New Roman" w:hAnsi="Times New Roman" w:cs="Times New Roman"/>
          <w:b/>
          <w:bCs/>
          <w:sz w:val="28"/>
          <w:szCs w:val="28"/>
          <w:lang w:val="en-GB"/>
        </w:rPr>
      </w:pPr>
      <w:r w:rsidRPr="001B5A2C">
        <w:rPr>
          <w:rFonts w:ascii="Times New Roman" w:hAnsi="Times New Roman" w:cs="Times New Roman"/>
          <w:b/>
          <w:bCs/>
          <w:sz w:val="28"/>
          <w:szCs w:val="28"/>
          <w:lang w:val="en-GB"/>
        </w:rPr>
        <w:lastRenderedPageBreak/>
        <w:t>References</w:t>
      </w:r>
    </w:p>
    <w:p w14:paraId="24B56209" w14:textId="77777777" w:rsidR="001B5A2C" w:rsidRDefault="001B5A2C" w:rsidP="001B5A2C">
      <w:pPr>
        <w:pStyle w:val="NormalWeb"/>
        <w:numPr>
          <w:ilvl w:val="0"/>
          <w:numId w:val="123"/>
        </w:numPr>
        <w:spacing w:before="0" w:beforeAutospacing="0" w:after="0" w:afterAutospacing="0" w:line="360" w:lineRule="auto"/>
        <w:ind w:left="0" w:hanging="357"/>
        <w:jc w:val="both"/>
      </w:pPr>
      <w:r>
        <w:t xml:space="preserve">Alemán, J., Alonso, J.M. and Ortega, B., 2021. COVID-19 and intergovernmental coordination in Spain. </w:t>
      </w:r>
      <w:r>
        <w:rPr>
          <w:rStyle w:val="Emphasis"/>
          <w:rFonts w:eastAsiaTheme="majorEastAsia"/>
        </w:rPr>
        <w:t>Regional &amp; Federal Studies</w:t>
      </w:r>
      <w:r>
        <w:t>, 31(5), pp.639–657.</w:t>
      </w:r>
    </w:p>
    <w:p w14:paraId="5D7EBC40" w14:textId="77777777" w:rsidR="001B5A2C" w:rsidRDefault="001B5A2C" w:rsidP="001B5A2C">
      <w:pPr>
        <w:pStyle w:val="NormalWeb"/>
        <w:numPr>
          <w:ilvl w:val="0"/>
          <w:numId w:val="123"/>
        </w:numPr>
        <w:spacing w:before="0" w:beforeAutospacing="0" w:after="0" w:afterAutospacing="0" w:line="360" w:lineRule="auto"/>
        <w:ind w:left="0" w:hanging="357"/>
        <w:jc w:val="both"/>
      </w:pPr>
      <w:r>
        <w:t xml:space="preserve">Atkinson, M.M., 2022. Federalism, leadership, and policy coordination in Canada’s COVID-19 response. </w:t>
      </w:r>
      <w:r>
        <w:rPr>
          <w:rStyle w:val="Emphasis"/>
          <w:rFonts w:eastAsiaTheme="majorEastAsia"/>
        </w:rPr>
        <w:t>Canadian Public Administration</w:t>
      </w:r>
      <w:r>
        <w:t>, 65(1), pp.44–65.</w:t>
      </w:r>
    </w:p>
    <w:p w14:paraId="6208B9F1" w14:textId="77777777" w:rsidR="001B5A2C" w:rsidRDefault="001B5A2C" w:rsidP="001B5A2C">
      <w:pPr>
        <w:pStyle w:val="NormalWeb"/>
        <w:numPr>
          <w:ilvl w:val="0"/>
          <w:numId w:val="123"/>
        </w:numPr>
        <w:spacing w:before="0" w:beforeAutospacing="0" w:after="0" w:afterAutospacing="0" w:line="360" w:lineRule="auto"/>
        <w:ind w:left="0" w:hanging="357"/>
        <w:jc w:val="both"/>
      </w:pPr>
      <w:proofErr w:type="spellStart"/>
      <w:r>
        <w:t>Baekkeskov</w:t>
      </w:r>
      <w:proofErr w:type="spellEnd"/>
      <w:r>
        <w:t xml:space="preserve">, E. and Öberg, P., 2021. COVID-19 and the politics of expert advice in Sweden and South Korea. </w:t>
      </w:r>
      <w:r>
        <w:rPr>
          <w:rStyle w:val="Emphasis"/>
          <w:rFonts w:eastAsiaTheme="majorEastAsia"/>
        </w:rPr>
        <w:t>Politics and Governance</w:t>
      </w:r>
      <w:r>
        <w:t>, 9(4), pp.129–139.</w:t>
      </w:r>
    </w:p>
    <w:p w14:paraId="03D23277" w14:textId="77777777" w:rsidR="001B5A2C" w:rsidRDefault="001B5A2C" w:rsidP="001B5A2C">
      <w:pPr>
        <w:pStyle w:val="NormalWeb"/>
        <w:numPr>
          <w:ilvl w:val="0"/>
          <w:numId w:val="123"/>
        </w:numPr>
        <w:spacing w:before="0" w:beforeAutospacing="0" w:after="0" w:afterAutospacing="0" w:line="360" w:lineRule="auto"/>
        <w:ind w:left="0" w:hanging="357"/>
        <w:jc w:val="both"/>
      </w:pPr>
      <w:r>
        <w:t xml:space="preserve">Bass, B.M., 1990. </w:t>
      </w:r>
      <w:r>
        <w:rPr>
          <w:rStyle w:val="Emphasis"/>
          <w:rFonts w:eastAsiaTheme="majorEastAsia"/>
        </w:rPr>
        <w:t>From transactional to transformational leadership: Learning to share the vision</w:t>
      </w:r>
      <w:r>
        <w:t>. Organizational Dynamics, 18(3), pp.19–31.</w:t>
      </w:r>
    </w:p>
    <w:p w14:paraId="31E69F87" w14:textId="77777777" w:rsidR="001B5A2C" w:rsidRDefault="001B5A2C" w:rsidP="001B5A2C">
      <w:pPr>
        <w:pStyle w:val="NormalWeb"/>
        <w:numPr>
          <w:ilvl w:val="0"/>
          <w:numId w:val="123"/>
        </w:numPr>
        <w:spacing w:before="0" w:beforeAutospacing="0" w:after="0" w:afterAutospacing="0" w:line="360" w:lineRule="auto"/>
        <w:ind w:left="0" w:hanging="357"/>
        <w:jc w:val="both"/>
      </w:pPr>
      <w:proofErr w:type="spellStart"/>
      <w:r>
        <w:t>Béland</w:t>
      </w:r>
      <w:proofErr w:type="spellEnd"/>
      <w:r>
        <w:t xml:space="preserve">, D. and Lecours, A., 2022. COVID-19 and intergovernmental relations in Canada: National unity, provincial autonomy, and policy capacity. </w:t>
      </w:r>
      <w:r>
        <w:rPr>
          <w:rStyle w:val="Emphasis"/>
          <w:rFonts w:eastAsiaTheme="majorEastAsia"/>
        </w:rPr>
        <w:t>Publius: The Journal of Federalism</w:t>
      </w:r>
      <w:r>
        <w:t>, 52(1), pp.1–25.</w:t>
      </w:r>
    </w:p>
    <w:p w14:paraId="7782BC88" w14:textId="77777777" w:rsidR="001B5A2C" w:rsidRDefault="001B5A2C" w:rsidP="001B5A2C">
      <w:pPr>
        <w:pStyle w:val="NormalWeb"/>
        <w:numPr>
          <w:ilvl w:val="0"/>
          <w:numId w:val="123"/>
        </w:numPr>
        <w:spacing w:before="0" w:beforeAutospacing="0" w:after="0" w:afterAutospacing="0" w:line="360" w:lineRule="auto"/>
        <w:ind w:left="0" w:hanging="357"/>
        <w:jc w:val="both"/>
      </w:pPr>
      <w:r>
        <w:t xml:space="preserve">Boin, A., Hart, P. and Kuipers, S., 2013. The crisis </w:t>
      </w:r>
      <w:proofErr w:type="gramStart"/>
      <w:r>
        <w:t>approach</w:t>
      </w:r>
      <w:proofErr w:type="gramEnd"/>
      <w:r>
        <w:t xml:space="preserve">. In: Arjen Boin (ed.) </w:t>
      </w:r>
      <w:r>
        <w:rPr>
          <w:rStyle w:val="Emphasis"/>
          <w:rFonts w:eastAsiaTheme="majorEastAsia"/>
        </w:rPr>
        <w:t>Public Leadership in Times of Crisis</w:t>
      </w:r>
      <w:r>
        <w:t>. Washington, DC: Georgetown University Press, pp. 5–12.</w:t>
      </w:r>
    </w:p>
    <w:p w14:paraId="6D8799FA" w14:textId="77777777" w:rsidR="001B5A2C" w:rsidRDefault="001B5A2C" w:rsidP="001B5A2C">
      <w:pPr>
        <w:pStyle w:val="NormalWeb"/>
        <w:numPr>
          <w:ilvl w:val="0"/>
          <w:numId w:val="123"/>
        </w:numPr>
        <w:spacing w:before="0" w:beforeAutospacing="0" w:after="0" w:afterAutospacing="0" w:line="360" w:lineRule="auto"/>
        <w:ind w:left="0" w:hanging="357"/>
        <w:jc w:val="both"/>
      </w:pPr>
      <w:r>
        <w:t xml:space="preserve">Brown, D., 2021. Justin Trudeau’s COVID-19 briefings: Leadership in uncertain times. </w:t>
      </w:r>
      <w:r>
        <w:rPr>
          <w:rStyle w:val="Emphasis"/>
          <w:rFonts w:eastAsiaTheme="majorEastAsia"/>
        </w:rPr>
        <w:t>Canadian Review of Sociology</w:t>
      </w:r>
      <w:r>
        <w:t>, 58(3), pp.337–356.</w:t>
      </w:r>
    </w:p>
    <w:p w14:paraId="062AED4E" w14:textId="77777777" w:rsidR="001B5A2C" w:rsidRDefault="001B5A2C" w:rsidP="001B5A2C">
      <w:pPr>
        <w:pStyle w:val="NormalWeb"/>
        <w:numPr>
          <w:ilvl w:val="0"/>
          <w:numId w:val="123"/>
        </w:numPr>
        <w:spacing w:before="0" w:beforeAutospacing="0" w:after="0" w:afterAutospacing="0" w:line="360" w:lineRule="auto"/>
        <w:ind w:left="0" w:hanging="357"/>
        <w:jc w:val="both"/>
      </w:pPr>
      <w:r>
        <w:t xml:space="preserve">Choi, J., 2021. Transparency and public trust during COVID-19 in South Korea. </w:t>
      </w:r>
      <w:r>
        <w:rPr>
          <w:rStyle w:val="Emphasis"/>
          <w:rFonts w:eastAsiaTheme="majorEastAsia"/>
        </w:rPr>
        <w:t>Policy &amp; Society</w:t>
      </w:r>
      <w:r>
        <w:t>, 40(2), pp.211–226.</w:t>
      </w:r>
    </w:p>
    <w:p w14:paraId="37DE88F3" w14:textId="77777777" w:rsidR="001B5A2C" w:rsidRDefault="001B5A2C" w:rsidP="001B5A2C">
      <w:pPr>
        <w:pStyle w:val="NormalWeb"/>
        <w:numPr>
          <w:ilvl w:val="0"/>
          <w:numId w:val="123"/>
        </w:numPr>
        <w:spacing w:before="0" w:beforeAutospacing="0" w:after="0" w:afterAutospacing="0" w:line="360" w:lineRule="auto"/>
        <w:ind w:left="0" w:hanging="357"/>
        <w:jc w:val="both"/>
      </w:pPr>
      <w:proofErr w:type="spellStart"/>
      <w:r>
        <w:t>Dabla</w:t>
      </w:r>
      <w:proofErr w:type="spellEnd"/>
      <w:r>
        <w:t xml:space="preserve">-Norris, E. and Minoiu, C., 2021. The leadership factor in global pandemic responses. </w:t>
      </w:r>
      <w:r>
        <w:rPr>
          <w:rStyle w:val="Emphasis"/>
          <w:rFonts w:eastAsiaTheme="majorEastAsia"/>
        </w:rPr>
        <w:t>IMF Working Papers</w:t>
      </w:r>
      <w:r>
        <w:t>, 2021/153.</w:t>
      </w:r>
    </w:p>
    <w:p w14:paraId="6F38B448" w14:textId="77777777" w:rsidR="001B5A2C" w:rsidRDefault="001B5A2C" w:rsidP="001B5A2C">
      <w:pPr>
        <w:pStyle w:val="NormalWeb"/>
        <w:numPr>
          <w:ilvl w:val="0"/>
          <w:numId w:val="123"/>
        </w:numPr>
        <w:spacing w:before="0" w:beforeAutospacing="0" w:after="0" w:afterAutospacing="0" w:line="360" w:lineRule="auto"/>
        <w:ind w:left="0" w:hanging="357"/>
        <w:jc w:val="both"/>
      </w:pPr>
      <w:r>
        <w:t xml:space="preserve">Domínguez, Á., Sáez, M. and Barceló, M.A., 2022. Impact of the COVID-19 vaccine rollout in Spain. </w:t>
      </w:r>
      <w:r>
        <w:rPr>
          <w:rStyle w:val="Emphasis"/>
          <w:rFonts w:eastAsiaTheme="majorEastAsia"/>
        </w:rPr>
        <w:t>Journal of Public Health</w:t>
      </w:r>
      <w:r>
        <w:t xml:space="preserve">, 44(3), </w:t>
      </w:r>
      <w:proofErr w:type="gramStart"/>
      <w:r>
        <w:t>pp.e</w:t>
      </w:r>
      <w:proofErr w:type="gramEnd"/>
      <w:r>
        <w:t>383–e389.</w:t>
      </w:r>
    </w:p>
    <w:p w14:paraId="6D691E79" w14:textId="77777777" w:rsidR="001B5A2C" w:rsidRDefault="001B5A2C" w:rsidP="001B5A2C">
      <w:pPr>
        <w:pStyle w:val="NormalWeb"/>
        <w:numPr>
          <w:ilvl w:val="0"/>
          <w:numId w:val="123"/>
        </w:numPr>
        <w:spacing w:before="0" w:beforeAutospacing="0" w:after="0" w:afterAutospacing="0" w:line="360" w:lineRule="auto"/>
        <w:ind w:left="0" w:hanging="357"/>
        <w:jc w:val="both"/>
      </w:pPr>
      <w:r>
        <w:t xml:space="preserve">Donnelly, C., Begg, S. and Farrell, C., 2022. Leadership in times of crisis: Reflections from Canadian health executives during COVID-19. </w:t>
      </w:r>
      <w:r>
        <w:rPr>
          <w:rStyle w:val="Emphasis"/>
          <w:rFonts w:eastAsiaTheme="majorEastAsia"/>
        </w:rPr>
        <w:t>Healthcare Management Forum</w:t>
      </w:r>
      <w:r>
        <w:t>, 35(5), pp.280–286.</w:t>
      </w:r>
    </w:p>
    <w:p w14:paraId="74C2EC95" w14:textId="77777777" w:rsidR="001B5A2C" w:rsidRDefault="001B5A2C" w:rsidP="001B5A2C">
      <w:pPr>
        <w:pStyle w:val="NormalWeb"/>
        <w:numPr>
          <w:ilvl w:val="0"/>
          <w:numId w:val="123"/>
        </w:numPr>
        <w:tabs>
          <w:tab w:val="left" w:pos="360"/>
        </w:tabs>
        <w:spacing w:before="0" w:beforeAutospacing="0" w:after="0" w:afterAutospacing="0" w:line="360" w:lineRule="auto"/>
        <w:ind w:left="0" w:hanging="357"/>
        <w:jc w:val="both"/>
      </w:pPr>
      <w:r>
        <w:t xml:space="preserve">Elgar, F.J., Stefaniak, A. and Wohl, M.J., 2020. The trouble with trust: Interpersonal trust and public compliance during COVID-19. </w:t>
      </w:r>
      <w:r>
        <w:rPr>
          <w:rStyle w:val="Emphasis"/>
          <w:rFonts w:eastAsiaTheme="majorEastAsia"/>
        </w:rPr>
        <w:t>Journal of Public Health</w:t>
      </w:r>
      <w:r>
        <w:t>, 42(3), pp.462–465.</w:t>
      </w:r>
    </w:p>
    <w:p w14:paraId="74FB0E3B" w14:textId="77777777" w:rsidR="001B5A2C" w:rsidRDefault="001B5A2C" w:rsidP="001B5A2C">
      <w:pPr>
        <w:pStyle w:val="NormalWeb"/>
        <w:numPr>
          <w:ilvl w:val="0"/>
          <w:numId w:val="123"/>
        </w:numPr>
        <w:spacing w:before="0" w:beforeAutospacing="0" w:after="0" w:afterAutospacing="0" w:line="360" w:lineRule="auto"/>
        <w:ind w:left="0" w:hanging="357"/>
        <w:jc w:val="both"/>
      </w:pPr>
      <w:r>
        <w:t xml:space="preserve">European Centre for Disease Prevention and Control (ECDC), 2020. </w:t>
      </w:r>
      <w:r>
        <w:rPr>
          <w:rStyle w:val="Emphasis"/>
          <w:rFonts w:eastAsiaTheme="majorEastAsia"/>
        </w:rPr>
        <w:t>COVID-19 situation update – Spain</w:t>
      </w:r>
      <w:r>
        <w:t xml:space="preserve">. [online] Available at: </w:t>
      </w:r>
      <w:hyperlink r:id="rId10" w:tgtFrame="_new" w:history="1">
        <w:r>
          <w:rPr>
            <w:rStyle w:val="Hyperlink"/>
            <w:rFonts w:eastAsiaTheme="majorEastAsia"/>
          </w:rPr>
          <w:t>https://www.ecdc.europa.eu</w:t>
        </w:r>
      </w:hyperlink>
      <w:r>
        <w:t xml:space="preserve"> [Accessed 12 Dec 2025].</w:t>
      </w:r>
    </w:p>
    <w:p w14:paraId="5E5DE23F" w14:textId="77777777" w:rsidR="001B5A2C" w:rsidRDefault="001B5A2C" w:rsidP="001B5A2C">
      <w:pPr>
        <w:pStyle w:val="NormalWeb"/>
        <w:numPr>
          <w:ilvl w:val="0"/>
          <w:numId w:val="123"/>
        </w:numPr>
        <w:spacing w:before="0" w:beforeAutospacing="0" w:after="0" w:afterAutospacing="0" w:line="360" w:lineRule="auto"/>
        <w:ind w:left="0" w:hanging="357"/>
        <w:jc w:val="both"/>
      </w:pPr>
      <w:r>
        <w:t xml:space="preserve">Flood, C.M., Thomas, B. and Lavis, J.N., 2021. The federal role in COVID-19: Health system coordination in Canada. </w:t>
      </w:r>
      <w:r>
        <w:rPr>
          <w:rStyle w:val="Emphasis"/>
          <w:rFonts w:eastAsiaTheme="majorEastAsia"/>
        </w:rPr>
        <w:t>Healthcare Policy</w:t>
      </w:r>
      <w:r>
        <w:t>, 17(1), pp.24–36.</w:t>
      </w:r>
    </w:p>
    <w:p w14:paraId="52BD6B9E" w14:textId="77777777" w:rsidR="001B5A2C" w:rsidRDefault="001B5A2C" w:rsidP="001B5A2C">
      <w:pPr>
        <w:pStyle w:val="NormalWeb"/>
        <w:numPr>
          <w:ilvl w:val="0"/>
          <w:numId w:val="123"/>
        </w:numPr>
        <w:spacing w:before="0" w:beforeAutospacing="0" w:after="0" w:afterAutospacing="0" w:line="360" w:lineRule="auto"/>
        <w:ind w:left="0" w:hanging="357"/>
        <w:jc w:val="both"/>
      </w:pPr>
      <w:r>
        <w:t xml:space="preserve">Garrido, L., Roca, C., and Caminal, J., 2021. Spain’s health decentralisation and the COVID-19 crisis. </w:t>
      </w:r>
      <w:r>
        <w:rPr>
          <w:rStyle w:val="Emphasis"/>
          <w:rFonts w:eastAsiaTheme="majorEastAsia"/>
        </w:rPr>
        <w:t>Health Policy</w:t>
      </w:r>
      <w:r>
        <w:t>, 125(8), pp.1060–1065.</w:t>
      </w:r>
    </w:p>
    <w:p w14:paraId="47D67958" w14:textId="77777777" w:rsidR="001B5A2C" w:rsidRDefault="001B5A2C" w:rsidP="001B5A2C">
      <w:pPr>
        <w:pStyle w:val="NormalWeb"/>
        <w:numPr>
          <w:ilvl w:val="0"/>
          <w:numId w:val="123"/>
        </w:numPr>
        <w:spacing w:before="0" w:beforeAutospacing="0" w:after="0" w:afterAutospacing="0" w:line="360" w:lineRule="auto"/>
        <w:ind w:left="0" w:hanging="357"/>
        <w:jc w:val="both"/>
      </w:pPr>
      <w:r>
        <w:lastRenderedPageBreak/>
        <w:t xml:space="preserve">Gauld, R., 2020. Comparative health systems: Decentralisation and pandemic response. </w:t>
      </w:r>
      <w:r>
        <w:rPr>
          <w:rStyle w:val="Emphasis"/>
          <w:rFonts w:eastAsiaTheme="majorEastAsia"/>
        </w:rPr>
        <w:t>Health Policy</w:t>
      </w:r>
      <w:r>
        <w:t>, 124(9), pp.941–943.</w:t>
      </w:r>
    </w:p>
    <w:p w14:paraId="09FA02DC" w14:textId="77777777" w:rsidR="001B5A2C" w:rsidRDefault="001B5A2C" w:rsidP="001B5A2C">
      <w:pPr>
        <w:pStyle w:val="NormalWeb"/>
        <w:numPr>
          <w:ilvl w:val="0"/>
          <w:numId w:val="123"/>
        </w:numPr>
        <w:tabs>
          <w:tab w:val="left" w:pos="360"/>
        </w:tabs>
        <w:spacing w:before="0" w:beforeAutospacing="0" w:after="0" w:afterAutospacing="0" w:line="360" w:lineRule="auto"/>
        <w:ind w:left="0" w:hanging="357"/>
        <w:jc w:val="both"/>
      </w:pPr>
      <w:proofErr w:type="spellStart"/>
      <w:r>
        <w:t>Glouberman</w:t>
      </w:r>
      <w:proofErr w:type="spellEnd"/>
      <w:r>
        <w:t xml:space="preserve">, S. and Zimmerman, B., 2021. Complicated and complex systems: What would successful reform of Canadian healthcare look like? </w:t>
      </w:r>
      <w:r>
        <w:rPr>
          <w:rStyle w:val="Emphasis"/>
          <w:rFonts w:eastAsiaTheme="majorEastAsia"/>
        </w:rPr>
        <w:t>Healthcare Papers</w:t>
      </w:r>
      <w:r>
        <w:t>, 21(1), pp.21–28.</w:t>
      </w:r>
    </w:p>
    <w:p w14:paraId="574C55E3" w14:textId="77777777" w:rsidR="001B5A2C" w:rsidRDefault="001B5A2C" w:rsidP="001B5A2C">
      <w:pPr>
        <w:pStyle w:val="NormalWeb"/>
        <w:numPr>
          <w:ilvl w:val="0"/>
          <w:numId w:val="123"/>
        </w:numPr>
        <w:spacing w:before="0" w:beforeAutospacing="0" w:after="0" w:afterAutospacing="0" w:line="360" w:lineRule="auto"/>
        <w:ind w:left="0" w:hanging="357"/>
        <w:jc w:val="both"/>
      </w:pPr>
      <w:proofErr w:type="spellStart"/>
      <w:r>
        <w:t>Gollust</w:t>
      </w:r>
      <w:proofErr w:type="spellEnd"/>
      <w:r>
        <w:t xml:space="preserve">, S.E., Nagler, R.H. and Fowler, E.F., 2020. The emergence of COVID-19 in the US: Public health communication challenges. </w:t>
      </w:r>
      <w:r>
        <w:rPr>
          <w:rStyle w:val="Emphasis"/>
          <w:rFonts w:eastAsiaTheme="majorEastAsia"/>
        </w:rPr>
        <w:t>Health Affairs</w:t>
      </w:r>
      <w:r>
        <w:t>, 39(6), pp.1055–1061.</w:t>
      </w:r>
    </w:p>
    <w:p w14:paraId="2687C680" w14:textId="77777777" w:rsidR="001B5A2C" w:rsidRDefault="001B5A2C" w:rsidP="001B5A2C">
      <w:pPr>
        <w:pStyle w:val="NormalWeb"/>
        <w:numPr>
          <w:ilvl w:val="0"/>
          <w:numId w:val="123"/>
        </w:numPr>
        <w:spacing w:before="0" w:beforeAutospacing="0" w:after="0" w:afterAutospacing="0" w:line="360" w:lineRule="auto"/>
        <w:ind w:left="0" w:hanging="357"/>
        <w:jc w:val="both"/>
      </w:pPr>
      <w:r>
        <w:t xml:space="preserve">Greer, S.L., King, E.J., Fonseca, E.M. and Peralta-Santos, A., 2020. The comparative politics of COVID-19: The need to understand government responses. </w:t>
      </w:r>
      <w:r>
        <w:rPr>
          <w:rStyle w:val="Emphasis"/>
          <w:rFonts w:eastAsiaTheme="majorEastAsia"/>
        </w:rPr>
        <w:t>Global Public Health</w:t>
      </w:r>
      <w:r>
        <w:t>, 15(9), pp.1413–1416.</w:t>
      </w:r>
    </w:p>
    <w:p w14:paraId="41D6D898" w14:textId="77777777" w:rsidR="001B5A2C" w:rsidRDefault="001B5A2C" w:rsidP="001B5A2C">
      <w:pPr>
        <w:pStyle w:val="NormalWeb"/>
        <w:numPr>
          <w:ilvl w:val="0"/>
          <w:numId w:val="123"/>
        </w:numPr>
        <w:spacing w:before="0" w:beforeAutospacing="0" w:after="0" w:afterAutospacing="0" w:line="360" w:lineRule="auto"/>
        <w:ind w:left="0" w:hanging="357"/>
        <w:jc w:val="both"/>
      </w:pPr>
      <w:r>
        <w:t xml:space="preserve">Heifetz, R., </w:t>
      </w:r>
      <w:proofErr w:type="spellStart"/>
      <w:r>
        <w:t>Grashow</w:t>
      </w:r>
      <w:proofErr w:type="spellEnd"/>
      <w:r>
        <w:t xml:space="preserve">, A. and Linsky, M., 2009. </w:t>
      </w:r>
      <w:r>
        <w:rPr>
          <w:rStyle w:val="Emphasis"/>
          <w:rFonts w:eastAsiaTheme="majorEastAsia"/>
        </w:rPr>
        <w:t>The Practice of Adaptive Leadership: Tools and Tactics for Changing Your Organization and the World</w:t>
      </w:r>
      <w:r>
        <w:t>. Boston: Harvard Business Press.</w:t>
      </w:r>
    </w:p>
    <w:p w14:paraId="6A400C9E" w14:textId="77777777" w:rsidR="001B5A2C" w:rsidRDefault="001B5A2C" w:rsidP="001B5A2C">
      <w:pPr>
        <w:pStyle w:val="NormalWeb"/>
        <w:numPr>
          <w:ilvl w:val="0"/>
          <w:numId w:val="123"/>
        </w:numPr>
        <w:spacing w:before="0" w:beforeAutospacing="0" w:after="0" w:afterAutospacing="0" w:line="360" w:lineRule="auto"/>
        <w:ind w:left="0" w:hanging="357"/>
        <w:jc w:val="both"/>
      </w:pPr>
      <w:r>
        <w:t xml:space="preserve">Hernández-Quevedo, C., García-Armesto, S., and Bernal-Delgado, E., 2021. Spain’s health system response to COVID-19: A comparative performance assessment. </w:t>
      </w:r>
      <w:r>
        <w:rPr>
          <w:rStyle w:val="Emphasis"/>
          <w:rFonts w:eastAsiaTheme="majorEastAsia"/>
        </w:rPr>
        <w:t>Health Systems &amp; Reform</w:t>
      </w:r>
      <w:r>
        <w:t>, 7(1), p.e1906914.</w:t>
      </w:r>
    </w:p>
    <w:p w14:paraId="3630FB97" w14:textId="77777777" w:rsidR="001B5A2C" w:rsidRDefault="001B5A2C" w:rsidP="001B5A2C">
      <w:pPr>
        <w:pStyle w:val="NormalWeb"/>
        <w:numPr>
          <w:ilvl w:val="0"/>
          <w:numId w:val="123"/>
        </w:numPr>
        <w:spacing w:before="0" w:beforeAutospacing="0" w:after="0" w:afterAutospacing="0" w:line="360" w:lineRule="auto"/>
        <w:ind w:left="0" w:hanging="357"/>
        <w:jc w:val="both"/>
      </w:pPr>
      <w:r>
        <w:t xml:space="preserve">International Monetary Fund (IMF), 2021. </w:t>
      </w:r>
      <w:r>
        <w:rPr>
          <w:rStyle w:val="Emphasis"/>
          <w:rFonts w:eastAsiaTheme="majorEastAsia"/>
        </w:rPr>
        <w:t>Canada: 2021 Article IV Consultation – Press Release</w:t>
      </w:r>
      <w:r>
        <w:t xml:space="preserve">. [online] Available at: </w:t>
      </w:r>
      <w:hyperlink r:id="rId11" w:tgtFrame="_new" w:history="1">
        <w:r>
          <w:rPr>
            <w:rStyle w:val="Hyperlink"/>
            <w:rFonts w:eastAsiaTheme="majorEastAsia"/>
          </w:rPr>
          <w:t>https://www.imf.org</w:t>
        </w:r>
      </w:hyperlink>
      <w:r>
        <w:t xml:space="preserve"> [Accessed 10 Dec 2025].</w:t>
      </w:r>
    </w:p>
    <w:p w14:paraId="1030A2CE" w14:textId="77777777" w:rsidR="001B5A2C" w:rsidRDefault="001B5A2C" w:rsidP="001B5A2C">
      <w:pPr>
        <w:pStyle w:val="NormalWeb"/>
        <w:numPr>
          <w:ilvl w:val="0"/>
          <w:numId w:val="123"/>
        </w:numPr>
        <w:spacing w:before="0" w:beforeAutospacing="0" w:after="0" w:afterAutospacing="0" w:line="360" w:lineRule="auto"/>
        <w:ind w:left="0" w:hanging="357"/>
        <w:jc w:val="both"/>
      </w:pPr>
      <w:r>
        <w:t xml:space="preserve">Kang, S. and Park, Y., 2021. Public health surveillance and digital contact tracing in South Korea: Policy trade-offs during COVID-19. </w:t>
      </w:r>
      <w:r>
        <w:rPr>
          <w:rStyle w:val="Emphasis"/>
          <w:rFonts w:eastAsiaTheme="majorEastAsia"/>
        </w:rPr>
        <w:t>Asian Bioethics Review</w:t>
      </w:r>
      <w:r>
        <w:t>, 13(1), pp.99–115.</w:t>
      </w:r>
    </w:p>
    <w:p w14:paraId="34E26F3C" w14:textId="77777777" w:rsidR="001B5A2C" w:rsidRDefault="001B5A2C" w:rsidP="001B5A2C">
      <w:pPr>
        <w:pStyle w:val="NormalWeb"/>
        <w:numPr>
          <w:ilvl w:val="0"/>
          <w:numId w:val="123"/>
        </w:numPr>
        <w:spacing w:before="0" w:beforeAutospacing="0" w:after="0" w:afterAutospacing="0" w:line="360" w:lineRule="auto"/>
        <w:ind w:left="0" w:hanging="357"/>
        <w:jc w:val="both"/>
      </w:pPr>
      <w:r>
        <w:t xml:space="preserve">Kickbusch, I. and Gleicher, D., 2012. </w:t>
      </w:r>
      <w:r>
        <w:rPr>
          <w:rStyle w:val="Emphasis"/>
          <w:rFonts w:eastAsiaTheme="majorEastAsia"/>
        </w:rPr>
        <w:t>Governance for Health in the 21st Century</w:t>
      </w:r>
      <w:r>
        <w:t>. Copenhagen: WHO Regional Office for Europe.</w:t>
      </w:r>
    </w:p>
    <w:p w14:paraId="6DD225B0" w14:textId="77777777" w:rsidR="001B5A2C" w:rsidRDefault="001B5A2C" w:rsidP="001B5A2C">
      <w:pPr>
        <w:pStyle w:val="NormalWeb"/>
        <w:numPr>
          <w:ilvl w:val="0"/>
          <w:numId w:val="123"/>
        </w:numPr>
        <w:spacing w:before="0" w:beforeAutospacing="0" w:after="0" w:afterAutospacing="0" w:line="360" w:lineRule="auto"/>
        <w:ind w:left="0" w:hanging="357"/>
        <w:jc w:val="both"/>
      </w:pPr>
      <w:r>
        <w:t xml:space="preserve">Kim, Y.J. and Lee, J., 2020. Leadership and public health emergency: South Korea’s COVID-19 response. </w:t>
      </w:r>
      <w:r>
        <w:rPr>
          <w:rStyle w:val="Emphasis"/>
          <w:rFonts w:eastAsiaTheme="majorEastAsia"/>
        </w:rPr>
        <w:t>Journal of Asian Public Policy</w:t>
      </w:r>
      <w:r>
        <w:t>, 13(3), pp.321–335.</w:t>
      </w:r>
    </w:p>
    <w:p w14:paraId="31FCC96C" w14:textId="77777777" w:rsidR="001B5A2C" w:rsidRDefault="001B5A2C" w:rsidP="001B5A2C">
      <w:pPr>
        <w:pStyle w:val="NormalWeb"/>
        <w:numPr>
          <w:ilvl w:val="0"/>
          <w:numId w:val="123"/>
        </w:numPr>
        <w:tabs>
          <w:tab w:val="left" w:pos="360"/>
        </w:tabs>
        <w:spacing w:before="0" w:beforeAutospacing="0" w:after="0" w:afterAutospacing="0" w:line="360" w:lineRule="auto"/>
        <w:ind w:left="0" w:hanging="357"/>
        <w:jc w:val="both"/>
      </w:pPr>
      <w:r>
        <w:t xml:space="preserve">Lazarus, J.V., Ratzan, S.C., </w:t>
      </w:r>
      <w:proofErr w:type="spellStart"/>
      <w:r>
        <w:t>Palayew</w:t>
      </w:r>
      <w:proofErr w:type="spellEnd"/>
      <w:r>
        <w:t xml:space="preserve">, A. et al., 2021. A global survey of public attitudes toward COVID-19 vaccines. </w:t>
      </w:r>
      <w:r>
        <w:rPr>
          <w:rStyle w:val="Emphasis"/>
          <w:rFonts w:eastAsiaTheme="majorEastAsia"/>
        </w:rPr>
        <w:t>Nature Medicine</w:t>
      </w:r>
      <w:r>
        <w:t>, 27(2), pp.225–228.</w:t>
      </w:r>
    </w:p>
    <w:p w14:paraId="49C81112" w14:textId="77777777" w:rsidR="001B5A2C" w:rsidRDefault="001B5A2C" w:rsidP="001B5A2C">
      <w:pPr>
        <w:pStyle w:val="NormalWeb"/>
        <w:numPr>
          <w:ilvl w:val="0"/>
          <w:numId w:val="123"/>
        </w:numPr>
        <w:spacing w:before="0" w:beforeAutospacing="0" w:after="0" w:afterAutospacing="0" w:line="360" w:lineRule="auto"/>
        <w:ind w:left="0" w:hanging="357"/>
        <w:jc w:val="both"/>
      </w:pPr>
      <w:r>
        <w:t xml:space="preserve">Lee, J.Y. and Lee, H., 2020. Lessons from South Korea’s COVID-19 policy response. </w:t>
      </w:r>
      <w:r>
        <w:rPr>
          <w:rStyle w:val="Emphasis"/>
          <w:rFonts w:eastAsiaTheme="majorEastAsia"/>
        </w:rPr>
        <w:t>Health Policy and Technology</w:t>
      </w:r>
      <w:r>
        <w:t>, 9(4), pp.360–367.</w:t>
      </w:r>
    </w:p>
    <w:p w14:paraId="1B43BB67" w14:textId="77777777" w:rsidR="001B5A2C" w:rsidRDefault="001B5A2C" w:rsidP="001B5A2C">
      <w:pPr>
        <w:pStyle w:val="NormalWeb"/>
        <w:numPr>
          <w:ilvl w:val="0"/>
          <w:numId w:val="123"/>
        </w:numPr>
        <w:spacing w:before="0" w:beforeAutospacing="0" w:after="0" w:afterAutospacing="0" w:line="360" w:lineRule="auto"/>
        <w:ind w:left="0" w:hanging="357"/>
        <w:jc w:val="both"/>
      </w:pPr>
      <w:r>
        <w:t xml:space="preserve">López-Casasnovas, G. and Saez, M., 2021. Decentralisation, leadership, and pandemic management: The Spanish case. </w:t>
      </w:r>
      <w:r>
        <w:rPr>
          <w:rStyle w:val="Emphasis"/>
          <w:rFonts w:eastAsiaTheme="majorEastAsia"/>
        </w:rPr>
        <w:t>Public Health Reviews</w:t>
      </w:r>
      <w:r>
        <w:t>, 42, pp.1–10.</w:t>
      </w:r>
    </w:p>
    <w:p w14:paraId="10792C6C" w14:textId="77777777" w:rsidR="001B5A2C" w:rsidRDefault="001B5A2C" w:rsidP="001B5A2C">
      <w:pPr>
        <w:pStyle w:val="NormalWeb"/>
        <w:numPr>
          <w:ilvl w:val="0"/>
          <w:numId w:val="123"/>
        </w:numPr>
        <w:spacing w:before="0" w:beforeAutospacing="0" w:after="0" w:afterAutospacing="0" w:line="360" w:lineRule="auto"/>
        <w:ind w:left="0" w:hanging="357"/>
        <w:jc w:val="both"/>
      </w:pPr>
      <w:r>
        <w:t xml:space="preserve">Meadows, D.H., 2008. </w:t>
      </w:r>
      <w:r>
        <w:rPr>
          <w:rStyle w:val="Emphasis"/>
          <w:rFonts w:eastAsiaTheme="majorEastAsia"/>
        </w:rPr>
        <w:t>Thinking in Systems: A Primer</w:t>
      </w:r>
      <w:r>
        <w:t>. White River Junction: Chelsea Green Publishing.</w:t>
      </w:r>
    </w:p>
    <w:p w14:paraId="13A9E216" w14:textId="77777777" w:rsidR="001B5A2C" w:rsidRDefault="001B5A2C" w:rsidP="001B5A2C">
      <w:pPr>
        <w:pStyle w:val="NormalWeb"/>
        <w:numPr>
          <w:ilvl w:val="0"/>
          <w:numId w:val="123"/>
        </w:numPr>
        <w:spacing w:before="0" w:beforeAutospacing="0" w:after="0" w:afterAutospacing="0" w:line="360" w:lineRule="auto"/>
        <w:ind w:left="0" w:hanging="357"/>
        <w:jc w:val="both"/>
      </w:pPr>
      <w:r>
        <w:t xml:space="preserve">OECD, 2021. </w:t>
      </w:r>
      <w:r>
        <w:rPr>
          <w:rStyle w:val="Emphasis"/>
          <w:rFonts w:eastAsiaTheme="majorEastAsia"/>
        </w:rPr>
        <w:t>The COVID-19 crisis in Spain</w:t>
      </w:r>
      <w:r>
        <w:t xml:space="preserve">. [online] Available at: </w:t>
      </w:r>
      <w:hyperlink r:id="rId12" w:tgtFrame="_new" w:history="1">
        <w:r>
          <w:rPr>
            <w:rStyle w:val="Hyperlink"/>
            <w:rFonts w:eastAsiaTheme="majorEastAsia"/>
          </w:rPr>
          <w:t>https://www.oecd.org</w:t>
        </w:r>
      </w:hyperlink>
      <w:r>
        <w:t xml:space="preserve"> [Accessed 11 Dec 2025].</w:t>
      </w:r>
    </w:p>
    <w:p w14:paraId="775317F7" w14:textId="77777777" w:rsidR="001B5A2C" w:rsidRDefault="001B5A2C" w:rsidP="001B5A2C">
      <w:pPr>
        <w:pStyle w:val="NormalWeb"/>
        <w:numPr>
          <w:ilvl w:val="0"/>
          <w:numId w:val="123"/>
        </w:numPr>
        <w:spacing w:before="0" w:beforeAutospacing="0" w:after="0" w:afterAutospacing="0" w:line="360" w:lineRule="auto"/>
        <w:ind w:left="0" w:hanging="357"/>
        <w:jc w:val="both"/>
      </w:pPr>
      <w:r>
        <w:lastRenderedPageBreak/>
        <w:t xml:space="preserve">Park, S., Choi, G. and Ko, H., 2021. South Korea’s COVID-19 strategy: Crisis communication and public trust. </w:t>
      </w:r>
      <w:r>
        <w:rPr>
          <w:rStyle w:val="Emphasis"/>
          <w:rFonts w:eastAsiaTheme="majorEastAsia"/>
        </w:rPr>
        <w:t>Asian Journal of Comparative Politics</w:t>
      </w:r>
      <w:r>
        <w:t>, 6(2), pp.195–210.</w:t>
      </w:r>
    </w:p>
    <w:p w14:paraId="49CB64DA" w14:textId="77777777" w:rsidR="001B5A2C" w:rsidRDefault="001B5A2C" w:rsidP="001B5A2C">
      <w:pPr>
        <w:pStyle w:val="NormalWeb"/>
        <w:numPr>
          <w:ilvl w:val="0"/>
          <w:numId w:val="123"/>
        </w:numPr>
        <w:tabs>
          <w:tab w:val="left" w:pos="360"/>
        </w:tabs>
        <w:spacing w:before="0" w:beforeAutospacing="0" w:after="0" w:afterAutospacing="0" w:line="360" w:lineRule="auto"/>
        <w:ind w:left="0" w:hanging="357"/>
        <w:jc w:val="both"/>
      </w:pPr>
      <w:r>
        <w:t xml:space="preserve">Rajan, D., Koch, K., Rohrer, K. et al., 2020. Governance of the COVID-19 response: A call for more inclusive and transparent decision-making. </w:t>
      </w:r>
      <w:r>
        <w:rPr>
          <w:rStyle w:val="Emphasis"/>
          <w:rFonts w:eastAsiaTheme="majorEastAsia"/>
        </w:rPr>
        <w:t>BMJ Global Health</w:t>
      </w:r>
      <w:r>
        <w:t>, 5(5), p.e002655.</w:t>
      </w:r>
    </w:p>
    <w:p w14:paraId="1AE8DE6F" w14:textId="77777777" w:rsidR="001B5A2C" w:rsidRDefault="001B5A2C" w:rsidP="001B5A2C">
      <w:pPr>
        <w:pStyle w:val="NormalWeb"/>
        <w:numPr>
          <w:ilvl w:val="0"/>
          <w:numId w:val="123"/>
        </w:numPr>
        <w:spacing w:before="0" w:beforeAutospacing="0" w:after="0" w:afterAutospacing="0" w:line="360" w:lineRule="auto"/>
        <w:ind w:left="0" w:hanging="357"/>
        <w:jc w:val="both"/>
      </w:pPr>
      <w:r>
        <w:t xml:space="preserve">Ritchie, H., Mathieu, E., </w:t>
      </w:r>
      <w:proofErr w:type="spellStart"/>
      <w:r>
        <w:t>Rodés</w:t>
      </w:r>
      <w:proofErr w:type="spellEnd"/>
      <w:r>
        <w:t xml:space="preserve">-Guirao, L. et al., 2023. </w:t>
      </w:r>
      <w:r>
        <w:rPr>
          <w:rStyle w:val="Emphasis"/>
          <w:rFonts w:eastAsiaTheme="majorEastAsia"/>
        </w:rPr>
        <w:t>Coronavirus Pandemic (COVID-19)</w:t>
      </w:r>
      <w:r>
        <w:t xml:space="preserve">. [online] Our World in Data. Available at: </w:t>
      </w:r>
      <w:hyperlink r:id="rId13" w:tgtFrame="_new" w:history="1">
        <w:r>
          <w:rPr>
            <w:rStyle w:val="Hyperlink"/>
            <w:rFonts w:eastAsiaTheme="majorEastAsia"/>
          </w:rPr>
          <w:t>https://ourworldindata.org/coronavirus</w:t>
        </w:r>
      </w:hyperlink>
      <w:r>
        <w:t xml:space="preserve"> [Accessed 10 Dec 2025].</w:t>
      </w:r>
    </w:p>
    <w:p w14:paraId="72A9F6A1" w14:textId="77777777" w:rsidR="001B5A2C" w:rsidRDefault="001B5A2C" w:rsidP="001B5A2C">
      <w:pPr>
        <w:pStyle w:val="NormalWeb"/>
        <w:numPr>
          <w:ilvl w:val="0"/>
          <w:numId w:val="123"/>
        </w:numPr>
        <w:spacing w:before="0" w:beforeAutospacing="0" w:after="0" w:afterAutospacing="0" w:line="360" w:lineRule="auto"/>
        <w:ind w:left="0" w:hanging="357"/>
        <w:jc w:val="both"/>
      </w:pPr>
      <w:r>
        <w:t xml:space="preserve">Saltman, R.B., </w:t>
      </w:r>
      <w:proofErr w:type="spellStart"/>
      <w:r>
        <w:t>Bankauskaite</w:t>
      </w:r>
      <w:proofErr w:type="spellEnd"/>
      <w:r>
        <w:t xml:space="preserve">, V. and Vrangbæk, K., 2007. </w:t>
      </w:r>
      <w:r>
        <w:rPr>
          <w:rStyle w:val="Emphasis"/>
          <w:rFonts w:eastAsiaTheme="majorEastAsia"/>
        </w:rPr>
        <w:t>Decentralization in Health Care: Strategies and Outcomes</w:t>
      </w:r>
      <w:r>
        <w:t>. Maidenhead: Open University Press.</w:t>
      </w:r>
    </w:p>
    <w:p w14:paraId="7D676211" w14:textId="77777777" w:rsidR="001B5A2C" w:rsidRDefault="001B5A2C" w:rsidP="001B5A2C">
      <w:pPr>
        <w:pStyle w:val="NormalWeb"/>
        <w:numPr>
          <w:ilvl w:val="0"/>
          <w:numId w:val="123"/>
        </w:numPr>
        <w:spacing w:before="0" w:beforeAutospacing="0" w:after="0" w:afterAutospacing="0" w:line="360" w:lineRule="auto"/>
        <w:ind w:left="0" w:hanging="357"/>
        <w:jc w:val="both"/>
      </w:pPr>
      <w:r>
        <w:t xml:space="preserve">Sandford, M., 2021. COVID-19 and the UK's devolved governments: A comparative view. </w:t>
      </w:r>
      <w:r>
        <w:rPr>
          <w:rStyle w:val="Emphasis"/>
          <w:rFonts w:eastAsiaTheme="majorEastAsia"/>
        </w:rPr>
        <w:t>Parliamentary Affairs</w:t>
      </w:r>
      <w:r>
        <w:t>, 74(3), pp.553–570.</w:t>
      </w:r>
    </w:p>
    <w:p w14:paraId="022A0F74" w14:textId="77777777" w:rsidR="001B5A2C" w:rsidRDefault="001B5A2C" w:rsidP="001B5A2C">
      <w:pPr>
        <w:pStyle w:val="NormalWeb"/>
        <w:numPr>
          <w:ilvl w:val="0"/>
          <w:numId w:val="123"/>
        </w:numPr>
        <w:spacing w:before="0" w:beforeAutospacing="0" w:after="0" w:afterAutospacing="0" w:line="360" w:lineRule="auto"/>
        <w:ind w:left="0" w:hanging="357"/>
        <w:jc w:val="both"/>
      </w:pPr>
      <w:r>
        <w:t xml:space="preserve">Spillane, J.P., 2006. </w:t>
      </w:r>
      <w:r>
        <w:rPr>
          <w:rStyle w:val="Emphasis"/>
          <w:rFonts w:eastAsiaTheme="majorEastAsia"/>
        </w:rPr>
        <w:t>Distributed Leadership</w:t>
      </w:r>
      <w:r>
        <w:t>. San Francisco: Jossey-Bass.</w:t>
      </w:r>
    </w:p>
    <w:p w14:paraId="229F9090" w14:textId="77777777" w:rsidR="001B5A2C" w:rsidRDefault="001B5A2C" w:rsidP="001B5A2C">
      <w:pPr>
        <w:pStyle w:val="NormalWeb"/>
        <w:numPr>
          <w:ilvl w:val="0"/>
          <w:numId w:val="123"/>
        </w:numPr>
        <w:spacing w:before="0" w:beforeAutospacing="0" w:after="0" w:afterAutospacing="0" w:line="360" w:lineRule="auto"/>
        <w:ind w:left="0" w:hanging="357"/>
        <w:jc w:val="both"/>
      </w:pPr>
      <w:r>
        <w:t xml:space="preserve">Susskind, R. and Susskind, D., 2022. Leadership and public value during COVID-19. </w:t>
      </w:r>
      <w:r>
        <w:rPr>
          <w:rStyle w:val="Emphasis"/>
          <w:rFonts w:eastAsiaTheme="majorEastAsia"/>
        </w:rPr>
        <w:t>Public Management Review</w:t>
      </w:r>
      <w:r>
        <w:t>, 24(8), pp.1223–1243.</w:t>
      </w:r>
    </w:p>
    <w:p w14:paraId="5E79995D" w14:textId="77777777" w:rsidR="001B5A2C" w:rsidRDefault="001B5A2C" w:rsidP="001B5A2C">
      <w:pPr>
        <w:pStyle w:val="NormalWeb"/>
        <w:numPr>
          <w:ilvl w:val="0"/>
          <w:numId w:val="123"/>
        </w:numPr>
        <w:spacing w:before="0" w:beforeAutospacing="0" w:after="0" w:afterAutospacing="0" w:line="360" w:lineRule="auto"/>
        <w:ind w:left="0" w:hanging="357"/>
        <w:jc w:val="both"/>
      </w:pPr>
      <w:r>
        <w:t xml:space="preserve">WHO, 2020. </w:t>
      </w:r>
      <w:r>
        <w:rPr>
          <w:rStyle w:val="Emphasis"/>
          <w:rFonts w:eastAsiaTheme="majorEastAsia"/>
        </w:rPr>
        <w:t>COVID-19 Strategic Preparedness and Response Plan</w:t>
      </w:r>
      <w:r>
        <w:t>. Geneva: World Health Organization.</w:t>
      </w:r>
    </w:p>
    <w:p w14:paraId="79FD6657" w14:textId="77777777" w:rsidR="001B5A2C" w:rsidRDefault="001B5A2C" w:rsidP="001B5A2C">
      <w:pPr>
        <w:pStyle w:val="NormalWeb"/>
        <w:numPr>
          <w:ilvl w:val="0"/>
          <w:numId w:val="123"/>
        </w:numPr>
        <w:spacing w:before="0" w:beforeAutospacing="0" w:after="0" w:afterAutospacing="0" w:line="360" w:lineRule="auto"/>
        <w:ind w:left="0" w:hanging="357"/>
        <w:jc w:val="both"/>
      </w:pPr>
      <w:r>
        <w:t xml:space="preserve">Wilson, K. and Lazar, H., 2021. Fragmentation and coordination in Canada’s pandemic response. </w:t>
      </w:r>
      <w:r>
        <w:rPr>
          <w:rStyle w:val="Emphasis"/>
          <w:rFonts w:eastAsiaTheme="majorEastAsia"/>
        </w:rPr>
        <w:t>Canadian Journal of Political Science</w:t>
      </w:r>
      <w:r>
        <w:t>, 54(1), pp.1–17.</w:t>
      </w:r>
    </w:p>
    <w:p w14:paraId="094C047B" w14:textId="77777777" w:rsidR="001B5A2C" w:rsidRDefault="001B5A2C" w:rsidP="001B5A2C">
      <w:pPr>
        <w:pStyle w:val="NormalWeb"/>
        <w:numPr>
          <w:ilvl w:val="0"/>
          <w:numId w:val="123"/>
        </w:numPr>
        <w:spacing w:before="0" w:beforeAutospacing="0" w:after="0" w:afterAutospacing="0" w:line="360" w:lineRule="auto"/>
        <w:ind w:left="0" w:hanging="357"/>
        <w:jc w:val="both"/>
      </w:pPr>
      <w:r>
        <w:t xml:space="preserve">World Bank, 2021. </w:t>
      </w:r>
      <w:r>
        <w:rPr>
          <w:rStyle w:val="Emphasis"/>
          <w:rFonts w:eastAsiaTheme="majorEastAsia"/>
        </w:rPr>
        <w:t>Pandemic Preparedness in Decentralised Health Systems: Policy Challenges and Opportunities</w:t>
      </w:r>
      <w:r>
        <w:t>. Washington, D.C.: World Bank Publications.</w:t>
      </w:r>
    </w:p>
    <w:p w14:paraId="289E1200" w14:textId="77777777" w:rsidR="001B5A2C" w:rsidRPr="001B5A2C" w:rsidRDefault="001B5A2C" w:rsidP="001B5A2C">
      <w:pPr>
        <w:rPr>
          <w:lang w:val="en-GB"/>
        </w:rPr>
      </w:pPr>
    </w:p>
    <w:sectPr w:rsidR="001B5A2C" w:rsidRPr="001B5A2C" w:rsidSect="00DA1622">
      <w:pgSz w:w="11910" w:h="16840"/>
      <w:pgMar w:top="1300" w:right="940" w:bottom="1460" w:left="1340" w:header="708" w:footer="1262" w:gutter="0"/>
      <w:pgBorders w:offsetFrom="page">
        <w:top w:val="single" w:sz="4" w:space="24" w:color="auto"/>
        <w:left w:val="single" w:sz="4" w:space="24" w:color="auto"/>
        <w:bottom w:val="single" w:sz="4" w:space="24" w:color="auto"/>
        <w:right w:val="single" w:sz="4" w:space="24" w:color="auto"/>
      </w:pgBorders>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26E00FB" w14:textId="77777777" w:rsidR="00BC4C6B" w:rsidRDefault="00BC4C6B" w:rsidP="00D4509A">
      <w:r>
        <w:separator/>
      </w:r>
    </w:p>
  </w:endnote>
  <w:endnote w:type="continuationSeparator" w:id="0">
    <w:p w14:paraId="69D5228E" w14:textId="77777777" w:rsidR="00BC4C6B" w:rsidRDefault="00BC4C6B" w:rsidP="00D450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773203199"/>
      <w:docPartObj>
        <w:docPartGallery w:val="Page Numbers (Bottom of Page)"/>
        <w:docPartUnique/>
      </w:docPartObj>
    </w:sdtPr>
    <w:sdtEndPr>
      <w:rPr>
        <w:color w:val="7F7F7F" w:themeColor="background1" w:themeShade="7F"/>
        <w:spacing w:val="60"/>
      </w:rPr>
    </w:sdtEndPr>
    <w:sdtContent>
      <w:p w14:paraId="5FD6ABC5" w14:textId="17518BD5" w:rsidR="00D4509A" w:rsidRDefault="00D4509A">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14110C74" w14:textId="6B02A73C" w:rsidR="00181940" w:rsidRDefault="00181940">
    <w:pPr>
      <w:pStyle w:val="BodyText"/>
      <w:spacing w:line="14" w:lineRule="auto"/>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7496B99" w14:textId="77777777" w:rsidR="00BC4C6B" w:rsidRDefault="00BC4C6B" w:rsidP="00D4509A">
      <w:r>
        <w:separator/>
      </w:r>
    </w:p>
  </w:footnote>
  <w:footnote w:type="continuationSeparator" w:id="0">
    <w:p w14:paraId="68950B8B" w14:textId="77777777" w:rsidR="00BC4C6B" w:rsidRDefault="00BC4C6B" w:rsidP="00D4509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DF7D1DB" w14:textId="4F699FB9" w:rsidR="00181940" w:rsidRDefault="00181940">
    <w:pPr>
      <w:pStyle w:val="BodyText"/>
      <w:spacing w:line="14" w:lineRule="auto"/>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723EDE"/>
    <w:multiLevelType w:val="multilevel"/>
    <w:tmpl w:val="2304A0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87116F"/>
    <w:multiLevelType w:val="multilevel"/>
    <w:tmpl w:val="032296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3E22D04"/>
    <w:multiLevelType w:val="multilevel"/>
    <w:tmpl w:val="3F9A561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43E7A5F"/>
    <w:multiLevelType w:val="hybridMultilevel"/>
    <w:tmpl w:val="C8D086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4C244E2"/>
    <w:multiLevelType w:val="multilevel"/>
    <w:tmpl w:val="96F47F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5B0696F"/>
    <w:multiLevelType w:val="multilevel"/>
    <w:tmpl w:val="258A8F5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6E11011"/>
    <w:multiLevelType w:val="multilevel"/>
    <w:tmpl w:val="23C20C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83B6042"/>
    <w:multiLevelType w:val="hybridMultilevel"/>
    <w:tmpl w:val="026060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092A442E"/>
    <w:multiLevelType w:val="hybridMultilevel"/>
    <w:tmpl w:val="BE7ABD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09DF58E6"/>
    <w:multiLevelType w:val="hybridMultilevel"/>
    <w:tmpl w:val="581C9A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0A4E7E03"/>
    <w:multiLevelType w:val="multilevel"/>
    <w:tmpl w:val="238891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0A7E2E96"/>
    <w:multiLevelType w:val="multilevel"/>
    <w:tmpl w:val="DDDE1E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0B557BDF"/>
    <w:multiLevelType w:val="hybridMultilevel"/>
    <w:tmpl w:val="EDFC88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0C6C3166"/>
    <w:multiLevelType w:val="multilevel"/>
    <w:tmpl w:val="C3E81A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0CDF760E"/>
    <w:multiLevelType w:val="multilevel"/>
    <w:tmpl w:val="732860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0E226F8D"/>
    <w:multiLevelType w:val="multilevel"/>
    <w:tmpl w:val="6E0898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0EA61EB2"/>
    <w:multiLevelType w:val="multilevel"/>
    <w:tmpl w:val="B61CFD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0FE047A0"/>
    <w:multiLevelType w:val="multilevel"/>
    <w:tmpl w:val="0DAE17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104731F9"/>
    <w:multiLevelType w:val="hybridMultilevel"/>
    <w:tmpl w:val="A39E81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140072A6"/>
    <w:multiLevelType w:val="multilevel"/>
    <w:tmpl w:val="132CC8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15796656"/>
    <w:multiLevelType w:val="hybridMultilevel"/>
    <w:tmpl w:val="9918A8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15982EC0"/>
    <w:multiLevelType w:val="multilevel"/>
    <w:tmpl w:val="79BA5E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173A3314"/>
    <w:multiLevelType w:val="multilevel"/>
    <w:tmpl w:val="991075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176E7DA7"/>
    <w:multiLevelType w:val="multilevel"/>
    <w:tmpl w:val="8A1CC5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17BB1753"/>
    <w:multiLevelType w:val="hybridMultilevel"/>
    <w:tmpl w:val="255463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19434510"/>
    <w:multiLevelType w:val="multilevel"/>
    <w:tmpl w:val="7A7093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1BCB7A49"/>
    <w:multiLevelType w:val="hybridMultilevel"/>
    <w:tmpl w:val="40C07250"/>
    <w:lvl w:ilvl="0" w:tplc="F69C8964">
      <w:numFmt w:val="bullet"/>
      <w:lvlText w:val=""/>
      <w:lvlJc w:val="left"/>
      <w:pPr>
        <w:ind w:left="827" w:hanging="360"/>
      </w:pPr>
      <w:rPr>
        <w:rFonts w:ascii="Wingdings" w:eastAsia="Wingdings" w:hAnsi="Wingdings" w:cs="Wingdings" w:hint="default"/>
        <w:b w:val="0"/>
        <w:bCs w:val="0"/>
        <w:i w:val="0"/>
        <w:iCs w:val="0"/>
        <w:spacing w:val="0"/>
        <w:w w:val="100"/>
        <w:sz w:val="22"/>
        <w:szCs w:val="22"/>
        <w:lang w:val="en-US" w:eastAsia="en-US" w:bidi="ar-SA"/>
      </w:rPr>
    </w:lvl>
    <w:lvl w:ilvl="1" w:tplc="55588B76">
      <w:numFmt w:val="bullet"/>
      <w:lvlText w:val=""/>
      <w:lvlJc w:val="left"/>
      <w:pPr>
        <w:ind w:left="1547" w:hanging="360"/>
      </w:pPr>
      <w:rPr>
        <w:rFonts w:ascii="Wingdings" w:eastAsia="Wingdings" w:hAnsi="Wingdings" w:cs="Wingdings" w:hint="default"/>
        <w:b w:val="0"/>
        <w:bCs w:val="0"/>
        <w:i w:val="0"/>
        <w:iCs w:val="0"/>
        <w:spacing w:val="0"/>
        <w:w w:val="100"/>
        <w:sz w:val="22"/>
        <w:szCs w:val="22"/>
        <w:lang w:val="en-US" w:eastAsia="en-US" w:bidi="ar-SA"/>
      </w:rPr>
    </w:lvl>
    <w:lvl w:ilvl="2" w:tplc="CE308920">
      <w:numFmt w:val="bullet"/>
      <w:lvlText w:val="•"/>
      <w:lvlJc w:val="left"/>
      <w:pPr>
        <w:ind w:left="2439" w:hanging="360"/>
      </w:pPr>
      <w:rPr>
        <w:lang w:val="en-US" w:eastAsia="en-US" w:bidi="ar-SA"/>
      </w:rPr>
    </w:lvl>
    <w:lvl w:ilvl="3" w:tplc="3C1C74E8">
      <w:numFmt w:val="bullet"/>
      <w:lvlText w:val="•"/>
      <w:lvlJc w:val="left"/>
      <w:pPr>
        <w:ind w:left="3339" w:hanging="360"/>
      </w:pPr>
      <w:rPr>
        <w:lang w:val="en-US" w:eastAsia="en-US" w:bidi="ar-SA"/>
      </w:rPr>
    </w:lvl>
    <w:lvl w:ilvl="4" w:tplc="712C3862">
      <w:numFmt w:val="bullet"/>
      <w:lvlText w:val="•"/>
      <w:lvlJc w:val="left"/>
      <w:pPr>
        <w:ind w:left="4239" w:hanging="360"/>
      </w:pPr>
      <w:rPr>
        <w:lang w:val="en-US" w:eastAsia="en-US" w:bidi="ar-SA"/>
      </w:rPr>
    </w:lvl>
    <w:lvl w:ilvl="5" w:tplc="821CD14A">
      <w:numFmt w:val="bullet"/>
      <w:lvlText w:val="•"/>
      <w:lvlJc w:val="left"/>
      <w:pPr>
        <w:ind w:left="5138" w:hanging="360"/>
      </w:pPr>
      <w:rPr>
        <w:lang w:val="en-US" w:eastAsia="en-US" w:bidi="ar-SA"/>
      </w:rPr>
    </w:lvl>
    <w:lvl w:ilvl="6" w:tplc="991EC182">
      <w:numFmt w:val="bullet"/>
      <w:lvlText w:val="•"/>
      <w:lvlJc w:val="left"/>
      <w:pPr>
        <w:ind w:left="6038" w:hanging="360"/>
      </w:pPr>
      <w:rPr>
        <w:lang w:val="en-US" w:eastAsia="en-US" w:bidi="ar-SA"/>
      </w:rPr>
    </w:lvl>
    <w:lvl w:ilvl="7" w:tplc="5300A634">
      <w:numFmt w:val="bullet"/>
      <w:lvlText w:val="•"/>
      <w:lvlJc w:val="left"/>
      <w:pPr>
        <w:ind w:left="6938" w:hanging="360"/>
      </w:pPr>
      <w:rPr>
        <w:lang w:val="en-US" w:eastAsia="en-US" w:bidi="ar-SA"/>
      </w:rPr>
    </w:lvl>
    <w:lvl w:ilvl="8" w:tplc="A498EB60">
      <w:numFmt w:val="bullet"/>
      <w:lvlText w:val="•"/>
      <w:lvlJc w:val="left"/>
      <w:pPr>
        <w:ind w:left="7837" w:hanging="360"/>
      </w:pPr>
      <w:rPr>
        <w:lang w:val="en-US" w:eastAsia="en-US" w:bidi="ar-SA"/>
      </w:rPr>
    </w:lvl>
  </w:abstractNum>
  <w:abstractNum w:abstractNumId="27" w15:restartNumberingAfterBreak="0">
    <w:nsid w:val="1C4543B1"/>
    <w:multiLevelType w:val="hybridMultilevel"/>
    <w:tmpl w:val="241A549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8" w15:restartNumberingAfterBreak="0">
    <w:nsid w:val="1CFB71D9"/>
    <w:multiLevelType w:val="multilevel"/>
    <w:tmpl w:val="B50E63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1D7D7600"/>
    <w:multiLevelType w:val="multilevel"/>
    <w:tmpl w:val="40989B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1E071D24"/>
    <w:multiLevelType w:val="multilevel"/>
    <w:tmpl w:val="370630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1E531DD9"/>
    <w:multiLevelType w:val="multilevel"/>
    <w:tmpl w:val="AEB61B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1EA67BCB"/>
    <w:multiLevelType w:val="hybridMultilevel"/>
    <w:tmpl w:val="51965CB6"/>
    <w:lvl w:ilvl="0" w:tplc="08090001">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1F1F1388"/>
    <w:multiLevelType w:val="hybridMultilevel"/>
    <w:tmpl w:val="739A3EDE"/>
    <w:lvl w:ilvl="0" w:tplc="08090001">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1FB76723"/>
    <w:multiLevelType w:val="multilevel"/>
    <w:tmpl w:val="DF5683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207020AD"/>
    <w:multiLevelType w:val="multilevel"/>
    <w:tmpl w:val="76BC9B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21877214"/>
    <w:multiLevelType w:val="multilevel"/>
    <w:tmpl w:val="5DB673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21EE4D8C"/>
    <w:multiLevelType w:val="multilevel"/>
    <w:tmpl w:val="79BE02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23B522A7"/>
    <w:multiLevelType w:val="multilevel"/>
    <w:tmpl w:val="37CE20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25920529"/>
    <w:multiLevelType w:val="multilevel"/>
    <w:tmpl w:val="56B014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25B2536B"/>
    <w:multiLevelType w:val="multilevel"/>
    <w:tmpl w:val="131427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26B81C8B"/>
    <w:multiLevelType w:val="multilevel"/>
    <w:tmpl w:val="7750B5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285D2FB7"/>
    <w:multiLevelType w:val="multilevel"/>
    <w:tmpl w:val="5CB890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2894031D"/>
    <w:multiLevelType w:val="multilevel"/>
    <w:tmpl w:val="1C146E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29F43C6D"/>
    <w:multiLevelType w:val="multilevel"/>
    <w:tmpl w:val="ADAAC7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2AE43223"/>
    <w:multiLevelType w:val="multilevel"/>
    <w:tmpl w:val="45AA0F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2BA10018"/>
    <w:multiLevelType w:val="multilevel"/>
    <w:tmpl w:val="6862FA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2BE940D7"/>
    <w:multiLevelType w:val="multilevel"/>
    <w:tmpl w:val="946453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2D531241"/>
    <w:multiLevelType w:val="multilevel"/>
    <w:tmpl w:val="09FA30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2E775356"/>
    <w:multiLevelType w:val="multilevel"/>
    <w:tmpl w:val="C71038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2EA11694"/>
    <w:multiLevelType w:val="multilevel"/>
    <w:tmpl w:val="D7EAC6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2F2B3360"/>
    <w:multiLevelType w:val="hybridMultilevel"/>
    <w:tmpl w:val="2AA668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30F15B66"/>
    <w:multiLevelType w:val="hybridMultilevel"/>
    <w:tmpl w:val="66681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34137538"/>
    <w:multiLevelType w:val="multilevel"/>
    <w:tmpl w:val="6A5A61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347D603F"/>
    <w:multiLevelType w:val="multilevel"/>
    <w:tmpl w:val="1EB0B3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15:restartNumberingAfterBreak="0">
    <w:nsid w:val="35774F6C"/>
    <w:multiLevelType w:val="hybridMultilevel"/>
    <w:tmpl w:val="4A18E4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15:restartNumberingAfterBreak="0">
    <w:nsid w:val="357754FB"/>
    <w:multiLevelType w:val="multilevel"/>
    <w:tmpl w:val="D6D8D8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37311D58"/>
    <w:multiLevelType w:val="multilevel"/>
    <w:tmpl w:val="E782F5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 w15:restartNumberingAfterBreak="0">
    <w:nsid w:val="3959510D"/>
    <w:multiLevelType w:val="hybridMultilevel"/>
    <w:tmpl w:val="3EEEB6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9" w15:restartNumberingAfterBreak="0">
    <w:nsid w:val="3ABA2432"/>
    <w:multiLevelType w:val="multilevel"/>
    <w:tmpl w:val="98D80C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3C5720AA"/>
    <w:multiLevelType w:val="multilevel"/>
    <w:tmpl w:val="B1D608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3DDE37E6"/>
    <w:multiLevelType w:val="multilevel"/>
    <w:tmpl w:val="83F0F8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3E450BC9"/>
    <w:multiLevelType w:val="multilevel"/>
    <w:tmpl w:val="85A0BD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401058C7"/>
    <w:multiLevelType w:val="multilevel"/>
    <w:tmpl w:val="4A5627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4" w15:restartNumberingAfterBreak="0">
    <w:nsid w:val="406D47F0"/>
    <w:multiLevelType w:val="multilevel"/>
    <w:tmpl w:val="0726A3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40EB36A3"/>
    <w:multiLevelType w:val="hybridMultilevel"/>
    <w:tmpl w:val="826AB8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6" w15:restartNumberingAfterBreak="0">
    <w:nsid w:val="4163349E"/>
    <w:multiLevelType w:val="hybridMultilevel"/>
    <w:tmpl w:val="B0F2B4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7" w15:restartNumberingAfterBreak="0">
    <w:nsid w:val="41727002"/>
    <w:multiLevelType w:val="multilevel"/>
    <w:tmpl w:val="74F07D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8" w15:restartNumberingAfterBreak="0">
    <w:nsid w:val="41E36FC8"/>
    <w:multiLevelType w:val="multilevel"/>
    <w:tmpl w:val="2592A8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9" w15:restartNumberingAfterBreak="0">
    <w:nsid w:val="42532FDD"/>
    <w:multiLevelType w:val="multilevel"/>
    <w:tmpl w:val="B5AE86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440D7C58"/>
    <w:multiLevelType w:val="multilevel"/>
    <w:tmpl w:val="1C4254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443B3FC2"/>
    <w:multiLevelType w:val="multilevel"/>
    <w:tmpl w:val="6096E6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2" w15:restartNumberingAfterBreak="0">
    <w:nsid w:val="44564D92"/>
    <w:multiLevelType w:val="multilevel"/>
    <w:tmpl w:val="2D7C78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44E41BD8"/>
    <w:multiLevelType w:val="hybridMultilevel"/>
    <w:tmpl w:val="1F66CBB8"/>
    <w:lvl w:ilvl="0" w:tplc="06D8D6E4">
      <w:start w:val="1"/>
      <w:numFmt w:val="upperLetter"/>
      <w:lvlText w:val="%1."/>
      <w:lvlJc w:val="left"/>
      <w:pPr>
        <w:ind w:left="720" w:hanging="360"/>
      </w:pPr>
      <w:rPr>
        <w:rFonts w:hint="default"/>
        <w:sz w:val="28"/>
        <w:szCs w:val="2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4" w15:restartNumberingAfterBreak="0">
    <w:nsid w:val="454A60DF"/>
    <w:multiLevelType w:val="multilevel"/>
    <w:tmpl w:val="1B62F2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5" w15:restartNumberingAfterBreak="0">
    <w:nsid w:val="45905CE7"/>
    <w:multiLevelType w:val="multilevel"/>
    <w:tmpl w:val="9326B6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6" w15:restartNumberingAfterBreak="0">
    <w:nsid w:val="479D056F"/>
    <w:multiLevelType w:val="hybridMultilevel"/>
    <w:tmpl w:val="462689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7" w15:restartNumberingAfterBreak="0">
    <w:nsid w:val="47A37CA8"/>
    <w:multiLevelType w:val="hybridMultilevel"/>
    <w:tmpl w:val="71D45956"/>
    <w:lvl w:ilvl="0" w:tplc="08090001">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8" w15:restartNumberingAfterBreak="0">
    <w:nsid w:val="4B635D7A"/>
    <w:multiLevelType w:val="multilevel"/>
    <w:tmpl w:val="B29474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9" w15:restartNumberingAfterBreak="0">
    <w:nsid w:val="4B902878"/>
    <w:multiLevelType w:val="multilevel"/>
    <w:tmpl w:val="8D2C54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4CC3071A"/>
    <w:multiLevelType w:val="multilevel"/>
    <w:tmpl w:val="35846A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4D701A3A"/>
    <w:multiLevelType w:val="hybridMultilevel"/>
    <w:tmpl w:val="BBAA02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2" w15:restartNumberingAfterBreak="0">
    <w:nsid w:val="4DF5742C"/>
    <w:multiLevelType w:val="multilevel"/>
    <w:tmpl w:val="03EE12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4F400872"/>
    <w:multiLevelType w:val="multilevel"/>
    <w:tmpl w:val="64440B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50726034"/>
    <w:multiLevelType w:val="multilevel"/>
    <w:tmpl w:val="03DC8E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541E4874"/>
    <w:multiLevelType w:val="multilevel"/>
    <w:tmpl w:val="B694D8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545621AA"/>
    <w:multiLevelType w:val="hybridMultilevel"/>
    <w:tmpl w:val="5ECAF3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7" w15:restartNumberingAfterBreak="0">
    <w:nsid w:val="54DF2382"/>
    <w:multiLevelType w:val="hybridMultilevel"/>
    <w:tmpl w:val="65E46E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8" w15:restartNumberingAfterBreak="0">
    <w:nsid w:val="55821468"/>
    <w:multiLevelType w:val="multilevel"/>
    <w:tmpl w:val="197866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569141A4"/>
    <w:multiLevelType w:val="multilevel"/>
    <w:tmpl w:val="C11244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15:restartNumberingAfterBreak="0">
    <w:nsid w:val="56F65DDA"/>
    <w:multiLevelType w:val="multilevel"/>
    <w:tmpl w:val="9E0A94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1" w15:restartNumberingAfterBreak="0">
    <w:nsid w:val="57C744A8"/>
    <w:multiLevelType w:val="hybridMultilevel"/>
    <w:tmpl w:val="40E279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2" w15:restartNumberingAfterBreak="0">
    <w:nsid w:val="58FB5345"/>
    <w:multiLevelType w:val="multilevel"/>
    <w:tmpl w:val="8E5499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3" w15:restartNumberingAfterBreak="0">
    <w:nsid w:val="5C1C5DFC"/>
    <w:multiLevelType w:val="multilevel"/>
    <w:tmpl w:val="95569F7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 w15:restartNumberingAfterBreak="0">
    <w:nsid w:val="5C1C68C9"/>
    <w:multiLevelType w:val="multilevel"/>
    <w:tmpl w:val="7AAEE6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15:restartNumberingAfterBreak="0">
    <w:nsid w:val="5C4B7449"/>
    <w:multiLevelType w:val="multilevel"/>
    <w:tmpl w:val="E2A0AE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6" w15:restartNumberingAfterBreak="0">
    <w:nsid w:val="5EB459FE"/>
    <w:multiLevelType w:val="multilevel"/>
    <w:tmpl w:val="4C2817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7" w15:restartNumberingAfterBreak="0">
    <w:nsid w:val="600A3375"/>
    <w:multiLevelType w:val="multilevel"/>
    <w:tmpl w:val="AAC253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 w15:restartNumberingAfterBreak="0">
    <w:nsid w:val="615A0649"/>
    <w:multiLevelType w:val="multilevel"/>
    <w:tmpl w:val="A97475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9" w15:restartNumberingAfterBreak="0">
    <w:nsid w:val="628E2D20"/>
    <w:multiLevelType w:val="multilevel"/>
    <w:tmpl w:val="A45E19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 w15:restartNumberingAfterBreak="0">
    <w:nsid w:val="646D6966"/>
    <w:multiLevelType w:val="multilevel"/>
    <w:tmpl w:val="5A0E5D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1" w15:restartNumberingAfterBreak="0">
    <w:nsid w:val="64C403A3"/>
    <w:multiLevelType w:val="hybridMultilevel"/>
    <w:tmpl w:val="4F9A25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2" w15:restartNumberingAfterBreak="0">
    <w:nsid w:val="660170B9"/>
    <w:multiLevelType w:val="multilevel"/>
    <w:tmpl w:val="7AD858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3" w15:restartNumberingAfterBreak="0">
    <w:nsid w:val="66354374"/>
    <w:multiLevelType w:val="multilevel"/>
    <w:tmpl w:val="145EA7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 w15:restartNumberingAfterBreak="0">
    <w:nsid w:val="66C7363B"/>
    <w:multiLevelType w:val="multilevel"/>
    <w:tmpl w:val="61C2DD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5" w15:restartNumberingAfterBreak="0">
    <w:nsid w:val="67E8751B"/>
    <w:multiLevelType w:val="multilevel"/>
    <w:tmpl w:val="CC80D9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6" w15:restartNumberingAfterBreak="0">
    <w:nsid w:val="68874E69"/>
    <w:multiLevelType w:val="multilevel"/>
    <w:tmpl w:val="C88E7F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7" w15:restartNumberingAfterBreak="0">
    <w:nsid w:val="6A4E70E3"/>
    <w:multiLevelType w:val="multilevel"/>
    <w:tmpl w:val="28CC5D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8" w15:restartNumberingAfterBreak="0">
    <w:nsid w:val="6B1E27F3"/>
    <w:multiLevelType w:val="multilevel"/>
    <w:tmpl w:val="7F3EE6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9" w15:restartNumberingAfterBreak="0">
    <w:nsid w:val="6EB862A7"/>
    <w:multiLevelType w:val="multilevel"/>
    <w:tmpl w:val="F690BB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0" w15:restartNumberingAfterBreak="0">
    <w:nsid w:val="6F072CAF"/>
    <w:multiLevelType w:val="multilevel"/>
    <w:tmpl w:val="0598EE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1" w15:restartNumberingAfterBreak="0">
    <w:nsid w:val="6F7643BD"/>
    <w:multiLevelType w:val="multilevel"/>
    <w:tmpl w:val="D478BA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2" w15:restartNumberingAfterBreak="0">
    <w:nsid w:val="735F48CE"/>
    <w:multiLevelType w:val="multilevel"/>
    <w:tmpl w:val="858E0F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3" w15:restartNumberingAfterBreak="0">
    <w:nsid w:val="73E5661D"/>
    <w:multiLevelType w:val="multilevel"/>
    <w:tmpl w:val="6A6E79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4" w15:restartNumberingAfterBreak="0">
    <w:nsid w:val="754B0A99"/>
    <w:multiLevelType w:val="hybridMultilevel"/>
    <w:tmpl w:val="8D2C32B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5" w15:restartNumberingAfterBreak="0">
    <w:nsid w:val="761E2EAD"/>
    <w:multiLevelType w:val="multilevel"/>
    <w:tmpl w:val="BBE014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6" w15:restartNumberingAfterBreak="0">
    <w:nsid w:val="76A205AB"/>
    <w:multiLevelType w:val="multilevel"/>
    <w:tmpl w:val="23387E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7" w15:restartNumberingAfterBreak="0">
    <w:nsid w:val="78AC234C"/>
    <w:multiLevelType w:val="multilevel"/>
    <w:tmpl w:val="81FAF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8" w15:restartNumberingAfterBreak="0">
    <w:nsid w:val="794D4CCE"/>
    <w:multiLevelType w:val="multilevel"/>
    <w:tmpl w:val="8E722A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9" w15:restartNumberingAfterBreak="0">
    <w:nsid w:val="7A351D4B"/>
    <w:multiLevelType w:val="hybridMultilevel"/>
    <w:tmpl w:val="FEDCDA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0" w15:restartNumberingAfterBreak="0">
    <w:nsid w:val="7A7B1315"/>
    <w:multiLevelType w:val="hybridMultilevel"/>
    <w:tmpl w:val="6C1005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1" w15:restartNumberingAfterBreak="0">
    <w:nsid w:val="7AC64182"/>
    <w:multiLevelType w:val="hybridMultilevel"/>
    <w:tmpl w:val="BFFE0B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2" w15:restartNumberingAfterBreak="0">
    <w:nsid w:val="7CB87CAC"/>
    <w:multiLevelType w:val="multilevel"/>
    <w:tmpl w:val="29D0994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095741876">
    <w:abstractNumId w:val="73"/>
  </w:num>
  <w:num w:numId="2" w16cid:durableId="1940327647">
    <w:abstractNumId w:val="9"/>
  </w:num>
  <w:num w:numId="3" w16cid:durableId="2006207527">
    <w:abstractNumId w:val="55"/>
  </w:num>
  <w:num w:numId="4" w16cid:durableId="373694413">
    <w:abstractNumId w:val="52"/>
  </w:num>
  <w:num w:numId="5" w16cid:durableId="478689559">
    <w:abstractNumId w:val="114"/>
  </w:num>
  <w:num w:numId="6" w16cid:durableId="1947956237">
    <w:abstractNumId w:val="87"/>
  </w:num>
  <w:num w:numId="7" w16cid:durableId="587079702">
    <w:abstractNumId w:val="51"/>
  </w:num>
  <w:num w:numId="8" w16cid:durableId="598562953">
    <w:abstractNumId w:val="86"/>
  </w:num>
  <w:num w:numId="9" w16cid:durableId="1556813913">
    <w:abstractNumId w:val="76"/>
  </w:num>
  <w:num w:numId="10" w16cid:durableId="158547557">
    <w:abstractNumId w:val="16"/>
  </w:num>
  <w:num w:numId="11" w16cid:durableId="875502084">
    <w:abstractNumId w:val="92"/>
  </w:num>
  <w:num w:numId="12" w16cid:durableId="1269699619">
    <w:abstractNumId w:val="71"/>
  </w:num>
  <w:num w:numId="13" w16cid:durableId="1256280204">
    <w:abstractNumId w:val="54"/>
  </w:num>
  <w:num w:numId="14" w16cid:durableId="1329821312">
    <w:abstractNumId w:val="57"/>
  </w:num>
  <w:num w:numId="15" w16cid:durableId="1267541032">
    <w:abstractNumId w:val="91"/>
  </w:num>
  <w:num w:numId="16" w16cid:durableId="988631850">
    <w:abstractNumId w:val="77"/>
  </w:num>
  <w:num w:numId="17" w16cid:durableId="1707558800">
    <w:abstractNumId w:val="15"/>
  </w:num>
  <w:num w:numId="18" w16cid:durableId="686753172">
    <w:abstractNumId w:val="62"/>
  </w:num>
  <w:num w:numId="19" w16cid:durableId="1238901728">
    <w:abstractNumId w:val="50"/>
  </w:num>
  <w:num w:numId="20" w16cid:durableId="1229028572">
    <w:abstractNumId w:val="117"/>
  </w:num>
  <w:num w:numId="21" w16cid:durableId="473135815">
    <w:abstractNumId w:val="102"/>
  </w:num>
  <w:num w:numId="22" w16cid:durableId="578834987">
    <w:abstractNumId w:val="1"/>
  </w:num>
  <w:num w:numId="23" w16cid:durableId="1114054759">
    <w:abstractNumId w:val="14"/>
  </w:num>
  <w:num w:numId="24" w16cid:durableId="265238295">
    <w:abstractNumId w:val="85"/>
  </w:num>
  <w:num w:numId="25" w16cid:durableId="288822418">
    <w:abstractNumId w:val="0"/>
  </w:num>
  <w:num w:numId="26" w16cid:durableId="1550417605">
    <w:abstractNumId w:val="89"/>
  </w:num>
  <w:num w:numId="27" w16cid:durableId="1610352249">
    <w:abstractNumId w:val="36"/>
  </w:num>
  <w:num w:numId="28" w16cid:durableId="1150557278">
    <w:abstractNumId w:val="118"/>
  </w:num>
  <w:num w:numId="29" w16cid:durableId="867597828">
    <w:abstractNumId w:val="80"/>
  </w:num>
  <w:num w:numId="30" w16cid:durableId="563570910">
    <w:abstractNumId w:val="75"/>
  </w:num>
  <w:num w:numId="31" w16cid:durableId="112141119">
    <w:abstractNumId w:val="113"/>
  </w:num>
  <w:num w:numId="32" w16cid:durableId="42602185">
    <w:abstractNumId w:val="106"/>
  </w:num>
  <w:num w:numId="33" w16cid:durableId="1691682201">
    <w:abstractNumId w:val="94"/>
  </w:num>
  <w:num w:numId="34" w16cid:durableId="647520519">
    <w:abstractNumId w:val="103"/>
  </w:num>
  <w:num w:numId="35" w16cid:durableId="613444941">
    <w:abstractNumId w:val="30"/>
  </w:num>
  <w:num w:numId="36" w16cid:durableId="1427072452">
    <w:abstractNumId w:val="109"/>
  </w:num>
  <w:num w:numId="37" w16cid:durableId="267587131">
    <w:abstractNumId w:val="79"/>
  </w:num>
  <w:num w:numId="38" w16cid:durableId="2112429785">
    <w:abstractNumId w:val="35"/>
  </w:num>
  <w:num w:numId="39" w16cid:durableId="1959682694">
    <w:abstractNumId w:val="28"/>
  </w:num>
  <w:num w:numId="40" w16cid:durableId="1235504178">
    <w:abstractNumId w:val="6"/>
  </w:num>
  <w:num w:numId="41" w16cid:durableId="442193647">
    <w:abstractNumId w:val="69"/>
  </w:num>
  <w:num w:numId="42" w16cid:durableId="1187911301">
    <w:abstractNumId w:val="82"/>
  </w:num>
  <w:num w:numId="43" w16cid:durableId="2080664113">
    <w:abstractNumId w:val="44"/>
  </w:num>
  <w:num w:numId="44" w16cid:durableId="670984870">
    <w:abstractNumId w:val="25"/>
  </w:num>
  <w:num w:numId="45" w16cid:durableId="1726873803">
    <w:abstractNumId w:val="49"/>
  </w:num>
  <w:num w:numId="46" w16cid:durableId="1286546811">
    <w:abstractNumId w:val="20"/>
  </w:num>
  <w:num w:numId="47" w16cid:durableId="859122399">
    <w:abstractNumId w:val="101"/>
  </w:num>
  <w:num w:numId="48" w16cid:durableId="705639581">
    <w:abstractNumId w:val="58"/>
  </w:num>
  <w:num w:numId="49" w16cid:durableId="2142068536">
    <w:abstractNumId w:val="65"/>
  </w:num>
  <w:num w:numId="50" w16cid:durableId="1881042652">
    <w:abstractNumId w:val="81"/>
  </w:num>
  <w:num w:numId="51" w16cid:durableId="583993000">
    <w:abstractNumId w:val="24"/>
  </w:num>
  <w:num w:numId="52" w16cid:durableId="1190290090">
    <w:abstractNumId w:val="116"/>
  </w:num>
  <w:num w:numId="53" w16cid:durableId="990475728">
    <w:abstractNumId w:val="53"/>
  </w:num>
  <w:num w:numId="54" w16cid:durableId="1475830004">
    <w:abstractNumId w:val="4"/>
  </w:num>
  <w:num w:numId="55" w16cid:durableId="1560705814">
    <w:abstractNumId w:val="13"/>
  </w:num>
  <w:num w:numId="56" w16cid:durableId="624191844">
    <w:abstractNumId w:val="120"/>
  </w:num>
  <w:num w:numId="57" w16cid:durableId="185949394">
    <w:abstractNumId w:val="32"/>
  </w:num>
  <w:num w:numId="58" w16cid:durableId="1191146735">
    <w:abstractNumId w:val="43"/>
  </w:num>
  <w:num w:numId="59" w16cid:durableId="2100368487">
    <w:abstractNumId w:val="68"/>
  </w:num>
  <w:num w:numId="60" w16cid:durableId="426120836">
    <w:abstractNumId w:val="104"/>
  </w:num>
  <w:num w:numId="61" w16cid:durableId="1859194325">
    <w:abstractNumId w:val="107"/>
  </w:num>
  <w:num w:numId="62" w16cid:durableId="887640998">
    <w:abstractNumId w:val="95"/>
  </w:num>
  <w:num w:numId="63" w16cid:durableId="1994411216">
    <w:abstractNumId w:val="97"/>
  </w:num>
  <w:num w:numId="64" w16cid:durableId="370156785">
    <w:abstractNumId w:val="29"/>
  </w:num>
  <w:num w:numId="65" w16cid:durableId="987320007">
    <w:abstractNumId w:val="121"/>
  </w:num>
  <w:num w:numId="66" w16cid:durableId="523981502">
    <w:abstractNumId w:val="119"/>
  </w:num>
  <w:num w:numId="67" w16cid:durableId="471217296">
    <w:abstractNumId w:val="83"/>
  </w:num>
  <w:num w:numId="68" w16cid:durableId="2121997230">
    <w:abstractNumId w:val="41"/>
  </w:num>
  <w:num w:numId="69" w16cid:durableId="349993193">
    <w:abstractNumId w:val="37"/>
  </w:num>
  <w:num w:numId="70" w16cid:durableId="1058406502">
    <w:abstractNumId w:val="98"/>
  </w:num>
  <w:num w:numId="71" w16cid:durableId="704712984">
    <w:abstractNumId w:val="11"/>
  </w:num>
  <w:num w:numId="72" w16cid:durableId="1481729403">
    <w:abstractNumId w:val="10"/>
  </w:num>
  <w:num w:numId="73" w16cid:durableId="972710470">
    <w:abstractNumId w:val="48"/>
  </w:num>
  <w:num w:numId="74" w16cid:durableId="1814104288">
    <w:abstractNumId w:val="111"/>
  </w:num>
  <w:num w:numId="75" w16cid:durableId="1794057693">
    <w:abstractNumId w:val="46"/>
  </w:num>
  <w:num w:numId="76" w16cid:durableId="1445997800">
    <w:abstractNumId w:val="78"/>
  </w:num>
  <w:num w:numId="77" w16cid:durableId="679814167">
    <w:abstractNumId w:val="122"/>
  </w:num>
  <w:num w:numId="78" w16cid:durableId="2058119249">
    <w:abstractNumId w:val="42"/>
  </w:num>
  <w:num w:numId="79" w16cid:durableId="201941033">
    <w:abstractNumId w:val="63"/>
  </w:num>
  <w:num w:numId="80" w16cid:durableId="1187520412">
    <w:abstractNumId w:val="61"/>
  </w:num>
  <w:num w:numId="81" w16cid:durableId="1011571848">
    <w:abstractNumId w:val="90"/>
  </w:num>
  <w:num w:numId="82" w16cid:durableId="1474757651">
    <w:abstractNumId w:val="93"/>
  </w:num>
  <w:num w:numId="83" w16cid:durableId="1141314544">
    <w:abstractNumId w:val="5"/>
  </w:num>
  <w:num w:numId="84" w16cid:durableId="1637444662">
    <w:abstractNumId w:val="2"/>
  </w:num>
  <w:num w:numId="85" w16cid:durableId="1697073676">
    <w:abstractNumId w:val="31"/>
  </w:num>
  <w:num w:numId="86" w16cid:durableId="1425415400">
    <w:abstractNumId w:val="38"/>
  </w:num>
  <w:num w:numId="87" w16cid:durableId="1193497381">
    <w:abstractNumId w:val="12"/>
  </w:num>
  <w:num w:numId="88" w16cid:durableId="1351253018">
    <w:abstractNumId w:val="17"/>
  </w:num>
  <w:num w:numId="89" w16cid:durableId="873923847">
    <w:abstractNumId w:val="74"/>
  </w:num>
  <w:num w:numId="90" w16cid:durableId="1674601103">
    <w:abstractNumId w:val="21"/>
  </w:num>
  <w:num w:numId="91" w16cid:durableId="944505567">
    <w:abstractNumId w:val="22"/>
  </w:num>
  <w:num w:numId="92" w16cid:durableId="902063628">
    <w:abstractNumId w:val="59"/>
  </w:num>
  <w:num w:numId="93" w16cid:durableId="1290820155">
    <w:abstractNumId w:val="23"/>
  </w:num>
  <w:num w:numId="94" w16cid:durableId="987050835">
    <w:abstractNumId w:val="67"/>
  </w:num>
  <w:num w:numId="95" w16cid:durableId="902914936">
    <w:abstractNumId w:val="110"/>
  </w:num>
  <w:num w:numId="96" w16cid:durableId="2073692241">
    <w:abstractNumId w:val="84"/>
  </w:num>
  <w:num w:numId="97" w16cid:durableId="2136291861">
    <w:abstractNumId w:val="72"/>
  </w:num>
  <w:num w:numId="98" w16cid:durableId="585961923">
    <w:abstractNumId w:val="112"/>
  </w:num>
  <w:num w:numId="99" w16cid:durableId="377242028">
    <w:abstractNumId w:val="45"/>
  </w:num>
  <w:num w:numId="100" w16cid:durableId="1957716932">
    <w:abstractNumId w:val="47"/>
  </w:num>
  <w:num w:numId="101" w16cid:durableId="1859543441">
    <w:abstractNumId w:val="34"/>
  </w:num>
  <w:num w:numId="102" w16cid:durableId="1110010722">
    <w:abstractNumId w:val="56"/>
  </w:num>
  <w:num w:numId="103" w16cid:durableId="693582156">
    <w:abstractNumId w:val="105"/>
  </w:num>
  <w:num w:numId="104" w16cid:durableId="948512054">
    <w:abstractNumId w:val="99"/>
  </w:num>
  <w:num w:numId="105" w16cid:durableId="141241643">
    <w:abstractNumId w:val="60"/>
  </w:num>
  <w:num w:numId="106" w16cid:durableId="1381244721">
    <w:abstractNumId w:val="115"/>
  </w:num>
  <w:num w:numId="107" w16cid:durableId="1559315545">
    <w:abstractNumId w:val="96"/>
  </w:num>
  <w:num w:numId="108" w16cid:durableId="1455905686">
    <w:abstractNumId w:val="64"/>
  </w:num>
  <w:num w:numId="109" w16cid:durableId="947740067">
    <w:abstractNumId w:val="19"/>
  </w:num>
  <w:num w:numId="110" w16cid:durableId="909922479">
    <w:abstractNumId w:val="18"/>
  </w:num>
  <w:num w:numId="111" w16cid:durableId="2120640230">
    <w:abstractNumId w:val="26"/>
  </w:num>
  <w:num w:numId="112" w16cid:durableId="1908147068">
    <w:abstractNumId w:val="108"/>
  </w:num>
  <w:num w:numId="113" w16cid:durableId="640501472">
    <w:abstractNumId w:val="100"/>
  </w:num>
  <w:num w:numId="114" w16cid:durableId="1995984889">
    <w:abstractNumId w:val="88"/>
  </w:num>
  <w:num w:numId="115" w16cid:durableId="490946184">
    <w:abstractNumId w:val="70"/>
  </w:num>
  <w:num w:numId="116" w16cid:durableId="1990011946">
    <w:abstractNumId w:val="7"/>
  </w:num>
  <w:num w:numId="117" w16cid:durableId="382951220">
    <w:abstractNumId w:val="8"/>
  </w:num>
  <w:num w:numId="118" w16cid:durableId="317853027">
    <w:abstractNumId w:val="33"/>
  </w:num>
  <w:num w:numId="119" w16cid:durableId="1142576155">
    <w:abstractNumId w:val="40"/>
  </w:num>
  <w:num w:numId="120" w16cid:durableId="246111344">
    <w:abstractNumId w:val="3"/>
  </w:num>
  <w:num w:numId="121" w16cid:durableId="1145246428">
    <w:abstractNumId w:val="66"/>
  </w:num>
  <w:num w:numId="122" w16cid:durableId="1945795980">
    <w:abstractNumId w:val="39"/>
  </w:num>
  <w:num w:numId="123" w16cid:durableId="1801263966">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509A"/>
    <w:rsid w:val="0000489D"/>
    <w:rsid w:val="000470CA"/>
    <w:rsid w:val="00150058"/>
    <w:rsid w:val="00181940"/>
    <w:rsid w:val="00184F90"/>
    <w:rsid w:val="00193FEE"/>
    <w:rsid w:val="001B5A2C"/>
    <w:rsid w:val="001D785B"/>
    <w:rsid w:val="002607DC"/>
    <w:rsid w:val="0028364C"/>
    <w:rsid w:val="00384F45"/>
    <w:rsid w:val="0039463F"/>
    <w:rsid w:val="003E3470"/>
    <w:rsid w:val="003F7218"/>
    <w:rsid w:val="00414A34"/>
    <w:rsid w:val="00423DF4"/>
    <w:rsid w:val="004E24FC"/>
    <w:rsid w:val="004E742B"/>
    <w:rsid w:val="004F3451"/>
    <w:rsid w:val="0050267B"/>
    <w:rsid w:val="00516B91"/>
    <w:rsid w:val="00547860"/>
    <w:rsid w:val="00585BA8"/>
    <w:rsid w:val="005E41BF"/>
    <w:rsid w:val="006176AB"/>
    <w:rsid w:val="00642381"/>
    <w:rsid w:val="0067379B"/>
    <w:rsid w:val="0073568C"/>
    <w:rsid w:val="00786D2A"/>
    <w:rsid w:val="007944FD"/>
    <w:rsid w:val="007B6B22"/>
    <w:rsid w:val="007E42F3"/>
    <w:rsid w:val="007E4AB3"/>
    <w:rsid w:val="007F391E"/>
    <w:rsid w:val="00871432"/>
    <w:rsid w:val="008B6CE3"/>
    <w:rsid w:val="00936713"/>
    <w:rsid w:val="009918C7"/>
    <w:rsid w:val="00995146"/>
    <w:rsid w:val="00A429CC"/>
    <w:rsid w:val="00A7604C"/>
    <w:rsid w:val="00AB0D2E"/>
    <w:rsid w:val="00AC2BC8"/>
    <w:rsid w:val="00AC2FA9"/>
    <w:rsid w:val="00AE1CB9"/>
    <w:rsid w:val="00BC4C6B"/>
    <w:rsid w:val="00C7783C"/>
    <w:rsid w:val="00C9439D"/>
    <w:rsid w:val="00CF0BCC"/>
    <w:rsid w:val="00D06DC1"/>
    <w:rsid w:val="00D4509A"/>
    <w:rsid w:val="00DA1622"/>
    <w:rsid w:val="00E963D5"/>
    <w:rsid w:val="00EB6186"/>
    <w:rsid w:val="00EB6FA4"/>
    <w:rsid w:val="00EC578B"/>
    <w:rsid w:val="00EE3386"/>
    <w:rsid w:val="00F207D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2009FA"/>
  <w15:docId w15:val="{27265A98-E132-4A57-B9B0-8B2FADD31A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4509A"/>
    <w:pPr>
      <w:widowControl w:val="0"/>
      <w:autoSpaceDE w:val="0"/>
      <w:autoSpaceDN w:val="0"/>
      <w:spacing w:after="0" w:line="240" w:lineRule="auto"/>
    </w:pPr>
    <w:rPr>
      <w:rFonts w:ascii="Calibri" w:eastAsia="Calibri" w:hAnsi="Calibri" w:cs="Calibri"/>
      <w:kern w:val="0"/>
      <w:lang w:val="en-US"/>
      <w14:ligatures w14:val="none"/>
    </w:rPr>
  </w:style>
  <w:style w:type="paragraph" w:styleId="Heading1">
    <w:name w:val="heading 1"/>
    <w:basedOn w:val="Normal"/>
    <w:next w:val="Normal"/>
    <w:link w:val="Heading1Char"/>
    <w:uiPriority w:val="9"/>
    <w:qFormat/>
    <w:rsid w:val="00D4509A"/>
    <w:pPr>
      <w:keepNext/>
      <w:keepLines/>
      <w:widowControl/>
      <w:autoSpaceDE/>
      <w:autoSpaceDN/>
      <w:spacing w:before="360" w:after="80" w:line="259" w:lineRule="auto"/>
      <w:outlineLvl w:val="0"/>
    </w:pPr>
    <w:rPr>
      <w:rFonts w:asciiTheme="majorHAnsi" w:eastAsiaTheme="majorEastAsia" w:hAnsiTheme="majorHAnsi" w:cstheme="majorBidi"/>
      <w:color w:val="0F4761" w:themeColor="accent1" w:themeShade="BF"/>
      <w:kern w:val="2"/>
      <w:sz w:val="40"/>
      <w:szCs w:val="40"/>
      <w:lang w:val="en-GB"/>
      <w14:ligatures w14:val="standardContextual"/>
    </w:rPr>
  </w:style>
  <w:style w:type="paragraph" w:styleId="Heading2">
    <w:name w:val="heading 2"/>
    <w:basedOn w:val="Normal"/>
    <w:next w:val="Normal"/>
    <w:link w:val="Heading2Char"/>
    <w:uiPriority w:val="9"/>
    <w:unhideWhenUsed/>
    <w:qFormat/>
    <w:rsid w:val="00D4509A"/>
    <w:pPr>
      <w:keepNext/>
      <w:keepLines/>
      <w:widowControl/>
      <w:autoSpaceDE/>
      <w:autoSpaceDN/>
      <w:spacing w:before="160" w:after="80" w:line="259" w:lineRule="auto"/>
      <w:outlineLvl w:val="1"/>
    </w:pPr>
    <w:rPr>
      <w:rFonts w:asciiTheme="majorHAnsi" w:eastAsiaTheme="majorEastAsia" w:hAnsiTheme="majorHAnsi" w:cstheme="majorBidi"/>
      <w:color w:val="0F4761" w:themeColor="accent1" w:themeShade="BF"/>
      <w:kern w:val="2"/>
      <w:sz w:val="32"/>
      <w:szCs w:val="32"/>
      <w:lang w:val="en-GB"/>
      <w14:ligatures w14:val="standardContextual"/>
    </w:rPr>
  </w:style>
  <w:style w:type="paragraph" w:styleId="Heading3">
    <w:name w:val="heading 3"/>
    <w:basedOn w:val="Normal"/>
    <w:next w:val="Normal"/>
    <w:link w:val="Heading3Char"/>
    <w:uiPriority w:val="9"/>
    <w:unhideWhenUsed/>
    <w:qFormat/>
    <w:rsid w:val="00D4509A"/>
    <w:pPr>
      <w:keepNext/>
      <w:keepLines/>
      <w:widowControl/>
      <w:autoSpaceDE/>
      <w:autoSpaceDN/>
      <w:spacing w:before="160" w:after="80" w:line="259" w:lineRule="auto"/>
      <w:outlineLvl w:val="2"/>
    </w:pPr>
    <w:rPr>
      <w:rFonts w:asciiTheme="minorHAnsi" w:eastAsiaTheme="majorEastAsia" w:hAnsiTheme="minorHAnsi" w:cstheme="majorBidi"/>
      <w:color w:val="0F4761" w:themeColor="accent1" w:themeShade="BF"/>
      <w:kern w:val="2"/>
      <w:sz w:val="28"/>
      <w:szCs w:val="28"/>
      <w:lang w:val="en-GB"/>
      <w14:ligatures w14:val="standardContextual"/>
    </w:rPr>
  </w:style>
  <w:style w:type="paragraph" w:styleId="Heading4">
    <w:name w:val="heading 4"/>
    <w:basedOn w:val="Normal"/>
    <w:next w:val="Normal"/>
    <w:link w:val="Heading4Char"/>
    <w:uiPriority w:val="9"/>
    <w:unhideWhenUsed/>
    <w:qFormat/>
    <w:rsid w:val="00D4509A"/>
    <w:pPr>
      <w:keepNext/>
      <w:keepLines/>
      <w:widowControl/>
      <w:autoSpaceDE/>
      <w:autoSpaceDN/>
      <w:spacing w:before="80" w:after="40" w:line="259" w:lineRule="auto"/>
      <w:outlineLvl w:val="3"/>
    </w:pPr>
    <w:rPr>
      <w:rFonts w:asciiTheme="minorHAnsi" w:eastAsiaTheme="majorEastAsia" w:hAnsiTheme="minorHAnsi" w:cstheme="majorBidi"/>
      <w:i/>
      <w:iCs/>
      <w:color w:val="0F4761" w:themeColor="accent1" w:themeShade="BF"/>
      <w:kern w:val="2"/>
      <w:lang w:val="en-GB"/>
      <w14:ligatures w14:val="standardContextual"/>
    </w:rPr>
  </w:style>
  <w:style w:type="paragraph" w:styleId="Heading5">
    <w:name w:val="heading 5"/>
    <w:basedOn w:val="Normal"/>
    <w:next w:val="Normal"/>
    <w:link w:val="Heading5Char"/>
    <w:uiPriority w:val="9"/>
    <w:semiHidden/>
    <w:unhideWhenUsed/>
    <w:qFormat/>
    <w:rsid w:val="00D4509A"/>
    <w:pPr>
      <w:keepNext/>
      <w:keepLines/>
      <w:widowControl/>
      <w:autoSpaceDE/>
      <w:autoSpaceDN/>
      <w:spacing w:before="80" w:after="40" w:line="259" w:lineRule="auto"/>
      <w:outlineLvl w:val="4"/>
    </w:pPr>
    <w:rPr>
      <w:rFonts w:asciiTheme="minorHAnsi" w:eastAsiaTheme="majorEastAsia" w:hAnsiTheme="minorHAnsi" w:cstheme="majorBidi"/>
      <w:color w:val="0F4761" w:themeColor="accent1" w:themeShade="BF"/>
      <w:kern w:val="2"/>
      <w:lang w:val="en-GB"/>
      <w14:ligatures w14:val="standardContextual"/>
    </w:rPr>
  </w:style>
  <w:style w:type="paragraph" w:styleId="Heading6">
    <w:name w:val="heading 6"/>
    <w:basedOn w:val="Normal"/>
    <w:next w:val="Normal"/>
    <w:link w:val="Heading6Char"/>
    <w:uiPriority w:val="9"/>
    <w:semiHidden/>
    <w:unhideWhenUsed/>
    <w:qFormat/>
    <w:rsid w:val="00D4509A"/>
    <w:pPr>
      <w:keepNext/>
      <w:keepLines/>
      <w:widowControl/>
      <w:autoSpaceDE/>
      <w:autoSpaceDN/>
      <w:spacing w:before="40" w:line="259" w:lineRule="auto"/>
      <w:outlineLvl w:val="5"/>
    </w:pPr>
    <w:rPr>
      <w:rFonts w:asciiTheme="minorHAnsi" w:eastAsiaTheme="majorEastAsia" w:hAnsiTheme="minorHAnsi" w:cstheme="majorBidi"/>
      <w:i/>
      <w:iCs/>
      <w:color w:val="595959" w:themeColor="text1" w:themeTint="A6"/>
      <w:kern w:val="2"/>
      <w:lang w:val="en-GB"/>
      <w14:ligatures w14:val="standardContextual"/>
    </w:rPr>
  </w:style>
  <w:style w:type="paragraph" w:styleId="Heading7">
    <w:name w:val="heading 7"/>
    <w:basedOn w:val="Normal"/>
    <w:next w:val="Normal"/>
    <w:link w:val="Heading7Char"/>
    <w:uiPriority w:val="9"/>
    <w:semiHidden/>
    <w:unhideWhenUsed/>
    <w:qFormat/>
    <w:rsid w:val="00D4509A"/>
    <w:pPr>
      <w:keepNext/>
      <w:keepLines/>
      <w:widowControl/>
      <w:autoSpaceDE/>
      <w:autoSpaceDN/>
      <w:spacing w:before="40" w:line="259" w:lineRule="auto"/>
      <w:outlineLvl w:val="6"/>
    </w:pPr>
    <w:rPr>
      <w:rFonts w:asciiTheme="minorHAnsi" w:eastAsiaTheme="majorEastAsia" w:hAnsiTheme="minorHAnsi" w:cstheme="majorBidi"/>
      <w:color w:val="595959" w:themeColor="text1" w:themeTint="A6"/>
      <w:kern w:val="2"/>
      <w:lang w:val="en-GB"/>
      <w14:ligatures w14:val="standardContextual"/>
    </w:rPr>
  </w:style>
  <w:style w:type="paragraph" w:styleId="Heading8">
    <w:name w:val="heading 8"/>
    <w:basedOn w:val="Normal"/>
    <w:next w:val="Normal"/>
    <w:link w:val="Heading8Char"/>
    <w:uiPriority w:val="9"/>
    <w:semiHidden/>
    <w:unhideWhenUsed/>
    <w:qFormat/>
    <w:rsid w:val="00D4509A"/>
    <w:pPr>
      <w:keepNext/>
      <w:keepLines/>
      <w:widowControl/>
      <w:autoSpaceDE/>
      <w:autoSpaceDN/>
      <w:spacing w:line="259" w:lineRule="auto"/>
      <w:outlineLvl w:val="7"/>
    </w:pPr>
    <w:rPr>
      <w:rFonts w:asciiTheme="minorHAnsi" w:eastAsiaTheme="majorEastAsia" w:hAnsiTheme="minorHAnsi" w:cstheme="majorBidi"/>
      <w:i/>
      <w:iCs/>
      <w:color w:val="272727" w:themeColor="text1" w:themeTint="D8"/>
      <w:kern w:val="2"/>
      <w:lang w:val="en-GB"/>
      <w14:ligatures w14:val="standardContextual"/>
    </w:rPr>
  </w:style>
  <w:style w:type="paragraph" w:styleId="Heading9">
    <w:name w:val="heading 9"/>
    <w:basedOn w:val="Normal"/>
    <w:next w:val="Normal"/>
    <w:link w:val="Heading9Char"/>
    <w:uiPriority w:val="9"/>
    <w:semiHidden/>
    <w:unhideWhenUsed/>
    <w:qFormat/>
    <w:rsid w:val="00D4509A"/>
    <w:pPr>
      <w:keepNext/>
      <w:keepLines/>
      <w:widowControl/>
      <w:autoSpaceDE/>
      <w:autoSpaceDN/>
      <w:spacing w:line="259" w:lineRule="auto"/>
      <w:outlineLvl w:val="8"/>
    </w:pPr>
    <w:rPr>
      <w:rFonts w:asciiTheme="minorHAnsi" w:eastAsiaTheme="majorEastAsia" w:hAnsiTheme="minorHAnsi" w:cstheme="majorBidi"/>
      <w:color w:val="272727" w:themeColor="text1" w:themeTint="D8"/>
      <w:kern w:val="2"/>
      <w:lang w:val="en-GB"/>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4509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D4509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D4509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D4509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4509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4509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4509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4509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4509A"/>
    <w:rPr>
      <w:rFonts w:eastAsiaTheme="majorEastAsia" w:cstheme="majorBidi"/>
      <w:color w:val="272727" w:themeColor="text1" w:themeTint="D8"/>
    </w:rPr>
  </w:style>
  <w:style w:type="paragraph" w:styleId="Title">
    <w:name w:val="Title"/>
    <w:basedOn w:val="Normal"/>
    <w:next w:val="Normal"/>
    <w:link w:val="TitleChar"/>
    <w:uiPriority w:val="10"/>
    <w:qFormat/>
    <w:rsid w:val="00D4509A"/>
    <w:pPr>
      <w:widowControl/>
      <w:autoSpaceDE/>
      <w:autoSpaceDN/>
      <w:spacing w:after="80"/>
      <w:contextualSpacing/>
    </w:pPr>
    <w:rPr>
      <w:rFonts w:asciiTheme="majorHAnsi" w:eastAsiaTheme="majorEastAsia" w:hAnsiTheme="majorHAnsi" w:cstheme="majorBidi"/>
      <w:spacing w:val="-10"/>
      <w:kern w:val="28"/>
      <w:sz w:val="56"/>
      <w:szCs w:val="56"/>
      <w:lang w:val="en-GB"/>
      <w14:ligatures w14:val="standardContextual"/>
    </w:rPr>
  </w:style>
  <w:style w:type="character" w:customStyle="1" w:styleId="TitleChar">
    <w:name w:val="Title Char"/>
    <w:basedOn w:val="DefaultParagraphFont"/>
    <w:link w:val="Title"/>
    <w:uiPriority w:val="10"/>
    <w:rsid w:val="00D4509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4509A"/>
    <w:pPr>
      <w:widowControl/>
      <w:numPr>
        <w:ilvl w:val="1"/>
      </w:numPr>
      <w:autoSpaceDE/>
      <w:autoSpaceDN/>
      <w:spacing w:after="160" w:line="259" w:lineRule="auto"/>
    </w:pPr>
    <w:rPr>
      <w:rFonts w:asciiTheme="minorHAnsi" w:eastAsiaTheme="majorEastAsia" w:hAnsiTheme="minorHAnsi" w:cstheme="majorBidi"/>
      <w:color w:val="595959" w:themeColor="text1" w:themeTint="A6"/>
      <w:spacing w:val="15"/>
      <w:kern w:val="2"/>
      <w:sz w:val="28"/>
      <w:szCs w:val="28"/>
      <w:lang w:val="en-GB"/>
      <w14:ligatures w14:val="standardContextual"/>
    </w:rPr>
  </w:style>
  <w:style w:type="character" w:customStyle="1" w:styleId="SubtitleChar">
    <w:name w:val="Subtitle Char"/>
    <w:basedOn w:val="DefaultParagraphFont"/>
    <w:link w:val="Subtitle"/>
    <w:uiPriority w:val="11"/>
    <w:rsid w:val="00D4509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4509A"/>
    <w:pPr>
      <w:widowControl/>
      <w:autoSpaceDE/>
      <w:autoSpaceDN/>
      <w:spacing w:before="160" w:after="160" w:line="259" w:lineRule="auto"/>
      <w:jc w:val="center"/>
    </w:pPr>
    <w:rPr>
      <w:rFonts w:asciiTheme="minorHAnsi" w:eastAsiaTheme="minorHAnsi" w:hAnsiTheme="minorHAnsi" w:cstheme="minorBidi"/>
      <w:i/>
      <w:iCs/>
      <w:color w:val="404040" w:themeColor="text1" w:themeTint="BF"/>
      <w:kern w:val="2"/>
      <w:lang w:val="en-GB"/>
      <w14:ligatures w14:val="standardContextual"/>
    </w:rPr>
  </w:style>
  <w:style w:type="character" w:customStyle="1" w:styleId="QuoteChar">
    <w:name w:val="Quote Char"/>
    <w:basedOn w:val="DefaultParagraphFont"/>
    <w:link w:val="Quote"/>
    <w:uiPriority w:val="29"/>
    <w:rsid w:val="00D4509A"/>
    <w:rPr>
      <w:i/>
      <w:iCs/>
      <w:color w:val="404040" w:themeColor="text1" w:themeTint="BF"/>
    </w:rPr>
  </w:style>
  <w:style w:type="paragraph" w:styleId="ListParagraph">
    <w:name w:val="List Paragraph"/>
    <w:basedOn w:val="Normal"/>
    <w:uiPriority w:val="34"/>
    <w:qFormat/>
    <w:rsid w:val="00D4509A"/>
    <w:pPr>
      <w:widowControl/>
      <w:autoSpaceDE/>
      <w:autoSpaceDN/>
      <w:spacing w:after="160" w:line="259" w:lineRule="auto"/>
      <w:ind w:left="720"/>
      <w:contextualSpacing/>
    </w:pPr>
    <w:rPr>
      <w:rFonts w:asciiTheme="minorHAnsi" w:eastAsiaTheme="minorHAnsi" w:hAnsiTheme="minorHAnsi" w:cstheme="minorBidi"/>
      <w:kern w:val="2"/>
      <w:lang w:val="en-GB"/>
      <w14:ligatures w14:val="standardContextual"/>
    </w:rPr>
  </w:style>
  <w:style w:type="character" w:styleId="IntenseEmphasis">
    <w:name w:val="Intense Emphasis"/>
    <w:basedOn w:val="DefaultParagraphFont"/>
    <w:uiPriority w:val="21"/>
    <w:qFormat/>
    <w:rsid w:val="00D4509A"/>
    <w:rPr>
      <w:i/>
      <w:iCs/>
      <w:color w:val="0F4761" w:themeColor="accent1" w:themeShade="BF"/>
    </w:rPr>
  </w:style>
  <w:style w:type="paragraph" w:styleId="IntenseQuote">
    <w:name w:val="Intense Quote"/>
    <w:basedOn w:val="Normal"/>
    <w:next w:val="Normal"/>
    <w:link w:val="IntenseQuoteChar"/>
    <w:uiPriority w:val="30"/>
    <w:qFormat/>
    <w:rsid w:val="00D4509A"/>
    <w:pPr>
      <w:widowControl/>
      <w:pBdr>
        <w:top w:val="single" w:sz="4" w:space="10" w:color="0F4761" w:themeColor="accent1" w:themeShade="BF"/>
        <w:bottom w:val="single" w:sz="4" w:space="10" w:color="0F4761" w:themeColor="accent1" w:themeShade="BF"/>
      </w:pBdr>
      <w:autoSpaceDE/>
      <w:autoSpaceDN/>
      <w:spacing w:before="360" w:after="360" w:line="259" w:lineRule="auto"/>
      <w:ind w:left="864" w:right="864"/>
      <w:jc w:val="center"/>
    </w:pPr>
    <w:rPr>
      <w:rFonts w:asciiTheme="minorHAnsi" w:eastAsiaTheme="minorHAnsi" w:hAnsiTheme="minorHAnsi" w:cstheme="minorBidi"/>
      <w:i/>
      <w:iCs/>
      <w:color w:val="0F4761" w:themeColor="accent1" w:themeShade="BF"/>
      <w:kern w:val="2"/>
      <w:lang w:val="en-GB"/>
      <w14:ligatures w14:val="standardContextual"/>
    </w:rPr>
  </w:style>
  <w:style w:type="character" w:customStyle="1" w:styleId="IntenseQuoteChar">
    <w:name w:val="Intense Quote Char"/>
    <w:basedOn w:val="DefaultParagraphFont"/>
    <w:link w:val="IntenseQuote"/>
    <w:uiPriority w:val="30"/>
    <w:rsid w:val="00D4509A"/>
    <w:rPr>
      <w:i/>
      <w:iCs/>
      <w:color w:val="0F4761" w:themeColor="accent1" w:themeShade="BF"/>
    </w:rPr>
  </w:style>
  <w:style w:type="character" w:styleId="IntenseReference">
    <w:name w:val="Intense Reference"/>
    <w:basedOn w:val="DefaultParagraphFont"/>
    <w:uiPriority w:val="32"/>
    <w:qFormat/>
    <w:rsid w:val="00D4509A"/>
    <w:rPr>
      <w:b/>
      <w:bCs/>
      <w:smallCaps/>
      <w:color w:val="0F4761" w:themeColor="accent1" w:themeShade="BF"/>
      <w:spacing w:val="5"/>
    </w:rPr>
  </w:style>
  <w:style w:type="paragraph" w:styleId="BodyText">
    <w:name w:val="Body Text"/>
    <w:basedOn w:val="Normal"/>
    <w:link w:val="BodyTextChar"/>
    <w:uiPriority w:val="1"/>
    <w:qFormat/>
    <w:rsid w:val="00D4509A"/>
  </w:style>
  <w:style w:type="character" w:customStyle="1" w:styleId="BodyTextChar">
    <w:name w:val="Body Text Char"/>
    <w:basedOn w:val="DefaultParagraphFont"/>
    <w:link w:val="BodyText"/>
    <w:uiPriority w:val="1"/>
    <w:rsid w:val="00D4509A"/>
    <w:rPr>
      <w:rFonts w:ascii="Calibri" w:eastAsia="Calibri" w:hAnsi="Calibri" w:cs="Calibri"/>
      <w:kern w:val="0"/>
      <w:lang w:val="en-US"/>
      <w14:ligatures w14:val="none"/>
    </w:rPr>
  </w:style>
  <w:style w:type="paragraph" w:customStyle="1" w:styleId="TableParagraph">
    <w:name w:val="Table Paragraph"/>
    <w:basedOn w:val="Normal"/>
    <w:uiPriority w:val="1"/>
    <w:qFormat/>
    <w:rsid w:val="00D4509A"/>
    <w:pPr>
      <w:spacing w:before="1"/>
      <w:ind w:left="110"/>
    </w:pPr>
  </w:style>
  <w:style w:type="paragraph" w:styleId="Header">
    <w:name w:val="header"/>
    <w:basedOn w:val="Normal"/>
    <w:link w:val="HeaderChar"/>
    <w:uiPriority w:val="99"/>
    <w:unhideWhenUsed/>
    <w:rsid w:val="00D4509A"/>
    <w:pPr>
      <w:tabs>
        <w:tab w:val="center" w:pos="4513"/>
        <w:tab w:val="right" w:pos="9026"/>
      </w:tabs>
    </w:pPr>
  </w:style>
  <w:style w:type="character" w:customStyle="1" w:styleId="HeaderChar">
    <w:name w:val="Header Char"/>
    <w:basedOn w:val="DefaultParagraphFont"/>
    <w:link w:val="Header"/>
    <w:uiPriority w:val="99"/>
    <w:rsid w:val="00D4509A"/>
    <w:rPr>
      <w:rFonts w:ascii="Calibri" w:eastAsia="Calibri" w:hAnsi="Calibri" w:cs="Calibri"/>
      <w:kern w:val="0"/>
      <w:lang w:val="en-US"/>
      <w14:ligatures w14:val="none"/>
    </w:rPr>
  </w:style>
  <w:style w:type="paragraph" w:styleId="Footer">
    <w:name w:val="footer"/>
    <w:basedOn w:val="Normal"/>
    <w:link w:val="FooterChar"/>
    <w:uiPriority w:val="99"/>
    <w:unhideWhenUsed/>
    <w:rsid w:val="00D4509A"/>
    <w:pPr>
      <w:tabs>
        <w:tab w:val="center" w:pos="4513"/>
        <w:tab w:val="right" w:pos="9026"/>
      </w:tabs>
    </w:pPr>
  </w:style>
  <w:style w:type="character" w:customStyle="1" w:styleId="FooterChar">
    <w:name w:val="Footer Char"/>
    <w:basedOn w:val="DefaultParagraphFont"/>
    <w:link w:val="Footer"/>
    <w:uiPriority w:val="99"/>
    <w:rsid w:val="00D4509A"/>
    <w:rPr>
      <w:rFonts w:ascii="Calibri" w:eastAsia="Calibri" w:hAnsi="Calibri" w:cs="Calibri"/>
      <w:kern w:val="0"/>
      <w:lang w:val="en-US"/>
      <w14:ligatures w14:val="none"/>
    </w:rPr>
  </w:style>
  <w:style w:type="paragraph" w:styleId="TOC1">
    <w:name w:val="toc 1"/>
    <w:basedOn w:val="Normal"/>
    <w:next w:val="Normal"/>
    <w:uiPriority w:val="39"/>
    <w:unhideWhenUsed/>
    <w:qFormat/>
    <w:rsid w:val="00D4509A"/>
    <w:pPr>
      <w:widowControl/>
      <w:autoSpaceDE/>
      <w:autoSpaceDN/>
      <w:spacing w:after="100" w:line="276" w:lineRule="auto"/>
    </w:pPr>
    <w:rPr>
      <w:rFonts w:ascii="Arial" w:eastAsia="Arial" w:hAnsi="Arial" w:cs="Arial"/>
      <w:lang w:val="en-IN" w:eastAsia="en-IN"/>
    </w:rPr>
  </w:style>
  <w:style w:type="paragraph" w:customStyle="1" w:styleId="TOCHeading1">
    <w:name w:val="TOC Heading1"/>
    <w:basedOn w:val="Heading1"/>
    <w:next w:val="Normal"/>
    <w:uiPriority w:val="39"/>
    <w:unhideWhenUsed/>
    <w:qFormat/>
    <w:rsid w:val="00D4509A"/>
    <w:pPr>
      <w:spacing w:before="240" w:after="0"/>
      <w:outlineLvl w:val="9"/>
    </w:pPr>
    <w:rPr>
      <w:kern w:val="0"/>
      <w:sz w:val="32"/>
      <w:szCs w:val="32"/>
      <w:lang w:val="en-US"/>
      <w14:ligatures w14:val="none"/>
    </w:rPr>
  </w:style>
  <w:style w:type="paragraph" w:styleId="NormalWeb">
    <w:name w:val="Normal (Web)"/>
    <w:basedOn w:val="Normal"/>
    <w:uiPriority w:val="99"/>
    <w:unhideWhenUsed/>
    <w:rsid w:val="004F3451"/>
    <w:pPr>
      <w:widowControl/>
      <w:autoSpaceDE/>
      <w:autoSpaceDN/>
      <w:spacing w:before="100" w:beforeAutospacing="1" w:after="100" w:afterAutospacing="1"/>
    </w:pPr>
    <w:rPr>
      <w:rFonts w:ascii="Times New Roman" w:eastAsia="Times New Roman" w:hAnsi="Times New Roman" w:cs="Times New Roman"/>
      <w:sz w:val="24"/>
      <w:szCs w:val="24"/>
      <w:lang w:val="en-GB" w:eastAsia="en-GB"/>
    </w:rPr>
  </w:style>
  <w:style w:type="character" w:styleId="Strong">
    <w:name w:val="Strong"/>
    <w:basedOn w:val="DefaultParagraphFont"/>
    <w:uiPriority w:val="22"/>
    <w:qFormat/>
    <w:rsid w:val="004F3451"/>
    <w:rPr>
      <w:b/>
      <w:bCs/>
    </w:rPr>
  </w:style>
  <w:style w:type="character" w:styleId="Emphasis">
    <w:name w:val="Emphasis"/>
    <w:basedOn w:val="DefaultParagraphFont"/>
    <w:uiPriority w:val="20"/>
    <w:qFormat/>
    <w:rsid w:val="004F3451"/>
    <w:rPr>
      <w:i/>
      <w:iCs/>
    </w:rPr>
  </w:style>
  <w:style w:type="table" w:styleId="TableGrid">
    <w:name w:val="Table Grid"/>
    <w:basedOn w:val="TableNormal"/>
    <w:uiPriority w:val="39"/>
    <w:rsid w:val="004F345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unhideWhenUsed/>
    <w:rsid w:val="001D785B"/>
    <w:rPr>
      <w:color w:val="0000FF"/>
      <w:u w:val="single"/>
    </w:rPr>
  </w:style>
  <w:style w:type="paragraph" w:styleId="HTMLPreformatted">
    <w:name w:val="HTML Preformatted"/>
    <w:basedOn w:val="Normal"/>
    <w:link w:val="HTMLPreformattedChar"/>
    <w:uiPriority w:val="99"/>
    <w:semiHidden/>
    <w:unhideWhenUsed/>
    <w:rsid w:val="00786D2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pPr>
    <w:rPr>
      <w:rFonts w:ascii="Courier New" w:eastAsia="Times New Roman" w:hAnsi="Courier New" w:cs="Courier New"/>
      <w:sz w:val="20"/>
      <w:szCs w:val="20"/>
      <w:lang w:val="en-GB" w:eastAsia="en-GB"/>
    </w:rPr>
  </w:style>
  <w:style w:type="character" w:customStyle="1" w:styleId="HTMLPreformattedChar">
    <w:name w:val="HTML Preformatted Char"/>
    <w:basedOn w:val="DefaultParagraphFont"/>
    <w:link w:val="HTMLPreformatted"/>
    <w:uiPriority w:val="99"/>
    <w:semiHidden/>
    <w:rsid w:val="00786D2A"/>
    <w:rPr>
      <w:rFonts w:ascii="Courier New" w:eastAsia="Times New Roman" w:hAnsi="Courier New" w:cs="Courier New"/>
      <w:kern w:val="0"/>
      <w:sz w:val="20"/>
      <w:szCs w:val="20"/>
      <w:lang w:eastAsia="en-GB"/>
      <w14:ligatures w14:val="none"/>
    </w:rPr>
  </w:style>
  <w:style w:type="character" w:styleId="HTMLCode">
    <w:name w:val="HTML Code"/>
    <w:basedOn w:val="DefaultParagraphFont"/>
    <w:uiPriority w:val="99"/>
    <w:semiHidden/>
    <w:unhideWhenUsed/>
    <w:rsid w:val="00786D2A"/>
    <w:rPr>
      <w:rFonts w:ascii="Courier New" w:eastAsia="Times New Roman" w:hAnsi="Courier New" w:cs="Courier New"/>
      <w:sz w:val="20"/>
      <w:szCs w:val="20"/>
    </w:rPr>
  </w:style>
  <w:style w:type="character" w:customStyle="1" w:styleId="hljs-variable">
    <w:name w:val="hljs-variable"/>
    <w:basedOn w:val="DefaultParagraphFont"/>
    <w:rsid w:val="00786D2A"/>
  </w:style>
  <w:style w:type="character" w:customStyle="1" w:styleId="hljs-builtin">
    <w:name w:val="hljs-built_in"/>
    <w:basedOn w:val="DefaultParagraphFont"/>
    <w:rsid w:val="00786D2A"/>
  </w:style>
  <w:style w:type="character" w:customStyle="1" w:styleId="hljs-operator">
    <w:name w:val="hljs-operator"/>
    <w:basedOn w:val="DefaultParagraphFont"/>
    <w:rsid w:val="00786D2A"/>
  </w:style>
  <w:style w:type="character" w:customStyle="1" w:styleId="hljs-number">
    <w:name w:val="hljs-number"/>
    <w:basedOn w:val="DefaultParagraphFont"/>
    <w:rsid w:val="00786D2A"/>
  </w:style>
  <w:style w:type="character" w:customStyle="1" w:styleId="hljs-code">
    <w:name w:val="hljs-code"/>
    <w:basedOn w:val="DefaultParagraphFont"/>
    <w:rsid w:val="00786D2A"/>
  </w:style>
  <w:style w:type="character" w:customStyle="1" w:styleId="text-xs">
    <w:name w:val="text-xs"/>
    <w:basedOn w:val="DefaultParagraphFont"/>
    <w:rsid w:val="007B6B2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8360621">
      <w:bodyDiv w:val="1"/>
      <w:marLeft w:val="0"/>
      <w:marRight w:val="0"/>
      <w:marTop w:val="0"/>
      <w:marBottom w:val="0"/>
      <w:divBdr>
        <w:top w:val="none" w:sz="0" w:space="0" w:color="auto"/>
        <w:left w:val="none" w:sz="0" w:space="0" w:color="auto"/>
        <w:bottom w:val="none" w:sz="0" w:space="0" w:color="auto"/>
        <w:right w:val="none" w:sz="0" w:space="0" w:color="auto"/>
      </w:divBdr>
      <w:divsChild>
        <w:div w:id="211617939">
          <w:marLeft w:val="0"/>
          <w:marRight w:val="0"/>
          <w:marTop w:val="0"/>
          <w:marBottom w:val="0"/>
          <w:divBdr>
            <w:top w:val="none" w:sz="0" w:space="0" w:color="auto"/>
            <w:left w:val="none" w:sz="0" w:space="0" w:color="auto"/>
            <w:bottom w:val="none" w:sz="0" w:space="0" w:color="auto"/>
            <w:right w:val="none" w:sz="0" w:space="0" w:color="auto"/>
          </w:divBdr>
          <w:divsChild>
            <w:div w:id="688289560">
              <w:marLeft w:val="0"/>
              <w:marRight w:val="0"/>
              <w:marTop w:val="0"/>
              <w:marBottom w:val="0"/>
              <w:divBdr>
                <w:top w:val="none" w:sz="0" w:space="0" w:color="auto"/>
                <w:left w:val="none" w:sz="0" w:space="0" w:color="auto"/>
                <w:bottom w:val="none" w:sz="0" w:space="0" w:color="auto"/>
                <w:right w:val="none" w:sz="0" w:space="0" w:color="auto"/>
              </w:divBdr>
              <w:divsChild>
                <w:div w:id="1763985978">
                  <w:marLeft w:val="0"/>
                  <w:marRight w:val="0"/>
                  <w:marTop w:val="0"/>
                  <w:marBottom w:val="0"/>
                  <w:divBdr>
                    <w:top w:val="none" w:sz="0" w:space="0" w:color="auto"/>
                    <w:left w:val="none" w:sz="0" w:space="0" w:color="auto"/>
                    <w:bottom w:val="none" w:sz="0" w:space="0" w:color="auto"/>
                    <w:right w:val="none" w:sz="0" w:space="0" w:color="auto"/>
                  </w:divBdr>
                  <w:divsChild>
                    <w:div w:id="527916255">
                      <w:marLeft w:val="0"/>
                      <w:marRight w:val="0"/>
                      <w:marTop w:val="0"/>
                      <w:marBottom w:val="0"/>
                      <w:divBdr>
                        <w:top w:val="none" w:sz="0" w:space="0" w:color="auto"/>
                        <w:left w:val="none" w:sz="0" w:space="0" w:color="auto"/>
                        <w:bottom w:val="none" w:sz="0" w:space="0" w:color="auto"/>
                        <w:right w:val="none" w:sz="0" w:space="0" w:color="auto"/>
                      </w:divBdr>
                      <w:divsChild>
                        <w:div w:id="1999377574">
                          <w:marLeft w:val="0"/>
                          <w:marRight w:val="0"/>
                          <w:marTop w:val="0"/>
                          <w:marBottom w:val="0"/>
                          <w:divBdr>
                            <w:top w:val="none" w:sz="0" w:space="0" w:color="auto"/>
                            <w:left w:val="none" w:sz="0" w:space="0" w:color="auto"/>
                            <w:bottom w:val="none" w:sz="0" w:space="0" w:color="auto"/>
                            <w:right w:val="none" w:sz="0" w:space="0" w:color="auto"/>
                          </w:divBdr>
                          <w:divsChild>
                            <w:div w:id="1628393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5058417">
      <w:bodyDiv w:val="1"/>
      <w:marLeft w:val="0"/>
      <w:marRight w:val="0"/>
      <w:marTop w:val="0"/>
      <w:marBottom w:val="0"/>
      <w:divBdr>
        <w:top w:val="none" w:sz="0" w:space="0" w:color="auto"/>
        <w:left w:val="none" w:sz="0" w:space="0" w:color="auto"/>
        <w:bottom w:val="none" w:sz="0" w:space="0" w:color="auto"/>
        <w:right w:val="none" w:sz="0" w:space="0" w:color="auto"/>
      </w:divBdr>
    </w:div>
    <w:div w:id="109858574">
      <w:bodyDiv w:val="1"/>
      <w:marLeft w:val="0"/>
      <w:marRight w:val="0"/>
      <w:marTop w:val="0"/>
      <w:marBottom w:val="0"/>
      <w:divBdr>
        <w:top w:val="none" w:sz="0" w:space="0" w:color="auto"/>
        <w:left w:val="none" w:sz="0" w:space="0" w:color="auto"/>
        <w:bottom w:val="none" w:sz="0" w:space="0" w:color="auto"/>
        <w:right w:val="none" w:sz="0" w:space="0" w:color="auto"/>
      </w:divBdr>
    </w:div>
    <w:div w:id="127475008">
      <w:bodyDiv w:val="1"/>
      <w:marLeft w:val="0"/>
      <w:marRight w:val="0"/>
      <w:marTop w:val="0"/>
      <w:marBottom w:val="0"/>
      <w:divBdr>
        <w:top w:val="none" w:sz="0" w:space="0" w:color="auto"/>
        <w:left w:val="none" w:sz="0" w:space="0" w:color="auto"/>
        <w:bottom w:val="none" w:sz="0" w:space="0" w:color="auto"/>
        <w:right w:val="none" w:sz="0" w:space="0" w:color="auto"/>
      </w:divBdr>
    </w:div>
    <w:div w:id="129246492">
      <w:bodyDiv w:val="1"/>
      <w:marLeft w:val="0"/>
      <w:marRight w:val="0"/>
      <w:marTop w:val="0"/>
      <w:marBottom w:val="0"/>
      <w:divBdr>
        <w:top w:val="none" w:sz="0" w:space="0" w:color="auto"/>
        <w:left w:val="none" w:sz="0" w:space="0" w:color="auto"/>
        <w:bottom w:val="none" w:sz="0" w:space="0" w:color="auto"/>
        <w:right w:val="none" w:sz="0" w:space="0" w:color="auto"/>
      </w:divBdr>
    </w:div>
    <w:div w:id="149249873">
      <w:bodyDiv w:val="1"/>
      <w:marLeft w:val="0"/>
      <w:marRight w:val="0"/>
      <w:marTop w:val="0"/>
      <w:marBottom w:val="0"/>
      <w:divBdr>
        <w:top w:val="none" w:sz="0" w:space="0" w:color="auto"/>
        <w:left w:val="none" w:sz="0" w:space="0" w:color="auto"/>
        <w:bottom w:val="none" w:sz="0" w:space="0" w:color="auto"/>
        <w:right w:val="none" w:sz="0" w:space="0" w:color="auto"/>
      </w:divBdr>
    </w:div>
    <w:div w:id="195044304">
      <w:bodyDiv w:val="1"/>
      <w:marLeft w:val="0"/>
      <w:marRight w:val="0"/>
      <w:marTop w:val="0"/>
      <w:marBottom w:val="0"/>
      <w:divBdr>
        <w:top w:val="none" w:sz="0" w:space="0" w:color="auto"/>
        <w:left w:val="none" w:sz="0" w:space="0" w:color="auto"/>
        <w:bottom w:val="none" w:sz="0" w:space="0" w:color="auto"/>
        <w:right w:val="none" w:sz="0" w:space="0" w:color="auto"/>
      </w:divBdr>
    </w:div>
    <w:div w:id="203097977">
      <w:bodyDiv w:val="1"/>
      <w:marLeft w:val="0"/>
      <w:marRight w:val="0"/>
      <w:marTop w:val="0"/>
      <w:marBottom w:val="0"/>
      <w:divBdr>
        <w:top w:val="none" w:sz="0" w:space="0" w:color="auto"/>
        <w:left w:val="none" w:sz="0" w:space="0" w:color="auto"/>
        <w:bottom w:val="none" w:sz="0" w:space="0" w:color="auto"/>
        <w:right w:val="none" w:sz="0" w:space="0" w:color="auto"/>
      </w:divBdr>
      <w:divsChild>
        <w:div w:id="88474378">
          <w:marLeft w:val="0"/>
          <w:marRight w:val="0"/>
          <w:marTop w:val="0"/>
          <w:marBottom w:val="0"/>
          <w:divBdr>
            <w:top w:val="none" w:sz="0" w:space="0" w:color="auto"/>
            <w:left w:val="none" w:sz="0" w:space="0" w:color="auto"/>
            <w:bottom w:val="none" w:sz="0" w:space="0" w:color="auto"/>
            <w:right w:val="none" w:sz="0" w:space="0" w:color="auto"/>
          </w:divBdr>
          <w:divsChild>
            <w:div w:id="305625460">
              <w:marLeft w:val="0"/>
              <w:marRight w:val="0"/>
              <w:marTop w:val="0"/>
              <w:marBottom w:val="0"/>
              <w:divBdr>
                <w:top w:val="none" w:sz="0" w:space="0" w:color="auto"/>
                <w:left w:val="none" w:sz="0" w:space="0" w:color="auto"/>
                <w:bottom w:val="none" w:sz="0" w:space="0" w:color="auto"/>
                <w:right w:val="none" w:sz="0" w:space="0" w:color="auto"/>
              </w:divBdr>
            </w:div>
            <w:div w:id="1855148832">
              <w:marLeft w:val="0"/>
              <w:marRight w:val="0"/>
              <w:marTop w:val="0"/>
              <w:marBottom w:val="0"/>
              <w:divBdr>
                <w:top w:val="none" w:sz="0" w:space="0" w:color="auto"/>
                <w:left w:val="none" w:sz="0" w:space="0" w:color="auto"/>
                <w:bottom w:val="none" w:sz="0" w:space="0" w:color="auto"/>
                <w:right w:val="none" w:sz="0" w:space="0" w:color="auto"/>
              </w:divBdr>
              <w:divsChild>
                <w:div w:id="1905024997">
                  <w:marLeft w:val="0"/>
                  <w:marRight w:val="0"/>
                  <w:marTop w:val="0"/>
                  <w:marBottom w:val="0"/>
                  <w:divBdr>
                    <w:top w:val="none" w:sz="0" w:space="0" w:color="auto"/>
                    <w:left w:val="none" w:sz="0" w:space="0" w:color="auto"/>
                    <w:bottom w:val="none" w:sz="0" w:space="0" w:color="auto"/>
                    <w:right w:val="none" w:sz="0" w:space="0" w:color="auto"/>
                  </w:divBdr>
                  <w:divsChild>
                    <w:div w:id="1362626967">
                      <w:marLeft w:val="0"/>
                      <w:marRight w:val="0"/>
                      <w:marTop w:val="0"/>
                      <w:marBottom w:val="0"/>
                      <w:divBdr>
                        <w:top w:val="none" w:sz="0" w:space="0" w:color="auto"/>
                        <w:left w:val="none" w:sz="0" w:space="0" w:color="auto"/>
                        <w:bottom w:val="none" w:sz="0" w:space="0" w:color="auto"/>
                        <w:right w:val="none" w:sz="0" w:space="0" w:color="auto"/>
                      </w:divBdr>
                      <w:divsChild>
                        <w:div w:id="11149084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73263695">
          <w:marLeft w:val="0"/>
          <w:marRight w:val="0"/>
          <w:marTop w:val="0"/>
          <w:marBottom w:val="0"/>
          <w:divBdr>
            <w:top w:val="none" w:sz="0" w:space="0" w:color="auto"/>
            <w:left w:val="none" w:sz="0" w:space="0" w:color="auto"/>
            <w:bottom w:val="none" w:sz="0" w:space="0" w:color="auto"/>
            <w:right w:val="none" w:sz="0" w:space="0" w:color="auto"/>
          </w:divBdr>
          <w:divsChild>
            <w:div w:id="230627909">
              <w:marLeft w:val="0"/>
              <w:marRight w:val="0"/>
              <w:marTop w:val="0"/>
              <w:marBottom w:val="0"/>
              <w:divBdr>
                <w:top w:val="none" w:sz="0" w:space="0" w:color="auto"/>
                <w:left w:val="none" w:sz="0" w:space="0" w:color="auto"/>
                <w:bottom w:val="none" w:sz="0" w:space="0" w:color="auto"/>
                <w:right w:val="none" w:sz="0" w:space="0" w:color="auto"/>
              </w:divBdr>
            </w:div>
          </w:divsChild>
        </w:div>
        <w:div w:id="1910194426">
          <w:marLeft w:val="0"/>
          <w:marRight w:val="0"/>
          <w:marTop w:val="0"/>
          <w:marBottom w:val="0"/>
          <w:divBdr>
            <w:top w:val="none" w:sz="0" w:space="0" w:color="auto"/>
            <w:left w:val="none" w:sz="0" w:space="0" w:color="auto"/>
            <w:bottom w:val="none" w:sz="0" w:space="0" w:color="auto"/>
            <w:right w:val="none" w:sz="0" w:space="0" w:color="auto"/>
          </w:divBdr>
          <w:divsChild>
            <w:div w:id="10101780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0605442">
      <w:bodyDiv w:val="1"/>
      <w:marLeft w:val="0"/>
      <w:marRight w:val="0"/>
      <w:marTop w:val="0"/>
      <w:marBottom w:val="0"/>
      <w:divBdr>
        <w:top w:val="none" w:sz="0" w:space="0" w:color="auto"/>
        <w:left w:val="none" w:sz="0" w:space="0" w:color="auto"/>
        <w:bottom w:val="none" w:sz="0" w:space="0" w:color="auto"/>
        <w:right w:val="none" w:sz="0" w:space="0" w:color="auto"/>
      </w:divBdr>
    </w:div>
    <w:div w:id="225915941">
      <w:bodyDiv w:val="1"/>
      <w:marLeft w:val="0"/>
      <w:marRight w:val="0"/>
      <w:marTop w:val="0"/>
      <w:marBottom w:val="0"/>
      <w:divBdr>
        <w:top w:val="none" w:sz="0" w:space="0" w:color="auto"/>
        <w:left w:val="none" w:sz="0" w:space="0" w:color="auto"/>
        <w:bottom w:val="none" w:sz="0" w:space="0" w:color="auto"/>
        <w:right w:val="none" w:sz="0" w:space="0" w:color="auto"/>
      </w:divBdr>
    </w:div>
    <w:div w:id="245653997">
      <w:bodyDiv w:val="1"/>
      <w:marLeft w:val="0"/>
      <w:marRight w:val="0"/>
      <w:marTop w:val="0"/>
      <w:marBottom w:val="0"/>
      <w:divBdr>
        <w:top w:val="none" w:sz="0" w:space="0" w:color="auto"/>
        <w:left w:val="none" w:sz="0" w:space="0" w:color="auto"/>
        <w:bottom w:val="none" w:sz="0" w:space="0" w:color="auto"/>
        <w:right w:val="none" w:sz="0" w:space="0" w:color="auto"/>
      </w:divBdr>
    </w:div>
    <w:div w:id="260376604">
      <w:bodyDiv w:val="1"/>
      <w:marLeft w:val="0"/>
      <w:marRight w:val="0"/>
      <w:marTop w:val="0"/>
      <w:marBottom w:val="0"/>
      <w:divBdr>
        <w:top w:val="none" w:sz="0" w:space="0" w:color="auto"/>
        <w:left w:val="none" w:sz="0" w:space="0" w:color="auto"/>
        <w:bottom w:val="none" w:sz="0" w:space="0" w:color="auto"/>
        <w:right w:val="none" w:sz="0" w:space="0" w:color="auto"/>
      </w:divBdr>
    </w:div>
    <w:div w:id="377050602">
      <w:bodyDiv w:val="1"/>
      <w:marLeft w:val="0"/>
      <w:marRight w:val="0"/>
      <w:marTop w:val="0"/>
      <w:marBottom w:val="0"/>
      <w:divBdr>
        <w:top w:val="none" w:sz="0" w:space="0" w:color="auto"/>
        <w:left w:val="none" w:sz="0" w:space="0" w:color="auto"/>
        <w:bottom w:val="none" w:sz="0" w:space="0" w:color="auto"/>
        <w:right w:val="none" w:sz="0" w:space="0" w:color="auto"/>
      </w:divBdr>
    </w:div>
    <w:div w:id="456412098">
      <w:bodyDiv w:val="1"/>
      <w:marLeft w:val="0"/>
      <w:marRight w:val="0"/>
      <w:marTop w:val="0"/>
      <w:marBottom w:val="0"/>
      <w:divBdr>
        <w:top w:val="none" w:sz="0" w:space="0" w:color="auto"/>
        <w:left w:val="none" w:sz="0" w:space="0" w:color="auto"/>
        <w:bottom w:val="none" w:sz="0" w:space="0" w:color="auto"/>
        <w:right w:val="none" w:sz="0" w:space="0" w:color="auto"/>
      </w:divBdr>
    </w:div>
    <w:div w:id="531504290">
      <w:bodyDiv w:val="1"/>
      <w:marLeft w:val="0"/>
      <w:marRight w:val="0"/>
      <w:marTop w:val="0"/>
      <w:marBottom w:val="0"/>
      <w:divBdr>
        <w:top w:val="none" w:sz="0" w:space="0" w:color="auto"/>
        <w:left w:val="none" w:sz="0" w:space="0" w:color="auto"/>
        <w:bottom w:val="none" w:sz="0" w:space="0" w:color="auto"/>
        <w:right w:val="none" w:sz="0" w:space="0" w:color="auto"/>
      </w:divBdr>
    </w:div>
    <w:div w:id="591360948">
      <w:bodyDiv w:val="1"/>
      <w:marLeft w:val="0"/>
      <w:marRight w:val="0"/>
      <w:marTop w:val="0"/>
      <w:marBottom w:val="0"/>
      <w:divBdr>
        <w:top w:val="none" w:sz="0" w:space="0" w:color="auto"/>
        <w:left w:val="none" w:sz="0" w:space="0" w:color="auto"/>
        <w:bottom w:val="none" w:sz="0" w:space="0" w:color="auto"/>
        <w:right w:val="none" w:sz="0" w:space="0" w:color="auto"/>
      </w:divBdr>
    </w:div>
    <w:div w:id="619847966">
      <w:bodyDiv w:val="1"/>
      <w:marLeft w:val="0"/>
      <w:marRight w:val="0"/>
      <w:marTop w:val="0"/>
      <w:marBottom w:val="0"/>
      <w:divBdr>
        <w:top w:val="none" w:sz="0" w:space="0" w:color="auto"/>
        <w:left w:val="none" w:sz="0" w:space="0" w:color="auto"/>
        <w:bottom w:val="none" w:sz="0" w:space="0" w:color="auto"/>
        <w:right w:val="none" w:sz="0" w:space="0" w:color="auto"/>
      </w:divBdr>
    </w:div>
    <w:div w:id="637342061">
      <w:bodyDiv w:val="1"/>
      <w:marLeft w:val="0"/>
      <w:marRight w:val="0"/>
      <w:marTop w:val="0"/>
      <w:marBottom w:val="0"/>
      <w:divBdr>
        <w:top w:val="none" w:sz="0" w:space="0" w:color="auto"/>
        <w:left w:val="none" w:sz="0" w:space="0" w:color="auto"/>
        <w:bottom w:val="none" w:sz="0" w:space="0" w:color="auto"/>
        <w:right w:val="none" w:sz="0" w:space="0" w:color="auto"/>
      </w:divBdr>
      <w:divsChild>
        <w:div w:id="5058140">
          <w:marLeft w:val="0"/>
          <w:marRight w:val="0"/>
          <w:marTop w:val="0"/>
          <w:marBottom w:val="0"/>
          <w:divBdr>
            <w:top w:val="none" w:sz="0" w:space="0" w:color="auto"/>
            <w:left w:val="none" w:sz="0" w:space="0" w:color="auto"/>
            <w:bottom w:val="none" w:sz="0" w:space="0" w:color="auto"/>
            <w:right w:val="none" w:sz="0" w:space="0" w:color="auto"/>
          </w:divBdr>
          <w:divsChild>
            <w:div w:id="883521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3002923">
      <w:bodyDiv w:val="1"/>
      <w:marLeft w:val="0"/>
      <w:marRight w:val="0"/>
      <w:marTop w:val="0"/>
      <w:marBottom w:val="0"/>
      <w:divBdr>
        <w:top w:val="none" w:sz="0" w:space="0" w:color="auto"/>
        <w:left w:val="none" w:sz="0" w:space="0" w:color="auto"/>
        <w:bottom w:val="none" w:sz="0" w:space="0" w:color="auto"/>
        <w:right w:val="none" w:sz="0" w:space="0" w:color="auto"/>
      </w:divBdr>
    </w:div>
    <w:div w:id="682702668">
      <w:bodyDiv w:val="1"/>
      <w:marLeft w:val="0"/>
      <w:marRight w:val="0"/>
      <w:marTop w:val="0"/>
      <w:marBottom w:val="0"/>
      <w:divBdr>
        <w:top w:val="none" w:sz="0" w:space="0" w:color="auto"/>
        <w:left w:val="none" w:sz="0" w:space="0" w:color="auto"/>
        <w:bottom w:val="none" w:sz="0" w:space="0" w:color="auto"/>
        <w:right w:val="none" w:sz="0" w:space="0" w:color="auto"/>
      </w:divBdr>
    </w:div>
    <w:div w:id="710611882">
      <w:bodyDiv w:val="1"/>
      <w:marLeft w:val="0"/>
      <w:marRight w:val="0"/>
      <w:marTop w:val="0"/>
      <w:marBottom w:val="0"/>
      <w:divBdr>
        <w:top w:val="none" w:sz="0" w:space="0" w:color="auto"/>
        <w:left w:val="none" w:sz="0" w:space="0" w:color="auto"/>
        <w:bottom w:val="none" w:sz="0" w:space="0" w:color="auto"/>
        <w:right w:val="none" w:sz="0" w:space="0" w:color="auto"/>
      </w:divBdr>
    </w:div>
    <w:div w:id="730229591">
      <w:bodyDiv w:val="1"/>
      <w:marLeft w:val="0"/>
      <w:marRight w:val="0"/>
      <w:marTop w:val="0"/>
      <w:marBottom w:val="0"/>
      <w:divBdr>
        <w:top w:val="none" w:sz="0" w:space="0" w:color="auto"/>
        <w:left w:val="none" w:sz="0" w:space="0" w:color="auto"/>
        <w:bottom w:val="none" w:sz="0" w:space="0" w:color="auto"/>
        <w:right w:val="none" w:sz="0" w:space="0" w:color="auto"/>
      </w:divBdr>
      <w:divsChild>
        <w:div w:id="1514681775">
          <w:marLeft w:val="0"/>
          <w:marRight w:val="0"/>
          <w:marTop w:val="0"/>
          <w:marBottom w:val="0"/>
          <w:divBdr>
            <w:top w:val="none" w:sz="0" w:space="0" w:color="auto"/>
            <w:left w:val="none" w:sz="0" w:space="0" w:color="auto"/>
            <w:bottom w:val="none" w:sz="0" w:space="0" w:color="auto"/>
            <w:right w:val="none" w:sz="0" w:space="0" w:color="auto"/>
          </w:divBdr>
          <w:divsChild>
            <w:div w:id="1890455779">
              <w:marLeft w:val="0"/>
              <w:marRight w:val="0"/>
              <w:marTop w:val="0"/>
              <w:marBottom w:val="0"/>
              <w:divBdr>
                <w:top w:val="none" w:sz="0" w:space="0" w:color="auto"/>
                <w:left w:val="none" w:sz="0" w:space="0" w:color="auto"/>
                <w:bottom w:val="none" w:sz="0" w:space="0" w:color="auto"/>
                <w:right w:val="none" w:sz="0" w:space="0" w:color="auto"/>
              </w:divBdr>
            </w:div>
          </w:divsChild>
        </w:div>
        <w:div w:id="1729067475">
          <w:marLeft w:val="0"/>
          <w:marRight w:val="0"/>
          <w:marTop w:val="0"/>
          <w:marBottom w:val="0"/>
          <w:divBdr>
            <w:top w:val="none" w:sz="0" w:space="0" w:color="auto"/>
            <w:left w:val="none" w:sz="0" w:space="0" w:color="auto"/>
            <w:bottom w:val="none" w:sz="0" w:space="0" w:color="auto"/>
            <w:right w:val="none" w:sz="0" w:space="0" w:color="auto"/>
          </w:divBdr>
          <w:divsChild>
            <w:div w:id="142738985">
              <w:marLeft w:val="0"/>
              <w:marRight w:val="0"/>
              <w:marTop w:val="0"/>
              <w:marBottom w:val="0"/>
              <w:divBdr>
                <w:top w:val="none" w:sz="0" w:space="0" w:color="auto"/>
                <w:left w:val="none" w:sz="0" w:space="0" w:color="auto"/>
                <w:bottom w:val="none" w:sz="0" w:space="0" w:color="auto"/>
                <w:right w:val="none" w:sz="0" w:space="0" w:color="auto"/>
              </w:divBdr>
            </w:div>
            <w:div w:id="1890873702">
              <w:marLeft w:val="0"/>
              <w:marRight w:val="0"/>
              <w:marTop w:val="0"/>
              <w:marBottom w:val="0"/>
              <w:divBdr>
                <w:top w:val="none" w:sz="0" w:space="0" w:color="auto"/>
                <w:left w:val="none" w:sz="0" w:space="0" w:color="auto"/>
                <w:bottom w:val="none" w:sz="0" w:space="0" w:color="auto"/>
                <w:right w:val="none" w:sz="0" w:space="0" w:color="auto"/>
              </w:divBdr>
              <w:divsChild>
                <w:div w:id="2070567315">
                  <w:marLeft w:val="0"/>
                  <w:marRight w:val="0"/>
                  <w:marTop w:val="0"/>
                  <w:marBottom w:val="0"/>
                  <w:divBdr>
                    <w:top w:val="none" w:sz="0" w:space="0" w:color="auto"/>
                    <w:left w:val="none" w:sz="0" w:space="0" w:color="auto"/>
                    <w:bottom w:val="none" w:sz="0" w:space="0" w:color="auto"/>
                    <w:right w:val="none" w:sz="0" w:space="0" w:color="auto"/>
                  </w:divBdr>
                  <w:divsChild>
                    <w:div w:id="2027907102">
                      <w:marLeft w:val="0"/>
                      <w:marRight w:val="0"/>
                      <w:marTop w:val="0"/>
                      <w:marBottom w:val="0"/>
                      <w:divBdr>
                        <w:top w:val="none" w:sz="0" w:space="0" w:color="auto"/>
                        <w:left w:val="none" w:sz="0" w:space="0" w:color="auto"/>
                        <w:bottom w:val="none" w:sz="0" w:space="0" w:color="auto"/>
                        <w:right w:val="none" w:sz="0" w:space="0" w:color="auto"/>
                      </w:divBdr>
                      <w:divsChild>
                        <w:div w:id="203369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32971278">
      <w:bodyDiv w:val="1"/>
      <w:marLeft w:val="0"/>
      <w:marRight w:val="0"/>
      <w:marTop w:val="0"/>
      <w:marBottom w:val="0"/>
      <w:divBdr>
        <w:top w:val="none" w:sz="0" w:space="0" w:color="auto"/>
        <w:left w:val="none" w:sz="0" w:space="0" w:color="auto"/>
        <w:bottom w:val="none" w:sz="0" w:space="0" w:color="auto"/>
        <w:right w:val="none" w:sz="0" w:space="0" w:color="auto"/>
      </w:divBdr>
    </w:div>
    <w:div w:id="734085631">
      <w:bodyDiv w:val="1"/>
      <w:marLeft w:val="0"/>
      <w:marRight w:val="0"/>
      <w:marTop w:val="0"/>
      <w:marBottom w:val="0"/>
      <w:divBdr>
        <w:top w:val="none" w:sz="0" w:space="0" w:color="auto"/>
        <w:left w:val="none" w:sz="0" w:space="0" w:color="auto"/>
        <w:bottom w:val="none" w:sz="0" w:space="0" w:color="auto"/>
        <w:right w:val="none" w:sz="0" w:space="0" w:color="auto"/>
      </w:divBdr>
    </w:div>
    <w:div w:id="761952214">
      <w:bodyDiv w:val="1"/>
      <w:marLeft w:val="0"/>
      <w:marRight w:val="0"/>
      <w:marTop w:val="0"/>
      <w:marBottom w:val="0"/>
      <w:divBdr>
        <w:top w:val="none" w:sz="0" w:space="0" w:color="auto"/>
        <w:left w:val="none" w:sz="0" w:space="0" w:color="auto"/>
        <w:bottom w:val="none" w:sz="0" w:space="0" w:color="auto"/>
        <w:right w:val="none" w:sz="0" w:space="0" w:color="auto"/>
      </w:divBdr>
    </w:div>
    <w:div w:id="809594371">
      <w:bodyDiv w:val="1"/>
      <w:marLeft w:val="0"/>
      <w:marRight w:val="0"/>
      <w:marTop w:val="0"/>
      <w:marBottom w:val="0"/>
      <w:divBdr>
        <w:top w:val="none" w:sz="0" w:space="0" w:color="auto"/>
        <w:left w:val="none" w:sz="0" w:space="0" w:color="auto"/>
        <w:bottom w:val="none" w:sz="0" w:space="0" w:color="auto"/>
        <w:right w:val="none" w:sz="0" w:space="0" w:color="auto"/>
      </w:divBdr>
    </w:div>
    <w:div w:id="812673761">
      <w:bodyDiv w:val="1"/>
      <w:marLeft w:val="0"/>
      <w:marRight w:val="0"/>
      <w:marTop w:val="0"/>
      <w:marBottom w:val="0"/>
      <w:divBdr>
        <w:top w:val="none" w:sz="0" w:space="0" w:color="auto"/>
        <w:left w:val="none" w:sz="0" w:space="0" w:color="auto"/>
        <w:bottom w:val="none" w:sz="0" w:space="0" w:color="auto"/>
        <w:right w:val="none" w:sz="0" w:space="0" w:color="auto"/>
      </w:divBdr>
    </w:div>
    <w:div w:id="814297735">
      <w:bodyDiv w:val="1"/>
      <w:marLeft w:val="0"/>
      <w:marRight w:val="0"/>
      <w:marTop w:val="0"/>
      <w:marBottom w:val="0"/>
      <w:divBdr>
        <w:top w:val="none" w:sz="0" w:space="0" w:color="auto"/>
        <w:left w:val="none" w:sz="0" w:space="0" w:color="auto"/>
        <w:bottom w:val="none" w:sz="0" w:space="0" w:color="auto"/>
        <w:right w:val="none" w:sz="0" w:space="0" w:color="auto"/>
      </w:divBdr>
      <w:divsChild>
        <w:div w:id="1660385616">
          <w:marLeft w:val="0"/>
          <w:marRight w:val="0"/>
          <w:marTop w:val="0"/>
          <w:marBottom w:val="0"/>
          <w:divBdr>
            <w:top w:val="none" w:sz="0" w:space="0" w:color="auto"/>
            <w:left w:val="none" w:sz="0" w:space="0" w:color="auto"/>
            <w:bottom w:val="none" w:sz="0" w:space="0" w:color="auto"/>
            <w:right w:val="none" w:sz="0" w:space="0" w:color="auto"/>
          </w:divBdr>
          <w:divsChild>
            <w:div w:id="1579560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3083734">
      <w:bodyDiv w:val="1"/>
      <w:marLeft w:val="0"/>
      <w:marRight w:val="0"/>
      <w:marTop w:val="0"/>
      <w:marBottom w:val="0"/>
      <w:divBdr>
        <w:top w:val="none" w:sz="0" w:space="0" w:color="auto"/>
        <w:left w:val="none" w:sz="0" w:space="0" w:color="auto"/>
        <w:bottom w:val="none" w:sz="0" w:space="0" w:color="auto"/>
        <w:right w:val="none" w:sz="0" w:space="0" w:color="auto"/>
      </w:divBdr>
    </w:div>
    <w:div w:id="839077541">
      <w:bodyDiv w:val="1"/>
      <w:marLeft w:val="0"/>
      <w:marRight w:val="0"/>
      <w:marTop w:val="0"/>
      <w:marBottom w:val="0"/>
      <w:divBdr>
        <w:top w:val="none" w:sz="0" w:space="0" w:color="auto"/>
        <w:left w:val="none" w:sz="0" w:space="0" w:color="auto"/>
        <w:bottom w:val="none" w:sz="0" w:space="0" w:color="auto"/>
        <w:right w:val="none" w:sz="0" w:space="0" w:color="auto"/>
      </w:divBdr>
    </w:div>
    <w:div w:id="858932163">
      <w:bodyDiv w:val="1"/>
      <w:marLeft w:val="0"/>
      <w:marRight w:val="0"/>
      <w:marTop w:val="0"/>
      <w:marBottom w:val="0"/>
      <w:divBdr>
        <w:top w:val="none" w:sz="0" w:space="0" w:color="auto"/>
        <w:left w:val="none" w:sz="0" w:space="0" w:color="auto"/>
        <w:bottom w:val="none" w:sz="0" w:space="0" w:color="auto"/>
        <w:right w:val="none" w:sz="0" w:space="0" w:color="auto"/>
      </w:divBdr>
      <w:divsChild>
        <w:div w:id="830944495">
          <w:marLeft w:val="0"/>
          <w:marRight w:val="0"/>
          <w:marTop w:val="0"/>
          <w:marBottom w:val="0"/>
          <w:divBdr>
            <w:top w:val="none" w:sz="0" w:space="0" w:color="auto"/>
            <w:left w:val="none" w:sz="0" w:space="0" w:color="auto"/>
            <w:bottom w:val="none" w:sz="0" w:space="0" w:color="auto"/>
            <w:right w:val="none" w:sz="0" w:space="0" w:color="auto"/>
          </w:divBdr>
          <w:divsChild>
            <w:div w:id="1948347594">
              <w:marLeft w:val="0"/>
              <w:marRight w:val="0"/>
              <w:marTop w:val="0"/>
              <w:marBottom w:val="0"/>
              <w:divBdr>
                <w:top w:val="none" w:sz="0" w:space="0" w:color="auto"/>
                <w:left w:val="none" w:sz="0" w:space="0" w:color="auto"/>
                <w:bottom w:val="none" w:sz="0" w:space="0" w:color="auto"/>
                <w:right w:val="none" w:sz="0" w:space="0" w:color="auto"/>
              </w:divBdr>
            </w:div>
          </w:divsChild>
        </w:div>
        <w:div w:id="949506506">
          <w:marLeft w:val="0"/>
          <w:marRight w:val="0"/>
          <w:marTop w:val="0"/>
          <w:marBottom w:val="0"/>
          <w:divBdr>
            <w:top w:val="none" w:sz="0" w:space="0" w:color="auto"/>
            <w:left w:val="none" w:sz="0" w:space="0" w:color="auto"/>
            <w:bottom w:val="none" w:sz="0" w:space="0" w:color="auto"/>
            <w:right w:val="none" w:sz="0" w:space="0" w:color="auto"/>
          </w:divBdr>
          <w:divsChild>
            <w:div w:id="514153657">
              <w:marLeft w:val="0"/>
              <w:marRight w:val="0"/>
              <w:marTop w:val="0"/>
              <w:marBottom w:val="0"/>
              <w:divBdr>
                <w:top w:val="none" w:sz="0" w:space="0" w:color="auto"/>
                <w:left w:val="none" w:sz="0" w:space="0" w:color="auto"/>
                <w:bottom w:val="none" w:sz="0" w:space="0" w:color="auto"/>
                <w:right w:val="none" w:sz="0" w:space="0" w:color="auto"/>
              </w:divBdr>
            </w:div>
          </w:divsChild>
        </w:div>
        <w:div w:id="1967274416">
          <w:marLeft w:val="0"/>
          <w:marRight w:val="0"/>
          <w:marTop w:val="0"/>
          <w:marBottom w:val="0"/>
          <w:divBdr>
            <w:top w:val="none" w:sz="0" w:space="0" w:color="auto"/>
            <w:left w:val="none" w:sz="0" w:space="0" w:color="auto"/>
            <w:bottom w:val="none" w:sz="0" w:space="0" w:color="auto"/>
            <w:right w:val="none" w:sz="0" w:space="0" w:color="auto"/>
          </w:divBdr>
          <w:divsChild>
            <w:div w:id="1630627730">
              <w:marLeft w:val="0"/>
              <w:marRight w:val="0"/>
              <w:marTop w:val="0"/>
              <w:marBottom w:val="0"/>
              <w:divBdr>
                <w:top w:val="none" w:sz="0" w:space="0" w:color="auto"/>
                <w:left w:val="none" w:sz="0" w:space="0" w:color="auto"/>
                <w:bottom w:val="none" w:sz="0" w:space="0" w:color="auto"/>
                <w:right w:val="none" w:sz="0" w:space="0" w:color="auto"/>
              </w:divBdr>
            </w:div>
          </w:divsChild>
        </w:div>
        <w:div w:id="2004507999">
          <w:marLeft w:val="0"/>
          <w:marRight w:val="0"/>
          <w:marTop w:val="0"/>
          <w:marBottom w:val="0"/>
          <w:divBdr>
            <w:top w:val="none" w:sz="0" w:space="0" w:color="auto"/>
            <w:left w:val="none" w:sz="0" w:space="0" w:color="auto"/>
            <w:bottom w:val="none" w:sz="0" w:space="0" w:color="auto"/>
            <w:right w:val="none" w:sz="0" w:space="0" w:color="auto"/>
          </w:divBdr>
          <w:divsChild>
            <w:div w:id="408607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7134778">
      <w:bodyDiv w:val="1"/>
      <w:marLeft w:val="0"/>
      <w:marRight w:val="0"/>
      <w:marTop w:val="0"/>
      <w:marBottom w:val="0"/>
      <w:divBdr>
        <w:top w:val="none" w:sz="0" w:space="0" w:color="auto"/>
        <w:left w:val="none" w:sz="0" w:space="0" w:color="auto"/>
        <w:bottom w:val="none" w:sz="0" w:space="0" w:color="auto"/>
        <w:right w:val="none" w:sz="0" w:space="0" w:color="auto"/>
      </w:divBdr>
    </w:div>
    <w:div w:id="885919640">
      <w:bodyDiv w:val="1"/>
      <w:marLeft w:val="0"/>
      <w:marRight w:val="0"/>
      <w:marTop w:val="0"/>
      <w:marBottom w:val="0"/>
      <w:divBdr>
        <w:top w:val="none" w:sz="0" w:space="0" w:color="auto"/>
        <w:left w:val="none" w:sz="0" w:space="0" w:color="auto"/>
        <w:bottom w:val="none" w:sz="0" w:space="0" w:color="auto"/>
        <w:right w:val="none" w:sz="0" w:space="0" w:color="auto"/>
      </w:divBdr>
    </w:div>
    <w:div w:id="915480686">
      <w:bodyDiv w:val="1"/>
      <w:marLeft w:val="0"/>
      <w:marRight w:val="0"/>
      <w:marTop w:val="0"/>
      <w:marBottom w:val="0"/>
      <w:divBdr>
        <w:top w:val="none" w:sz="0" w:space="0" w:color="auto"/>
        <w:left w:val="none" w:sz="0" w:space="0" w:color="auto"/>
        <w:bottom w:val="none" w:sz="0" w:space="0" w:color="auto"/>
        <w:right w:val="none" w:sz="0" w:space="0" w:color="auto"/>
      </w:divBdr>
    </w:div>
    <w:div w:id="925041840">
      <w:bodyDiv w:val="1"/>
      <w:marLeft w:val="0"/>
      <w:marRight w:val="0"/>
      <w:marTop w:val="0"/>
      <w:marBottom w:val="0"/>
      <w:divBdr>
        <w:top w:val="none" w:sz="0" w:space="0" w:color="auto"/>
        <w:left w:val="none" w:sz="0" w:space="0" w:color="auto"/>
        <w:bottom w:val="none" w:sz="0" w:space="0" w:color="auto"/>
        <w:right w:val="none" w:sz="0" w:space="0" w:color="auto"/>
      </w:divBdr>
    </w:div>
    <w:div w:id="959604497">
      <w:bodyDiv w:val="1"/>
      <w:marLeft w:val="0"/>
      <w:marRight w:val="0"/>
      <w:marTop w:val="0"/>
      <w:marBottom w:val="0"/>
      <w:divBdr>
        <w:top w:val="none" w:sz="0" w:space="0" w:color="auto"/>
        <w:left w:val="none" w:sz="0" w:space="0" w:color="auto"/>
        <w:bottom w:val="none" w:sz="0" w:space="0" w:color="auto"/>
        <w:right w:val="none" w:sz="0" w:space="0" w:color="auto"/>
      </w:divBdr>
    </w:div>
    <w:div w:id="995957500">
      <w:bodyDiv w:val="1"/>
      <w:marLeft w:val="0"/>
      <w:marRight w:val="0"/>
      <w:marTop w:val="0"/>
      <w:marBottom w:val="0"/>
      <w:divBdr>
        <w:top w:val="none" w:sz="0" w:space="0" w:color="auto"/>
        <w:left w:val="none" w:sz="0" w:space="0" w:color="auto"/>
        <w:bottom w:val="none" w:sz="0" w:space="0" w:color="auto"/>
        <w:right w:val="none" w:sz="0" w:space="0" w:color="auto"/>
      </w:divBdr>
    </w:div>
    <w:div w:id="1037972125">
      <w:bodyDiv w:val="1"/>
      <w:marLeft w:val="0"/>
      <w:marRight w:val="0"/>
      <w:marTop w:val="0"/>
      <w:marBottom w:val="0"/>
      <w:divBdr>
        <w:top w:val="none" w:sz="0" w:space="0" w:color="auto"/>
        <w:left w:val="none" w:sz="0" w:space="0" w:color="auto"/>
        <w:bottom w:val="none" w:sz="0" w:space="0" w:color="auto"/>
        <w:right w:val="none" w:sz="0" w:space="0" w:color="auto"/>
      </w:divBdr>
    </w:div>
    <w:div w:id="1084956557">
      <w:bodyDiv w:val="1"/>
      <w:marLeft w:val="0"/>
      <w:marRight w:val="0"/>
      <w:marTop w:val="0"/>
      <w:marBottom w:val="0"/>
      <w:divBdr>
        <w:top w:val="none" w:sz="0" w:space="0" w:color="auto"/>
        <w:left w:val="none" w:sz="0" w:space="0" w:color="auto"/>
        <w:bottom w:val="none" w:sz="0" w:space="0" w:color="auto"/>
        <w:right w:val="none" w:sz="0" w:space="0" w:color="auto"/>
      </w:divBdr>
    </w:div>
    <w:div w:id="1117214226">
      <w:bodyDiv w:val="1"/>
      <w:marLeft w:val="0"/>
      <w:marRight w:val="0"/>
      <w:marTop w:val="0"/>
      <w:marBottom w:val="0"/>
      <w:divBdr>
        <w:top w:val="none" w:sz="0" w:space="0" w:color="auto"/>
        <w:left w:val="none" w:sz="0" w:space="0" w:color="auto"/>
        <w:bottom w:val="none" w:sz="0" w:space="0" w:color="auto"/>
        <w:right w:val="none" w:sz="0" w:space="0" w:color="auto"/>
      </w:divBdr>
    </w:div>
    <w:div w:id="1121648645">
      <w:bodyDiv w:val="1"/>
      <w:marLeft w:val="0"/>
      <w:marRight w:val="0"/>
      <w:marTop w:val="0"/>
      <w:marBottom w:val="0"/>
      <w:divBdr>
        <w:top w:val="none" w:sz="0" w:space="0" w:color="auto"/>
        <w:left w:val="none" w:sz="0" w:space="0" w:color="auto"/>
        <w:bottom w:val="none" w:sz="0" w:space="0" w:color="auto"/>
        <w:right w:val="none" w:sz="0" w:space="0" w:color="auto"/>
      </w:divBdr>
    </w:div>
    <w:div w:id="1139306593">
      <w:bodyDiv w:val="1"/>
      <w:marLeft w:val="0"/>
      <w:marRight w:val="0"/>
      <w:marTop w:val="0"/>
      <w:marBottom w:val="0"/>
      <w:divBdr>
        <w:top w:val="none" w:sz="0" w:space="0" w:color="auto"/>
        <w:left w:val="none" w:sz="0" w:space="0" w:color="auto"/>
        <w:bottom w:val="none" w:sz="0" w:space="0" w:color="auto"/>
        <w:right w:val="none" w:sz="0" w:space="0" w:color="auto"/>
      </w:divBdr>
    </w:div>
    <w:div w:id="1163081104">
      <w:bodyDiv w:val="1"/>
      <w:marLeft w:val="0"/>
      <w:marRight w:val="0"/>
      <w:marTop w:val="0"/>
      <w:marBottom w:val="0"/>
      <w:divBdr>
        <w:top w:val="none" w:sz="0" w:space="0" w:color="auto"/>
        <w:left w:val="none" w:sz="0" w:space="0" w:color="auto"/>
        <w:bottom w:val="none" w:sz="0" w:space="0" w:color="auto"/>
        <w:right w:val="none" w:sz="0" w:space="0" w:color="auto"/>
      </w:divBdr>
    </w:div>
    <w:div w:id="1198009602">
      <w:bodyDiv w:val="1"/>
      <w:marLeft w:val="0"/>
      <w:marRight w:val="0"/>
      <w:marTop w:val="0"/>
      <w:marBottom w:val="0"/>
      <w:divBdr>
        <w:top w:val="none" w:sz="0" w:space="0" w:color="auto"/>
        <w:left w:val="none" w:sz="0" w:space="0" w:color="auto"/>
        <w:bottom w:val="none" w:sz="0" w:space="0" w:color="auto"/>
        <w:right w:val="none" w:sz="0" w:space="0" w:color="auto"/>
      </w:divBdr>
      <w:divsChild>
        <w:div w:id="1782063847">
          <w:marLeft w:val="0"/>
          <w:marRight w:val="0"/>
          <w:marTop w:val="0"/>
          <w:marBottom w:val="0"/>
          <w:divBdr>
            <w:top w:val="none" w:sz="0" w:space="0" w:color="auto"/>
            <w:left w:val="none" w:sz="0" w:space="0" w:color="auto"/>
            <w:bottom w:val="none" w:sz="0" w:space="0" w:color="auto"/>
            <w:right w:val="none" w:sz="0" w:space="0" w:color="auto"/>
          </w:divBdr>
          <w:divsChild>
            <w:div w:id="672419041">
              <w:marLeft w:val="0"/>
              <w:marRight w:val="0"/>
              <w:marTop w:val="0"/>
              <w:marBottom w:val="0"/>
              <w:divBdr>
                <w:top w:val="none" w:sz="0" w:space="0" w:color="auto"/>
                <w:left w:val="none" w:sz="0" w:space="0" w:color="auto"/>
                <w:bottom w:val="none" w:sz="0" w:space="0" w:color="auto"/>
                <w:right w:val="none" w:sz="0" w:space="0" w:color="auto"/>
              </w:divBdr>
            </w:div>
          </w:divsChild>
        </w:div>
        <w:div w:id="1928420367">
          <w:marLeft w:val="0"/>
          <w:marRight w:val="0"/>
          <w:marTop w:val="0"/>
          <w:marBottom w:val="0"/>
          <w:divBdr>
            <w:top w:val="none" w:sz="0" w:space="0" w:color="auto"/>
            <w:left w:val="none" w:sz="0" w:space="0" w:color="auto"/>
            <w:bottom w:val="none" w:sz="0" w:space="0" w:color="auto"/>
            <w:right w:val="none" w:sz="0" w:space="0" w:color="auto"/>
          </w:divBdr>
          <w:divsChild>
            <w:div w:id="1276447354">
              <w:marLeft w:val="0"/>
              <w:marRight w:val="0"/>
              <w:marTop w:val="0"/>
              <w:marBottom w:val="0"/>
              <w:divBdr>
                <w:top w:val="none" w:sz="0" w:space="0" w:color="auto"/>
                <w:left w:val="none" w:sz="0" w:space="0" w:color="auto"/>
                <w:bottom w:val="none" w:sz="0" w:space="0" w:color="auto"/>
                <w:right w:val="none" w:sz="0" w:space="0" w:color="auto"/>
              </w:divBdr>
              <w:divsChild>
                <w:div w:id="252666288">
                  <w:marLeft w:val="0"/>
                  <w:marRight w:val="0"/>
                  <w:marTop w:val="0"/>
                  <w:marBottom w:val="0"/>
                  <w:divBdr>
                    <w:top w:val="none" w:sz="0" w:space="0" w:color="auto"/>
                    <w:left w:val="none" w:sz="0" w:space="0" w:color="auto"/>
                    <w:bottom w:val="none" w:sz="0" w:space="0" w:color="auto"/>
                    <w:right w:val="none" w:sz="0" w:space="0" w:color="auto"/>
                  </w:divBdr>
                </w:div>
                <w:div w:id="792286843">
                  <w:marLeft w:val="0"/>
                  <w:marRight w:val="0"/>
                  <w:marTop w:val="0"/>
                  <w:marBottom w:val="0"/>
                  <w:divBdr>
                    <w:top w:val="none" w:sz="0" w:space="0" w:color="auto"/>
                    <w:left w:val="none" w:sz="0" w:space="0" w:color="auto"/>
                    <w:bottom w:val="none" w:sz="0" w:space="0" w:color="auto"/>
                    <w:right w:val="none" w:sz="0" w:space="0" w:color="auto"/>
                  </w:divBdr>
                  <w:divsChild>
                    <w:div w:id="1301152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1837134">
              <w:marLeft w:val="0"/>
              <w:marRight w:val="0"/>
              <w:marTop w:val="0"/>
              <w:marBottom w:val="0"/>
              <w:divBdr>
                <w:top w:val="none" w:sz="0" w:space="0" w:color="auto"/>
                <w:left w:val="none" w:sz="0" w:space="0" w:color="auto"/>
                <w:bottom w:val="none" w:sz="0" w:space="0" w:color="auto"/>
                <w:right w:val="none" w:sz="0" w:space="0" w:color="auto"/>
              </w:divBdr>
              <w:divsChild>
                <w:div w:id="89669141">
                  <w:marLeft w:val="0"/>
                  <w:marRight w:val="0"/>
                  <w:marTop w:val="0"/>
                  <w:marBottom w:val="0"/>
                  <w:divBdr>
                    <w:top w:val="none" w:sz="0" w:space="0" w:color="auto"/>
                    <w:left w:val="none" w:sz="0" w:space="0" w:color="auto"/>
                    <w:bottom w:val="none" w:sz="0" w:space="0" w:color="auto"/>
                    <w:right w:val="none" w:sz="0" w:space="0" w:color="auto"/>
                  </w:divBdr>
                </w:div>
              </w:divsChild>
            </w:div>
            <w:div w:id="1825974992">
              <w:marLeft w:val="0"/>
              <w:marRight w:val="0"/>
              <w:marTop w:val="0"/>
              <w:marBottom w:val="0"/>
              <w:divBdr>
                <w:top w:val="none" w:sz="0" w:space="0" w:color="auto"/>
                <w:left w:val="none" w:sz="0" w:space="0" w:color="auto"/>
                <w:bottom w:val="none" w:sz="0" w:space="0" w:color="auto"/>
                <w:right w:val="none" w:sz="0" w:space="0" w:color="auto"/>
              </w:divBdr>
              <w:divsChild>
                <w:div w:id="1411736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1475049">
      <w:bodyDiv w:val="1"/>
      <w:marLeft w:val="0"/>
      <w:marRight w:val="0"/>
      <w:marTop w:val="0"/>
      <w:marBottom w:val="0"/>
      <w:divBdr>
        <w:top w:val="none" w:sz="0" w:space="0" w:color="auto"/>
        <w:left w:val="none" w:sz="0" w:space="0" w:color="auto"/>
        <w:bottom w:val="none" w:sz="0" w:space="0" w:color="auto"/>
        <w:right w:val="none" w:sz="0" w:space="0" w:color="auto"/>
      </w:divBdr>
      <w:divsChild>
        <w:div w:id="555623378">
          <w:marLeft w:val="0"/>
          <w:marRight w:val="0"/>
          <w:marTop w:val="0"/>
          <w:marBottom w:val="0"/>
          <w:divBdr>
            <w:top w:val="none" w:sz="0" w:space="0" w:color="auto"/>
            <w:left w:val="none" w:sz="0" w:space="0" w:color="auto"/>
            <w:bottom w:val="none" w:sz="0" w:space="0" w:color="auto"/>
            <w:right w:val="none" w:sz="0" w:space="0" w:color="auto"/>
          </w:divBdr>
          <w:divsChild>
            <w:div w:id="1635329621">
              <w:marLeft w:val="0"/>
              <w:marRight w:val="0"/>
              <w:marTop w:val="0"/>
              <w:marBottom w:val="0"/>
              <w:divBdr>
                <w:top w:val="none" w:sz="0" w:space="0" w:color="auto"/>
                <w:left w:val="none" w:sz="0" w:space="0" w:color="auto"/>
                <w:bottom w:val="none" w:sz="0" w:space="0" w:color="auto"/>
                <w:right w:val="none" w:sz="0" w:space="0" w:color="auto"/>
              </w:divBdr>
            </w:div>
          </w:divsChild>
        </w:div>
        <w:div w:id="921983959">
          <w:marLeft w:val="0"/>
          <w:marRight w:val="0"/>
          <w:marTop w:val="0"/>
          <w:marBottom w:val="0"/>
          <w:divBdr>
            <w:top w:val="none" w:sz="0" w:space="0" w:color="auto"/>
            <w:left w:val="none" w:sz="0" w:space="0" w:color="auto"/>
            <w:bottom w:val="none" w:sz="0" w:space="0" w:color="auto"/>
            <w:right w:val="none" w:sz="0" w:space="0" w:color="auto"/>
          </w:divBdr>
          <w:divsChild>
            <w:div w:id="16168685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0044215">
      <w:bodyDiv w:val="1"/>
      <w:marLeft w:val="0"/>
      <w:marRight w:val="0"/>
      <w:marTop w:val="0"/>
      <w:marBottom w:val="0"/>
      <w:divBdr>
        <w:top w:val="none" w:sz="0" w:space="0" w:color="auto"/>
        <w:left w:val="none" w:sz="0" w:space="0" w:color="auto"/>
        <w:bottom w:val="none" w:sz="0" w:space="0" w:color="auto"/>
        <w:right w:val="none" w:sz="0" w:space="0" w:color="auto"/>
      </w:divBdr>
      <w:divsChild>
        <w:div w:id="501895808">
          <w:marLeft w:val="0"/>
          <w:marRight w:val="0"/>
          <w:marTop w:val="0"/>
          <w:marBottom w:val="0"/>
          <w:divBdr>
            <w:top w:val="none" w:sz="0" w:space="0" w:color="auto"/>
            <w:left w:val="none" w:sz="0" w:space="0" w:color="auto"/>
            <w:bottom w:val="none" w:sz="0" w:space="0" w:color="auto"/>
            <w:right w:val="none" w:sz="0" w:space="0" w:color="auto"/>
          </w:divBdr>
          <w:divsChild>
            <w:div w:id="571351701">
              <w:marLeft w:val="0"/>
              <w:marRight w:val="0"/>
              <w:marTop w:val="0"/>
              <w:marBottom w:val="0"/>
              <w:divBdr>
                <w:top w:val="none" w:sz="0" w:space="0" w:color="auto"/>
                <w:left w:val="none" w:sz="0" w:space="0" w:color="auto"/>
                <w:bottom w:val="none" w:sz="0" w:space="0" w:color="auto"/>
                <w:right w:val="none" w:sz="0" w:space="0" w:color="auto"/>
              </w:divBdr>
              <w:divsChild>
                <w:div w:id="1149204709">
                  <w:marLeft w:val="0"/>
                  <w:marRight w:val="0"/>
                  <w:marTop w:val="0"/>
                  <w:marBottom w:val="0"/>
                  <w:divBdr>
                    <w:top w:val="none" w:sz="0" w:space="0" w:color="auto"/>
                    <w:left w:val="none" w:sz="0" w:space="0" w:color="auto"/>
                    <w:bottom w:val="none" w:sz="0" w:space="0" w:color="auto"/>
                    <w:right w:val="none" w:sz="0" w:space="0" w:color="auto"/>
                  </w:divBdr>
                  <w:divsChild>
                    <w:div w:id="2102993887">
                      <w:marLeft w:val="0"/>
                      <w:marRight w:val="0"/>
                      <w:marTop w:val="0"/>
                      <w:marBottom w:val="0"/>
                      <w:divBdr>
                        <w:top w:val="none" w:sz="0" w:space="0" w:color="auto"/>
                        <w:left w:val="none" w:sz="0" w:space="0" w:color="auto"/>
                        <w:bottom w:val="none" w:sz="0" w:space="0" w:color="auto"/>
                        <w:right w:val="none" w:sz="0" w:space="0" w:color="auto"/>
                      </w:divBdr>
                      <w:divsChild>
                        <w:div w:id="7502045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1434117">
              <w:marLeft w:val="0"/>
              <w:marRight w:val="0"/>
              <w:marTop w:val="0"/>
              <w:marBottom w:val="0"/>
              <w:divBdr>
                <w:top w:val="none" w:sz="0" w:space="0" w:color="auto"/>
                <w:left w:val="none" w:sz="0" w:space="0" w:color="auto"/>
                <w:bottom w:val="none" w:sz="0" w:space="0" w:color="auto"/>
                <w:right w:val="none" w:sz="0" w:space="0" w:color="auto"/>
              </w:divBdr>
            </w:div>
          </w:divsChild>
        </w:div>
        <w:div w:id="1641227831">
          <w:marLeft w:val="0"/>
          <w:marRight w:val="0"/>
          <w:marTop w:val="0"/>
          <w:marBottom w:val="0"/>
          <w:divBdr>
            <w:top w:val="none" w:sz="0" w:space="0" w:color="auto"/>
            <w:left w:val="none" w:sz="0" w:space="0" w:color="auto"/>
            <w:bottom w:val="none" w:sz="0" w:space="0" w:color="auto"/>
            <w:right w:val="none" w:sz="0" w:space="0" w:color="auto"/>
          </w:divBdr>
          <w:divsChild>
            <w:div w:id="290670239">
              <w:marLeft w:val="0"/>
              <w:marRight w:val="0"/>
              <w:marTop w:val="0"/>
              <w:marBottom w:val="0"/>
              <w:divBdr>
                <w:top w:val="none" w:sz="0" w:space="0" w:color="auto"/>
                <w:left w:val="none" w:sz="0" w:space="0" w:color="auto"/>
                <w:bottom w:val="none" w:sz="0" w:space="0" w:color="auto"/>
                <w:right w:val="none" w:sz="0" w:space="0" w:color="auto"/>
              </w:divBdr>
            </w:div>
          </w:divsChild>
        </w:div>
        <w:div w:id="1904682297">
          <w:marLeft w:val="0"/>
          <w:marRight w:val="0"/>
          <w:marTop w:val="0"/>
          <w:marBottom w:val="0"/>
          <w:divBdr>
            <w:top w:val="none" w:sz="0" w:space="0" w:color="auto"/>
            <w:left w:val="none" w:sz="0" w:space="0" w:color="auto"/>
            <w:bottom w:val="none" w:sz="0" w:space="0" w:color="auto"/>
            <w:right w:val="none" w:sz="0" w:space="0" w:color="auto"/>
          </w:divBdr>
          <w:divsChild>
            <w:div w:id="203952012">
              <w:marLeft w:val="0"/>
              <w:marRight w:val="0"/>
              <w:marTop w:val="0"/>
              <w:marBottom w:val="0"/>
              <w:divBdr>
                <w:top w:val="none" w:sz="0" w:space="0" w:color="auto"/>
                <w:left w:val="none" w:sz="0" w:space="0" w:color="auto"/>
                <w:bottom w:val="none" w:sz="0" w:space="0" w:color="auto"/>
                <w:right w:val="none" w:sz="0" w:space="0" w:color="auto"/>
              </w:divBdr>
            </w:div>
            <w:div w:id="1613635319">
              <w:marLeft w:val="0"/>
              <w:marRight w:val="0"/>
              <w:marTop w:val="0"/>
              <w:marBottom w:val="0"/>
              <w:divBdr>
                <w:top w:val="none" w:sz="0" w:space="0" w:color="auto"/>
                <w:left w:val="none" w:sz="0" w:space="0" w:color="auto"/>
                <w:bottom w:val="none" w:sz="0" w:space="0" w:color="auto"/>
                <w:right w:val="none" w:sz="0" w:space="0" w:color="auto"/>
              </w:divBdr>
              <w:divsChild>
                <w:div w:id="214200123">
                  <w:marLeft w:val="0"/>
                  <w:marRight w:val="0"/>
                  <w:marTop w:val="0"/>
                  <w:marBottom w:val="0"/>
                  <w:divBdr>
                    <w:top w:val="none" w:sz="0" w:space="0" w:color="auto"/>
                    <w:left w:val="none" w:sz="0" w:space="0" w:color="auto"/>
                    <w:bottom w:val="none" w:sz="0" w:space="0" w:color="auto"/>
                    <w:right w:val="none" w:sz="0" w:space="0" w:color="auto"/>
                  </w:divBdr>
                  <w:divsChild>
                    <w:div w:id="1321737742">
                      <w:marLeft w:val="0"/>
                      <w:marRight w:val="0"/>
                      <w:marTop w:val="0"/>
                      <w:marBottom w:val="0"/>
                      <w:divBdr>
                        <w:top w:val="none" w:sz="0" w:space="0" w:color="auto"/>
                        <w:left w:val="none" w:sz="0" w:space="0" w:color="auto"/>
                        <w:bottom w:val="none" w:sz="0" w:space="0" w:color="auto"/>
                        <w:right w:val="none" w:sz="0" w:space="0" w:color="auto"/>
                      </w:divBdr>
                      <w:divsChild>
                        <w:div w:id="525018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22269286">
      <w:bodyDiv w:val="1"/>
      <w:marLeft w:val="0"/>
      <w:marRight w:val="0"/>
      <w:marTop w:val="0"/>
      <w:marBottom w:val="0"/>
      <w:divBdr>
        <w:top w:val="none" w:sz="0" w:space="0" w:color="auto"/>
        <w:left w:val="none" w:sz="0" w:space="0" w:color="auto"/>
        <w:bottom w:val="none" w:sz="0" w:space="0" w:color="auto"/>
        <w:right w:val="none" w:sz="0" w:space="0" w:color="auto"/>
      </w:divBdr>
    </w:div>
    <w:div w:id="1368675296">
      <w:bodyDiv w:val="1"/>
      <w:marLeft w:val="0"/>
      <w:marRight w:val="0"/>
      <w:marTop w:val="0"/>
      <w:marBottom w:val="0"/>
      <w:divBdr>
        <w:top w:val="none" w:sz="0" w:space="0" w:color="auto"/>
        <w:left w:val="none" w:sz="0" w:space="0" w:color="auto"/>
        <w:bottom w:val="none" w:sz="0" w:space="0" w:color="auto"/>
        <w:right w:val="none" w:sz="0" w:space="0" w:color="auto"/>
      </w:divBdr>
    </w:div>
    <w:div w:id="1370110962">
      <w:bodyDiv w:val="1"/>
      <w:marLeft w:val="0"/>
      <w:marRight w:val="0"/>
      <w:marTop w:val="0"/>
      <w:marBottom w:val="0"/>
      <w:divBdr>
        <w:top w:val="none" w:sz="0" w:space="0" w:color="auto"/>
        <w:left w:val="none" w:sz="0" w:space="0" w:color="auto"/>
        <w:bottom w:val="none" w:sz="0" w:space="0" w:color="auto"/>
        <w:right w:val="none" w:sz="0" w:space="0" w:color="auto"/>
      </w:divBdr>
    </w:div>
    <w:div w:id="1424107891">
      <w:bodyDiv w:val="1"/>
      <w:marLeft w:val="0"/>
      <w:marRight w:val="0"/>
      <w:marTop w:val="0"/>
      <w:marBottom w:val="0"/>
      <w:divBdr>
        <w:top w:val="none" w:sz="0" w:space="0" w:color="auto"/>
        <w:left w:val="none" w:sz="0" w:space="0" w:color="auto"/>
        <w:bottom w:val="none" w:sz="0" w:space="0" w:color="auto"/>
        <w:right w:val="none" w:sz="0" w:space="0" w:color="auto"/>
      </w:divBdr>
    </w:div>
    <w:div w:id="1429889016">
      <w:bodyDiv w:val="1"/>
      <w:marLeft w:val="0"/>
      <w:marRight w:val="0"/>
      <w:marTop w:val="0"/>
      <w:marBottom w:val="0"/>
      <w:divBdr>
        <w:top w:val="none" w:sz="0" w:space="0" w:color="auto"/>
        <w:left w:val="none" w:sz="0" w:space="0" w:color="auto"/>
        <w:bottom w:val="none" w:sz="0" w:space="0" w:color="auto"/>
        <w:right w:val="none" w:sz="0" w:space="0" w:color="auto"/>
      </w:divBdr>
    </w:div>
    <w:div w:id="1439640854">
      <w:bodyDiv w:val="1"/>
      <w:marLeft w:val="0"/>
      <w:marRight w:val="0"/>
      <w:marTop w:val="0"/>
      <w:marBottom w:val="0"/>
      <w:divBdr>
        <w:top w:val="none" w:sz="0" w:space="0" w:color="auto"/>
        <w:left w:val="none" w:sz="0" w:space="0" w:color="auto"/>
        <w:bottom w:val="none" w:sz="0" w:space="0" w:color="auto"/>
        <w:right w:val="none" w:sz="0" w:space="0" w:color="auto"/>
      </w:divBdr>
      <w:divsChild>
        <w:div w:id="1974944942">
          <w:marLeft w:val="0"/>
          <w:marRight w:val="0"/>
          <w:marTop w:val="0"/>
          <w:marBottom w:val="0"/>
          <w:divBdr>
            <w:top w:val="none" w:sz="0" w:space="0" w:color="auto"/>
            <w:left w:val="none" w:sz="0" w:space="0" w:color="auto"/>
            <w:bottom w:val="none" w:sz="0" w:space="0" w:color="auto"/>
            <w:right w:val="none" w:sz="0" w:space="0" w:color="auto"/>
          </w:divBdr>
          <w:divsChild>
            <w:div w:id="1250968427">
              <w:marLeft w:val="0"/>
              <w:marRight w:val="0"/>
              <w:marTop w:val="0"/>
              <w:marBottom w:val="0"/>
              <w:divBdr>
                <w:top w:val="none" w:sz="0" w:space="0" w:color="auto"/>
                <w:left w:val="none" w:sz="0" w:space="0" w:color="auto"/>
                <w:bottom w:val="none" w:sz="0" w:space="0" w:color="auto"/>
                <w:right w:val="none" w:sz="0" w:space="0" w:color="auto"/>
              </w:divBdr>
            </w:div>
          </w:divsChild>
        </w:div>
        <w:div w:id="1969432495">
          <w:marLeft w:val="0"/>
          <w:marRight w:val="0"/>
          <w:marTop w:val="0"/>
          <w:marBottom w:val="0"/>
          <w:divBdr>
            <w:top w:val="none" w:sz="0" w:space="0" w:color="auto"/>
            <w:left w:val="none" w:sz="0" w:space="0" w:color="auto"/>
            <w:bottom w:val="none" w:sz="0" w:space="0" w:color="auto"/>
            <w:right w:val="none" w:sz="0" w:space="0" w:color="auto"/>
          </w:divBdr>
          <w:divsChild>
            <w:div w:id="1838761408">
              <w:marLeft w:val="0"/>
              <w:marRight w:val="0"/>
              <w:marTop w:val="0"/>
              <w:marBottom w:val="0"/>
              <w:divBdr>
                <w:top w:val="none" w:sz="0" w:space="0" w:color="auto"/>
                <w:left w:val="none" w:sz="0" w:space="0" w:color="auto"/>
                <w:bottom w:val="none" w:sz="0" w:space="0" w:color="auto"/>
                <w:right w:val="none" w:sz="0" w:space="0" w:color="auto"/>
              </w:divBdr>
            </w:div>
          </w:divsChild>
        </w:div>
        <w:div w:id="921986876">
          <w:marLeft w:val="0"/>
          <w:marRight w:val="0"/>
          <w:marTop w:val="0"/>
          <w:marBottom w:val="0"/>
          <w:divBdr>
            <w:top w:val="none" w:sz="0" w:space="0" w:color="auto"/>
            <w:left w:val="none" w:sz="0" w:space="0" w:color="auto"/>
            <w:bottom w:val="none" w:sz="0" w:space="0" w:color="auto"/>
            <w:right w:val="none" w:sz="0" w:space="0" w:color="auto"/>
          </w:divBdr>
          <w:divsChild>
            <w:div w:id="1883399977">
              <w:marLeft w:val="0"/>
              <w:marRight w:val="0"/>
              <w:marTop w:val="0"/>
              <w:marBottom w:val="0"/>
              <w:divBdr>
                <w:top w:val="none" w:sz="0" w:space="0" w:color="auto"/>
                <w:left w:val="none" w:sz="0" w:space="0" w:color="auto"/>
                <w:bottom w:val="none" w:sz="0" w:space="0" w:color="auto"/>
                <w:right w:val="none" w:sz="0" w:space="0" w:color="auto"/>
              </w:divBdr>
            </w:div>
          </w:divsChild>
        </w:div>
        <w:div w:id="41755992">
          <w:marLeft w:val="0"/>
          <w:marRight w:val="0"/>
          <w:marTop w:val="0"/>
          <w:marBottom w:val="0"/>
          <w:divBdr>
            <w:top w:val="none" w:sz="0" w:space="0" w:color="auto"/>
            <w:left w:val="none" w:sz="0" w:space="0" w:color="auto"/>
            <w:bottom w:val="none" w:sz="0" w:space="0" w:color="auto"/>
            <w:right w:val="none" w:sz="0" w:space="0" w:color="auto"/>
          </w:divBdr>
          <w:divsChild>
            <w:div w:id="125120922">
              <w:marLeft w:val="0"/>
              <w:marRight w:val="0"/>
              <w:marTop w:val="0"/>
              <w:marBottom w:val="0"/>
              <w:divBdr>
                <w:top w:val="none" w:sz="0" w:space="0" w:color="auto"/>
                <w:left w:val="none" w:sz="0" w:space="0" w:color="auto"/>
                <w:bottom w:val="none" w:sz="0" w:space="0" w:color="auto"/>
                <w:right w:val="none" w:sz="0" w:space="0" w:color="auto"/>
              </w:divBdr>
            </w:div>
          </w:divsChild>
        </w:div>
        <w:div w:id="38744907">
          <w:marLeft w:val="0"/>
          <w:marRight w:val="0"/>
          <w:marTop w:val="0"/>
          <w:marBottom w:val="0"/>
          <w:divBdr>
            <w:top w:val="none" w:sz="0" w:space="0" w:color="auto"/>
            <w:left w:val="none" w:sz="0" w:space="0" w:color="auto"/>
            <w:bottom w:val="none" w:sz="0" w:space="0" w:color="auto"/>
            <w:right w:val="none" w:sz="0" w:space="0" w:color="auto"/>
          </w:divBdr>
          <w:divsChild>
            <w:div w:id="464007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1532917">
      <w:bodyDiv w:val="1"/>
      <w:marLeft w:val="0"/>
      <w:marRight w:val="0"/>
      <w:marTop w:val="0"/>
      <w:marBottom w:val="0"/>
      <w:divBdr>
        <w:top w:val="none" w:sz="0" w:space="0" w:color="auto"/>
        <w:left w:val="none" w:sz="0" w:space="0" w:color="auto"/>
        <w:bottom w:val="none" w:sz="0" w:space="0" w:color="auto"/>
        <w:right w:val="none" w:sz="0" w:space="0" w:color="auto"/>
      </w:divBdr>
      <w:divsChild>
        <w:div w:id="1533110485">
          <w:marLeft w:val="0"/>
          <w:marRight w:val="0"/>
          <w:marTop w:val="0"/>
          <w:marBottom w:val="0"/>
          <w:divBdr>
            <w:top w:val="none" w:sz="0" w:space="0" w:color="auto"/>
            <w:left w:val="none" w:sz="0" w:space="0" w:color="auto"/>
            <w:bottom w:val="none" w:sz="0" w:space="0" w:color="auto"/>
            <w:right w:val="none" w:sz="0" w:space="0" w:color="auto"/>
          </w:divBdr>
          <w:divsChild>
            <w:div w:id="93407930">
              <w:marLeft w:val="0"/>
              <w:marRight w:val="0"/>
              <w:marTop w:val="0"/>
              <w:marBottom w:val="0"/>
              <w:divBdr>
                <w:top w:val="none" w:sz="0" w:space="0" w:color="auto"/>
                <w:left w:val="none" w:sz="0" w:space="0" w:color="auto"/>
                <w:bottom w:val="none" w:sz="0" w:space="0" w:color="auto"/>
                <w:right w:val="none" w:sz="0" w:space="0" w:color="auto"/>
              </w:divBdr>
              <w:divsChild>
                <w:div w:id="1430855065">
                  <w:marLeft w:val="0"/>
                  <w:marRight w:val="0"/>
                  <w:marTop w:val="0"/>
                  <w:marBottom w:val="0"/>
                  <w:divBdr>
                    <w:top w:val="none" w:sz="0" w:space="0" w:color="auto"/>
                    <w:left w:val="none" w:sz="0" w:space="0" w:color="auto"/>
                    <w:bottom w:val="none" w:sz="0" w:space="0" w:color="auto"/>
                    <w:right w:val="none" w:sz="0" w:space="0" w:color="auto"/>
                  </w:divBdr>
                  <w:divsChild>
                    <w:div w:id="1559516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4690310">
      <w:bodyDiv w:val="1"/>
      <w:marLeft w:val="0"/>
      <w:marRight w:val="0"/>
      <w:marTop w:val="0"/>
      <w:marBottom w:val="0"/>
      <w:divBdr>
        <w:top w:val="none" w:sz="0" w:space="0" w:color="auto"/>
        <w:left w:val="none" w:sz="0" w:space="0" w:color="auto"/>
        <w:bottom w:val="none" w:sz="0" w:space="0" w:color="auto"/>
        <w:right w:val="none" w:sz="0" w:space="0" w:color="auto"/>
      </w:divBdr>
    </w:div>
    <w:div w:id="1486975491">
      <w:bodyDiv w:val="1"/>
      <w:marLeft w:val="0"/>
      <w:marRight w:val="0"/>
      <w:marTop w:val="0"/>
      <w:marBottom w:val="0"/>
      <w:divBdr>
        <w:top w:val="none" w:sz="0" w:space="0" w:color="auto"/>
        <w:left w:val="none" w:sz="0" w:space="0" w:color="auto"/>
        <w:bottom w:val="none" w:sz="0" w:space="0" w:color="auto"/>
        <w:right w:val="none" w:sz="0" w:space="0" w:color="auto"/>
      </w:divBdr>
    </w:div>
    <w:div w:id="1492285705">
      <w:bodyDiv w:val="1"/>
      <w:marLeft w:val="0"/>
      <w:marRight w:val="0"/>
      <w:marTop w:val="0"/>
      <w:marBottom w:val="0"/>
      <w:divBdr>
        <w:top w:val="none" w:sz="0" w:space="0" w:color="auto"/>
        <w:left w:val="none" w:sz="0" w:space="0" w:color="auto"/>
        <w:bottom w:val="none" w:sz="0" w:space="0" w:color="auto"/>
        <w:right w:val="none" w:sz="0" w:space="0" w:color="auto"/>
      </w:divBdr>
    </w:div>
    <w:div w:id="1563296126">
      <w:bodyDiv w:val="1"/>
      <w:marLeft w:val="0"/>
      <w:marRight w:val="0"/>
      <w:marTop w:val="0"/>
      <w:marBottom w:val="0"/>
      <w:divBdr>
        <w:top w:val="none" w:sz="0" w:space="0" w:color="auto"/>
        <w:left w:val="none" w:sz="0" w:space="0" w:color="auto"/>
        <w:bottom w:val="none" w:sz="0" w:space="0" w:color="auto"/>
        <w:right w:val="none" w:sz="0" w:space="0" w:color="auto"/>
      </w:divBdr>
    </w:div>
    <w:div w:id="1589995391">
      <w:bodyDiv w:val="1"/>
      <w:marLeft w:val="0"/>
      <w:marRight w:val="0"/>
      <w:marTop w:val="0"/>
      <w:marBottom w:val="0"/>
      <w:divBdr>
        <w:top w:val="none" w:sz="0" w:space="0" w:color="auto"/>
        <w:left w:val="none" w:sz="0" w:space="0" w:color="auto"/>
        <w:bottom w:val="none" w:sz="0" w:space="0" w:color="auto"/>
        <w:right w:val="none" w:sz="0" w:space="0" w:color="auto"/>
      </w:divBdr>
    </w:div>
    <w:div w:id="1603800581">
      <w:bodyDiv w:val="1"/>
      <w:marLeft w:val="0"/>
      <w:marRight w:val="0"/>
      <w:marTop w:val="0"/>
      <w:marBottom w:val="0"/>
      <w:divBdr>
        <w:top w:val="none" w:sz="0" w:space="0" w:color="auto"/>
        <w:left w:val="none" w:sz="0" w:space="0" w:color="auto"/>
        <w:bottom w:val="none" w:sz="0" w:space="0" w:color="auto"/>
        <w:right w:val="none" w:sz="0" w:space="0" w:color="auto"/>
      </w:divBdr>
    </w:div>
    <w:div w:id="1621110048">
      <w:bodyDiv w:val="1"/>
      <w:marLeft w:val="0"/>
      <w:marRight w:val="0"/>
      <w:marTop w:val="0"/>
      <w:marBottom w:val="0"/>
      <w:divBdr>
        <w:top w:val="none" w:sz="0" w:space="0" w:color="auto"/>
        <w:left w:val="none" w:sz="0" w:space="0" w:color="auto"/>
        <w:bottom w:val="none" w:sz="0" w:space="0" w:color="auto"/>
        <w:right w:val="none" w:sz="0" w:space="0" w:color="auto"/>
      </w:divBdr>
    </w:div>
    <w:div w:id="1622760854">
      <w:bodyDiv w:val="1"/>
      <w:marLeft w:val="0"/>
      <w:marRight w:val="0"/>
      <w:marTop w:val="0"/>
      <w:marBottom w:val="0"/>
      <w:divBdr>
        <w:top w:val="none" w:sz="0" w:space="0" w:color="auto"/>
        <w:left w:val="none" w:sz="0" w:space="0" w:color="auto"/>
        <w:bottom w:val="none" w:sz="0" w:space="0" w:color="auto"/>
        <w:right w:val="none" w:sz="0" w:space="0" w:color="auto"/>
      </w:divBdr>
      <w:divsChild>
        <w:div w:id="486626396">
          <w:marLeft w:val="0"/>
          <w:marRight w:val="0"/>
          <w:marTop w:val="0"/>
          <w:marBottom w:val="0"/>
          <w:divBdr>
            <w:top w:val="none" w:sz="0" w:space="0" w:color="auto"/>
            <w:left w:val="none" w:sz="0" w:space="0" w:color="auto"/>
            <w:bottom w:val="none" w:sz="0" w:space="0" w:color="auto"/>
            <w:right w:val="none" w:sz="0" w:space="0" w:color="auto"/>
          </w:divBdr>
          <w:divsChild>
            <w:div w:id="471213086">
              <w:marLeft w:val="0"/>
              <w:marRight w:val="0"/>
              <w:marTop w:val="0"/>
              <w:marBottom w:val="0"/>
              <w:divBdr>
                <w:top w:val="none" w:sz="0" w:space="0" w:color="auto"/>
                <w:left w:val="none" w:sz="0" w:space="0" w:color="auto"/>
                <w:bottom w:val="none" w:sz="0" w:space="0" w:color="auto"/>
                <w:right w:val="none" w:sz="0" w:space="0" w:color="auto"/>
              </w:divBdr>
              <w:divsChild>
                <w:div w:id="200021725">
                  <w:marLeft w:val="0"/>
                  <w:marRight w:val="0"/>
                  <w:marTop w:val="0"/>
                  <w:marBottom w:val="0"/>
                  <w:divBdr>
                    <w:top w:val="none" w:sz="0" w:space="0" w:color="auto"/>
                    <w:left w:val="none" w:sz="0" w:space="0" w:color="auto"/>
                    <w:bottom w:val="none" w:sz="0" w:space="0" w:color="auto"/>
                    <w:right w:val="none" w:sz="0" w:space="0" w:color="auto"/>
                  </w:divBdr>
                </w:div>
              </w:divsChild>
            </w:div>
            <w:div w:id="1700163996">
              <w:marLeft w:val="0"/>
              <w:marRight w:val="0"/>
              <w:marTop w:val="0"/>
              <w:marBottom w:val="0"/>
              <w:divBdr>
                <w:top w:val="none" w:sz="0" w:space="0" w:color="auto"/>
                <w:left w:val="none" w:sz="0" w:space="0" w:color="auto"/>
                <w:bottom w:val="none" w:sz="0" w:space="0" w:color="auto"/>
                <w:right w:val="none" w:sz="0" w:space="0" w:color="auto"/>
              </w:divBdr>
              <w:divsChild>
                <w:div w:id="89394440">
                  <w:marLeft w:val="0"/>
                  <w:marRight w:val="0"/>
                  <w:marTop w:val="0"/>
                  <w:marBottom w:val="0"/>
                  <w:divBdr>
                    <w:top w:val="none" w:sz="0" w:space="0" w:color="auto"/>
                    <w:left w:val="none" w:sz="0" w:space="0" w:color="auto"/>
                    <w:bottom w:val="none" w:sz="0" w:space="0" w:color="auto"/>
                    <w:right w:val="none" w:sz="0" w:space="0" w:color="auto"/>
                  </w:divBdr>
                  <w:divsChild>
                    <w:div w:id="515506326">
                      <w:marLeft w:val="0"/>
                      <w:marRight w:val="0"/>
                      <w:marTop w:val="0"/>
                      <w:marBottom w:val="0"/>
                      <w:divBdr>
                        <w:top w:val="none" w:sz="0" w:space="0" w:color="auto"/>
                        <w:left w:val="none" w:sz="0" w:space="0" w:color="auto"/>
                        <w:bottom w:val="none" w:sz="0" w:space="0" w:color="auto"/>
                        <w:right w:val="none" w:sz="0" w:space="0" w:color="auto"/>
                      </w:divBdr>
                    </w:div>
                  </w:divsChild>
                </w:div>
                <w:div w:id="859733208">
                  <w:marLeft w:val="0"/>
                  <w:marRight w:val="0"/>
                  <w:marTop w:val="0"/>
                  <w:marBottom w:val="0"/>
                  <w:divBdr>
                    <w:top w:val="none" w:sz="0" w:space="0" w:color="auto"/>
                    <w:left w:val="none" w:sz="0" w:space="0" w:color="auto"/>
                    <w:bottom w:val="none" w:sz="0" w:space="0" w:color="auto"/>
                    <w:right w:val="none" w:sz="0" w:space="0" w:color="auto"/>
                  </w:divBdr>
                </w:div>
              </w:divsChild>
            </w:div>
            <w:div w:id="1927495037">
              <w:marLeft w:val="0"/>
              <w:marRight w:val="0"/>
              <w:marTop w:val="0"/>
              <w:marBottom w:val="0"/>
              <w:divBdr>
                <w:top w:val="none" w:sz="0" w:space="0" w:color="auto"/>
                <w:left w:val="none" w:sz="0" w:space="0" w:color="auto"/>
                <w:bottom w:val="none" w:sz="0" w:space="0" w:color="auto"/>
                <w:right w:val="none" w:sz="0" w:space="0" w:color="auto"/>
              </w:divBdr>
              <w:divsChild>
                <w:div w:id="2051488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1667399">
      <w:bodyDiv w:val="1"/>
      <w:marLeft w:val="0"/>
      <w:marRight w:val="0"/>
      <w:marTop w:val="0"/>
      <w:marBottom w:val="0"/>
      <w:divBdr>
        <w:top w:val="none" w:sz="0" w:space="0" w:color="auto"/>
        <w:left w:val="none" w:sz="0" w:space="0" w:color="auto"/>
        <w:bottom w:val="none" w:sz="0" w:space="0" w:color="auto"/>
        <w:right w:val="none" w:sz="0" w:space="0" w:color="auto"/>
      </w:divBdr>
      <w:divsChild>
        <w:div w:id="1865359715">
          <w:marLeft w:val="0"/>
          <w:marRight w:val="0"/>
          <w:marTop w:val="0"/>
          <w:marBottom w:val="0"/>
          <w:divBdr>
            <w:top w:val="none" w:sz="0" w:space="0" w:color="auto"/>
            <w:left w:val="none" w:sz="0" w:space="0" w:color="auto"/>
            <w:bottom w:val="none" w:sz="0" w:space="0" w:color="auto"/>
            <w:right w:val="none" w:sz="0" w:space="0" w:color="auto"/>
          </w:divBdr>
          <w:divsChild>
            <w:div w:id="1999457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3873882">
      <w:bodyDiv w:val="1"/>
      <w:marLeft w:val="0"/>
      <w:marRight w:val="0"/>
      <w:marTop w:val="0"/>
      <w:marBottom w:val="0"/>
      <w:divBdr>
        <w:top w:val="none" w:sz="0" w:space="0" w:color="auto"/>
        <w:left w:val="none" w:sz="0" w:space="0" w:color="auto"/>
        <w:bottom w:val="none" w:sz="0" w:space="0" w:color="auto"/>
        <w:right w:val="none" w:sz="0" w:space="0" w:color="auto"/>
      </w:divBdr>
    </w:div>
    <w:div w:id="1670477129">
      <w:bodyDiv w:val="1"/>
      <w:marLeft w:val="0"/>
      <w:marRight w:val="0"/>
      <w:marTop w:val="0"/>
      <w:marBottom w:val="0"/>
      <w:divBdr>
        <w:top w:val="none" w:sz="0" w:space="0" w:color="auto"/>
        <w:left w:val="none" w:sz="0" w:space="0" w:color="auto"/>
        <w:bottom w:val="none" w:sz="0" w:space="0" w:color="auto"/>
        <w:right w:val="none" w:sz="0" w:space="0" w:color="auto"/>
      </w:divBdr>
    </w:div>
    <w:div w:id="1681421470">
      <w:bodyDiv w:val="1"/>
      <w:marLeft w:val="0"/>
      <w:marRight w:val="0"/>
      <w:marTop w:val="0"/>
      <w:marBottom w:val="0"/>
      <w:divBdr>
        <w:top w:val="none" w:sz="0" w:space="0" w:color="auto"/>
        <w:left w:val="none" w:sz="0" w:space="0" w:color="auto"/>
        <w:bottom w:val="none" w:sz="0" w:space="0" w:color="auto"/>
        <w:right w:val="none" w:sz="0" w:space="0" w:color="auto"/>
      </w:divBdr>
    </w:div>
    <w:div w:id="1718236338">
      <w:bodyDiv w:val="1"/>
      <w:marLeft w:val="0"/>
      <w:marRight w:val="0"/>
      <w:marTop w:val="0"/>
      <w:marBottom w:val="0"/>
      <w:divBdr>
        <w:top w:val="none" w:sz="0" w:space="0" w:color="auto"/>
        <w:left w:val="none" w:sz="0" w:space="0" w:color="auto"/>
        <w:bottom w:val="none" w:sz="0" w:space="0" w:color="auto"/>
        <w:right w:val="none" w:sz="0" w:space="0" w:color="auto"/>
      </w:divBdr>
      <w:divsChild>
        <w:div w:id="143352354">
          <w:marLeft w:val="0"/>
          <w:marRight w:val="0"/>
          <w:marTop w:val="0"/>
          <w:marBottom w:val="0"/>
          <w:divBdr>
            <w:top w:val="none" w:sz="0" w:space="0" w:color="auto"/>
            <w:left w:val="none" w:sz="0" w:space="0" w:color="auto"/>
            <w:bottom w:val="none" w:sz="0" w:space="0" w:color="auto"/>
            <w:right w:val="none" w:sz="0" w:space="0" w:color="auto"/>
          </w:divBdr>
          <w:divsChild>
            <w:div w:id="516774301">
              <w:marLeft w:val="0"/>
              <w:marRight w:val="0"/>
              <w:marTop w:val="0"/>
              <w:marBottom w:val="0"/>
              <w:divBdr>
                <w:top w:val="none" w:sz="0" w:space="0" w:color="auto"/>
                <w:left w:val="none" w:sz="0" w:space="0" w:color="auto"/>
                <w:bottom w:val="none" w:sz="0" w:space="0" w:color="auto"/>
                <w:right w:val="none" w:sz="0" w:space="0" w:color="auto"/>
              </w:divBdr>
            </w:div>
            <w:div w:id="1389262680">
              <w:marLeft w:val="0"/>
              <w:marRight w:val="0"/>
              <w:marTop w:val="0"/>
              <w:marBottom w:val="0"/>
              <w:divBdr>
                <w:top w:val="none" w:sz="0" w:space="0" w:color="auto"/>
                <w:left w:val="none" w:sz="0" w:space="0" w:color="auto"/>
                <w:bottom w:val="none" w:sz="0" w:space="0" w:color="auto"/>
                <w:right w:val="none" w:sz="0" w:space="0" w:color="auto"/>
              </w:divBdr>
              <w:divsChild>
                <w:div w:id="2060126591">
                  <w:marLeft w:val="0"/>
                  <w:marRight w:val="0"/>
                  <w:marTop w:val="0"/>
                  <w:marBottom w:val="0"/>
                  <w:divBdr>
                    <w:top w:val="none" w:sz="0" w:space="0" w:color="auto"/>
                    <w:left w:val="none" w:sz="0" w:space="0" w:color="auto"/>
                    <w:bottom w:val="none" w:sz="0" w:space="0" w:color="auto"/>
                    <w:right w:val="none" w:sz="0" w:space="0" w:color="auto"/>
                  </w:divBdr>
                  <w:divsChild>
                    <w:div w:id="925847861">
                      <w:marLeft w:val="0"/>
                      <w:marRight w:val="0"/>
                      <w:marTop w:val="0"/>
                      <w:marBottom w:val="0"/>
                      <w:divBdr>
                        <w:top w:val="none" w:sz="0" w:space="0" w:color="auto"/>
                        <w:left w:val="none" w:sz="0" w:space="0" w:color="auto"/>
                        <w:bottom w:val="none" w:sz="0" w:space="0" w:color="auto"/>
                        <w:right w:val="none" w:sz="0" w:space="0" w:color="auto"/>
                      </w:divBdr>
                      <w:divsChild>
                        <w:div w:id="3639439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55934581">
          <w:marLeft w:val="0"/>
          <w:marRight w:val="0"/>
          <w:marTop w:val="0"/>
          <w:marBottom w:val="0"/>
          <w:divBdr>
            <w:top w:val="none" w:sz="0" w:space="0" w:color="auto"/>
            <w:left w:val="none" w:sz="0" w:space="0" w:color="auto"/>
            <w:bottom w:val="none" w:sz="0" w:space="0" w:color="auto"/>
            <w:right w:val="none" w:sz="0" w:space="0" w:color="auto"/>
          </w:divBdr>
          <w:divsChild>
            <w:div w:id="1515415203">
              <w:marLeft w:val="0"/>
              <w:marRight w:val="0"/>
              <w:marTop w:val="0"/>
              <w:marBottom w:val="0"/>
              <w:divBdr>
                <w:top w:val="none" w:sz="0" w:space="0" w:color="auto"/>
                <w:left w:val="none" w:sz="0" w:space="0" w:color="auto"/>
                <w:bottom w:val="none" w:sz="0" w:space="0" w:color="auto"/>
                <w:right w:val="none" w:sz="0" w:space="0" w:color="auto"/>
              </w:divBdr>
            </w:div>
          </w:divsChild>
        </w:div>
        <w:div w:id="1272667990">
          <w:marLeft w:val="0"/>
          <w:marRight w:val="0"/>
          <w:marTop w:val="0"/>
          <w:marBottom w:val="0"/>
          <w:divBdr>
            <w:top w:val="none" w:sz="0" w:space="0" w:color="auto"/>
            <w:left w:val="none" w:sz="0" w:space="0" w:color="auto"/>
            <w:bottom w:val="none" w:sz="0" w:space="0" w:color="auto"/>
            <w:right w:val="none" w:sz="0" w:space="0" w:color="auto"/>
          </w:divBdr>
          <w:divsChild>
            <w:div w:id="1565600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4594215">
      <w:bodyDiv w:val="1"/>
      <w:marLeft w:val="0"/>
      <w:marRight w:val="0"/>
      <w:marTop w:val="0"/>
      <w:marBottom w:val="0"/>
      <w:divBdr>
        <w:top w:val="none" w:sz="0" w:space="0" w:color="auto"/>
        <w:left w:val="none" w:sz="0" w:space="0" w:color="auto"/>
        <w:bottom w:val="none" w:sz="0" w:space="0" w:color="auto"/>
        <w:right w:val="none" w:sz="0" w:space="0" w:color="auto"/>
      </w:divBdr>
    </w:div>
    <w:div w:id="1729723784">
      <w:bodyDiv w:val="1"/>
      <w:marLeft w:val="0"/>
      <w:marRight w:val="0"/>
      <w:marTop w:val="0"/>
      <w:marBottom w:val="0"/>
      <w:divBdr>
        <w:top w:val="none" w:sz="0" w:space="0" w:color="auto"/>
        <w:left w:val="none" w:sz="0" w:space="0" w:color="auto"/>
        <w:bottom w:val="none" w:sz="0" w:space="0" w:color="auto"/>
        <w:right w:val="none" w:sz="0" w:space="0" w:color="auto"/>
      </w:divBdr>
    </w:div>
    <w:div w:id="1730374835">
      <w:bodyDiv w:val="1"/>
      <w:marLeft w:val="0"/>
      <w:marRight w:val="0"/>
      <w:marTop w:val="0"/>
      <w:marBottom w:val="0"/>
      <w:divBdr>
        <w:top w:val="none" w:sz="0" w:space="0" w:color="auto"/>
        <w:left w:val="none" w:sz="0" w:space="0" w:color="auto"/>
        <w:bottom w:val="none" w:sz="0" w:space="0" w:color="auto"/>
        <w:right w:val="none" w:sz="0" w:space="0" w:color="auto"/>
      </w:divBdr>
    </w:div>
    <w:div w:id="1755275106">
      <w:bodyDiv w:val="1"/>
      <w:marLeft w:val="0"/>
      <w:marRight w:val="0"/>
      <w:marTop w:val="0"/>
      <w:marBottom w:val="0"/>
      <w:divBdr>
        <w:top w:val="none" w:sz="0" w:space="0" w:color="auto"/>
        <w:left w:val="none" w:sz="0" w:space="0" w:color="auto"/>
        <w:bottom w:val="none" w:sz="0" w:space="0" w:color="auto"/>
        <w:right w:val="none" w:sz="0" w:space="0" w:color="auto"/>
      </w:divBdr>
    </w:div>
    <w:div w:id="1767647897">
      <w:bodyDiv w:val="1"/>
      <w:marLeft w:val="0"/>
      <w:marRight w:val="0"/>
      <w:marTop w:val="0"/>
      <w:marBottom w:val="0"/>
      <w:divBdr>
        <w:top w:val="none" w:sz="0" w:space="0" w:color="auto"/>
        <w:left w:val="none" w:sz="0" w:space="0" w:color="auto"/>
        <w:bottom w:val="none" w:sz="0" w:space="0" w:color="auto"/>
        <w:right w:val="none" w:sz="0" w:space="0" w:color="auto"/>
      </w:divBdr>
    </w:div>
    <w:div w:id="1769502077">
      <w:bodyDiv w:val="1"/>
      <w:marLeft w:val="0"/>
      <w:marRight w:val="0"/>
      <w:marTop w:val="0"/>
      <w:marBottom w:val="0"/>
      <w:divBdr>
        <w:top w:val="none" w:sz="0" w:space="0" w:color="auto"/>
        <w:left w:val="none" w:sz="0" w:space="0" w:color="auto"/>
        <w:bottom w:val="none" w:sz="0" w:space="0" w:color="auto"/>
        <w:right w:val="none" w:sz="0" w:space="0" w:color="auto"/>
      </w:divBdr>
    </w:div>
    <w:div w:id="1771000200">
      <w:bodyDiv w:val="1"/>
      <w:marLeft w:val="0"/>
      <w:marRight w:val="0"/>
      <w:marTop w:val="0"/>
      <w:marBottom w:val="0"/>
      <w:divBdr>
        <w:top w:val="none" w:sz="0" w:space="0" w:color="auto"/>
        <w:left w:val="none" w:sz="0" w:space="0" w:color="auto"/>
        <w:bottom w:val="none" w:sz="0" w:space="0" w:color="auto"/>
        <w:right w:val="none" w:sz="0" w:space="0" w:color="auto"/>
      </w:divBdr>
    </w:div>
    <w:div w:id="1834295696">
      <w:bodyDiv w:val="1"/>
      <w:marLeft w:val="0"/>
      <w:marRight w:val="0"/>
      <w:marTop w:val="0"/>
      <w:marBottom w:val="0"/>
      <w:divBdr>
        <w:top w:val="none" w:sz="0" w:space="0" w:color="auto"/>
        <w:left w:val="none" w:sz="0" w:space="0" w:color="auto"/>
        <w:bottom w:val="none" w:sz="0" w:space="0" w:color="auto"/>
        <w:right w:val="none" w:sz="0" w:space="0" w:color="auto"/>
      </w:divBdr>
    </w:div>
    <w:div w:id="1915622986">
      <w:bodyDiv w:val="1"/>
      <w:marLeft w:val="0"/>
      <w:marRight w:val="0"/>
      <w:marTop w:val="0"/>
      <w:marBottom w:val="0"/>
      <w:divBdr>
        <w:top w:val="none" w:sz="0" w:space="0" w:color="auto"/>
        <w:left w:val="none" w:sz="0" w:space="0" w:color="auto"/>
        <w:bottom w:val="none" w:sz="0" w:space="0" w:color="auto"/>
        <w:right w:val="none" w:sz="0" w:space="0" w:color="auto"/>
      </w:divBdr>
      <w:divsChild>
        <w:div w:id="2112698812">
          <w:marLeft w:val="0"/>
          <w:marRight w:val="0"/>
          <w:marTop w:val="0"/>
          <w:marBottom w:val="0"/>
          <w:divBdr>
            <w:top w:val="none" w:sz="0" w:space="0" w:color="auto"/>
            <w:left w:val="none" w:sz="0" w:space="0" w:color="auto"/>
            <w:bottom w:val="none" w:sz="0" w:space="0" w:color="auto"/>
            <w:right w:val="none" w:sz="0" w:space="0" w:color="auto"/>
          </w:divBdr>
          <w:divsChild>
            <w:div w:id="1468426941">
              <w:marLeft w:val="0"/>
              <w:marRight w:val="0"/>
              <w:marTop w:val="0"/>
              <w:marBottom w:val="0"/>
              <w:divBdr>
                <w:top w:val="none" w:sz="0" w:space="0" w:color="auto"/>
                <w:left w:val="none" w:sz="0" w:space="0" w:color="auto"/>
                <w:bottom w:val="none" w:sz="0" w:space="0" w:color="auto"/>
                <w:right w:val="none" w:sz="0" w:space="0" w:color="auto"/>
              </w:divBdr>
              <w:divsChild>
                <w:div w:id="1628778381">
                  <w:marLeft w:val="0"/>
                  <w:marRight w:val="0"/>
                  <w:marTop w:val="0"/>
                  <w:marBottom w:val="0"/>
                  <w:divBdr>
                    <w:top w:val="none" w:sz="0" w:space="0" w:color="auto"/>
                    <w:left w:val="none" w:sz="0" w:space="0" w:color="auto"/>
                    <w:bottom w:val="none" w:sz="0" w:space="0" w:color="auto"/>
                    <w:right w:val="none" w:sz="0" w:space="0" w:color="auto"/>
                  </w:divBdr>
                  <w:divsChild>
                    <w:div w:id="1856964231">
                      <w:marLeft w:val="0"/>
                      <w:marRight w:val="0"/>
                      <w:marTop w:val="0"/>
                      <w:marBottom w:val="0"/>
                      <w:divBdr>
                        <w:top w:val="none" w:sz="0" w:space="0" w:color="auto"/>
                        <w:left w:val="none" w:sz="0" w:space="0" w:color="auto"/>
                        <w:bottom w:val="none" w:sz="0" w:space="0" w:color="auto"/>
                        <w:right w:val="none" w:sz="0" w:space="0" w:color="auto"/>
                      </w:divBdr>
                      <w:divsChild>
                        <w:div w:id="1551847442">
                          <w:marLeft w:val="0"/>
                          <w:marRight w:val="0"/>
                          <w:marTop w:val="0"/>
                          <w:marBottom w:val="0"/>
                          <w:divBdr>
                            <w:top w:val="none" w:sz="0" w:space="0" w:color="auto"/>
                            <w:left w:val="none" w:sz="0" w:space="0" w:color="auto"/>
                            <w:bottom w:val="none" w:sz="0" w:space="0" w:color="auto"/>
                            <w:right w:val="none" w:sz="0" w:space="0" w:color="auto"/>
                          </w:divBdr>
                          <w:divsChild>
                            <w:div w:id="1580676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39824337">
      <w:bodyDiv w:val="1"/>
      <w:marLeft w:val="0"/>
      <w:marRight w:val="0"/>
      <w:marTop w:val="0"/>
      <w:marBottom w:val="0"/>
      <w:divBdr>
        <w:top w:val="none" w:sz="0" w:space="0" w:color="auto"/>
        <w:left w:val="none" w:sz="0" w:space="0" w:color="auto"/>
        <w:bottom w:val="none" w:sz="0" w:space="0" w:color="auto"/>
        <w:right w:val="none" w:sz="0" w:space="0" w:color="auto"/>
      </w:divBdr>
    </w:div>
    <w:div w:id="1944991035">
      <w:bodyDiv w:val="1"/>
      <w:marLeft w:val="0"/>
      <w:marRight w:val="0"/>
      <w:marTop w:val="0"/>
      <w:marBottom w:val="0"/>
      <w:divBdr>
        <w:top w:val="none" w:sz="0" w:space="0" w:color="auto"/>
        <w:left w:val="none" w:sz="0" w:space="0" w:color="auto"/>
        <w:bottom w:val="none" w:sz="0" w:space="0" w:color="auto"/>
        <w:right w:val="none" w:sz="0" w:space="0" w:color="auto"/>
      </w:divBdr>
    </w:div>
    <w:div w:id="2044357334">
      <w:bodyDiv w:val="1"/>
      <w:marLeft w:val="0"/>
      <w:marRight w:val="0"/>
      <w:marTop w:val="0"/>
      <w:marBottom w:val="0"/>
      <w:divBdr>
        <w:top w:val="none" w:sz="0" w:space="0" w:color="auto"/>
        <w:left w:val="none" w:sz="0" w:space="0" w:color="auto"/>
        <w:bottom w:val="none" w:sz="0" w:space="0" w:color="auto"/>
        <w:right w:val="none" w:sz="0" w:space="0" w:color="auto"/>
      </w:divBdr>
    </w:div>
    <w:div w:id="2087339066">
      <w:bodyDiv w:val="1"/>
      <w:marLeft w:val="0"/>
      <w:marRight w:val="0"/>
      <w:marTop w:val="0"/>
      <w:marBottom w:val="0"/>
      <w:divBdr>
        <w:top w:val="none" w:sz="0" w:space="0" w:color="auto"/>
        <w:left w:val="none" w:sz="0" w:space="0" w:color="auto"/>
        <w:bottom w:val="none" w:sz="0" w:space="0" w:color="auto"/>
        <w:right w:val="none" w:sz="0" w:space="0" w:color="auto"/>
      </w:divBdr>
    </w:div>
    <w:div w:id="209335414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s://ourworldindata.org/coronavirus"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oecd.org"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imf.org"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www.ecdc.europa.eu" TargetMode="Externa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TotalTime>
  <Pages>21</Pages>
  <Words>6949</Words>
  <Characters>39611</Characters>
  <Application>Microsoft Office Word</Application>
  <DocSecurity>0</DocSecurity>
  <Lines>330</Lines>
  <Paragraphs>92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46468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Steve Pearson</dc:creator>
  <cp:keywords/>
  <dc:description/>
  <cp:lastModifiedBy>Steve Pearson</cp:lastModifiedBy>
  <cp:revision>2</cp:revision>
  <dcterms:created xsi:type="dcterms:W3CDTF">2025-12-15T22:31:00Z</dcterms:created>
  <dcterms:modified xsi:type="dcterms:W3CDTF">2025-12-15T22:31:00Z</dcterms:modified>
</cp:coreProperties>
</file>