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E39AB" w14:textId="77777777" w:rsidR="00685290" w:rsidRPr="00685290" w:rsidRDefault="00685290" w:rsidP="00685290">
      <w:pPr>
        <w:jc w:val="center"/>
        <w:rPr>
          <w:rFonts w:ascii="Arial" w:hAnsi="Arial" w:cs="Arial"/>
          <w:lang w:val="en-US"/>
        </w:rPr>
      </w:pPr>
      <w:r w:rsidRPr="00685290">
        <w:rPr>
          <w:rFonts w:ascii="Arial" w:hAnsi="Arial" w:cs="Arial"/>
          <w:noProof/>
        </w:rPr>
        <w:drawing>
          <wp:inline distT="0" distB="0" distL="0" distR="0" wp14:anchorId="4EC7CCA5" wp14:editId="6202A4C4">
            <wp:extent cx="4006850" cy="1673359"/>
            <wp:effectExtent l="0" t="0" r="0" b="3175"/>
            <wp:docPr id="12654193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5265" cy="1676873"/>
                    </a:xfrm>
                    <a:prstGeom prst="rect">
                      <a:avLst/>
                    </a:prstGeom>
                    <a:noFill/>
                    <a:ln>
                      <a:noFill/>
                    </a:ln>
                  </pic:spPr>
                </pic:pic>
              </a:graphicData>
            </a:graphic>
          </wp:inline>
        </w:drawing>
      </w:r>
    </w:p>
    <w:p w14:paraId="0B870A2D" w14:textId="77777777" w:rsidR="00685290" w:rsidRPr="00685290" w:rsidRDefault="00685290" w:rsidP="00685290">
      <w:pPr>
        <w:jc w:val="center"/>
        <w:rPr>
          <w:rFonts w:ascii="Arial" w:hAnsi="Arial" w:cs="Arial"/>
          <w:lang w:val="en-US"/>
        </w:rPr>
      </w:pPr>
    </w:p>
    <w:p w14:paraId="569E0489" w14:textId="77777777" w:rsidR="00685290" w:rsidRPr="00685290" w:rsidRDefault="00685290" w:rsidP="00685290">
      <w:pPr>
        <w:jc w:val="center"/>
        <w:rPr>
          <w:rFonts w:ascii="Arial" w:hAnsi="Arial" w:cs="Arial"/>
          <w:b/>
          <w:bCs/>
          <w:sz w:val="36"/>
          <w:szCs w:val="36"/>
        </w:rPr>
      </w:pPr>
      <w:r w:rsidRPr="00685290">
        <w:rPr>
          <w:rFonts w:ascii="Arial" w:hAnsi="Arial" w:cs="Arial"/>
          <w:b/>
          <w:bCs/>
          <w:sz w:val="28"/>
          <w:szCs w:val="28"/>
          <w:lang w:val="en-US"/>
        </w:rPr>
        <w:t xml:space="preserve">Research Title: </w:t>
      </w:r>
      <w:r w:rsidRPr="00685290">
        <w:rPr>
          <w:rFonts w:ascii="Arial" w:hAnsi="Arial" w:cs="Arial"/>
          <w:b/>
          <w:bCs/>
          <w:sz w:val="28"/>
          <w:szCs w:val="28"/>
        </w:rPr>
        <w:t>The impact of integrated marketing communications on brand equity: an analysis of McDonald's in the UK</w:t>
      </w:r>
    </w:p>
    <w:p w14:paraId="0720F1B6" w14:textId="77777777" w:rsidR="00685290" w:rsidRPr="00685290" w:rsidRDefault="00685290" w:rsidP="00685290">
      <w:pPr>
        <w:jc w:val="center"/>
        <w:rPr>
          <w:rFonts w:ascii="Arial" w:hAnsi="Arial" w:cs="Arial"/>
          <w:sz w:val="28"/>
          <w:szCs w:val="28"/>
        </w:rPr>
      </w:pPr>
      <w:r w:rsidRPr="00685290">
        <w:rPr>
          <w:rFonts w:ascii="Arial" w:hAnsi="Arial" w:cs="Arial"/>
          <w:b/>
          <w:bCs/>
          <w:sz w:val="28"/>
          <w:szCs w:val="28"/>
        </w:rPr>
        <w:t>Programme:</w:t>
      </w:r>
      <w:r w:rsidRPr="00685290">
        <w:rPr>
          <w:rFonts w:ascii="Arial" w:hAnsi="Arial" w:cs="Arial"/>
          <w:sz w:val="28"/>
          <w:szCs w:val="28"/>
        </w:rPr>
        <w:t xml:space="preserve"> Master of Business Administration </w:t>
      </w:r>
    </w:p>
    <w:p w14:paraId="15E582D9" w14:textId="77777777" w:rsidR="00685290" w:rsidRPr="00685290" w:rsidRDefault="00685290" w:rsidP="00685290">
      <w:pPr>
        <w:jc w:val="center"/>
        <w:rPr>
          <w:rFonts w:ascii="Arial" w:hAnsi="Arial" w:cs="Arial"/>
          <w:sz w:val="28"/>
          <w:szCs w:val="28"/>
        </w:rPr>
      </w:pPr>
      <w:r w:rsidRPr="00685290">
        <w:rPr>
          <w:rFonts w:ascii="Arial" w:hAnsi="Arial" w:cs="Arial"/>
          <w:b/>
          <w:bCs/>
          <w:sz w:val="28"/>
          <w:szCs w:val="28"/>
        </w:rPr>
        <w:t>Module:</w:t>
      </w:r>
      <w:r w:rsidRPr="00685290">
        <w:rPr>
          <w:rFonts w:ascii="Arial" w:hAnsi="Arial" w:cs="Arial"/>
          <w:sz w:val="28"/>
          <w:szCs w:val="28"/>
        </w:rPr>
        <w:t xml:space="preserve"> Dissertation</w:t>
      </w:r>
    </w:p>
    <w:p w14:paraId="20D98D5C" w14:textId="77777777" w:rsidR="00685290" w:rsidRPr="00685290" w:rsidRDefault="00685290" w:rsidP="00685290">
      <w:pPr>
        <w:jc w:val="center"/>
        <w:rPr>
          <w:rFonts w:ascii="Arial" w:hAnsi="Arial" w:cs="Arial"/>
          <w:sz w:val="28"/>
          <w:szCs w:val="28"/>
        </w:rPr>
      </w:pPr>
      <w:r w:rsidRPr="00685290">
        <w:rPr>
          <w:rFonts w:ascii="Arial" w:hAnsi="Arial" w:cs="Arial"/>
          <w:b/>
          <w:bCs/>
          <w:sz w:val="28"/>
          <w:szCs w:val="28"/>
        </w:rPr>
        <w:t>Module code:</w:t>
      </w:r>
      <w:r w:rsidRPr="00685290">
        <w:rPr>
          <w:rFonts w:ascii="Arial" w:hAnsi="Arial" w:cs="Arial"/>
          <w:sz w:val="28"/>
          <w:szCs w:val="28"/>
        </w:rPr>
        <w:t xml:space="preserve"> LCMB7035</w:t>
      </w:r>
    </w:p>
    <w:p w14:paraId="5510C3AF" w14:textId="77777777" w:rsidR="00685290" w:rsidRPr="00685290" w:rsidRDefault="00685290" w:rsidP="00685290">
      <w:pPr>
        <w:jc w:val="center"/>
        <w:rPr>
          <w:rFonts w:ascii="Arial" w:hAnsi="Arial" w:cs="Arial"/>
        </w:rPr>
      </w:pPr>
      <w:r w:rsidRPr="00685290">
        <w:rPr>
          <w:rFonts w:ascii="Arial" w:hAnsi="Arial" w:cs="Arial"/>
          <w:b/>
          <w:bCs/>
          <w:sz w:val="28"/>
          <w:szCs w:val="28"/>
        </w:rPr>
        <w:t>Supervisor name:</w:t>
      </w:r>
      <w:r w:rsidRPr="00685290">
        <w:rPr>
          <w:rFonts w:ascii="Arial" w:hAnsi="Arial" w:cs="Arial"/>
          <w:sz w:val="28"/>
          <w:szCs w:val="28"/>
        </w:rPr>
        <w:t xml:space="preserve"> </w:t>
      </w:r>
      <w:r w:rsidRPr="00685290">
        <w:rPr>
          <w:rFonts w:ascii="Arial" w:hAnsi="Arial" w:cs="Arial"/>
        </w:rPr>
        <w:t xml:space="preserve">Tushara </w:t>
      </w:r>
      <w:proofErr w:type="spellStart"/>
      <w:r w:rsidRPr="00685290">
        <w:rPr>
          <w:rFonts w:ascii="Arial" w:hAnsi="Arial" w:cs="Arial"/>
        </w:rPr>
        <w:t>Balendran</w:t>
      </w:r>
      <w:proofErr w:type="spellEnd"/>
    </w:p>
    <w:p w14:paraId="7F2FF26D" w14:textId="77777777" w:rsidR="00685290" w:rsidRPr="00685290" w:rsidRDefault="00685290" w:rsidP="00685290">
      <w:pPr>
        <w:jc w:val="center"/>
        <w:rPr>
          <w:rFonts w:ascii="Arial" w:hAnsi="Arial" w:cs="Arial"/>
          <w:b/>
          <w:bCs/>
        </w:rPr>
      </w:pPr>
      <w:r w:rsidRPr="00685290">
        <w:rPr>
          <w:rFonts w:ascii="Arial" w:hAnsi="Arial" w:cs="Arial"/>
          <w:b/>
          <w:bCs/>
        </w:rPr>
        <w:t>Submitted by:</w:t>
      </w:r>
    </w:p>
    <w:p w14:paraId="6D744857" w14:textId="77777777" w:rsidR="00685290" w:rsidRPr="00685290" w:rsidRDefault="00685290" w:rsidP="00685290">
      <w:pPr>
        <w:jc w:val="center"/>
        <w:rPr>
          <w:rFonts w:ascii="Arial" w:hAnsi="Arial" w:cs="Arial"/>
          <w:sz w:val="22"/>
          <w:szCs w:val="22"/>
        </w:rPr>
      </w:pPr>
      <w:r w:rsidRPr="00685290">
        <w:rPr>
          <w:rFonts w:ascii="Arial" w:hAnsi="Arial" w:cs="Arial"/>
          <w:b/>
          <w:bCs/>
          <w:sz w:val="22"/>
          <w:szCs w:val="22"/>
        </w:rPr>
        <w:t>Name:</w:t>
      </w:r>
      <w:r w:rsidRPr="00685290">
        <w:rPr>
          <w:rFonts w:ascii="Arial" w:hAnsi="Arial" w:cs="Arial"/>
          <w:sz w:val="22"/>
          <w:szCs w:val="22"/>
        </w:rPr>
        <w:t xml:space="preserve"> </w:t>
      </w:r>
      <w:r w:rsidRPr="00685290">
        <w:rPr>
          <w:rFonts w:ascii="Arial" w:hAnsi="Arial" w:cs="Arial"/>
          <w:color w:val="000000" w:themeColor="text1"/>
          <w:sz w:val="22"/>
          <w:szCs w:val="22"/>
        </w:rPr>
        <w:t>MD Saifur Rahman</w:t>
      </w:r>
    </w:p>
    <w:p w14:paraId="21081E7A" w14:textId="77777777" w:rsidR="00685290" w:rsidRPr="00685290" w:rsidRDefault="00685290" w:rsidP="00685290">
      <w:pPr>
        <w:jc w:val="center"/>
        <w:rPr>
          <w:rFonts w:ascii="Arial" w:hAnsi="Arial" w:cs="Arial"/>
        </w:rPr>
      </w:pPr>
      <w:r w:rsidRPr="00685290">
        <w:rPr>
          <w:rFonts w:ascii="Arial" w:hAnsi="Arial" w:cs="Arial"/>
          <w:b/>
          <w:bCs/>
        </w:rPr>
        <w:t>Student ID:</w:t>
      </w:r>
      <w:r w:rsidRPr="00685290">
        <w:rPr>
          <w:rFonts w:ascii="Arial" w:hAnsi="Arial" w:cs="Arial"/>
        </w:rPr>
        <w:t xml:space="preserve"> </w:t>
      </w:r>
      <w:r w:rsidRPr="00685290">
        <w:rPr>
          <w:rFonts w:ascii="Arial" w:hAnsi="Arial" w:cs="Arial"/>
          <w:sz w:val="22"/>
          <w:szCs w:val="22"/>
        </w:rPr>
        <w:t>2431872</w:t>
      </w:r>
    </w:p>
    <w:p w14:paraId="4F860550" w14:textId="77777777" w:rsidR="00685290" w:rsidRPr="00685290" w:rsidRDefault="00685290" w:rsidP="00685290">
      <w:pPr>
        <w:jc w:val="center"/>
        <w:rPr>
          <w:rFonts w:ascii="Arial" w:hAnsi="Arial" w:cs="Arial"/>
          <w:b/>
          <w:bCs/>
          <w:sz w:val="28"/>
          <w:szCs w:val="28"/>
        </w:rPr>
      </w:pPr>
    </w:p>
    <w:p w14:paraId="6386A37B" w14:textId="77777777" w:rsidR="00685290" w:rsidRPr="00685290" w:rsidRDefault="00685290" w:rsidP="00685290">
      <w:pPr>
        <w:rPr>
          <w:rFonts w:ascii="Arial" w:hAnsi="Arial" w:cs="Arial"/>
        </w:rPr>
      </w:pPr>
      <w:r w:rsidRPr="00685290">
        <w:rPr>
          <w:rFonts w:ascii="Arial" w:hAnsi="Arial" w:cs="Arial"/>
        </w:rPr>
        <w:br w:type="page"/>
      </w:r>
    </w:p>
    <w:sdt>
      <w:sdtPr>
        <w:rPr>
          <w:rFonts w:ascii="Arial" w:eastAsiaTheme="minorHAnsi" w:hAnsi="Arial" w:cs="Arial"/>
          <w:color w:val="auto"/>
          <w:sz w:val="24"/>
          <w:szCs w:val="24"/>
          <w:lang w:eastAsia="en-US"/>
          <w14:ligatures w14:val="standardContextual"/>
        </w:rPr>
        <w:id w:val="-475994629"/>
        <w:docPartObj>
          <w:docPartGallery w:val="Table of Contents"/>
          <w:docPartUnique/>
        </w:docPartObj>
      </w:sdtPr>
      <w:sdtEndPr>
        <w:rPr>
          <w:b/>
          <w:bCs/>
        </w:rPr>
      </w:sdtEndPr>
      <w:sdtContent>
        <w:p w14:paraId="3F3A8238" w14:textId="77777777" w:rsidR="00685290" w:rsidRPr="00685290" w:rsidRDefault="00685290" w:rsidP="00685290">
          <w:pPr>
            <w:pStyle w:val="TOCHeading"/>
            <w:jc w:val="center"/>
            <w:rPr>
              <w:rFonts w:ascii="Arial" w:hAnsi="Arial" w:cs="Arial"/>
              <w:b/>
              <w:bCs/>
              <w:sz w:val="24"/>
              <w:szCs w:val="24"/>
            </w:rPr>
          </w:pPr>
          <w:r w:rsidRPr="00685290">
            <w:rPr>
              <w:rFonts w:ascii="Arial" w:hAnsi="Arial" w:cs="Arial"/>
              <w:b/>
              <w:bCs/>
              <w:sz w:val="24"/>
              <w:szCs w:val="24"/>
            </w:rPr>
            <w:t>Table of Contents</w:t>
          </w:r>
        </w:p>
        <w:p w14:paraId="42A284B2" w14:textId="77777777" w:rsidR="00685290" w:rsidRPr="00685290" w:rsidRDefault="00685290" w:rsidP="00685290">
          <w:pPr>
            <w:pStyle w:val="TOC1"/>
            <w:tabs>
              <w:tab w:val="right" w:leader="dot" w:pos="9019"/>
            </w:tabs>
            <w:rPr>
              <w:rFonts w:ascii="Arial" w:eastAsiaTheme="minorEastAsia" w:hAnsi="Arial" w:cs="Arial"/>
              <w:noProof/>
              <w:kern w:val="2"/>
              <w:lang w:eastAsia="en-GB"/>
            </w:rPr>
          </w:pPr>
          <w:r w:rsidRPr="00685290">
            <w:rPr>
              <w:rFonts w:ascii="Arial" w:hAnsi="Arial" w:cs="Arial"/>
            </w:rPr>
            <w:fldChar w:fldCharType="begin"/>
          </w:r>
          <w:r w:rsidRPr="00685290">
            <w:rPr>
              <w:rFonts w:ascii="Arial" w:hAnsi="Arial" w:cs="Arial"/>
            </w:rPr>
            <w:instrText xml:space="preserve"> TOC \o "1-3" \h \z \u </w:instrText>
          </w:r>
          <w:r w:rsidRPr="00685290">
            <w:rPr>
              <w:rFonts w:ascii="Arial" w:hAnsi="Arial" w:cs="Arial"/>
            </w:rPr>
            <w:fldChar w:fldCharType="separate"/>
          </w:r>
          <w:hyperlink w:anchor="_Toc223732942" w:history="1">
            <w:r w:rsidRPr="00685290">
              <w:rPr>
                <w:rStyle w:val="Hyperlink"/>
                <w:rFonts w:ascii="Arial" w:hAnsi="Arial" w:cs="Arial"/>
                <w:noProof/>
              </w:rPr>
              <w:t>1. Introduction</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_Toc223732942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3</w:t>
            </w:r>
            <w:r w:rsidRPr="00685290">
              <w:rPr>
                <w:rFonts w:ascii="Arial" w:hAnsi="Arial" w:cs="Arial"/>
                <w:noProof/>
                <w:webHidden/>
              </w:rPr>
              <w:fldChar w:fldCharType="end"/>
            </w:r>
          </w:hyperlink>
        </w:p>
        <w:p w14:paraId="6FC97F25"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43" w:history="1">
            <w:r w:rsidRPr="00685290">
              <w:rPr>
                <w:rStyle w:val="Hyperlink"/>
                <w:rFonts w:ascii="Arial" w:hAnsi="Arial" w:cs="Arial"/>
                <w:noProof/>
              </w:rPr>
              <w:t>1.1 Information on IMC And Brand Equity</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_Toc223732943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3</w:t>
            </w:r>
            <w:r w:rsidRPr="00685290">
              <w:rPr>
                <w:rFonts w:ascii="Arial" w:hAnsi="Arial" w:cs="Arial"/>
                <w:noProof/>
                <w:webHidden/>
              </w:rPr>
              <w:fldChar w:fldCharType="end"/>
            </w:r>
          </w:hyperlink>
        </w:p>
        <w:p w14:paraId="201FB085"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44" w:history="1">
            <w:r w:rsidRPr="00685290">
              <w:rPr>
                <w:rStyle w:val="Hyperlink"/>
                <w:rFonts w:ascii="Arial" w:hAnsi="Arial" w:cs="Arial"/>
                <w:noProof/>
              </w:rPr>
              <w:t>1.2 Rationale of the Study</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_Toc223732944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3</w:t>
            </w:r>
            <w:r w:rsidRPr="00685290">
              <w:rPr>
                <w:rFonts w:ascii="Arial" w:hAnsi="Arial" w:cs="Arial"/>
                <w:noProof/>
                <w:webHidden/>
              </w:rPr>
              <w:fldChar w:fldCharType="end"/>
            </w:r>
          </w:hyperlink>
        </w:p>
        <w:p w14:paraId="7AC39E60"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45" w:history="1">
            <w:r w:rsidRPr="00685290">
              <w:rPr>
                <w:rStyle w:val="Hyperlink"/>
                <w:rFonts w:ascii="Arial" w:hAnsi="Arial" w:cs="Arial"/>
                <w:noProof/>
              </w:rPr>
              <w:t>1.3 Research Aim</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_Toc223732945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4</w:t>
            </w:r>
            <w:r w:rsidRPr="00685290">
              <w:rPr>
                <w:rFonts w:ascii="Arial" w:hAnsi="Arial" w:cs="Arial"/>
                <w:noProof/>
                <w:webHidden/>
              </w:rPr>
              <w:fldChar w:fldCharType="end"/>
            </w:r>
          </w:hyperlink>
        </w:p>
        <w:p w14:paraId="3D9FD4B1"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46" w:history="1">
            <w:r w:rsidRPr="00685290">
              <w:rPr>
                <w:rStyle w:val="Hyperlink"/>
                <w:rFonts w:ascii="Arial" w:hAnsi="Arial" w:cs="Arial"/>
                <w:noProof/>
              </w:rPr>
              <w:t>1.4 Research objectives</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_Toc223732946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4</w:t>
            </w:r>
            <w:r w:rsidRPr="00685290">
              <w:rPr>
                <w:rFonts w:ascii="Arial" w:hAnsi="Arial" w:cs="Arial"/>
                <w:noProof/>
                <w:webHidden/>
              </w:rPr>
              <w:fldChar w:fldCharType="end"/>
            </w:r>
          </w:hyperlink>
        </w:p>
        <w:p w14:paraId="37AF620B"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47" w:history="1">
            <w:r w:rsidRPr="00685290">
              <w:rPr>
                <w:rStyle w:val="Hyperlink"/>
                <w:rFonts w:ascii="Arial" w:hAnsi="Arial" w:cs="Arial"/>
                <w:noProof/>
              </w:rPr>
              <w:t>1.5 Research questions</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_Toc223732947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4</w:t>
            </w:r>
            <w:r w:rsidRPr="00685290">
              <w:rPr>
                <w:rFonts w:ascii="Arial" w:hAnsi="Arial" w:cs="Arial"/>
                <w:noProof/>
                <w:webHidden/>
              </w:rPr>
              <w:fldChar w:fldCharType="end"/>
            </w:r>
          </w:hyperlink>
        </w:p>
        <w:p w14:paraId="5E510E5F" w14:textId="77777777" w:rsidR="00685290" w:rsidRPr="00685290" w:rsidRDefault="00685290" w:rsidP="00685290">
          <w:pPr>
            <w:pStyle w:val="TOC1"/>
            <w:tabs>
              <w:tab w:val="right" w:leader="dot" w:pos="9019"/>
            </w:tabs>
            <w:rPr>
              <w:rFonts w:ascii="Arial" w:eastAsiaTheme="minorEastAsia" w:hAnsi="Arial" w:cs="Arial"/>
              <w:noProof/>
              <w:kern w:val="2"/>
              <w:lang w:eastAsia="en-GB"/>
            </w:rPr>
          </w:pPr>
          <w:hyperlink w:anchor="_Toc223732948" w:history="1">
            <w:r w:rsidRPr="00685290">
              <w:rPr>
                <w:rStyle w:val="Hyperlink"/>
                <w:rFonts w:ascii="Arial" w:hAnsi="Arial" w:cs="Arial"/>
                <w:noProof/>
              </w:rPr>
              <w:t>2. Literature review</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_Toc223732948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5</w:t>
            </w:r>
            <w:r w:rsidRPr="00685290">
              <w:rPr>
                <w:rFonts w:ascii="Arial" w:hAnsi="Arial" w:cs="Arial"/>
                <w:noProof/>
                <w:webHidden/>
              </w:rPr>
              <w:fldChar w:fldCharType="end"/>
            </w:r>
          </w:hyperlink>
        </w:p>
        <w:p w14:paraId="66A12C33"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49" w:history="1">
            <w:r w:rsidRPr="00685290">
              <w:rPr>
                <w:rStyle w:val="Hyperlink"/>
                <w:rFonts w:ascii="Arial" w:hAnsi="Arial" w:cs="Arial"/>
                <w:noProof/>
              </w:rPr>
              <w:t>2.1 Current IMC strategies implemented by McDonald’s in the UK</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_Toc223732949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5</w:t>
            </w:r>
            <w:r w:rsidRPr="00685290">
              <w:rPr>
                <w:rFonts w:ascii="Arial" w:hAnsi="Arial" w:cs="Arial"/>
                <w:noProof/>
                <w:webHidden/>
              </w:rPr>
              <w:fldChar w:fldCharType="end"/>
            </w:r>
          </w:hyperlink>
        </w:p>
        <w:p w14:paraId="50298AA0"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0" w:history="1">
            <w:r w:rsidRPr="00685290">
              <w:rPr>
                <w:rStyle w:val="Hyperlink"/>
                <w:rFonts w:ascii="Arial" w:hAnsi="Arial" w:cs="Arial"/>
                <w:noProof/>
              </w:rPr>
              <w:t>2.2 Opportunities and challenges of McDonald’s implementing IMC strategies in the UK</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_Toc223732950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6</w:t>
            </w:r>
            <w:r w:rsidRPr="00685290">
              <w:rPr>
                <w:rFonts w:ascii="Arial" w:hAnsi="Arial" w:cs="Arial"/>
                <w:noProof/>
                <w:webHidden/>
              </w:rPr>
              <w:fldChar w:fldCharType="end"/>
            </w:r>
          </w:hyperlink>
        </w:p>
        <w:p w14:paraId="64B7FDC1"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1" w:history="1">
            <w:r w:rsidRPr="00685290">
              <w:rPr>
                <w:rStyle w:val="Hyperlink"/>
                <w:rFonts w:ascii="Arial" w:hAnsi="Arial" w:cs="Arial"/>
                <w:noProof/>
              </w:rPr>
              <w:t>2.3 Impact of IMC on the brand equity of McDonald’s in the UK</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_Toc223732951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6</w:t>
            </w:r>
            <w:r w:rsidRPr="00685290">
              <w:rPr>
                <w:rFonts w:ascii="Arial" w:hAnsi="Arial" w:cs="Arial"/>
                <w:noProof/>
                <w:webHidden/>
              </w:rPr>
              <w:fldChar w:fldCharType="end"/>
            </w:r>
          </w:hyperlink>
        </w:p>
        <w:p w14:paraId="018EC8F5"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2" w:history="1">
            <w:r w:rsidRPr="00685290">
              <w:rPr>
                <w:rStyle w:val="Hyperlink"/>
                <w:rFonts w:ascii="Arial" w:hAnsi="Arial" w:cs="Arial"/>
                <w:noProof/>
              </w:rPr>
              <w:t>2.4 Keller’s Customer-Based Brand Equity (CBBE) model</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_Toc223732952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7</w:t>
            </w:r>
            <w:r w:rsidRPr="00685290">
              <w:rPr>
                <w:rFonts w:ascii="Arial" w:hAnsi="Arial" w:cs="Arial"/>
                <w:noProof/>
                <w:webHidden/>
              </w:rPr>
              <w:fldChar w:fldCharType="end"/>
            </w:r>
          </w:hyperlink>
        </w:p>
        <w:p w14:paraId="5DC00B6F" w14:textId="77777777" w:rsidR="00685290" w:rsidRPr="00685290" w:rsidRDefault="00685290" w:rsidP="00685290">
          <w:pPr>
            <w:pStyle w:val="TOC1"/>
            <w:tabs>
              <w:tab w:val="right" w:leader="dot" w:pos="9019"/>
            </w:tabs>
            <w:rPr>
              <w:rFonts w:ascii="Arial" w:eastAsiaTheme="minorEastAsia" w:hAnsi="Arial" w:cs="Arial"/>
              <w:noProof/>
              <w:kern w:val="2"/>
              <w:lang w:eastAsia="en-GB"/>
            </w:rPr>
          </w:pPr>
          <w:hyperlink w:anchor="_Toc223732953" w:history="1">
            <w:r w:rsidRPr="00685290">
              <w:rPr>
                <w:rStyle w:val="Hyperlink"/>
                <w:rFonts w:ascii="Arial" w:hAnsi="Arial" w:cs="Arial"/>
                <w:noProof/>
              </w:rPr>
              <w:t>3. Methodology</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_Toc223732953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9</w:t>
            </w:r>
            <w:r w:rsidRPr="00685290">
              <w:rPr>
                <w:rFonts w:ascii="Arial" w:hAnsi="Arial" w:cs="Arial"/>
                <w:noProof/>
                <w:webHidden/>
              </w:rPr>
              <w:fldChar w:fldCharType="end"/>
            </w:r>
          </w:hyperlink>
        </w:p>
        <w:p w14:paraId="2B839684"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4" w:history="1">
            <w:r w:rsidRPr="00685290">
              <w:rPr>
                <w:rStyle w:val="Hyperlink"/>
                <w:rFonts w:ascii="Arial" w:hAnsi="Arial" w:cs="Arial"/>
                <w:noProof/>
              </w:rPr>
              <w:t>3.1 Data types</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_Toc223732954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9</w:t>
            </w:r>
            <w:r w:rsidRPr="00685290">
              <w:rPr>
                <w:rFonts w:ascii="Arial" w:hAnsi="Arial" w:cs="Arial"/>
                <w:noProof/>
                <w:webHidden/>
              </w:rPr>
              <w:fldChar w:fldCharType="end"/>
            </w:r>
          </w:hyperlink>
        </w:p>
        <w:p w14:paraId="72320830"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5" w:history="1">
            <w:r w:rsidRPr="00685290">
              <w:rPr>
                <w:rStyle w:val="Hyperlink"/>
                <w:rFonts w:ascii="Arial" w:hAnsi="Arial" w:cs="Arial"/>
                <w:noProof/>
              </w:rPr>
              <w:t>3.2 Sample size</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_Toc223732955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9</w:t>
            </w:r>
            <w:r w:rsidRPr="00685290">
              <w:rPr>
                <w:rFonts w:ascii="Arial" w:hAnsi="Arial" w:cs="Arial"/>
                <w:noProof/>
                <w:webHidden/>
              </w:rPr>
              <w:fldChar w:fldCharType="end"/>
            </w:r>
          </w:hyperlink>
        </w:p>
        <w:p w14:paraId="04710929"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6" w:history="1">
            <w:r w:rsidRPr="00685290">
              <w:rPr>
                <w:rStyle w:val="Hyperlink"/>
                <w:rFonts w:ascii="Arial" w:hAnsi="Arial" w:cs="Arial"/>
                <w:noProof/>
              </w:rPr>
              <w:t>3.3 Sample type</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_Toc223732956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9</w:t>
            </w:r>
            <w:r w:rsidRPr="00685290">
              <w:rPr>
                <w:rFonts w:ascii="Arial" w:hAnsi="Arial" w:cs="Arial"/>
                <w:noProof/>
                <w:webHidden/>
              </w:rPr>
              <w:fldChar w:fldCharType="end"/>
            </w:r>
          </w:hyperlink>
        </w:p>
        <w:p w14:paraId="7F7916C6"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7" w:history="1">
            <w:r w:rsidRPr="00685290">
              <w:rPr>
                <w:rStyle w:val="Hyperlink"/>
                <w:rFonts w:ascii="Arial" w:hAnsi="Arial" w:cs="Arial"/>
                <w:noProof/>
              </w:rPr>
              <w:t>3.4 Sampling method</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_Toc223732957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9</w:t>
            </w:r>
            <w:r w:rsidRPr="00685290">
              <w:rPr>
                <w:rFonts w:ascii="Arial" w:hAnsi="Arial" w:cs="Arial"/>
                <w:noProof/>
                <w:webHidden/>
              </w:rPr>
              <w:fldChar w:fldCharType="end"/>
            </w:r>
          </w:hyperlink>
        </w:p>
        <w:p w14:paraId="636BA290"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8" w:history="1">
            <w:r w:rsidRPr="00685290">
              <w:rPr>
                <w:rStyle w:val="Hyperlink"/>
                <w:rFonts w:ascii="Arial" w:hAnsi="Arial" w:cs="Arial"/>
                <w:noProof/>
              </w:rPr>
              <w:t>3.5 Data collection method</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_Toc223732958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9</w:t>
            </w:r>
            <w:r w:rsidRPr="00685290">
              <w:rPr>
                <w:rFonts w:ascii="Arial" w:hAnsi="Arial" w:cs="Arial"/>
                <w:noProof/>
                <w:webHidden/>
              </w:rPr>
              <w:fldChar w:fldCharType="end"/>
            </w:r>
          </w:hyperlink>
        </w:p>
        <w:p w14:paraId="3348593C"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59" w:history="1">
            <w:r w:rsidRPr="00685290">
              <w:rPr>
                <w:rStyle w:val="Hyperlink"/>
                <w:rFonts w:ascii="Arial" w:hAnsi="Arial" w:cs="Arial"/>
                <w:noProof/>
              </w:rPr>
              <w:t>3.6 Data analysis</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_Toc223732959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10</w:t>
            </w:r>
            <w:r w:rsidRPr="00685290">
              <w:rPr>
                <w:rFonts w:ascii="Arial" w:hAnsi="Arial" w:cs="Arial"/>
                <w:noProof/>
                <w:webHidden/>
              </w:rPr>
              <w:fldChar w:fldCharType="end"/>
            </w:r>
          </w:hyperlink>
        </w:p>
        <w:p w14:paraId="7994345A" w14:textId="77777777" w:rsidR="00685290" w:rsidRPr="00685290" w:rsidRDefault="00685290" w:rsidP="00685290">
          <w:pPr>
            <w:pStyle w:val="TOC2"/>
            <w:tabs>
              <w:tab w:val="right" w:leader="dot" w:pos="9019"/>
            </w:tabs>
            <w:rPr>
              <w:rFonts w:ascii="Arial" w:eastAsiaTheme="minorEastAsia" w:hAnsi="Arial" w:cs="Arial"/>
              <w:noProof/>
              <w:kern w:val="2"/>
              <w:lang w:eastAsia="en-GB"/>
            </w:rPr>
          </w:pPr>
          <w:hyperlink w:anchor="_Toc223732960" w:history="1">
            <w:r w:rsidRPr="00685290">
              <w:rPr>
                <w:rStyle w:val="Hyperlink"/>
                <w:rFonts w:ascii="Arial" w:hAnsi="Arial" w:cs="Arial"/>
                <w:noProof/>
              </w:rPr>
              <w:t>3.7 Ethical considerations</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_Toc223732960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10</w:t>
            </w:r>
            <w:r w:rsidRPr="00685290">
              <w:rPr>
                <w:rFonts w:ascii="Arial" w:hAnsi="Arial" w:cs="Arial"/>
                <w:noProof/>
                <w:webHidden/>
              </w:rPr>
              <w:fldChar w:fldCharType="end"/>
            </w:r>
          </w:hyperlink>
        </w:p>
        <w:p w14:paraId="45A94D91" w14:textId="77777777" w:rsidR="00685290" w:rsidRPr="00685290" w:rsidRDefault="00685290" w:rsidP="00685290">
          <w:pPr>
            <w:pStyle w:val="TOC1"/>
            <w:tabs>
              <w:tab w:val="right" w:leader="dot" w:pos="9019"/>
            </w:tabs>
            <w:rPr>
              <w:rFonts w:ascii="Arial" w:eastAsiaTheme="minorEastAsia" w:hAnsi="Arial" w:cs="Arial"/>
              <w:noProof/>
              <w:kern w:val="2"/>
              <w:lang w:eastAsia="en-GB"/>
            </w:rPr>
          </w:pPr>
          <w:hyperlink w:anchor="_Toc223732961" w:history="1">
            <w:r w:rsidRPr="00685290">
              <w:rPr>
                <w:rStyle w:val="Hyperlink"/>
                <w:rFonts w:ascii="Arial" w:hAnsi="Arial" w:cs="Arial"/>
                <w:noProof/>
              </w:rPr>
              <w:t>4. Timeframe: Gantt Chart</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_Toc223732961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10</w:t>
            </w:r>
            <w:r w:rsidRPr="00685290">
              <w:rPr>
                <w:rFonts w:ascii="Arial" w:hAnsi="Arial" w:cs="Arial"/>
                <w:noProof/>
                <w:webHidden/>
              </w:rPr>
              <w:fldChar w:fldCharType="end"/>
            </w:r>
          </w:hyperlink>
        </w:p>
        <w:p w14:paraId="0B118AAC" w14:textId="77777777" w:rsidR="00685290" w:rsidRPr="00685290" w:rsidRDefault="00685290" w:rsidP="00685290">
          <w:pPr>
            <w:pStyle w:val="TOC1"/>
            <w:tabs>
              <w:tab w:val="right" w:leader="dot" w:pos="9019"/>
            </w:tabs>
            <w:rPr>
              <w:rFonts w:ascii="Arial" w:eastAsiaTheme="minorEastAsia" w:hAnsi="Arial" w:cs="Arial"/>
              <w:noProof/>
              <w:kern w:val="2"/>
              <w:lang w:eastAsia="en-GB"/>
            </w:rPr>
          </w:pPr>
          <w:hyperlink w:anchor="_Toc223732962" w:history="1">
            <w:r w:rsidRPr="00685290">
              <w:rPr>
                <w:rStyle w:val="Hyperlink"/>
                <w:rFonts w:ascii="Arial" w:hAnsi="Arial" w:cs="Arial"/>
                <w:noProof/>
              </w:rPr>
              <w:t>5. Conclusion</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_Toc223732962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11</w:t>
            </w:r>
            <w:r w:rsidRPr="00685290">
              <w:rPr>
                <w:rFonts w:ascii="Arial" w:hAnsi="Arial" w:cs="Arial"/>
                <w:noProof/>
                <w:webHidden/>
              </w:rPr>
              <w:fldChar w:fldCharType="end"/>
            </w:r>
          </w:hyperlink>
        </w:p>
        <w:p w14:paraId="3B01978A" w14:textId="77777777" w:rsidR="00685290" w:rsidRPr="00685290" w:rsidRDefault="00685290" w:rsidP="00685290">
          <w:pPr>
            <w:pStyle w:val="TOC1"/>
            <w:tabs>
              <w:tab w:val="right" w:leader="dot" w:pos="9019"/>
            </w:tabs>
            <w:rPr>
              <w:rFonts w:ascii="Arial" w:eastAsiaTheme="minorEastAsia" w:hAnsi="Arial" w:cs="Arial"/>
              <w:noProof/>
              <w:kern w:val="2"/>
              <w:lang w:eastAsia="en-GB"/>
            </w:rPr>
          </w:pPr>
          <w:hyperlink w:anchor="_Toc223732963" w:history="1">
            <w:r w:rsidRPr="00685290">
              <w:rPr>
                <w:rStyle w:val="Hyperlink"/>
                <w:rFonts w:ascii="Arial" w:hAnsi="Arial" w:cs="Arial"/>
                <w:noProof/>
              </w:rPr>
              <w:t>Reference list</w:t>
            </w:r>
            <w:r w:rsidRPr="00685290">
              <w:rPr>
                <w:rFonts w:ascii="Arial" w:hAnsi="Arial" w:cs="Arial"/>
                <w:noProof/>
                <w:webHidden/>
              </w:rPr>
              <w:tab/>
            </w:r>
            <w:r w:rsidRPr="00685290">
              <w:rPr>
                <w:rFonts w:ascii="Arial" w:hAnsi="Arial" w:cs="Arial"/>
                <w:noProof/>
                <w:webHidden/>
              </w:rPr>
              <w:fldChar w:fldCharType="begin"/>
            </w:r>
            <w:r w:rsidRPr="00685290">
              <w:rPr>
                <w:rFonts w:ascii="Arial" w:hAnsi="Arial" w:cs="Arial"/>
                <w:noProof/>
                <w:webHidden/>
              </w:rPr>
              <w:instrText xml:space="preserve"> PAGEREF _Toc223732963 \h </w:instrText>
            </w:r>
            <w:r w:rsidRPr="00685290">
              <w:rPr>
                <w:rFonts w:ascii="Arial" w:hAnsi="Arial" w:cs="Arial"/>
                <w:noProof/>
                <w:webHidden/>
              </w:rPr>
            </w:r>
            <w:r w:rsidRPr="00685290">
              <w:rPr>
                <w:rFonts w:ascii="Arial" w:hAnsi="Arial" w:cs="Arial"/>
                <w:noProof/>
                <w:webHidden/>
              </w:rPr>
              <w:fldChar w:fldCharType="separate"/>
            </w:r>
            <w:r w:rsidRPr="00685290">
              <w:rPr>
                <w:rFonts w:ascii="Arial" w:hAnsi="Arial" w:cs="Arial"/>
                <w:noProof/>
                <w:webHidden/>
              </w:rPr>
              <w:t>12</w:t>
            </w:r>
            <w:r w:rsidRPr="00685290">
              <w:rPr>
                <w:rFonts w:ascii="Arial" w:hAnsi="Arial" w:cs="Arial"/>
                <w:noProof/>
                <w:webHidden/>
              </w:rPr>
              <w:fldChar w:fldCharType="end"/>
            </w:r>
          </w:hyperlink>
        </w:p>
        <w:p w14:paraId="471F65AB" w14:textId="77777777" w:rsidR="00685290" w:rsidRPr="00685290" w:rsidRDefault="00685290" w:rsidP="00685290">
          <w:pPr>
            <w:rPr>
              <w:rFonts w:ascii="Arial" w:hAnsi="Arial" w:cs="Arial"/>
            </w:rPr>
          </w:pPr>
          <w:r w:rsidRPr="00685290">
            <w:rPr>
              <w:rFonts w:ascii="Arial" w:hAnsi="Arial" w:cs="Arial"/>
              <w:b/>
              <w:bCs/>
            </w:rPr>
            <w:fldChar w:fldCharType="end"/>
          </w:r>
        </w:p>
      </w:sdtContent>
    </w:sdt>
    <w:p w14:paraId="1A8C377A" w14:textId="77777777" w:rsidR="00685290" w:rsidRPr="00685290" w:rsidRDefault="00685290" w:rsidP="00685290">
      <w:pPr>
        <w:rPr>
          <w:rFonts w:ascii="Arial" w:hAnsi="Arial" w:cs="Arial"/>
        </w:rPr>
      </w:pPr>
      <w:r w:rsidRPr="00685290">
        <w:rPr>
          <w:rFonts w:ascii="Arial" w:hAnsi="Arial" w:cs="Arial"/>
        </w:rPr>
        <w:br w:type="page"/>
      </w:r>
    </w:p>
    <w:p w14:paraId="1038FB72" w14:textId="77777777" w:rsidR="00685290" w:rsidRPr="00685290" w:rsidRDefault="00685290" w:rsidP="00685290">
      <w:pPr>
        <w:pStyle w:val="Heading1"/>
        <w:rPr>
          <w:rFonts w:ascii="Arial" w:hAnsi="Arial" w:cs="Arial"/>
        </w:rPr>
      </w:pPr>
      <w:bookmarkStart w:id="0" w:name="_Toc223732942"/>
      <w:r w:rsidRPr="00685290">
        <w:rPr>
          <w:rFonts w:ascii="Arial" w:hAnsi="Arial" w:cs="Arial"/>
        </w:rPr>
        <w:lastRenderedPageBreak/>
        <w:t>1. Introduction</w:t>
      </w:r>
      <w:bookmarkEnd w:id="0"/>
    </w:p>
    <w:p w14:paraId="7512F9C3" w14:textId="77777777" w:rsidR="00685290" w:rsidRPr="00685290" w:rsidRDefault="00685290" w:rsidP="00685290">
      <w:pPr>
        <w:pStyle w:val="Heading2"/>
        <w:rPr>
          <w:rFonts w:ascii="Arial" w:hAnsi="Arial" w:cs="Arial"/>
        </w:rPr>
      </w:pPr>
      <w:bookmarkStart w:id="1" w:name="_Toc223732943"/>
      <w:r w:rsidRPr="00685290">
        <w:rPr>
          <w:rFonts w:ascii="Arial" w:hAnsi="Arial" w:cs="Arial"/>
        </w:rPr>
        <w:t>1.1 Information on IMC And Brand Equity</w:t>
      </w:r>
      <w:bookmarkEnd w:id="1"/>
    </w:p>
    <w:p w14:paraId="74049444" w14:textId="77777777" w:rsidR="00685290" w:rsidRPr="00685290" w:rsidRDefault="00685290" w:rsidP="00685290">
      <w:pPr>
        <w:rPr>
          <w:rFonts w:ascii="Arial" w:hAnsi="Arial" w:cs="Arial"/>
        </w:rPr>
      </w:pPr>
      <w:r w:rsidRPr="00685290">
        <w:rPr>
          <w:rFonts w:ascii="Arial" w:hAnsi="Arial" w:cs="Arial"/>
        </w:rPr>
        <w:t>Integrated marketing communications (IMC) is important as consumers experience brands on touchpoints, paid media, owned media, earned media, and in-store cues. IMC entails coordinating messages and media in a way that communications act as a programme (Kitchen and Burgmann, 2010), to create consistent meaning, reinforcement, and lower the ambiguity.</w:t>
      </w:r>
    </w:p>
    <w:p w14:paraId="6EB8DA3A" w14:textId="77777777" w:rsidR="00685290" w:rsidRPr="00685290" w:rsidRDefault="00685290" w:rsidP="00685290">
      <w:pPr>
        <w:rPr>
          <w:rFonts w:ascii="Arial" w:hAnsi="Arial" w:cs="Arial"/>
        </w:rPr>
      </w:pPr>
      <w:r w:rsidRPr="00685290">
        <w:rPr>
          <w:rFonts w:ascii="Arial" w:hAnsi="Arial" w:cs="Arial"/>
        </w:rPr>
        <w:t>Brand equity is a lens. Customer-based brand equity is how the brand knowledge influences consumers in response to the marketing activity (Keller, 1993); communications build value when they reinforce positive, unique relationships and make the brand more memorable, desirable, and selectable. This applies to quick service restaurants (QSR), salience, familiarity, and perceived value influence decisions taken.</w:t>
      </w:r>
    </w:p>
    <w:p w14:paraId="4498E811" w14:textId="77777777" w:rsidR="00685290" w:rsidRPr="00685290" w:rsidRDefault="00685290" w:rsidP="00685290">
      <w:pPr>
        <w:rPr>
          <w:rFonts w:ascii="Arial" w:hAnsi="Arial" w:cs="Arial"/>
        </w:rPr>
      </w:pPr>
      <w:r w:rsidRPr="00685290">
        <w:rPr>
          <w:rFonts w:ascii="Arial" w:hAnsi="Arial" w:cs="Arial"/>
        </w:rPr>
        <w:t>Competition in the UK QSR industry ensures promotions and product-driven messaging, and digital/mobile introduces app-based promotions, personalisation, and social interaction. An estimated market of $34.07bn in 2024 and projected at 44.01bn in 2029 (Staff Reporter, 2024), increases the risk of message-dilution where value promotions, brand purpose narratives, and innovations are running at the same time without alignment.</w:t>
      </w:r>
    </w:p>
    <w:p w14:paraId="390BBDE6" w14:textId="77777777" w:rsidR="00685290" w:rsidRPr="00685290" w:rsidRDefault="00685290" w:rsidP="00685290">
      <w:pPr>
        <w:rPr>
          <w:rFonts w:ascii="Arial" w:hAnsi="Arial" w:cs="Arial"/>
        </w:rPr>
      </w:pPr>
      <w:r w:rsidRPr="00685290">
        <w:rPr>
          <w:rFonts w:ascii="Arial" w:hAnsi="Arial" w:cs="Arial"/>
        </w:rPr>
        <w:t>McDonald's UK is an appropriate example: it applies a combination (traditional advertisement, digital media, and its own platforms) and an always-on mobile ecosystem. Intelligence reports are up, downloads hit their lowest in Q1 and Q3 (~128K135K), and active users hit 1.4m by mid-September (McDonalds, 2024).</w:t>
      </w:r>
    </w:p>
    <w:p w14:paraId="128105B6" w14:textId="77777777" w:rsidR="00685290" w:rsidRPr="00685290" w:rsidRDefault="00685290" w:rsidP="00685290">
      <w:pPr>
        <w:pStyle w:val="Heading2"/>
        <w:rPr>
          <w:rFonts w:ascii="Arial" w:hAnsi="Arial" w:cs="Arial"/>
        </w:rPr>
      </w:pPr>
      <w:bookmarkStart w:id="2" w:name="_Toc223732944"/>
      <w:r w:rsidRPr="00685290">
        <w:rPr>
          <w:rFonts w:ascii="Arial" w:hAnsi="Arial" w:cs="Arial"/>
        </w:rPr>
        <w:t>1.2 Rationale of the Study</w:t>
      </w:r>
      <w:bookmarkEnd w:id="2"/>
      <w:r w:rsidRPr="00685290">
        <w:rPr>
          <w:rFonts w:ascii="Arial" w:hAnsi="Arial" w:cs="Arial"/>
        </w:rPr>
        <w:t xml:space="preserve"> </w:t>
      </w:r>
    </w:p>
    <w:p w14:paraId="7AC4D2D5" w14:textId="77777777" w:rsidR="00685290" w:rsidRPr="00685290" w:rsidRDefault="00685290" w:rsidP="00685290">
      <w:pPr>
        <w:rPr>
          <w:rFonts w:ascii="Arial" w:hAnsi="Arial" w:cs="Arial"/>
        </w:rPr>
      </w:pPr>
      <w:r w:rsidRPr="00685290">
        <w:rPr>
          <w:rFonts w:ascii="Arial" w:hAnsi="Arial" w:cs="Arial"/>
        </w:rPr>
        <w:t xml:space="preserve">Although McDonalds has good brand presence, high awareness does mean no strategic cost of inconsistency, as expectations of consumers are more concrete and reputation risks are greater. McDonald's in the UK physically has a presence too, with 1,470 franchises (2024) in cross-country location listings, which helps to reinforce the ubiquity of the brand in the daily consumer setting (World Population Review, 2024). There is independent brand clarification as well, on the suggestion of high consumer-built performance: Brand Strength Index expanded to 90.5/100 (AAA+) by Brand </w:t>
      </w:r>
      <w:r w:rsidRPr="00685290">
        <w:rPr>
          <w:rFonts w:ascii="Arial" w:hAnsi="Arial" w:cs="Arial"/>
        </w:rPr>
        <w:lastRenderedPageBreak/>
        <w:t>Finance, and familiarity (10/10), consideration (9.5) and preferred brand (9.4) mark almost-max results. (Brand Finance, 2025). All these signs have indicated a tremendous awareness and a widely favourable public orientation, but not how the integration among communications helps in maintenance or enhancement of brand equity, especially as the balance between the quest for intense promotions and maintaining a long-term brand sense becomes more difficult to balance.</w:t>
      </w:r>
    </w:p>
    <w:p w14:paraId="6BD92CAA" w14:textId="77777777" w:rsidR="00685290" w:rsidRPr="00685290" w:rsidRDefault="00685290" w:rsidP="00685290">
      <w:pPr>
        <w:rPr>
          <w:rFonts w:ascii="Arial" w:hAnsi="Arial" w:cs="Arial"/>
        </w:rPr>
      </w:pPr>
      <w:r w:rsidRPr="00685290">
        <w:rPr>
          <w:rFonts w:ascii="Arial" w:hAnsi="Arial" w:cs="Arial"/>
        </w:rPr>
        <w:t>This study can then be applied in an academic and a managerial context. It brings together the IMC literature (convergent, synergistic communications) and a customer-based brand equity approach that defines the nature of brand knowledge in creating consumer response (Kitchen, 2010; Keller, 1993). In practice, discoveries can shape the UK decisions at McDonald's regarding how to synchronize messages across paid media, app promotions, social platforms and in-store message delivery and how to balance the short-term perspective of value propositions with the long-term meaning of the brand. The research will also endeavour to establish both opportunities (e.g., more robust cross-channel reinforcement and more coherent positioning) and challenges (e.g., consistent tone across channels and not over-promotion) which will influence the success of the McDonalds IMC strategy in the UK.</w:t>
      </w:r>
    </w:p>
    <w:p w14:paraId="05935632" w14:textId="77777777" w:rsidR="00685290" w:rsidRPr="00685290" w:rsidRDefault="00685290" w:rsidP="00685290">
      <w:pPr>
        <w:pStyle w:val="Heading2"/>
        <w:rPr>
          <w:rFonts w:ascii="Arial" w:hAnsi="Arial" w:cs="Arial"/>
        </w:rPr>
      </w:pPr>
      <w:bookmarkStart w:id="3" w:name="_Toc223732945"/>
      <w:r w:rsidRPr="00685290">
        <w:rPr>
          <w:rFonts w:ascii="Arial" w:hAnsi="Arial" w:cs="Arial"/>
        </w:rPr>
        <w:t>1.3 Research Aim</w:t>
      </w:r>
      <w:bookmarkEnd w:id="3"/>
    </w:p>
    <w:p w14:paraId="005E66F4" w14:textId="77777777" w:rsidR="00685290" w:rsidRPr="00685290" w:rsidRDefault="00685290" w:rsidP="00685290">
      <w:pPr>
        <w:rPr>
          <w:rFonts w:ascii="Arial" w:hAnsi="Arial" w:cs="Arial"/>
        </w:rPr>
      </w:pPr>
      <w:r w:rsidRPr="00685290">
        <w:rPr>
          <w:rFonts w:ascii="Arial" w:hAnsi="Arial" w:cs="Arial"/>
        </w:rPr>
        <w:t>This research aims to analyse the impact of integrated marketing communications on brand equity, using McDonald’s in the UK as the case context.</w:t>
      </w:r>
    </w:p>
    <w:p w14:paraId="40A04741" w14:textId="77777777" w:rsidR="00685290" w:rsidRPr="00685290" w:rsidRDefault="00685290" w:rsidP="00685290">
      <w:pPr>
        <w:pStyle w:val="Heading2"/>
        <w:rPr>
          <w:rFonts w:ascii="Arial" w:hAnsi="Arial" w:cs="Arial"/>
        </w:rPr>
      </w:pPr>
      <w:bookmarkStart w:id="4" w:name="_Toc223732946"/>
      <w:r w:rsidRPr="00685290">
        <w:rPr>
          <w:rFonts w:ascii="Arial" w:hAnsi="Arial" w:cs="Arial"/>
        </w:rPr>
        <w:t>1.4 Research objectives</w:t>
      </w:r>
      <w:bookmarkEnd w:id="4"/>
    </w:p>
    <w:p w14:paraId="5FDA4D53" w14:textId="77777777" w:rsidR="00685290" w:rsidRPr="00685290" w:rsidRDefault="00685290" w:rsidP="00685290">
      <w:pPr>
        <w:numPr>
          <w:ilvl w:val="0"/>
          <w:numId w:val="1"/>
        </w:numPr>
        <w:rPr>
          <w:rFonts w:ascii="Arial" w:hAnsi="Arial" w:cs="Arial"/>
        </w:rPr>
      </w:pPr>
      <w:r w:rsidRPr="00685290">
        <w:rPr>
          <w:rFonts w:ascii="Arial" w:hAnsi="Arial" w:cs="Arial"/>
        </w:rPr>
        <w:t>To determine the current IMC strategies implemented by McDonald’s in the UK.</w:t>
      </w:r>
    </w:p>
    <w:p w14:paraId="54D540AB" w14:textId="77777777" w:rsidR="00685290" w:rsidRPr="00685290" w:rsidRDefault="00685290" w:rsidP="00685290">
      <w:pPr>
        <w:numPr>
          <w:ilvl w:val="0"/>
          <w:numId w:val="1"/>
        </w:numPr>
        <w:rPr>
          <w:rFonts w:ascii="Arial" w:hAnsi="Arial" w:cs="Arial"/>
        </w:rPr>
      </w:pPr>
      <w:r w:rsidRPr="00685290">
        <w:rPr>
          <w:rFonts w:ascii="Arial" w:hAnsi="Arial" w:cs="Arial"/>
        </w:rPr>
        <w:t xml:space="preserve"> To investigate the opportunities and challenges of McDonald's implementing the IMC strategies.</w:t>
      </w:r>
    </w:p>
    <w:p w14:paraId="141EBFF5" w14:textId="77777777" w:rsidR="00685290" w:rsidRPr="00685290" w:rsidRDefault="00685290" w:rsidP="00685290">
      <w:pPr>
        <w:numPr>
          <w:ilvl w:val="0"/>
          <w:numId w:val="1"/>
        </w:numPr>
        <w:rPr>
          <w:rFonts w:ascii="Arial" w:hAnsi="Arial" w:cs="Arial"/>
        </w:rPr>
      </w:pPr>
      <w:r w:rsidRPr="00685290">
        <w:rPr>
          <w:rFonts w:ascii="Arial" w:hAnsi="Arial" w:cs="Arial"/>
        </w:rPr>
        <w:t>To analyse the impact of IMC on the brand equity of McDonald’s in the UK.</w:t>
      </w:r>
    </w:p>
    <w:p w14:paraId="7AB6D9B1" w14:textId="77777777" w:rsidR="00685290" w:rsidRPr="00685290" w:rsidRDefault="00685290" w:rsidP="00685290">
      <w:pPr>
        <w:pStyle w:val="Heading2"/>
        <w:rPr>
          <w:rFonts w:ascii="Arial" w:hAnsi="Arial" w:cs="Arial"/>
        </w:rPr>
      </w:pPr>
      <w:bookmarkStart w:id="5" w:name="_Toc223732947"/>
      <w:r w:rsidRPr="00685290">
        <w:rPr>
          <w:rFonts w:ascii="Arial" w:hAnsi="Arial" w:cs="Arial"/>
        </w:rPr>
        <w:t>1.5 Research questions</w:t>
      </w:r>
      <w:bookmarkEnd w:id="5"/>
    </w:p>
    <w:p w14:paraId="53CA4446" w14:textId="77777777" w:rsidR="00685290" w:rsidRPr="00685290" w:rsidRDefault="00685290" w:rsidP="00685290">
      <w:pPr>
        <w:numPr>
          <w:ilvl w:val="0"/>
          <w:numId w:val="2"/>
        </w:numPr>
        <w:rPr>
          <w:rFonts w:ascii="Arial" w:hAnsi="Arial" w:cs="Arial"/>
        </w:rPr>
      </w:pPr>
      <w:r w:rsidRPr="00685290">
        <w:rPr>
          <w:rFonts w:ascii="Arial" w:hAnsi="Arial" w:cs="Arial"/>
        </w:rPr>
        <w:t>What are the current IMC strategies implemented by McDonald’s in the UK?</w:t>
      </w:r>
    </w:p>
    <w:p w14:paraId="11AA1DB4" w14:textId="77777777" w:rsidR="00685290" w:rsidRPr="00685290" w:rsidRDefault="00685290" w:rsidP="00685290">
      <w:pPr>
        <w:numPr>
          <w:ilvl w:val="0"/>
          <w:numId w:val="2"/>
        </w:numPr>
        <w:rPr>
          <w:rFonts w:ascii="Arial" w:hAnsi="Arial" w:cs="Arial"/>
        </w:rPr>
      </w:pPr>
      <w:r w:rsidRPr="00685290">
        <w:rPr>
          <w:rFonts w:ascii="Arial" w:hAnsi="Arial" w:cs="Arial"/>
        </w:rPr>
        <w:t xml:space="preserve">What opportunities and challenges </w:t>
      </w:r>
      <w:proofErr w:type="gramStart"/>
      <w:r w:rsidRPr="00685290">
        <w:rPr>
          <w:rFonts w:ascii="Arial" w:hAnsi="Arial" w:cs="Arial"/>
        </w:rPr>
        <w:t>does</w:t>
      </w:r>
      <w:proofErr w:type="gramEnd"/>
      <w:r w:rsidRPr="00685290">
        <w:rPr>
          <w:rFonts w:ascii="Arial" w:hAnsi="Arial" w:cs="Arial"/>
        </w:rPr>
        <w:t xml:space="preserve"> McDonald’s face in implementing IMC strategies in the UK?</w:t>
      </w:r>
    </w:p>
    <w:p w14:paraId="464247ED" w14:textId="77777777" w:rsidR="00685290" w:rsidRPr="00685290" w:rsidRDefault="00685290" w:rsidP="00685290">
      <w:pPr>
        <w:numPr>
          <w:ilvl w:val="0"/>
          <w:numId w:val="2"/>
        </w:numPr>
        <w:rPr>
          <w:rFonts w:ascii="Arial" w:hAnsi="Arial" w:cs="Arial"/>
        </w:rPr>
      </w:pPr>
      <w:r w:rsidRPr="00685290">
        <w:rPr>
          <w:rFonts w:ascii="Arial" w:hAnsi="Arial" w:cs="Arial"/>
        </w:rPr>
        <w:t>What is the impact of IMC on the brand equity of McDonald’s in the UK?</w:t>
      </w:r>
    </w:p>
    <w:p w14:paraId="77CE1826" w14:textId="77777777" w:rsidR="00685290" w:rsidRPr="00685290" w:rsidRDefault="00685290" w:rsidP="00685290">
      <w:pPr>
        <w:pStyle w:val="Heading1"/>
        <w:rPr>
          <w:rFonts w:ascii="Arial" w:hAnsi="Arial" w:cs="Arial"/>
        </w:rPr>
      </w:pPr>
      <w:bookmarkStart w:id="6" w:name="_Toc223732948"/>
      <w:r w:rsidRPr="00685290">
        <w:rPr>
          <w:rFonts w:ascii="Arial" w:hAnsi="Arial" w:cs="Arial"/>
        </w:rPr>
        <w:lastRenderedPageBreak/>
        <w:t>2. Literature review</w:t>
      </w:r>
      <w:bookmarkEnd w:id="6"/>
    </w:p>
    <w:p w14:paraId="38816DD4" w14:textId="77777777" w:rsidR="00685290" w:rsidRPr="00685290" w:rsidRDefault="00685290" w:rsidP="00685290">
      <w:pPr>
        <w:rPr>
          <w:rFonts w:ascii="Arial" w:hAnsi="Arial" w:cs="Arial"/>
        </w:rPr>
      </w:pPr>
      <w:r w:rsidRPr="00685290">
        <w:rPr>
          <w:rFonts w:ascii="Arial" w:hAnsi="Arial" w:cs="Arial"/>
        </w:rPr>
        <w:t>Integrated marketing communications (IMC) is a strategy often described as the coordination of promotional tools in a strategic way to convey a clear message that is consistent with the target audiences (Schultz, 1992). Broadening on this, IMC can also be viewed as an organisational-wide framework matching communications between channels and stakeholders to build synergy and reinforce the relationship gains over time (Kitchen and Burgmann, 2010). According to the customer context, brand equity is the difference with which brand knowledge influences consumer reaction to the marketing efforts of the brand (Keller, 1993). Other more recent studies also position brand equity as an intangible resource growing firm performance by activating consumer perceptions and behaviour reactions connecting brand strength to performance (Li et al., 2022).</w:t>
      </w:r>
    </w:p>
    <w:p w14:paraId="585F39F4" w14:textId="77777777" w:rsidR="00685290" w:rsidRPr="00685290" w:rsidRDefault="00685290" w:rsidP="00685290">
      <w:pPr>
        <w:pStyle w:val="Heading2"/>
        <w:rPr>
          <w:rFonts w:ascii="Arial" w:hAnsi="Arial" w:cs="Arial"/>
        </w:rPr>
      </w:pPr>
      <w:bookmarkStart w:id="7" w:name="_Toc223732949"/>
      <w:r w:rsidRPr="00685290">
        <w:rPr>
          <w:rFonts w:ascii="Arial" w:hAnsi="Arial" w:cs="Arial"/>
        </w:rPr>
        <w:t>2.1 Current IMC strategies implemented by McDonald’s in the UK</w:t>
      </w:r>
      <w:bookmarkEnd w:id="7"/>
    </w:p>
    <w:p w14:paraId="583F1A9C" w14:textId="77777777" w:rsidR="00685290" w:rsidRPr="00685290" w:rsidRDefault="00685290" w:rsidP="00685290">
      <w:pPr>
        <w:rPr>
          <w:rFonts w:ascii="Arial" w:hAnsi="Arial" w:cs="Arial"/>
        </w:rPr>
      </w:pPr>
      <w:r w:rsidRPr="00685290">
        <w:rPr>
          <w:rFonts w:ascii="Arial" w:hAnsi="Arial" w:cs="Arial"/>
        </w:rPr>
        <w:t>The practice of IMC assumes that McDonald's UK should align the paid media, owned channels, and promotional incentives into a consistent customer experience (Pickton and Broderick, 2005; Kitchen and Burgmann, 2010). The UK activity of the last few months shows that there was a high priority on integrating campaigns through the lenses of advertising, social/digital content, and brand engagements. Culturally anchored, shareable creative that can cross social platforms, traditional media, has been employed by McDonalds, such as the example of the real camera rolls late-night campaign covered in trade reporting (Houston, 2026) and reflected in industry campaign coverage (Famous Campaigns, 2026). McDonald's UK has also undertaken post-restriction marketing efforts like the global menu program that follows brand campaigns, which show how product-focused messages can be embedded within overall brand communications (Carroll, 2025). Another IMC pillar is direct online communication via the mobile ecosystem: corporate communication at McDonalds focuses on the growth goals associated with loyalty membership and technological investment to justify the role of the app-based CRM, rewards, and data-driven messages towards a single communications platform (McDonald's, 2023). These components combined represent a promotion mix in which creative consistency and channel integration are accomplished to strengthen salience and stimulate repeat purchase and engagement (Pickton and Broderick, 2005).</w:t>
      </w:r>
    </w:p>
    <w:p w14:paraId="07ECABC4" w14:textId="77777777" w:rsidR="00685290" w:rsidRPr="00685290" w:rsidRDefault="00685290" w:rsidP="00685290">
      <w:pPr>
        <w:pStyle w:val="Heading2"/>
        <w:rPr>
          <w:rFonts w:ascii="Arial" w:hAnsi="Arial" w:cs="Arial"/>
        </w:rPr>
      </w:pPr>
      <w:bookmarkStart w:id="8" w:name="_Toc223732950"/>
      <w:r w:rsidRPr="00685290">
        <w:rPr>
          <w:rFonts w:ascii="Arial" w:hAnsi="Arial" w:cs="Arial"/>
        </w:rPr>
        <w:lastRenderedPageBreak/>
        <w:t>2.2 Opportunities and challenges of McDonald’s implementing IMC strategies in the UK</w:t>
      </w:r>
      <w:bookmarkEnd w:id="8"/>
    </w:p>
    <w:p w14:paraId="1D86308F" w14:textId="77777777" w:rsidR="00685290" w:rsidRPr="00685290" w:rsidRDefault="00685290" w:rsidP="00685290">
      <w:pPr>
        <w:rPr>
          <w:rFonts w:ascii="Arial" w:hAnsi="Arial" w:cs="Arial"/>
        </w:rPr>
      </w:pPr>
      <w:r w:rsidRPr="00685290">
        <w:rPr>
          <w:rFonts w:ascii="Arial" w:hAnsi="Arial" w:cs="Arial"/>
        </w:rPr>
        <w:t xml:space="preserve">The main opportunity of IMC in the case of McDonalds UK is synergy: using consistent cues in various touchpoints will contribute to better processing of messages, better association, and enhanced efficiency via eliminating duplication and contradiction of messages across channels (Kitchen and Burgmann, 2010). The digital integration (and especially apps) further allows to tie brand communication with measurable behaviours, including helping to achieve both retention and frequency goals (McDonald's, 2023). Nevertheless, the situation in the UK poses certain limitations as well. Fast-food marketing is under scrutiny associated with health, exposure to children, and brand advertising versus promotion, especially where HFSS may have their interpretations (ASA, 2025; Conway, 2024). These regulations influence media planning, scheduling, and creative framing, which implies that IMC consistency should be established and negotiations on regulatory limits and audience target parameters (ASA, 2025). Social media provides another level of risk: it is essential in achieving quick access and cultural </w:t>
      </w:r>
      <w:proofErr w:type="gramStart"/>
      <w:r w:rsidRPr="00685290">
        <w:rPr>
          <w:rFonts w:ascii="Arial" w:hAnsi="Arial" w:cs="Arial"/>
        </w:rPr>
        <w:t>appeal, but</w:t>
      </w:r>
      <w:proofErr w:type="gramEnd"/>
      <w:r w:rsidRPr="00685290">
        <w:rPr>
          <w:rFonts w:ascii="Arial" w:hAnsi="Arial" w:cs="Arial"/>
        </w:rPr>
        <w:t xml:space="preserve"> also may enhance the negative sentiment and cause reputation vulnerability. Studies of the so-called dark side of social media point to risks, such as the dynamics of backlash and destructive interaction patterns, which may harm the meaning of the brand (Baccarella et al., 2018). Similarly, brand hijacking may happen when non-collaborative forces repackage brand messages and break desired communication control, which is structurally amplified in participatory media contexts (Siano et al., 2021). In the case of McDonald's itself, these factors imply that the prospect of shared and integrated campaigns must be traded off with governance, surveillance and credibility control in a first-mover category.</w:t>
      </w:r>
    </w:p>
    <w:p w14:paraId="400193D3" w14:textId="77777777" w:rsidR="00685290" w:rsidRPr="00685290" w:rsidRDefault="00685290" w:rsidP="00685290">
      <w:pPr>
        <w:pStyle w:val="Heading2"/>
        <w:rPr>
          <w:rFonts w:ascii="Arial" w:hAnsi="Arial" w:cs="Arial"/>
        </w:rPr>
      </w:pPr>
      <w:bookmarkStart w:id="9" w:name="_Toc223732951"/>
      <w:r w:rsidRPr="00685290">
        <w:rPr>
          <w:rFonts w:ascii="Arial" w:hAnsi="Arial" w:cs="Arial"/>
        </w:rPr>
        <w:t>2.3 Impact of IMC on the brand equity of McDonald’s in the UK</w:t>
      </w:r>
      <w:bookmarkEnd w:id="9"/>
    </w:p>
    <w:p w14:paraId="1790D022" w14:textId="77777777" w:rsidR="00685290" w:rsidRPr="00685290" w:rsidRDefault="00685290" w:rsidP="00685290">
      <w:pPr>
        <w:rPr>
          <w:rFonts w:ascii="Arial" w:hAnsi="Arial" w:cs="Arial"/>
        </w:rPr>
      </w:pPr>
      <w:r w:rsidRPr="00685290">
        <w:rPr>
          <w:rFonts w:ascii="Arial" w:hAnsi="Arial" w:cs="Arial"/>
        </w:rPr>
        <w:t xml:space="preserve">The relationship between IMC and brand equity is often described in terms of the consistency with which brand knowledge structures, awareness, associations, perceived quality and loyalty are built and updated, enhancing positive consumer response (Keller, 1993). Hospitality and service-based evidence indicates that IMC, in conjunction with high-technology applications, should amplify customer-based brand equity by developing a consistent experience and strengthening brand meaning in various touchpoints (Šerić, Gil-Saura and Ruiz-Molina, 2014). According to customer-based brand equity measurement research in the restaurant context, brand equity can </w:t>
      </w:r>
      <w:r w:rsidRPr="00685290">
        <w:rPr>
          <w:rFonts w:ascii="Arial" w:hAnsi="Arial" w:cs="Arial"/>
        </w:rPr>
        <w:lastRenderedPageBreak/>
        <w:t>be operationalised using consumer perceptions and behavioural intentions, provided the structure, which provides a foundation of campaign-related loyalty and perceived value (Kim and Kim, 2004). The UK fast-food research also reveals that service and brand cues of major fast-food brands influence consumers in their perceptions of such brands, which substantiates the claim that conformity and compatibility of communications and experience are core to reviewing the brand in the identified category (Jones et al., 2002). Meanwhile, consumer value judgments in fast-food settings can be toned down by ethical concern, suggesting that IMC needs to consider narratives of legitimacy, too (e.g., sourcing, responsibility, community impact) to defend associations and trust (Schroder and McEachern, 2005). Hence, McDonald's UK IMC will positively (by creating salience, cultural resonance, and loyalty) and negatively (when confronted with social/regulatory controversy) affect brand equity (ASA, 2025; Baccarella et al., 2018).</w:t>
      </w:r>
    </w:p>
    <w:p w14:paraId="0CCA27F4" w14:textId="77777777" w:rsidR="00685290" w:rsidRPr="00685290" w:rsidRDefault="00685290" w:rsidP="00685290">
      <w:pPr>
        <w:pStyle w:val="Heading2"/>
        <w:rPr>
          <w:rFonts w:ascii="Arial" w:hAnsi="Arial" w:cs="Arial"/>
        </w:rPr>
      </w:pPr>
      <w:bookmarkStart w:id="10" w:name="_Toc223732952"/>
      <w:r w:rsidRPr="00685290">
        <w:rPr>
          <w:rFonts w:ascii="Arial" w:hAnsi="Arial" w:cs="Arial"/>
        </w:rPr>
        <w:t>2.4 Keller’s Customer-Based Brand Equity (CBBE) model</w:t>
      </w:r>
      <w:bookmarkEnd w:id="10"/>
    </w:p>
    <w:p w14:paraId="76690E63" w14:textId="02A84776" w:rsidR="00685290" w:rsidRPr="00685290" w:rsidRDefault="00685290" w:rsidP="00685290">
      <w:pPr>
        <w:rPr>
          <w:rFonts w:ascii="Arial" w:hAnsi="Arial" w:cs="Arial"/>
        </w:rPr>
      </w:pPr>
      <w:r w:rsidRPr="00685290">
        <w:rPr>
          <w:rFonts w:ascii="Arial" w:hAnsi="Arial" w:cs="Arial"/>
        </w:rPr>
        <w:t>The concept of brand equity as a continuation of brand identity through to deep consumer relationships is introduced by the CBBE model of Keller, which is often in the form of a pyramid: starting with salience at the bottom, then performance and imagery, then judgments and feelings, and finally resonance (Keller, 1993; Keller, 2001; Keller, 2013). This model would work well in the current study since it offers a systematic approach to examining how the results of IMC (similar messages and experiences across platforms) can convert to brand knowledge and, finally, loyalty-type measures.</w:t>
      </w:r>
    </w:p>
    <w:p w14:paraId="4D3017B3" w14:textId="77777777" w:rsidR="00685290" w:rsidRPr="00685290" w:rsidRDefault="00685290" w:rsidP="00685290">
      <w:pPr>
        <w:keepNext/>
        <w:rPr>
          <w:rFonts w:ascii="Arial" w:hAnsi="Arial" w:cs="Arial"/>
        </w:rPr>
      </w:pPr>
      <w:r w:rsidRPr="00685290">
        <w:rPr>
          <w:rFonts w:ascii="Arial" w:hAnsi="Arial" w:cs="Arial"/>
          <w:noProof/>
        </w:rPr>
        <w:lastRenderedPageBreak/>
        <w:drawing>
          <wp:inline distT="0" distB="0" distL="0" distR="0" wp14:anchorId="4DFB6ED8" wp14:editId="100B00CA">
            <wp:extent cx="5733415" cy="4178935"/>
            <wp:effectExtent l="0" t="0" r="0" b="0"/>
            <wp:docPr id="1731466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3415" cy="4178935"/>
                    </a:xfrm>
                    <a:prstGeom prst="rect">
                      <a:avLst/>
                    </a:prstGeom>
                    <a:noFill/>
                    <a:ln>
                      <a:noFill/>
                    </a:ln>
                  </pic:spPr>
                </pic:pic>
              </a:graphicData>
            </a:graphic>
          </wp:inline>
        </w:drawing>
      </w:r>
    </w:p>
    <w:p w14:paraId="621C7800" w14:textId="31E819E9" w:rsidR="00685290" w:rsidRPr="00685290" w:rsidRDefault="00685290" w:rsidP="00685290">
      <w:pPr>
        <w:pStyle w:val="Caption"/>
        <w:jc w:val="center"/>
        <w:rPr>
          <w:rFonts w:ascii="Arial" w:hAnsi="Arial" w:cs="Arial"/>
        </w:rPr>
      </w:pPr>
      <w:r w:rsidRPr="00685290">
        <w:rPr>
          <w:rFonts w:ascii="Arial" w:hAnsi="Arial" w:cs="Arial"/>
        </w:rPr>
        <w:t>Figure 1:  Visual representation of Keller’s Customer-Based Brand Equity (CBBE) model, showing the progression from salience to resonance (based on Keller, 2001; Keller, 2013).</w:t>
      </w:r>
    </w:p>
    <w:p w14:paraId="7E5BD0FB" w14:textId="77777777" w:rsidR="00685290" w:rsidRPr="00685290" w:rsidRDefault="00685290" w:rsidP="00685290">
      <w:pPr>
        <w:rPr>
          <w:rFonts w:ascii="Arial" w:hAnsi="Arial" w:cs="Arial"/>
        </w:rPr>
      </w:pPr>
      <w:r w:rsidRPr="00685290">
        <w:rPr>
          <w:rFonts w:ascii="Arial" w:hAnsi="Arial" w:cs="Arial"/>
          <w:b/>
          <w:bCs/>
        </w:rPr>
        <w:t>Advantages:</w:t>
      </w:r>
      <w:r w:rsidRPr="00685290">
        <w:rPr>
          <w:rFonts w:ascii="Arial" w:hAnsi="Arial" w:cs="Arial"/>
        </w:rPr>
        <w:t xml:space="preserve"> The model presents distinct steps that may be mapped to IMC processes (e.g. repeated integrated exposure enhancing salience; consistent brand cues enhancing imagery, cohesive experience enhancing judgments and feelings) and has been extensively applied to operationalise consumer-based brand equity (Keller, 1993; Keller, 2013). It also conforms to technology-enabled IMC, in which applications and loyalty schemes may be construed as moving adopters towards resonance (McDonald, 2023; Keller, 2001).</w:t>
      </w:r>
    </w:p>
    <w:p w14:paraId="236D1BA1" w14:textId="77777777" w:rsidR="00685290" w:rsidRPr="00685290" w:rsidRDefault="00685290" w:rsidP="00685290">
      <w:pPr>
        <w:rPr>
          <w:rFonts w:ascii="Arial" w:hAnsi="Arial" w:cs="Arial"/>
        </w:rPr>
      </w:pPr>
      <w:r w:rsidRPr="00685290">
        <w:rPr>
          <w:rFonts w:ascii="Arial" w:hAnsi="Arial" w:cs="Arial"/>
          <w:b/>
          <w:bCs/>
        </w:rPr>
        <w:t>Disadvantages:</w:t>
      </w:r>
      <w:r w:rsidRPr="00685290">
        <w:rPr>
          <w:rFonts w:ascii="Arial" w:hAnsi="Arial" w:cs="Arial"/>
        </w:rPr>
        <w:t xml:space="preserve"> The pyramid might suggest a sequential calendar effect that is not necessarily based on the unwelcoming multi-directional point-building in discontinuous media spaces, in which customers can make a judgment quickly by virtue of viral material or a scandal (Baccarella et al., 2018; Siano et al., 2021). Furthermore, it focuses on consumer-based equity and is not directly interested in financial brand value, so the study needs to be clear that impact is assessed using consumer meaning and relationship strength and not accounting valuation (Keller, 1993; Li et al., 2022). </w:t>
      </w:r>
    </w:p>
    <w:p w14:paraId="2BC9BF70" w14:textId="77777777" w:rsidR="00685290" w:rsidRPr="00685290" w:rsidRDefault="00685290" w:rsidP="00685290">
      <w:pPr>
        <w:rPr>
          <w:rFonts w:ascii="Arial" w:hAnsi="Arial" w:cs="Arial"/>
        </w:rPr>
      </w:pPr>
    </w:p>
    <w:p w14:paraId="75C1FE41" w14:textId="77777777" w:rsidR="00685290" w:rsidRPr="00685290" w:rsidRDefault="00685290" w:rsidP="00685290">
      <w:pPr>
        <w:pStyle w:val="Heading1"/>
        <w:rPr>
          <w:rFonts w:ascii="Arial" w:hAnsi="Arial" w:cs="Arial"/>
        </w:rPr>
      </w:pPr>
      <w:bookmarkStart w:id="11" w:name="_Toc223732953"/>
      <w:r w:rsidRPr="00685290">
        <w:rPr>
          <w:rFonts w:ascii="Arial" w:hAnsi="Arial" w:cs="Arial"/>
        </w:rPr>
        <w:lastRenderedPageBreak/>
        <w:t>3. Methodology</w:t>
      </w:r>
      <w:bookmarkEnd w:id="11"/>
    </w:p>
    <w:p w14:paraId="2E440A43" w14:textId="77777777" w:rsidR="00685290" w:rsidRPr="00685290" w:rsidRDefault="00685290" w:rsidP="00685290">
      <w:pPr>
        <w:pStyle w:val="Heading2"/>
        <w:rPr>
          <w:rFonts w:ascii="Arial" w:hAnsi="Arial" w:cs="Arial"/>
        </w:rPr>
      </w:pPr>
      <w:bookmarkStart w:id="12" w:name="_Toc223732954"/>
      <w:r w:rsidRPr="00685290">
        <w:rPr>
          <w:rFonts w:ascii="Arial" w:hAnsi="Arial" w:cs="Arial"/>
        </w:rPr>
        <w:t>3.1 Data types</w:t>
      </w:r>
      <w:bookmarkEnd w:id="12"/>
    </w:p>
    <w:p w14:paraId="034A6F8E" w14:textId="77777777" w:rsidR="00685290" w:rsidRPr="00685290" w:rsidRDefault="00685290" w:rsidP="00685290">
      <w:pPr>
        <w:rPr>
          <w:rFonts w:ascii="Arial" w:hAnsi="Arial" w:cs="Arial"/>
        </w:rPr>
      </w:pPr>
      <w:r w:rsidRPr="00685290">
        <w:rPr>
          <w:rFonts w:ascii="Arial" w:hAnsi="Arial" w:cs="Arial"/>
        </w:rPr>
        <w:t xml:space="preserve">Mono method quantitative research is a research design whereby the research takes a single research method, and the single research method results in the production of numerical data that can be statistically/descriptively analysed (Creswell, 2023). Qualitative data are non-numerical data (e.g., words, meanings, experiences) that are normally employed to investigate meanings and richness of insight (Creswell, 2023). In this research, the quantitative data will all be collected in the form of a survey plan targeting measuring the perceptions of respondents about McDonald's UK's integrated marketing communications and brand equity; the research paper will be based on the mono method of quantitative design (Saunders, Lewis and Thornhill, 2019). </w:t>
      </w:r>
      <w:bookmarkStart w:id="13" w:name="_Toc223732955"/>
    </w:p>
    <w:p w14:paraId="59A64B70" w14:textId="77777777" w:rsidR="00685290" w:rsidRPr="00685290" w:rsidRDefault="00685290" w:rsidP="00685290">
      <w:pPr>
        <w:pStyle w:val="Heading2"/>
        <w:rPr>
          <w:rFonts w:ascii="Arial" w:hAnsi="Arial" w:cs="Arial"/>
        </w:rPr>
      </w:pPr>
      <w:r w:rsidRPr="00685290">
        <w:rPr>
          <w:rFonts w:ascii="Arial" w:hAnsi="Arial" w:cs="Arial"/>
        </w:rPr>
        <w:t>3.2 Sample size</w:t>
      </w:r>
      <w:bookmarkEnd w:id="13"/>
    </w:p>
    <w:p w14:paraId="5BA8F203" w14:textId="77777777" w:rsidR="00685290" w:rsidRPr="00685290" w:rsidRDefault="00685290" w:rsidP="00685290">
      <w:pPr>
        <w:rPr>
          <w:rFonts w:ascii="Arial" w:hAnsi="Arial" w:cs="Arial"/>
        </w:rPr>
      </w:pPr>
      <w:r w:rsidRPr="00685290">
        <w:rPr>
          <w:rFonts w:ascii="Arial" w:hAnsi="Arial" w:cs="Arial"/>
        </w:rPr>
        <w:t xml:space="preserve">The proposed sample size will be 50-100 respondents. At least 50 will be aimed at to provide an adequate base to analyse descriptive survey, as 100 as possible where possible (Bartlett, </w:t>
      </w:r>
      <w:proofErr w:type="spellStart"/>
      <w:r w:rsidRPr="00685290">
        <w:rPr>
          <w:rFonts w:ascii="Arial" w:hAnsi="Arial" w:cs="Arial"/>
        </w:rPr>
        <w:t>Kotrolik</w:t>
      </w:r>
      <w:proofErr w:type="spellEnd"/>
      <w:r w:rsidRPr="00685290">
        <w:rPr>
          <w:rFonts w:ascii="Arial" w:hAnsi="Arial" w:cs="Arial"/>
        </w:rPr>
        <w:t xml:space="preserve"> and Higgins, 2001).</w:t>
      </w:r>
    </w:p>
    <w:p w14:paraId="7B594443" w14:textId="77777777" w:rsidR="00685290" w:rsidRPr="00685290" w:rsidRDefault="00685290" w:rsidP="00685290">
      <w:pPr>
        <w:pStyle w:val="Heading2"/>
        <w:rPr>
          <w:rFonts w:ascii="Arial" w:hAnsi="Arial" w:cs="Arial"/>
        </w:rPr>
      </w:pPr>
      <w:bookmarkStart w:id="14" w:name="_Toc223732956"/>
      <w:r w:rsidRPr="00685290">
        <w:rPr>
          <w:rFonts w:ascii="Arial" w:hAnsi="Arial" w:cs="Arial"/>
        </w:rPr>
        <w:t>3.3 Sample type</w:t>
      </w:r>
      <w:bookmarkEnd w:id="14"/>
    </w:p>
    <w:p w14:paraId="2A9CC31D" w14:textId="77777777" w:rsidR="00685290" w:rsidRPr="00685290" w:rsidRDefault="00685290" w:rsidP="00685290">
      <w:pPr>
        <w:rPr>
          <w:rFonts w:ascii="Arial" w:hAnsi="Arial" w:cs="Arial"/>
        </w:rPr>
      </w:pPr>
      <w:r w:rsidRPr="00685290">
        <w:rPr>
          <w:rFonts w:ascii="Arial" w:hAnsi="Arial" w:cs="Arial"/>
        </w:rPr>
        <w:t>Demographic and geographic segmentation will be used to define the sample because the respondent population will be well profiled, and participation will be reflective of the UK market conditions in the context of McDonald’s. Demographic variables will be age (18-24, 25-34, 35-44, 45-54, 55+) and gender (male, female, non-binary/other, prefer not to say). The operationalisation of geographic segmentation will require participants to identify their UK location (England, Scotland, Wales, Northern Ireland). The latter variables will be measured using closed-ended questions at the start of the questionnaire to describe the sample setup and allow simple subgroup comparisons where applicable to the research questions (Wright, 2005).</w:t>
      </w:r>
    </w:p>
    <w:p w14:paraId="5AF60447" w14:textId="77777777" w:rsidR="00685290" w:rsidRPr="00685290" w:rsidRDefault="00685290" w:rsidP="00685290">
      <w:pPr>
        <w:pStyle w:val="Heading2"/>
        <w:rPr>
          <w:rFonts w:ascii="Arial" w:hAnsi="Arial" w:cs="Arial"/>
        </w:rPr>
      </w:pPr>
      <w:bookmarkStart w:id="15" w:name="_Toc223732957"/>
      <w:r w:rsidRPr="00685290">
        <w:rPr>
          <w:rFonts w:ascii="Arial" w:hAnsi="Arial" w:cs="Arial"/>
        </w:rPr>
        <w:t>3.4 Sampling method</w:t>
      </w:r>
      <w:bookmarkEnd w:id="15"/>
    </w:p>
    <w:p w14:paraId="2B0F0258" w14:textId="77777777" w:rsidR="00685290" w:rsidRPr="00685290" w:rsidRDefault="00685290" w:rsidP="00685290">
      <w:pPr>
        <w:rPr>
          <w:rFonts w:ascii="Arial" w:hAnsi="Arial" w:cs="Arial"/>
        </w:rPr>
      </w:pPr>
      <w:r w:rsidRPr="00685290">
        <w:rPr>
          <w:rFonts w:ascii="Arial" w:hAnsi="Arial" w:cs="Arial"/>
        </w:rPr>
        <w:t>Non-probability (non-random) sampling will be a part of the study, with the primary convenience sampling and purposive screening, as the sample members will be chosen based on matching the sample context (customers of the UK McDonald's). It is a suitable method when it is not possible to take practical access measurements, due to the inability to use probability sampling (</w:t>
      </w:r>
      <w:proofErr w:type="spellStart"/>
      <w:r w:rsidRPr="00685290">
        <w:rPr>
          <w:rFonts w:ascii="Arial" w:hAnsi="Arial" w:cs="Arial"/>
        </w:rPr>
        <w:t>Etikan</w:t>
      </w:r>
      <w:proofErr w:type="spellEnd"/>
      <w:r w:rsidRPr="00685290">
        <w:rPr>
          <w:rFonts w:ascii="Arial" w:hAnsi="Arial" w:cs="Arial"/>
        </w:rPr>
        <w:t>, Musa and Alkassim, 2016).</w:t>
      </w:r>
    </w:p>
    <w:p w14:paraId="79D9A8AE" w14:textId="77777777" w:rsidR="00685290" w:rsidRPr="00685290" w:rsidRDefault="00685290" w:rsidP="00685290">
      <w:pPr>
        <w:pStyle w:val="Heading2"/>
        <w:rPr>
          <w:rFonts w:ascii="Arial" w:hAnsi="Arial" w:cs="Arial"/>
        </w:rPr>
      </w:pPr>
      <w:bookmarkStart w:id="16" w:name="_Toc223732958"/>
      <w:r w:rsidRPr="00685290">
        <w:rPr>
          <w:rFonts w:ascii="Arial" w:hAnsi="Arial" w:cs="Arial"/>
        </w:rPr>
        <w:lastRenderedPageBreak/>
        <w:t>3.5 Data collection method</w:t>
      </w:r>
      <w:bookmarkEnd w:id="16"/>
    </w:p>
    <w:p w14:paraId="2E291CB0" w14:textId="77777777" w:rsidR="00685290" w:rsidRPr="00685290" w:rsidRDefault="00685290" w:rsidP="00685290">
      <w:pPr>
        <w:rPr>
          <w:rFonts w:ascii="Arial" w:hAnsi="Arial" w:cs="Arial"/>
        </w:rPr>
      </w:pPr>
      <w:r w:rsidRPr="00685290">
        <w:rPr>
          <w:rFonts w:ascii="Arial" w:hAnsi="Arial" w:cs="Arial"/>
        </w:rPr>
        <w:t>The online survey will be used to collect data by designing a survey that will be used in Google Forms. Online surveys will offer speed and convenience in accessing the participants, and constraints like self-selection and coverage bias will be recognised (Wright, 2005). The questionnaire will include about 10 closed-ended questions (though not more than 15 to avoid exhaustion). Highly restricted questions will rely on fixed response choices (e.g., multiple choice/Likert-type), which will help count and compare responses (Saunders, Lewis and Thornhill, 2019). The approximate duration required to complete it will be 5-10 minutes to facilitate participation and completion rates (Saunders, Lewis and Thornhill, 2019).</w:t>
      </w:r>
    </w:p>
    <w:p w14:paraId="7A3E60FA" w14:textId="77777777" w:rsidR="00685290" w:rsidRPr="00685290" w:rsidRDefault="00685290" w:rsidP="00685290">
      <w:pPr>
        <w:pStyle w:val="Heading2"/>
        <w:rPr>
          <w:rFonts w:ascii="Arial" w:hAnsi="Arial" w:cs="Arial"/>
        </w:rPr>
      </w:pPr>
      <w:bookmarkStart w:id="17" w:name="_Toc223732959"/>
      <w:r w:rsidRPr="00685290">
        <w:rPr>
          <w:rFonts w:ascii="Arial" w:hAnsi="Arial" w:cs="Arial"/>
        </w:rPr>
        <w:t>3.6 Data analysis</w:t>
      </w:r>
      <w:bookmarkEnd w:id="17"/>
    </w:p>
    <w:p w14:paraId="461B5D3E" w14:textId="77777777" w:rsidR="00685290" w:rsidRPr="00685290" w:rsidRDefault="00685290" w:rsidP="00685290">
      <w:pPr>
        <w:rPr>
          <w:rFonts w:ascii="Arial" w:hAnsi="Arial" w:cs="Arial"/>
        </w:rPr>
      </w:pPr>
      <w:r w:rsidRPr="00685290">
        <w:rPr>
          <w:rFonts w:ascii="Arial" w:hAnsi="Arial" w:cs="Arial"/>
        </w:rPr>
        <w:t>Quantitative responses will be analysed using Microsoft Excel. Analysis will be primarily descriptive, presenting frequencies and percentages and summarising results using tables and graphs aligned to the research questions (Creswell, 2023; Saunders, Lewis and Thornhill, 2019).</w:t>
      </w:r>
    </w:p>
    <w:p w14:paraId="22D4E845" w14:textId="77777777" w:rsidR="00685290" w:rsidRPr="00685290" w:rsidRDefault="00685290" w:rsidP="00685290">
      <w:pPr>
        <w:pStyle w:val="Heading2"/>
        <w:rPr>
          <w:rFonts w:ascii="Arial" w:hAnsi="Arial" w:cs="Arial"/>
        </w:rPr>
      </w:pPr>
      <w:bookmarkStart w:id="18" w:name="_Toc223732960"/>
      <w:r w:rsidRPr="00685290">
        <w:rPr>
          <w:rFonts w:ascii="Arial" w:hAnsi="Arial" w:cs="Arial"/>
        </w:rPr>
        <w:t>3.7 Ethical considerations</w:t>
      </w:r>
      <w:bookmarkEnd w:id="18"/>
    </w:p>
    <w:p w14:paraId="5CDF6340" w14:textId="77777777" w:rsidR="00685290" w:rsidRPr="00685290" w:rsidRDefault="00685290" w:rsidP="00685290">
      <w:pPr>
        <w:rPr>
          <w:rFonts w:ascii="Arial" w:hAnsi="Arial" w:cs="Arial"/>
        </w:rPr>
      </w:pPr>
      <w:r w:rsidRPr="00685290">
        <w:rPr>
          <w:rFonts w:ascii="Arial" w:hAnsi="Arial" w:cs="Arial"/>
        </w:rPr>
        <w:t>Ethical conduct will follow recognised standards for human research, including voluntary participation and clear information about the study purpose (British Psychological Society, 2021). Data will be handled confidentially and used only for academic purposes, consistent with UK guidance on lawful basis, consent, and confidentiality under GDPR principles (UKRI, 2020).</w:t>
      </w:r>
    </w:p>
    <w:p w14:paraId="00EF7355" w14:textId="77777777" w:rsidR="00685290" w:rsidRPr="00685290" w:rsidRDefault="00685290" w:rsidP="00685290">
      <w:pPr>
        <w:pStyle w:val="Heading1"/>
        <w:rPr>
          <w:rFonts w:ascii="Arial" w:hAnsi="Arial" w:cs="Arial"/>
        </w:rPr>
      </w:pPr>
      <w:bookmarkStart w:id="19" w:name="_Toc223732961"/>
      <w:r w:rsidRPr="00685290">
        <w:rPr>
          <w:rFonts w:ascii="Arial" w:hAnsi="Arial" w:cs="Arial"/>
        </w:rPr>
        <w:t>4. Timeframe: Gantt Chart</w:t>
      </w:r>
      <w:bookmarkEnd w:id="19"/>
    </w:p>
    <w:tbl>
      <w:tblPr>
        <w:tblW w:w="9046" w:type="dxa"/>
        <w:tblLook w:val="04A0" w:firstRow="1" w:lastRow="0" w:firstColumn="1" w:lastColumn="0" w:noHBand="0" w:noVBand="1"/>
      </w:tblPr>
      <w:tblGrid>
        <w:gridCol w:w="2281"/>
        <w:gridCol w:w="411"/>
        <w:gridCol w:w="411"/>
        <w:gridCol w:w="411"/>
        <w:gridCol w:w="411"/>
        <w:gridCol w:w="411"/>
        <w:gridCol w:w="411"/>
        <w:gridCol w:w="411"/>
        <w:gridCol w:w="411"/>
        <w:gridCol w:w="411"/>
        <w:gridCol w:w="438"/>
        <w:gridCol w:w="438"/>
        <w:gridCol w:w="438"/>
        <w:gridCol w:w="438"/>
        <w:gridCol w:w="438"/>
        <w:gridCol w:w="438"/>
        <w:gridCol w:w="438"/>
      </w:tblGrid>
      <w:tr w:rsidR="00685290" w:rsidRPr="00685290" w14:paraId="7C464E85" w14:textId="77777777" w:rsidTr="0090789C">
        <w:trPr>
          <w:trHeight w:val="182"/>
        </w:trPr>
        <w:tc>
          <w:tcPr>
            <w:tcW w:w="2281" w:type="dxa"/>
            <w:vMerge w:val="restart"/>
            <w:tcBorders>
              <w:top w:val="single" w:sz="8" w:space="0" w:color="7F7F7F"/>
              <w:left w:val="single" w:sz="8" w:space="0" w:color="7F7F7F"/>
              <w:bottom w:val="single" w:sz="8" w:space="0" w:color="7F7F7F"/>
              <w:right w:val="single" w:sz="8" w:space="0" w:color="7F7F7F"/>
            </w:tcBorders>
            <w:shd w:val="clear" w:color="000000" w:fill="D9E1F2"/>
            <w:noWrap/>
            <w:vAlign w:val="center"/>
            <w:hideMark/>
          </w:tcPr>
          <w:p w14:paraId="7D2838A0" w14:textId="77777777" w:rsidR="00685290" w:rsidRPr="00685290" w:rsidRDefault="00685290" w:rsidP="0090789C">
            <w:pPr>
              <w:spacing w:after="0" w:line="240" w:lineRule="auto"/>
              <w:jc w:val="center"/>
              <w:rPr>
                <w:rFonts w:ascii="Arial" w:eastAsia="Times New Roman" w:hAnsi="Arial" w:cs="Arial"/>
                <w:b/>
                <w:bCs/>
                <w:color w:val="000000"/>
                <w:lang w:eastAsia="en-GB"/>
                <w14:ligatures w14:val="none"/>
              </w:rPr>
            </w:pPr>
            <w:bookmarkStart w:id="20" w:name="RANGE!A1:U10"/>
            <w:r w:rsidRPr="00685290">
              <w:rPr>
                <w:rFonts w:ascii="Arial" w:eastAsia="Times New Roman" w:hAnsi="Arial" w:cs="Arial"/>
                <w:b/>
                <w:bCs/>
                <w:color w:val="000000"/>
                <w:lang w:eastAsia="en-GB"/>
                <w14:ligatures w14:val="none"/>
              </w:rPr>
              <w:t>Phase</w:t>
            </w:r>
            <w:bookmarkEnd w:id="20"/>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0B114D89"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31D84614"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510547C7"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529F8751"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4D170917"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07C488F5"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19C6CB10"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7A68F728"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11" w:type="dxa"/>
            <w:tcBorders>
              <w:top w:val="single" w:sz="8" w:space="0" w:color="7F7F7F"/>
              <w:left w:val="nil"/>
              <w:bottom w:val="single" w:sz="4" w:space="0" w:color="auto"/>
              <w:right w:val="single" w:sz="8" w:space="0" w:color="7F7F7F"/>
            </w:tcBorders>
            <w:shd w:val="clear" w:color="000000" w:fill="D9E1F2"/>
            <w:noWrap/>
            <w:vAlign w:val="center"/>
            <w:hideMark/>
          </w:tcPr>
          <w:p w14:paraId="27DEAB46"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38" w:type="dxa"/>
            <w:tcBorders>
              <w:top w:val="single" w:sz="8" w:space="0" w:color="7F7F7F"/>
              <w:left w:val="nil"/>
              <w:bottom w:val="single" w:sz="4" w:space="0" w:color="auto"/>
              <w:right w:val="single" w:sz="8" w:space="0" w:color="7F7F7F"/>
            </w:tcBorders>
            <w:shd w:val="clear" w:color="000000" w:fill="D9E1F2"/>
            <w:noWrap/>
            <w:vAlign w:val="center"/>
            <w:hideMark/>
          </w:tcPr>
          <w:p w14:paraId="245D6C15"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38" w:type="dxa"/>
            <w:tcBorders>
              <w:top w:val="single" w:sz="8" w:space="0" w:color="7F7F7F"/>
              <w:left w:val="nil"/>
              <w:bottom w:val="single" w:sz="4" w:space="0" w:color="auto"/>
              <w:right w:val="single" w:sz="8" w:space="0" w:color="7F7F7F"/>
            </w:tcBorders>
            <w:shd w:val="clear" w:color="000000" w:fill="D9E1F2"/>
            <w:noWrap/>
            <w:vAlign w:val="center"/>
            <w:hideMark/>
          </w:tcPr>
          <w:p w14:paraId="2F081854"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38" w:type="dxa"/>
            <w:tcBorders>
              <w:top w:val="single" w:sz="8" w:space="0" w:color="7F7F7F"/>
              <w:left w:val="nil"/>
              <w:bottom w:val="single" w:sz="4" w:space="0" w:color="auto"/>
              <w:right w:val="single" w:sz="8" w:space="0" w:color="7F7F7F"/>
            </w:tcBorders>
            <w:shd w:val="clear" w:color="000000" w:fill="D9E1F2"/>
            <w:noWrap/>
            <w:vAlign w:val="center"/>
            <w:hideMark/>
          </w:tcPr>
          <w:p w14:paraId="649A18EB"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38" w:type="dxa"/>
            <w:tcBorders>
              <w:top w:val="single" w:sz="8" w:space="0" w:color="7F7F7F"/>
              <w:left w:val="nil"/>
              <w:bottom w:val="single" w:sz="4" w:space="0" w:color="auto"/>
              <w:right w:val="single" w:sz="8" w:space="0" w:color="7F7F7F"/>
            </w:tcBorders>
            <w:shd w:val="clear" w:color="000000" w:fill="D9E1F2"/>
            <w:noWrap/>
            <w:vAlign w:val="center"/>
            <w:hideMark/>
          </w:tcPr>
          <w:p w14:paraId="06BAD760"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38" w:type="dxa"/>
            <w:tcBorders>
              <w:top w:val="single" w:sz="8" w:space="0" w:color="7F7F7F"/>
              <w:left w:val="nil"/>
              <w:bottom w:val="single" w:sz="4" w:space="0" w:color="auto"/>
              <w:right w:val="single" w:sz="8" w:space="0" w:color="7F7F7F"/>
            </w:tcBorders>
            <w:shd w:val="clear" w:color="000000" w:fill="D9E1F2"/>
            <w:noWrap/>
            <w:vAlign w:val="center"/>
            <w:hideMark/>
          </w:tcPr>
          <w:p w14:paraId="48E535D9"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38" w:type="dxa"/>
            <w:tcBorders>
              <w:top w:val="single" w:sz="8" w:space="0" w:color="7F7F7F"/>
              <w:left w:val="nil"/>
              <w:bottom w:val="single" w:sz="4" w:space="0" w:color="auto"/>
              <w:right w:val="single" w:sz="8" w:space="0" w:color="7F7F7F"/>
            </w:tcBorders>
            <w:shd w:val="clear" w:color="000000" w:fill="D9E1F2"/>
            <w:noWrap/>
            <w:vAlign w:val="center"/>
            <w:hideMark/>
          </w:tcPr>
          <w:p w14:paraId="1C4F939C"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c>
          <w:tcPr>
            <w:tcW w:w="438" w:type="dxa"/>
            <w:tcBorders>
              <w:top w:val="single" w:sz="8" w:space="0" w:color="7F7F7F"/>
              <w:left w:val="nil"/>
              <w:bottom w:val="single" w:sz="4" w:space="0" w:color="auto"/>
              <w:right w:val="single" w:sz="8" w:space="0" w:color="7F7F7F"/>
            </w:tcBorders>
            <w:shd w:val="clear" w:color="000000" w:fill="D9E1F2"/>
            <w:noWrap/>
            <w:vAlign w:val="center"/>
            <w:hideMark/>
          </w:tcPr>
          <w:p w14:paraId="33DE8FFB"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W</w:t>
            </w:r>
          </w:p>
        </w:tc>
      </w:tr>
      <w:tr w:rsidR="00685290" w:rsidRPr="00685290" w14:paraId="3EF6F45F" w14:textId="77777777" w:rsidTr="0090789C">
        <w:trPr>
          <w:trHeight w:val="191"/>
        </w:trPr>
        <w:tc>
          <w:tcPr>
            <w:tcW w:w="2281" w:type="dxa"/>
            <w:vMerge/>
            <w:tcBorders>
              <w:top w:val="single" w:sz="8" w:space="0" w:color="7F7F7F"/>
              <w:left w:val="single" w:sz="8" w:space="0" w:color="7F7F7F"/>
              <w:bottom w:val="single" w:sz="8" w:space="0" w:color="7F7F7F"/>
              <w:right w:val="single" w:sz="8" w:space="0" w:color="7F7F7F"/>
            </w:tcBorders>
            <w:vAlign w:val="center"/>
            <w:hideMark/>
          </w:tcPr>
          <w:p w14:paraId="303F4951" w14:textId="77777777" w:rsidR="00685290" w:rsidRPr="00685290" w:rsidRDefault="00685290" w:rsidP="0090789C">
            <w:pPr>
              <w:spacing w:after="0" w:line="240" w:lineRule="auto"/>
              <w:jc w:val="left"/>
              <w:rPr>
                <w:rFonts w:ascii="Arial" w:eastAsia="Times New Roman" w:hAnsi="Arial" w:cs="Arial"/>
                <w:b/>
                <w:bCs/>
                <w:color w:val="000000"/>
                <w:lang w:eastAsia="en-GB"/>
                <w14:ligatures w14:val="none"/>
              </w:rPr>
            </w:pP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06EC6BCA"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36EFE32C"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2</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2BEAF111"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3</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6F2EEA19"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4</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75D7A183"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5</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6C5C1619"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6</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23C8B27F"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7</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65747DE3"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8</w:t>
            </w:r>
          </w:p>
        </w:tc>
        <w:tc>
          <w:tcPr>
            <w:tcW w:w="411" w:type="dxa"/>
            <w:tcBorders>
              <w:top w:val="single" w:sz="4" w:space="0" w:color="auto"/>
              <w:left w:val="nil"/>
              <w:bottom w:val="single" w:sz="8" w:space="0" w:color="7F7F7F"/>
              <w:right w:val="single" w:sz="8" w:space="0" w:color="7F7F7F"/>
            </w:tcBorders>
            <w:shd w:val="clear" w:color="000000" w:fill="D9E1F2"/>
            <w:noWrap/>
            <w:vAlign w:val="center"/>
            <w:hideMark/>
          </w:tcPr>
          <w:p w14:paraId="410E5FCE"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9</w:t>
            </w:r>
          </w:p>
        </w:tc>
        <w:tc>
          <w:tcPr>
            <w:tcW w:w="438" w:type="dxa"/>
            <w:tcBorders>
              <w:top w:val="single" w:sz="4" w:space="0" w:color="auto"/>
              <w:left w:val="nil"/>
              <w:bottom w:val="single" w:sz="8" w:space="0" w:color="7F7F7F"/>
              <w:right w:val="single" w:sz="8" w:space="0" w:color="7F7F7F"/>
            </w:tcBorders>
            <w:shd w:val="clear" w:color="000000" w:fill="D9E1F2"/>
            <w:noWrap/>
            <w:vAlign w:val="center"/>
            <w:hideMark/>
          </w:tcPr>
          <w:p w14:paraId="5F7E42B7"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10</w:t>
            </w:r>
          </w:p>
        </w:tc>
        <w:tc>
          <w:tcPr>
            <w:tcW w:w="438" w:type="dxa"/>
            <w:tcBorders>
              <w:top w:val="single" w:sz="4" w:space="0" w:color="auto"/>
              <w:left w:val="nil"/>
              <w:bottom w:val="single" w:sz="8" w:space="0" w:color="7F7F7F"/>
              <w:right w:val="single" w:sz="8" w:space="0" w:color="7F7F7F"/>
            </w:tcBorders>
            <w:shd w:val="clear" w:color="000000" w:fill="D9E1F2"/>
            <w:noWrap/>
            <w:vAlign w:val="center"/>
            <w:hideMark/>
          </w:tcPr>
          <w:p w14:paraId="09D2615E"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11</w:t>
            </w:r>
          </w:p>
        </w:tc>
        <w:tc>
          <w:tcPr>
            <w:tcW w:w="438" w:type="dxa"/>
            <w:tcBorders>
              <w:top w:val="single" w:sz="4" w:space="0" w:color="auto"/>
              <w:left w:val="nil"/>
              <w:bottom w:val="single" w:sz="8" w:space="0" w:color="7F7F7F"/>
              <w:right w:val="single" w:sz="8" w:space="0" w:color="7F7F7F"/>
            </w:tcBorders>
            <w:shd w:val="clear" w:color="000000" w:fill="D9E1F2"/>
            <w:noWrap/>
            <w:vAlign w:val="center"/>
            <w:hideMark/>
          </w:tcPr>
          <w:p w14:paraId="66EE026D"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12</w:t>
            </w:r>
          </w:p>
        </w:tc>
        <w:tc>
          <w:tcPr>
            <w:tcW w:w="438" w:type="dxa"/>
            <w:tcBorders>
              <w:top w:val="single" w:sz="4" w:space="0" w:color="auto"/>
              <w:left w:val="nil"/>
              <w:bottom w:val="single" w:sz="8" w:space="0" w:color="7F7F7F"/>
              <w:right w:val="single" w:sz="8" w:space="0" w:color="7F7F7F"/>
            </w:tcBorders>
            <w:shd w:val="clear" w:color="000000" w:fill="D9E1F2"/>
            <w:noWrap/>
            <w:vAlign w:val="center"/>
            <w:hideMark/>
          </w:tcPr>
          <w:p w14:paraId="53E0010A"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13</w:t>
            </w:r>
          </w:p>
        </w:tc>
        <w:tc>
          <w:tcPr>
            <w:tcW w:w="438" w:type="dxa"/>
            <w:tcBorders>
              <w:top w:val="single" w:sz="4" w:space="0" w:color="auto"/>
              <w:left w:val="nil"/>
              <w:bottom w:val="single" w:sz="8" w:space="0" w:color="7F7F7F"/>
              <w:right w:val="single" w:sz="8" w:space="0" w:color="7F7F7F"/>
            </w:tcBorders>
            <w:shd w:val="clear" w:color="000000" w:fill="D9E1F2"/>
            <w:noWrap/>
            <w:vAlign w:val="center"/>
            <w:hideMark/>
          </w:tcPr>
          <w:p w14:paraId="5394B69F"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14</w:t>
            </w:r>
          </w:p>
        </w:tc>
        <w:tc>
          <w:tcPr>
            <w:tcW w:w="438" w:type="dxa"/>
            <w:tcBorders>
              <w:top w:val="single" w:sz="4" w:space="0" w:color="auto"/>
              <w:left w:val="nil"/>
              <w:bottom w:val="single" w:sz="8" w:space="0" w:color="7F7F7F"/>
              <w:right w:val="single" w:sz="8" w:space="0" w:color="7F7F7F"/>
            </w:tcBorders>
            <w:shd w:val="clear" w:color="000000" w:fill="D9E1F2"/>
            <w:noWrap/>
            <w:vAlign w:val="center"/>
            <w:hideMark/>
          </w:tcPr>
          <w:p w14:paraId="0B2ED160"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15</w:t>
            </w:r>
          </w:p>
        </w:tc>
        <w:tc>
          <w:tcPr>
            <w:tcW w:w="438" w:type="dxa"/>
            <w:tcBorders>
              <w:top w:val="single" w:sz="4" w:space="0" w:color="auto"/>
              <w:left w:val="nil"/>
              <w:bottom w:val="single" w:sz="8" w:space="0" w:color="7F7F7F"/>
              <w:right w:val="single" w:sz="8" w:space="0" w:color="7F7F7F"/>
            </w:tcBorders>
            <w:shd w:val="clear" w:color="000000" w:fill="D9E1F2"/>
            <w:noWrap/>
            <w:vAlign w:val="center"/>
            <w:hideMark/>
          </w:tcPr>
          <w:p w14:paraId="1E22FAA9" w14:textId="77777777" w:rsidR="00685290" w:rsidRPr="00685290" w:rsidRDefault="00685290" w:rsidP="0090789C">
            <w:pPr>
              <w:spacing w:after="0" w:line="240" w:lineRule="auto"/>
              <w:jc w:val="center"/>
              <w:rPr>
                <w:rFonts w:ascii="Arial" w:eastAsia="Times New Roman" w:hAnsi="Arial" w:cs="Arial"/>
                <w:b/>
                <w:bCs/>
                <w:color w:val="000000"/>
                <w:sz w:val="14"/>
                <w:szCs w:val="14"/>
                <w:lang w:eastAsia="en-GB"/>
                <w14:ligatures w14:val="none"/>
              </w:rPr>
            </w:pPr>
            <w:r w:rsidRPr="00685290">
              <w:rPr>
                <w:rFonts w:ascii="Arial" w:eastAsia="Times New Roman" w:hAnsi="Arial" w:cs="Arial"/>
                <w:b/>
                <w:bCs/>
                <w:color w:val="000000"/>
                <w:sz w:val="14"/>
                <w:szCs w:val="14"/>
                <w:lang w:eastAsia="en-GB"/>
                <w14:ligatures w14:val="none"/>
              </w:rPr>
              <w:t>16</w:t>
            </w:r>
          </w:p>
        </w:tc>
      </w:tr>
      <w:tr w:rsidR="00685290" w:rsidRPr="00685290" w14:paraId="1FF63CF0" w14:textId="77777777" w:rsidTr="0090789C">
        <w:trPr>
          <w:trHeight w:val="375"/>
        </w:trPr>
        <w:tc>
          <w:tcPr>
            <w:tcW w:w="2281" w:type="dxa"/>
            <w:tcBorders>
              <w:top w:val="nil"/>
              <w:left w:val="single" w:sz="8" w:space="0" w:color="7F7F7F"/>
              <w:bottom w:val="single" w:sz="8" w:space="0" w:color="7F7F7F"/>
              <w:right w:val="single" w:sz="8" w:space="0" w:color="7F7F7F"/>
            </w:tcBorders>
            <w:vAlign w:val="center"/>
            <w:hideMark/>
          </w:tcPr>
          <w:p w14:paraId="2309A53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Proposal Approval</w:t>
            </w:r>
          </w:p>
        </w:tc>
        <w:tc>
          <w:tcPr>
            <w:tcW w:w="411" w:type="dxa"/>
            <w:tcBorders>
              <w:top w:val="nil"/>
              <w:left w:val="nil"/>
              <w:bottom w:val="single" w:sz="8" w:space="0" w:color="7F7F7F"/>
              <w:right w:val="single" w:sz="8" w:space="0" w:color="7F7F7F"/>
            </w:tcBorders>
            <w:shd w:val="clear" w:color="auto" w:fill="4C94D8" w:themeFill="text2" w:themeFillTint="80"/>
            <w:noWrap/>
            <w:vAlign w:val="center"/>
            <w:hideMark/>
          </w:tcPr>
          <w:p w14:paraId="441444D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shd w:val="clear" w:color="auto" w:fill="4C94D8" w:themeFill="text2" w:themeFillTint="80"/>
            <w:noWrap/>
            <w:vAlign w:val="center"/>
            <w:hideMark/>
          </w:tcPr>
          <w:p w14:paraId="58A1AA5F"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shd w:val="clear" w:color="auto" w:fill="4C94D8" w:themeFill="text2" w:themeFillTint="80"/>
            <w:noWrap/>
            <w:vAlign w:val="center"/>
            <w:hideMark/>
          </w:tcPr>
          <w:p w14:paraId="4D11D62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shd w:val="clear" w:color="auto" w:fill="4C94D8" w:themeFill="text2" w:themeFillTint="80"/>
            <w:noWrap/>
            <w:vAlign w:val="center"/>
            <w:hideMark/>
          </w:tcPr>
          <w:p w14:paraId="40526A1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34BDDEB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7315AF7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21F9C07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0559C43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5FC8444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20F0EFC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562C5D4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7F03ED9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54BDE66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143C309F"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6421F044"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050B5CD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r>
      <w:tr w:rsidR="00685290" w:rsidRPr="00685290" w14:paraId="274EE68F" w14:textId="77777777" w:rsidTr="0090789C">
        <w:trPr>
          <w:trHeight w:val="375"/>
        </w:trPr>
        <w:tc>
          <w:tcPr>
            <w:tcW w:w="2281" w:type="dxa"/>
            <w:tcBorders>
              <w:top w:val="nil"/>
              <w:left w:val="single" w:sz="8" w:space="0" w:color="7F7F7F"/>
              <w:bottom w:val="single" w:sz="8" w:space="0" w:color="7F7F7F"/>
              <w:right w:val="single" w:sz="8" w:space="0" w:color="7F7F7F"/>
            </w:tcBorders>
            <w:vAlign w:val="center"/>
          </w:tcPr>
          <w:p w14:paraId="448C94EF"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Introduction</w:t>
            </w:r>
          </w:p>
        </w:tc>
        <w:tc>
          <w:tcPr>
            <w:tcW w:w="411" w:type="dxa"/>
            <w:tcBorders>
              <w:top w:val="nil"/>
              <w:left w:val="nil"/>
              <w:bottom w:val="single" w:sz="8" w:space="0" w:color="7F7F7F"/>
              <w:right w:val="single" w:sz="8" w:space="0" w:color="7F7F7F"/>
            </w:tcBorders>
            <w:noWrap/>
            <w:vAlign w:val="center"/>
          </w:tcPr>
          <w:p w14:paraId="603A752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3DAE562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642CEED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2AD3769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shd w:val="clear" w:color="auto" w:fill="ADADAD" w:themeFill="background2" w:themeFillShade="BF"/>
            <w:noWrap/>
            <w:vAlign w:val="center"/>
          </w:tcPr>
          <w:p w14:paraId="0D783E9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5905FD3F"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55D1444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58357BA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16D5E5C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26DBCB0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59094C1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54B9328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5FD4178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669819A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741D9DB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2F388B9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r>
      <w:tr w:rsidR="00685290" w:rsidRPr="00685290" w14:paraId="227DAB37" w14:textId="77777777" w:rsidTr="0090789C">
        <w:trPr>
          <w:trHeight w:val="558"/>
        </w:trPr>
        <w:tc>
          <w:tcPr>
            <w:tcW w:w="2281" w:type="dxa"/>
            <w:tcBorders>
              <w:top w:val="nil"/>
              <w:left w:val="single" w:sz="8" w:space="0" w:color="7F7F7F"/>
              <w:bottom w:val="single" w:sz="8" w:space="0" w:color="7F7F7F"/>
              <w:right w:val="single" w:sz="8" w:space="0" w:color="7F7F7F"/>
            </w:tcBorders>
            <w:vAlign w:val="center"/>
            <w:hideMark/>
          </w:tcPr>
          <w:p w14:paraId="18EFCE3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Literature Review</w:t>
            </w:r>
          </w:p>
        </w:tc>
        <w:tc>
          <w:tcPr>
            <w:tcW w:w="411" w:type="dxa"/>
            <w:tcBorders>
              <w:top w:val="nil"/>
              <w:left w:val="nil"/>
              <w:bottom w:val="single" w:sz="8" w:space="0" w:color="7F7F7F"/>
              <w:right w:val="single" w:sz="8" w:space="0" w:color="7F7F7F"/>
            </w:tcBorders>
            <w:noWrap/>
            <w:vAlign w:val="center"/>
            <w:hideMark/>
          </w:tcPr>
          <w:p w14:paraId="42C7251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6CE7C384"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1244941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6BF1266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1D5BB35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shd w:val="clear" w:color="auto" w:fill="92D050"/>
            <w:noWrap/>
            <w:vAlign w:val="center"/>
            <w:hideMark/>
          </w:tcPr>
          <w:p w14:paraId="61FBA36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shd w:val="clear" w:color="auto" w:fill="92D050"/>
            <w:noWrap/>
            <w:vAlign w:val="center"/>
            <w:hideMark/>
          </w:tcPr>
          <w:p w14:paraId="0DB8E3B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0903AA0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6C9EDF9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25F509F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48BF55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84EDAD3"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142DA58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3634BDF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2069230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7C7152A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r>
      <w:tr w:rsidR="00685290" w:rsidRPr="00685290" w14:paraId="3F2A3C24" w14:textId="77777777" w:rsidTr="0090789C">
        <w:trPr>
          <w:trHeight w:val="558"/>
        </w:trPr>
        <w:tc>
          <w:tcPr>
            <w:tcW w:w="2281" w:type="dxa"/>
            <w:tcBorders>
              <w:top w:val="nil"/>
              <w:left w:val="single" w:sz="8" w:space="0" w:color="7F7F7F"/>
              <w:bottom w:val="single" w:sz="8" w:space="0" w:color="7F7F7F"/>
              <w:right w:val="single" w:sz="8" w:space="0" w:color="7F7F7F"/>
            </w:tcBorders>
            <w:vAlign w:val="center"/>
          </w:tcPr>
          <w:p w14:paraId="4A1E13E7"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Research Methodology</w:t>
            </w:r>
          </w:p>
        </w:tc>
        <w:tc>
          <w:tcPr>
            <w:tcW w:w="411" w:type="dxa"/>
            <w:tcBorders>
              <w:top w:val="nil"/>
              <w:left w:val="nil"/>
              <w:bottom w:val="single" w:sz="8" w:space="0" w:color="7F7F7F"/>
              <w:right w:val="single" w:sz="8" w:space="0" w:color="7F7F7F"/>
            </w:tcBorders>
            <w:noWrap/>
            <w:vAlign w:val="center"/>
          </w:tcPr>
          <w:p w14:paraId="7EEE643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1A87E0B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69C45F4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2D88641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64738CE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3FF18AF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306D8BD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shd w:val="clear" w:color="auto" w:fill="00B0F0"/>
            <w:noWrap/>
            <w:vAlign w:val="center"/>
          </w:tcPr>
          <w:p w14:paraId="759A639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shd w:val="clear" w:color="auto" w:fill="00B0F0"/>
            <w:noWrap/>
            <w:vAlign w:val="center"/>
          </w:tcPr>
          <w:p w14:paraId="3EEC53D4"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0B58C51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678E758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5F3F71E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20020ED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0A0089C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51B357B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6837C91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r>
      <w:tr w:rsidR="00685290" w:rsidRPr="00685290" w14:paraId="49780D3F" w14:textId="77777777" w:rsidTr="0090789C">
        <w:trPr>
          <w:trHeight w:val="558"/>
        </w:trPr>
        <w:tc>
          <w:tcPr>
            <w:tcW w:w="2281" w:type="dxa"/>
            <w:tcBorders>
              <w:top w:val="nil"/>
              <w:left w:val="single" w:sz="8" w:space="0" w:color="7F7F7F"/>
              <w:bottom w:val="single" w:sz="8" w:space="0" w:color="7F7F7F"/>
              <w:right w:val="single" w:sz="8" w:space="0" w:color="7F7F7F"/>
            </w:tcBorders>
            <w:vAlign w:val="center"/>
            <w:hideMark/>
          </w:tcPr>
          <w:p w14:paraId="5252012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Questionnaire Design</w:t>
            </w:r>
          </w:p>
        </w:tc>
        <w:tc>
          <w:tcPr>
            <w:tcW w:w="411" w:type="dxa"/>
            <w:tcBorders>
              <w:top w:val="nil"/>
              <w:left w:val="nil"/>
              <w:bottom w:val="single" w:sz="8" w:space="0" w:color="7F7F7F"/>
              <w:right w:val="single" w:sz="8" w:space="0" w:color="7F7F7F"/>
            </w:tcBorders>
            <w:noWrap/>
            <w:vAlign w:val="center"/>
            <w:hideMark/>
          </w:tcPr>
          <w:p w14:paraId="2F03FBD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46E1D89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613F4FD4"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54E66795"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2620AAB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4E42751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6693C7A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4E60388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5C645B9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shd w:val="clear" w:color="auto" w:fill="215E99" w:themeFill="text2" w:themeFillTint="BF"/>
            <w:noWrap/>
            <w:vAlign w:val="center"/>
            <w:hideMark/>
          </w:tcPr>
          <w:p w14:paraId="111BA36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shd w:val="clear" w:color="auto" w:fill="215E99" w:themeFill="text2" w:themeFillTint="BF"/>
            <w:noWrap/>
            <w:vAlign w:val="center"/>
            <w:hideMark/>
          </w:tcPr>
          <w:p w14:paraId="6C595D1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3B545887"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2DD4F68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5E03725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54540E7"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0CD7AF9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r>
      <w:tr w:rsidR="00685290" w:rsidRPr="00685290" w14:paraId="31B8133F" w14:textId="77777777" w:rsidTr="0090789C">
        <w:trPr>
          <w:trHeight w:val="558"/>
        </w:trPr>
        <w:tc>
          <w:tcPr>
            <w:tcW w:w="2281" w:type="dxa"/>
            <w:tcBorders>
              <w:top w:val="nil"/>
              <w:left w:val="single" w:sz="8" w:space="0" w:color="7F7F7F"/>
              <w:bottom w:val="single" w:sz="8" w:space="0" w:color="7F7F7F"/>
              <w:right w:val="single" w:sz="8" w:space="0" w:color="7F7F7F"/>
            </w:tcBorders>
            <w:vAlign w:val="center"/>
            <w:hideMark/>
          </w:tcPr>
          <w:p w14:paraId="1DA0F81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Data Collection</w:t>
            </w:r>
          </w:p>
        </w:tc>
        <w:tc>
          <w:tcPr>
            <w:tcW w:w="411" w:type="dxa"/>
            <w:tcBorders>
              <w:top w:val="nil"/>
              <w:left w:val="nil"/>
              <w:bottom w:val="single" w:sz="8" w:space="0" w:color="7F7F7F"/>
              <w:right w:val="single" w:sz="8" w:space="0" w:color="7F7F7F"/>
            </w:tcBorders>
            <w:noWrap/>
            <w:vAlign w:val="center"/>
            <w:hideMark/>
          </w:tcPr>
          <w:p w14:paraId="435B3C4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1E24AED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00550ECF"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5A25C95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76AA7DB3"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05A53BD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2EF615E7"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31B3147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3E25C385"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9CAA36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7DEC6BD4"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shd w:val="clear" w:color="auto" w:fill="E97132" w:themeFill="accent2"/>
            <w:noWrap/>
            <w:vAlign w:val="center"/>
            <w:hideMark/>
          </w:tcPr>
          <w:p w14:paraId="71F19F0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shd w:val="clear" w:color="auto" w:fill="E97132" w:themeFill="accent2"/>
            <w:noWrap/>
            <w:vAlign w:val="center"/>
            <w:hideMark/>
          </w:tcPr>
          <w:p w14:paraId="5D6F731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179F0A35"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B57465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6E32E64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r>
      <w:tr w:rsidR="00685290" w:rsidRPr="00685290" w14:paraId="5DBF4039" w14:textId="77777777" w:rsidTr="0090789C">
        <w:trPr>
          <w:trHeight w:val="375"/>
        </w:trPr>
        <w:tc>
          <w:tcPr>
            <w:tcW w:w="2281" w:type="dxa"/>
            <w:tcBorders>
              <w:top w:val="nil"/>
              <w:left w:val="single" w:sz="8" w:space="0" w:color="7F7F7F"/>
              <w:bottom w:val="single" w:sz="8" w:space="0" w:color="7F7F7F"/>
              <w:right w:val="single" w:sz="8" w:space="0" w:color="7F7F7F"/>
            </w:tcBorders>
            <w:vAlign w:val="center"/>
            <w:hideMark/>
          </w:tcPr>
          <w:p w14:paraId="7DC7243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lastRenderedPageBreak/>
              <w:t>Data Analysis</w:t>
            </w:r>
          </w:p>
        </w:tc>
        <w:tc>
          <w:tcPr>
            <w:tcW w:w="411" w:type="dxa"/>
            <w:tcBorders>
              <w:top w:val="nil"/>
              <w:left w:val="nil"/>
              <w:bottom w:val="single" w:sz="8" w:space="0" w:color="7F7F7F"/>
              <w:right w:val="single" w:sz="8" w:space="0" w:color="7F7F7F"/>
            </w:tcBorders>
            <w:noWrap/>
            <w:vAlign w:val="center"/>
            <w:hideMark/>
          </w:tcPr>
          <w:p w14:paraId="5BC61585"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593475B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4C95DF7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2CAB22E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3C672B7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5CFA965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1466975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3EC7E71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15F9A0C5"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2499749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2E1B9D14"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7465CD4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0080DB7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shd w:val="clear" w:color="000000" w:fill="4BACC6"/>
            <w:noWrap/>
            <w:vAlign w:val="center"/>
            <w:hideMark/>
          </w:tcPr>
          <w:p w14:paraId="6A6F0577"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031A5C3"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BB0EEA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r>
      <w:tr w:rsidR="00685290" w:rsidRPr="00685290" w14:paraId="13DE6FC7" w14:textId="77777777" w:rsidTr="0090789C">
        <w:trPr>
          <w:trHeight w:val="375"/>
        </w:trPr>
        <w:tc>
          <w:tcPr>
            <w:tcW w:w="2281" w:type="dxa"/>
            <w:tcBorders>
              <w:top w:val="nil"/>
              <w:left w:val="single" w:sz="8" w:space="0" w:color="7F7F7F"/>
              <w:bottom w:val="single" w:sz="8" w:space="0" w:color="7F7F7F"/>
              <w:right w:val="single" w:sz="8" w:space="0" w:color="7F7F7F"/>
            </w:tcBorders>
            <w:vAlign w:val="center"/>
          </w:tcPr>
          <w:p w14:paraId="0D0FAB3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Discussion</w:t>
            </w:r>
          </w:p>
          <w:p w14:paraId="2D28350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/Interpretation</w:t>
            </w:r>
          </w:p>
        </w:tc>
        <w:tc>
          <w:tcPr>
            <w:tcW w:w="411" w:type="dxa"/>
            <w:tcBorders>
              <w:top w:val="nil"/>
              <w:left w:val="nil"/>
              <w:bottom w:val="single" w:sz="8" w:space="0" w:color="7F7F7F"/>
              <w:right w:val="single" w:sz="8" w:space="0" w:color="7F7F7F"/>
            </w:tcBorders>
            <w:noWrap/>
            <w:vAlign w:val="center"/>
          </w:tcPr>
          <w:p w14:paraId="7A86EB1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24F4B46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5AB8D8E9"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00663D2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6D45118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0DBF4F4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7F502A3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41710D6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11" w:type="dxa"/>
            <w:tcBorders>
              <w:top w:val="nil"/>
              <w:left w:val="nil"/>
              <w:bottom w:val="single" w:sz="8" w:space="0" w:color="7F7F7F"/>
              <w:right w:val="single" w:sz="8" w:space="0" w:color="7F7F7F"/>
            </w:tcBorders>
            <w:noWrap/>
            <w:vAlign w:val="center"/>
          </w:tcPr>
          <w:p w14:paraId="291CC8F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505698A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252C02B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2471B0A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3891CB2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4C2B9FF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shd w:val="clear" w:color="auto" w:fill="E59EDC" w:themeFill="accent5" w:themeFillTint="66"/>
            <w:noWrap/>
            <w:vAlign w:val="center"/>
          </w:tcPr>
          <w:p w14:paraId="40A57A50"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c>
          <w:tcPr>
            <w:tcW w:w="438" w:type="dxa"/>
            <w:tcBorders>
              <w:top w:val="nil"/>
              <w:left w:val="nil"/>
              <w:bottom w:val="single" w:sz="8" w:space="0" w:color="7F7F7F"/>
              <w:right w:val="single" w:sz="8" w:space="0" w:color="7F7F7F"/>
            </w:tcBorders>
            <w:noWrap/>
            <w:vAlign w:val="center"/>
          </w:tcPr>
          <w:p w14:paraId="27521AE4"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p>
        </w:tc>
      </w:tr>
      <w:tr w:rsidR="00685290" w:rsidRPr="00685290" w14:paraId="6F5A73F5" w14:textId="77777777" w:rsidTr="0090789C">
        <w:trPr>
          <w:trHeight w:val="742"/>
        </w:trPr>
        <w:tc>
          <w:tcPr>
            <w:tcW w:w="2281" w:type="dxa"/>
            <w:tcBorders>
              <w:top w:val="nil"/>
              <w:left w:val="single" w:sz="8" w:space="0" w:color="7F7F7F"/>
              <w:bottom w:val="single" w:sz="8" w:space="0" w:color="7F7F7F"/>
              <w:right w:val="single" w:sz="8" w:space="0" w:color="7F7F7F"/>
            </w:tcBorders>
            <w:vAlign w:val="center"/>
            <w:hideMark/>
          </w:tcPr>
          <w:p w14:paraId="5772DBB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Conclusion and Recommendations</w:t>
            </w:r>
          </w:p>
        </w:tc>
        <w:tc>
          <w:tcPr>
            <w:tcW w:w="411" w:type="dxa"/>
            <w:tcBorders>
              <w:top w:val="nil"/>
              <w:left w:val="nil"/>
              <w:bottom w:val="single" w:sz="8" w:space="0" w:color="7F7F7F"/>
              <w:right w:val="single" w:sz="8" w:space="0" w:color="7F7F7F"/>
            </w:tcBorders>
            <w:noWrap/>
            <w:vAlign w:val="center"/>
            <w:hideMark/>
          </w:tcPr>
          <w:p w14:paraId="6C62EA3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29BF524A"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2BC4975B"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2FEF59EC"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0C5980BD"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60AC898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5624189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41CF526F"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11" w:type="dxa"/>
            <w:tcBorders>
              <w:top w:val="nil"/>
              <w:left w:val="nil"/>
              <w:bottom w:val="single" w:sz="8" w:space="0" w:color="7F7F7F"/>
              <w:right w:val="single" w:sz="8" w:space="0" w:color="7F7F7F"/>
            </w:tcBorders>
            <w:noWrap/>
            <w:vAlign w:val="center"/>
            <w:hideMark/>
          </w:tcPr>
          <w:p w14:paraId="499A4B68"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3F4BC1E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58599A32"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007D589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63BD60D1"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73380D56"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noWrap/>
            <w:vAlign w:val="center"/>
            <w:hideMark/>
          </w:tcPr>
          <w:p w14:paraId="4864989F"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c>
          <w:tcPr>
            <w:tcW w:w="438" w:type="dxa"/>
            <w:tcBorders>
              <w:top w:val="nil"/>
              <w:left w:val="nil"/>
              <w:bottom w:val="single" w:sz="8" w:space="0" w:color="7F7F7F"/>
              <w:right w:val="single" w:sz="8" w:space="0" w:color="7F7F7F"/>
            </w:tcBorders>
            <w:shd w:val="clear" w:color="000000" w:fill="D99694"/>
            <w:noWrap/>
            <w:vAlign w:val="center"/>
            <w:hideMark/>
          </w:tcPr>
          <w:p w14:paraId="563FF9AE" w14:textId="77777777" w:rsidR="00685290" w:rsidRPr="00685290" w:rsidRDefault="00685290" w:rsidP="0090789C">
            <w:pPr>
              <w:spacing w:after="0" w:line="240" w:lineRule="auto"/>
              <w:jc w:val="left"/>
              <w:rPr>
                <w:rFonts w:ascii="Arial" w:eastAsia="Times New Roman" w:hAnsi="Arial" w:cs="Arial"/>
                <w:color w:val="000000"/>
                <w:lang w:eastAsia="en-GB"/>
                <w14:ligatures w14:val="none"/>
              </w:rPr>
            </w:pPr>
            <w:r w:rsidRPr="00685290">
              <w:rPr>
                <w:rFonts w:ascii="Arial" w:eastAsia="Times New Roman" w:hAnsi="Arial" w:cs="Arial"/>
                <w:color w:val="000000"/>
                <w:lang w:eastAsia="en-GB"/>
                <w14:ligatures w14:val="none"/>
              </w:rPr>
              <w:t> </w:t>
            </w:r>
          </w:p>
        </w:tc>
      </w:tr>
    </w:tbl>
    <w:p w14:paraId="7C1F5F7B" w14:textId="77777777" w:rsidR="00685290" w:rsidRPr="00685290" w:rsidRDefault="00685290" w:rsidP="00685290">
      <w:pPr>
        <w:pStyle w:val="Heading1"/>
        <w:rPr>
          <w:rFonts w:ascii="Arial" w:hAnsi="Arial" w:cs="Arial"/>
        </w:rPr>
      </w:pPr>
      <w:bookmarkStart w:id="21" w:name="_Toc223732962"/>
      <w:r w:rsidRPr="00685290">
        <w:rPr>
          <w:rFonts w:ascii="Arial" w:hAnsi="Arial" w:cs="Arial"/>
        </w:rPr>
        <w:t>5. Conclusion</w:t>
      </w:r>
      <w:bookmarkEnd w:id="21"/>
    </w:p>
    <w:p w14:paraId="5A9EFE06" w14:textId="77777777" w:rsidR="00685290" w:rsidRPr="00685290" w:rsidRDefault="00685290" w:rsidP="00685290">
      <w:pPr>
        <w:rPr>
          <w:rFonts w:ascii="Arial" w:hAnsi="Arial" w:cs="Arial"/>
        </w:rPr>
      </w:pPr>
      <w:r w:rsidRPr="00685290">
        <w:rPr>
          <w:rFonts w:ascii="Arial" w:hAnsi="Arial" w:cs="Arial"/>
        </w:rPr>
        <w:t>This paper aimed at investigating the role of integrated marketing communication (IMC) in the brand equity of McDonald's in the UK by determining the existing IMC activity, evaluation of opportunities and challenges of implementation and effects on brand-equity. The data show that McDonald’s UK is actively developing an integrated blend of paid media, digital and social content, and technology-facilitated customer interaction, and integration is reinforced by app-based touchpoints that facilitate consistency and recidivation. These practices are placed to boost important dimensions of customer-based brand equity, as they strengthen brand salience, normative positive, and loyalty intentions.</w:t>
      </w:r>
    </w:p>
    <w:p w14:paraId="20840E43" w14:textId="77777777" w:rsidR="00685290" w:rsidRPr="00685290" w:rsidRDefault="00685290" w:rsidP="00685290">
      <w:pPr>
        <w:rPr>
          <w:rFonts w:ascii="Arial" w:hAnsi="Arial" w:cs="Arial"/>
        </w:rPr>
      </w:pPr>
      <w:r w:rsidRPr="00685290">
        <w:rPr>
          <w:rFonts w:ascii="Arial" w:hAnsi="Arial" w:cs="Arial"/>
        </w:rPr>
        <w:t>Yet the UK environment brings in constraints that may undermine IMC effectiveness unless it is actively managed. Regulatory scrutiny of food marketing, public sensitivity to matters of health, reputation and corporate conduct can make it hard to design a message and choose channels. Simultaneously, the interactive capacity of social media raises exposure to reputational risk such as backlash and message reframing, which determines the disruption of coherence and credibility. In general, the research concludes that IMC can enhance the brand equity of McDonald's in the UK when communications are coherent, customer-focused, and aligned with lived brand experience, whilst the same merger enlarges risk in the case that governance, trust and regulatory compliance are not integrated into planning and practice.</w:t>
      </w:r>
    </w:p>
    <w:p w14:paraId="0523F144" w14:textId="77777777" w:rsidR="00685290" w:rsidRPr="00685290" w:rsidRDefault="00685290" w:rsidP="00685290">
      <w:pPr>
        <w:rPr>
          <w:rFonts w:ascii="Arial" w:hAnsi="Arial" w:cs="Arial"/>
        </w:rPr>
      </w:pPr>
    </w:p>
    <w:p w14:paraId="4EEB77C6" w14:textId="77777777" w:rsidR="00685290" w:rsidRPr="00685290" w:rsidRDefault="00685290" w:rsidP="00685290">
      <w:pPr>
        <w:rPr>
          <w:rFonts w:ascii="Arial" w:hAnsi="Arial" w:cs="Arial"/>
        </w:rPr>
      </w:pPr>
    </w:p>
    <w:p w14:paraId="3A5EB801" w14:textId="77777777" w:rsidR="00685290" w:rsidRPr="00685290" w:rsidRDefault="00685290" w:rsidP="00685290">
      <w:pPr>
        <w:rPr>
          <w:rFonts w:ascii="Arial" w:hAnsi="Arial" w:cs="Arial"/>
        </w:rPr>
      </w:pPr>
    </w:p>
    <w:p w14:paraId="5EC5C65E" w14:textId="77777777" w:rsidR="00685290" w:rsidRPr="00685290" w:rsidRDefault="00685290" w:rsidP="00685290">
      <w:pPr>
        <w:rPr>
          <w:rFonts w:ascii="Arial" w:eastAsiaTheme="majorEastAsia" w:hAnsi="Arial" w:cs="Arial"/>
          <w:b/>
          <w:color w:val="0F4761" w:themeColor="accent1" w:themeShade="BF"/>
          <w:sz w:val="28"/>
          <w:szCs w:val="40"/>
        </w:rPr>
      </w:pPr>
      <w:bookmarkStart w:id="22" w:name="_Toc223732963"/>
      <w:r w:rsidRPr="00685290">
        <w:rPr>
          <w:rFonts w:ascii="Arial" w:hAnsi="Arial" w:cs="Arial"/>
        </w:rPr>
        <w:br w:type="page"/>
      </w:r>
    </w:p>
    <w:p w14:paraId="6457F357" w14:textId="77777777" w:rsidR="00685290" w:rsidRPr="00685290" w:rsidRDefault="00685290" w:rsidP="00685290">
      <w:pPr>
        <w:pStyle w:val="Heading1"/>
        <w:rPr>
          <w:rFonts w:ascii="Arial" w:hAnsi="Arial" w:cs="Arial"/>
        </w:rPr>
      </w:pPr>
      <w:r w:rsidRPr="00685290">
        <w:rPr>
          <w:rFonts w:ascii="Arial" w:hAnsi="Arial" w:cs="Arial"/>
        </w:rPr>
        <w:lastRenderedPageBreak/>
        <w:t>Reference list</w:t>
      </w:r>
      <w:bookmarkEnd w:id="22"/>
    </w:p>
    <w:p w14:paraId="1D1F3FBA" w14:textId="77777777" w:rsidR="00685290" w:rsidRPr="00685290" w:rsidRDefault="00685290" w:rsidP="00685290">
      <w:pPr>
        <w:rPr>
          <w:rFonts w:ascii="Arial" w:hAnsi="Arial" w:cs="Arial"/>
        </w:rPr>
      </w:pPr>
      <w:r w:rsidRPr="00685290">
        <w:rPr>
          <w:rFonts w:ascii="Arial" w:hAnsi="Arial" w:cs="Arial"/>
        </w:rPr>
        <w:t xml:space="preserve">ASA (2025) </w:t>
      </w:r>
      <w:r w:rsidRPr="00685290">
        <w:rPr>
          <w:rFonts w:ascii="Arial" w:hAnsi="Arial" w:cs="Arial"/>
          <w:i/>
          <w:iCs/>
        </w:rPr>
        <w:t>15 Food, Food Supplements and Associated Health or Nutrition Claims</w:t>
      </w:r>
      <w:r w:rsidRPr="00685290">
        <w:rPr>
          <w:rFonts w:ascii="Arial" w:hAnsi="Arial" w:cs="Arial"/>
        </w:rPr>
        <w:t xml:space="preserve">, </w:t>
      </w:r>
      <w:r w:rsidRPr="00685290">
        <w:rPr>
          <w:rFonts w:ascii="Arial" w:hAnsi="Arial" w:cs="Arial"/>
          <w:i/>
          <w:iCs/>
        </w:rPr>
        <w:t>www.asa.org.uk</w:t>
      </w:r>
      <w:r w:rsidRPr="00685290">
        <w:rPr>
          <w:rFonts w:ascii="Arial" w:hAnsi="Arial" w:cs="Arial"/>
        </w:rPr>
        <w:t>. Available at: https://www.asa.org.uk/type/non_broadcast/code_section/15.html (Accessed: 1 March 2026).</w:t>
      </w:r>
    </w:p>
    <w:p w14:paraId="52DC845B" w14:textId="77777777" w:rsidR="00685290" w:rsidRPr="00685290" w:rsidRDefault="00685290" w:rsidP="00685290">
      <w:pPr>
        <w:rPr>
          <w:rFonts w:ascii="Arial" w:hAnsi="Arial" w:cs="Arial"/>
        </w:rPr>
      </w:pPr>
      <w:r w:rsidRPr="00685290">
        <w:rPr>
          <w:rFonts w:ascii="Arial" w:hAnsi="Arial" w:cs="Arial"/>
        </w:rPr>
        <w:t xml:space="preserve">Baccarella, C.V. </w:t>
      </w:r>
      <w:r w:rsidRPr="00685290">
        <w:rPr>
          <w:rFonts w:ascii="Arial" w:hAnsi="Arial" w:cs="Arial"/>
          <w:i/>
          <w:iCs/>
        </w:rPr>
        <w:t>et al.</w:t>
      </w:r>
      <w:r w:rsidRPr="00685290">
        <w:rPr>
          <w:rFonts w:ascii="Arial" w:hAnsi="Arial" w:cs="Arial"/>
        </w:rPr>
        <w:t xml:space="preserve"> (2018) ‘</w:t>
      </w:r>
      <w:proofErr w:type="gramStart"/>
      <w:r w:rsidRPr="00685290">
        <w:rPr>
          <w:rFonts w:ascii="Arial" w:hAnsi="Arial" w:cs="Arial"/>
        </w:rPr>
        <w:t>Social media</w:t>
      </w:r>
      <w:proofErr w:type="gramEnd"/>
      <w:r w:rsidRPr="00685290">
        <w:rPr>
          <w:rFonts w:ascii="Arial" w:hAnsi="Arial" w:cs="Arial"/>
        </w:rPr>
        <w:t xml:space="preserve">? It’s serious! Understanding the dark side of social media’, </w:t>
      </w:r>
      <w:r w:rsidRPr="00685290">
        <w:rPr>
          <w:rFonts w:ascii="Arial" w:hAnsi="Arial" w:cs="Arial"/>
          <w:i/>
          <w:iCs/>
        </w:rPr>
        <w:t>European Management Journal</w:t>
      </w:r>
      <w:r w:rsidRPr="00685290">
        <w:rPr>
          <w:rFonts w:ascii="Arial" w:hAnsi="Arial" w:cs="Arial"/>
        </w:rPr>
        <w:t xml:space="preserve">, 36(4), pp. 431–438. Available at: </w:t>
      </w:r>
      <w:hyperlink r:id="rId7" w:history="1">
        <w:r w:rsidRPr="00685290">
          <w:rPr>
            <w:rStyle w:val="Hyperlink"/>
            <w:rFonts w:ascii="Arial" w:hAnsi="Arial" w:cs="Arial"/>
          </w:rPr>
          <w:t>https://doi.org/10.1016/j.emj.2018.07.002</w:t>
        </w:r>
      </w:hyperlink>
      <w:r w:rsidRPr="00685290">
        <w:rPr>
          <w:rFonts w:ascii="Arial" w:hAnsi="Arial" w:cs="Arial"/>
        </w:rPr>
        <w:t>.</w:t>
      </w:r>
    </w:p>
    <w:p w14:paraId="70CE8354" w14:textId="77777777" w:rsidR="00685290" w:rsidRPr="00685290" w:rsidRDefault="00685290" w:rsidP="00685290">
      <w:pPr>
        <w:rPr>
          <w:rFonts w:ascii="Arial" w:hAnsi="Arial" w:cs="Arial"/>
        </w:rPr>
      </w:pPr>
      <w:r w:rsidRPr="00685290">
        <w:rPr>
          <w:rFonts w:ascii="Arial" w:hAnsi="Arial" w:cs="Arial"/>
        </w:rPr>
        <w:t xml:space="preserve">Bartlett, J., </w:t>
      </w:r>
      <w:proofErr w:type="spellStart"/>
      <w:r w:rsidRPr="00685290">
        <w:rPr>
          <w:rFonts w:ascii="Arial" w:hAnsi="Arial" w:cs="Arial"/>
        </w:rPr>
        <w:t>Kotrlik</w:t>
      </w:r>
      <w:proofErr w:type="spellEnd"/>
      <w:r w:rsidRPr="00685290">
        <w:rPr>
          <w:rFonts w:ascii="Arial" w:hAnsi="Arial" w:cs="Arial"/>
        </w:rPr>
        <w:t xml:space="preserve">, J. and Higgins, C. (2001) ‘Organizational research: Determining organizational research: Determining appropriate sample size in survey research appropriate sample size in survey research’, </w:t>
      </w:r>
      <w:r w:rsidRPr="00685290">
        <w:rPr>
          <w:rFonts w:ascii="Arial" w:hAnsi="Arial" w:cs="Arial"/>
          <w:i/>
          <w:iCs/>
        </w:rPr>
        <w:t>Information Technology, Learning, and Performance Journal</w:t>
      </w:r>
      <w:r w:rsidRPr="00685290">
        <w:rPr>
          <w:rFonts w:ascii="Arial" w:hAnsi="Arial" w:cs="Arial"/>
        </w:rPr>
        <w:t xml:space="preserve">, 19(1), pp. 43–50. Available at: </w:t>
      </w:r>
      <w:hyperlink r:id="rId8" w:history="1">
        <w:r w:rsidRPr="00685290">
          <w:rPr>
            <w:rStyle w:val="Hyperlink"/>
            <w:rFonts w:ascii="Arial" w:hAnsi="Arial" w:cs="Arial"/>
          </w:rPr>
          <w:t>https://www.opalco.com/wp-content/uploads/2014/10/Reading-Sample-Size1.pdf</w:t>
        </w:r>
      </w:hyperlink>
      <w:r w:rsidRPr="00685290">
        <w:rPr>
          <w:rFonts w:ascii="Arial" w:hAnsi="Arial" w:cs="Arial"/>
        </w:rPr>
        <w:t>.</w:t>
      </w:r>
    </w:p>
    <w:p w14:paraId="3D91196A" w14:textId="77777777" w:rsidR="00685290" w:rsidRPr="00685290" w:rsidRDefault="00685290" w:rsidP="00685290">
      <w:pPr>
        <w:rPr>
          <w:rFonts w:ascii="Arial" w:hAnsi="Arial" w:cs="Arial"/>
        </w:rPr>
      </w:pPr>
      <w:r w:rsidRPr="00685290">
        <w:rPr>
          <w:rFonts w:ascii="Arial" w:hAnsi="Arial" w:cs="Arial"/>
        </w:rPr>
        <w:t xml:space="preserve">Brand Finance (2025) </w:t>
      </w:r>
      <w:r w:rsidRPr="00685290">
        <w:rPr>
          <w:rFonts w:ascii="Arial" w:hAnsi="Arial" w:cs="Arial"/>
          <w:i/>
          <w:iCs/>
        </w:rPr>
        <w:t>McDonald’s is the world’s most valuable restaurant brand; Starbucks drops to second place   | Press Release | Brand Finance</w:t>
      </w:r>
      <w:r w:rsidRPr="00685290">
        <w:rPr>
          <w:rFonts w:ascii="Arial" w:hAnsi="Arial" w:cs="Arial"/>
        </w:rPr>
        <w:t xml:space="preserve">, </w:t>
      </w:r>
      <w:r w:rsidRPr="00685290">
        <w:rPr>
          <w:rFonts w:ascii="Arial" w:hAnsi="Arial" w:cs="Arial"/>
          <w:i/>
          <w:iCs/>
        </w:rPr>
        <w:t>Brand Finance</w:t>
      </w:r>
      <w:r w:rsidRPr="00685290">
        <w:rPr>
          <w:rFonts w:ascii="Arial" w:hAnsi="Arial" w:cs="Arial"/>
        </w:rPr>
        <w:t>. Available at: https://brandfinance.com/press-releases/mcdonalds-is-the-worlds-most-valuable-restaurant-brand-starbucks-drops-to-second-place (Accessed: 20 February 2026).</w:t>
      </w:r>
    </w:p>
    <w:p w14:paraId="0288C091" w14:textId="77777777" w:rsidR="00685290" w:rsidRPr="00685290" w:rsidRDefault="00685290" w:rsidP="00685290">
      <w:pPr>
        <w:rPr>
          <w:rFonts w:ascii="Arial" w:hAnsi="Arial" w:cs="Arial"/>
        </w:rPr>
      </w:pPr>
      <w:r w:rsidRPr="00685290">
        <w:rPr>
          <w:rFonts w:ascii="Arial" w:hAnsi="Arial" w:cs="Arial"/>
        </w:rPr>
        <w:t xml:space="preserve">British Psychological Society (2021) </w:t>
      </w:r>
      <w:r w:rsidRPr="00685290">
        <w:rPr>
          <w:rFonts w:ascii="Arial" w:hAnsi="Arial" w:cs="Arial"/>
          <w:i/>
          <w:iCs/>
        </w:rPr>
        <w:t>BPS Code of human Research ethics | BPS - British psychological society</w:t>
      </w:r>
      <w:r w:rsidRPr="00685290">
        <w:rPr>
          <w:rFonts w:ascii="Arial" w:hAnsi="Arial" w:cs="Arial"/>
        </w:rPr>
        <w:t xml:space="preserve">, </w:t>
      </w:r>
      <w:r w:rsidRPr="00685290">
        <w:rPr>
          <w:rFonts w:ascii="Arial" w:hAnsi="Arial" w:cs="Arial"/>
          <w:i/>
          <w:iCs/>
        </w:rPr>
        <w:t>explore.bps.org.uk</w:t>
      </w:r>
      <w:r w:rsidRPr="00685290">
        <w:rPr>
          <w:rFonts w:ascii="Arial" w:hAnsi="Arial" w:cs="Arial"/>
        </w:rPr>
        <w:t>. Available at: https://explore.bps.org.uk/content/report-guideline/bpsrep.2021.inf180 (Accessed: 2 March 2026).</w:t>
      </w:r>
    </w:p>
    <w:p w14:paraId="535031F9" w14:textId="77777777" w:rsidR="00685290" w:rsidRPr="00685290" w:rsidRDefault="00685290" w:rsidP="00685290">
      <w:pPr>
        <w:rPr>
          <w:rFonts w:ascii="Arial" w:hAnsi="Arial" w:cs="Arial"/>
        </w:rPr>
      </w:pPr>
      <w:r w:rsidRPr="00685290">
        <w:rPr>
          <w:rFonts w:ascii="Arial" w:hAnsi="Arial" w:cs="Arial"/>
        </w:rPr>
        <w:t xml:space="preserve">Carroll, N. (2025) </w:t>
      </w:r>
      <w:r w:rsidRPr="00685290">
        <w:rPr>
          <w:rFonts w:ascii="Arial" w:hAnsi="Arial" w:cs="Arial"/>
          <w:i/>
          <w:iCs/>
        </w:rPr>
        <w:t>McDonald’s brings global menu to UK in first major post-LHF push</w:t>
      </w:r>
      <w:r w:rsidRPr="00685290">
        <w:rPr>
          <w:rFonts w:ascii="Arial" w:hAnsi="Arial" w:cs="Arial"/>
        </w:rPr>
        <w:t xml:space="preserve">, </w:t>
      </w:r>
      <w:r w:rsidRPr="00685290">
        <w:rPr>
          <w:rFonts w:ascii="Arial" w:hAnsi="Arial" w:cs="Arial"/>
          <w:i/>
          <w:iCs/>
        </w:rPr>
        <w:t>Marketing Week</w:t>
      </w:r>
      <w:r w:rsidRPr="00685290">
        <w:rPr>
          <w:rFonts w:ascii="Arial" w:hAnsi="Arial" w:cs="Arial"/>
        </w:rPr>
        <w:t>. Available at: https://www.marketingweek.com/mcdonalds-global-menu-post-lhf-campaign/ (Accessed: 24 February 2026).</w:t>
      </w:r>
    </w:p>
    <w:p w14:paraId="4699F93F" w14:textId="77777777" w:rsidR="00685290" w:rsidRPr="00685290" w:rsidRDefault="00685290" w:rsidP="00685290">
      <w:pPr>
        <w:rPr>
          <w:rFonts w:ascii="Arial" w:hAnsi="Arial" w:cs="Arial"/>
        </w:rPr>
      </w:pPr>
      <w:r w:rsidRPr="00685290">
        <w:rPr>
          <w:rFonts w:ascii="Arial" w:hAnsi="Arial" w:cs="Arial"/>
        </w:rPr>
        <w:t xml:space="preserve">Conway, L. (2024) </w:t>
      </w:r>
      <w:r w:rsidRPr="00685290">
        <w:rPr>
          <w:rFonts w:ascii="Arial" w:hAnsi="Arial" w:cs="Arial"/>
          <w:i/>
          <w:iCs/>
        </w:rPr>
        <w:t>Advertising HFSS food and drink to children Summary 1 Current regulation 2 Past consultations and initiatives 3 Health and Care Act 2022 4 Other initiatives 5 Devolved administrations: policy on promotion of HFSS products 6 Views of stakeholders</w:t>
      </w:r>
      <w:r w:rsidRPr="00685290">
        <w:rPr>
          <w:rFonts w:ascii="Arial" w:hAnsi="Arial" w:cs="Arial"/>
        </w:rPr>
        <w:t>. Available at: https://researchbriefings.files.parliament.uk/documents/CBP-10061/CBP-10061.pdf (Accessed: 23 February 2026).</w:t>
      </w:r>
    </w:p>
    <w:p w14:paraId="1BFBC3ED" w14:textId="77777777" w:rsidR="00685290" w:rsidRPr="00685290" w:rsidRDefault="00685290" w:rsidP="00685290">
      <w:pPr>
        <w:rPr>
          <w:rFonts w:ascii="Arial" w:hAnsi="Arial" w:cs="Arial"/>
        </w:rPr>
      </w:pPr>
      <w:r w:rsidRPr="00685290">
        <w:rPr>
          <w:rFonts w:ascii="Arial" w:hAnsi="Arial" w:cs="Arial"/>
        </w:rPr>
        <w:lastRenderedPageBreak/>
        <w:t xml:space="preserve">Creswell, J.W. (2023) ‘Research Designs. </w:t>
      </w:r>
      <w:proofErr w:type="gramStart"/>
      <w:r w:rsidRPr="00685290">
        <w:rPr>
          <w:rFonts w:ascii="Arial" w:hAnsi="Arial" w:cs="Arial"/>
        </w:rPr>
        <w:t>Qualitative ,Quantitative</w:t>
      </w:r>
      <w:proofErr w:type="gramEnd"/>
      <w:r w:rsidRPr="00685290">
        <w:rPr>
          <w:rFonts w:ascii="Arial" w:hAnsi="Arial" w:cs="Arial"/>
        </w:rPr>
        <w:t xml:space="preserve">, and Mixed Methods Approaches’, </w:t>
      </w:r>
      <w:r w:rsidRPr="00685290">
        <w:rPr>
          <w:rFonts w:ascii="Arial" w:hAnsi="Arial" w:cs="Arial"/>
          <w:i/>
          <w:iCs/>
        </w:rPr>
        <w:t>219.140</w:t>
      </w:r>
      <w:r w:rsidRPr="00685290">
        <w:rPr>
          <w:rFonts w:ascii="Arial" w:hAnsi="Arial" w:cs="Arial"/>
        </w:rPr>
        <w:t xml:space="preserve"> [Preprint]. Available at: </w:t>
      </w:r>
      <w:hyperlink r:id="rId9" w:history="1">
        <w:r w:rsidRPr="00685290">
          <w:rPr>
            <w:rStyle w:val="Hyperlink"/>
            <w:rFonts w:ascii="Arial" w:hAnsi="Arial" w:cs="Arial"/>
          </w:rPr>
          <w:t>https://www.ucg.ac.me/skladiste/blog_609332/objava_105202/fajlovi/Creswell.pdf</w:t>
        </w:r>
      </w:hyperlink>
      <w:r w:rsidRPr="00685290">
        <w:rPr>
          <w:rFonts w:ascii="Arial" w:hAnsi="Arial" w:cs="Arial"/>
        </w:rPr>
        <w:t>.</w:t>
      </w:r>
    </w:p>
    <w:p w14:paraId="24980D00" w14:textId="77777777" w:rsidR="00685290" w:rsidRPr="00685290" w:rsidRDefault="00685290" w:rsidP="00685290">
      <w:pPr>
        <w:rPr>
          <w:rFonts w:ascii="Arial" w:hAnsi="Arial" w:cs="Arial"/>
        </w:rPr>
      </w:pPr>
      <w:proofErr w:type="spellStart"/>
      <w:r w:rsidRPr="00685290">
        <w:rPr>
          <w:rFonts w:ascii="Arial" w:hAnsi="Arial" w:cs="Arial"/>
        </w:rPr>
        <w:t>Etikan</w:t>
      </w:r>
      <w:proofErr w:type="spellEnd"/>
      <w:r w:rsidRPr="00685290">
        <w:rPr>
          <w:rFonts w:ascii="Arial" w:hAnsi="Arial" w:cs="Arial"/>
        </w:rPr>
        <w:t xml:space="preserve">, I., Musa, S.A. and Alkassim, R.S. (2016) ‘Comparison of convenience sampling and purposive sampling’, </w:t>
      </w:r>
      <w:r w:rsidRPr="00685290">
        <w:rPr>
          <w:rFonts w:ascii="Arial" w:hAnsi="Arial" w:cs="Arial"/>
          <w:i/>
          <w:iCs/>
        </w:rPr>
        <w:t>American Journal of Theoretical and Applied Statistics</w:t>
      </w:r>
      <w:r w:rsidRPr="00685290">
        <w:rPr>
          <w:rFonts w:ascii="Arial" w:hAnsi="Arial" w:cs="Arial"/>
        </w:rPr>
        <w:t xml:space="preserve">, 5(1), pp. 1–4. Available at: </w:t>
      </w:r>
      <w:hyperlink r:id="rId10" w:history="1">
        <w:r w:rsidRPr="00685290">
          <w:rPr>
            <w:rStyle w:val="Hyperlink"/>
            <w:rFonts w:ascii="Arial" w:hAnsi="Arial" w:cs="Arial"/>
          </w:rPr>
          <w:t>https://doi.org/10.11648/j.ajtas.20160501.11</w:t>
        </w:r>
      </w:hyperlink>
      <w:r w:rsidRPr="00685290">
        <w:rPr>
          <w:rFonts w:ascii="Arial" w:hAnsi="Arial" w:cs="Arial"/>
        </w:rPr>
        <w:t>.</w:t>
      </w:r>
    </w:p>
    <w:p w14:paraId="783791C9" w14:textId="77777777" w:rsidR="00685290" w:rsidRPr="00685290" w:rsidRDefault="00685290" w:rsidP="00685290">
      <w:pPr>
        <w:rPr>
          <w:rFonts w:ascii="Arial" w:hAnsi="Arial" w:cs="Arial"/>
        </w:rPr>
      </w:pPr>
      <w:r w:rsidRPr="00685290">
        <w:rPr>
          <w:rFonts w:ascii="Arial" w:hAnsi="Arial" w:cs="Arial"/>
        </w:rPr>
        <w:t xml:space="preserve">Famous Campaigns (2026) </w:t>
      </w:r>
      <w:r w:rsidRPr="00685290">
        <w:rPr>
          <w:rFonts w:ascii="Arial" w:hAnsi="Arial" w:cs="Arial"/>
          <w:i/>
          <w:iCs/>
        </w:rPr>
        <w:t>McDonald’s turns fans’ camera rolls into campaign</w:t>
      </w:r>
      <w:r w:rsidRPr="00685290">
        <w:rPr>
          <w:rFonts w:ascii="Arial" w:hAnsi="Arial" w:cs="Arial"/>
        </w:rPr>
        <w:t xml:space="preserve">, </w:t>
      </w:r>
      <w:r w:rsidRPr="00685290">
        <w:rPr>
          <w:rFonts w:ascii="Arial" w:hAnsi="Arial" w:cs="Arial"/>
          <w:i/>
          <w:iCs/>
        </w:rPr>
        <w:t>https://www.famouscampaigns.com/</w:t>
      </w:r>
      <w:r w:rsidRPr="00685290">
        <w:rPr>
          <w:rFonts w:ascii="Arial" w:hAnsi="Arial" w:cs="Arial"/>
        </w:rPr>
        <w:t>. Available at: https://www.famouscampaigns.com/2026/03/mcdonalds-turns-fans-camera-rolls-into-campaign/ (Accessed: 5 March 2026).</w:t>
      </w:r>
    </w:p>
    <w:p w14:paraId="06E0D597" w14:textId="77777777" w:rsidR="00685290" w:rsidRPr="00685290" w:rsidRDefault="00685290" w:rsidP="00685290">
      <w:pPr>
        <w:rPr>
          <w:rFonts w:ascii="Arial" w:hAnsi="Arial" w:cs="Arial"/>
        </w:rPr>
      </w:pPr>
      <w:r w:rsidRPr="00685290">
        <w:rPr>
          <w:rFonts w:ascii="Arial" w:hAnsi="Arial" w:cs="Arial"/>
        </w:rPr>
        <w:t xml:space="preserve">Houston, A. (2026) </w:t>
      </w:r>
      <w:r w:rsidRPr="00685290">
        <w:rPr>
          <w:rFonts w:ascii="Arial" w:hAnsi="Arial" w:cs="Arial"/>
          <w:i/>
          <w:iCs/>
        </w:rPr>
        <w:t>McDonald’s turns real camera rolls into a late-night campaign</w:t>
      </w:r>
      <w:r w:rsidRPr="00685290">
        <w:rPr>
          <w:rFonts w:ascii="Arial" w:hAnsi="Arial" w:cs="Arial"/>
        </w:rPr>
        <w:t xml:space="preserve">, </w:t>
      </w:r>
      <w:r w:rsidRPr="00685290">
        <w:rPr>
          <w:rFonts w:ascii="Arial" w:hAnsi="Arial" w:cs="Arial"/>
          <w:i/>
          <w:iCs/>
        </w:rPr>
        <w:t>The Drum</w:t>
      </w:r>
      <w:r w:rsidRPr="00685290">
        <w:rPr>
          <w:rFonts w:ascii="Arial" w:hAnsi="Arial" w:cs="Arial"/>
        </w:rPr>
        <w:t>. Available at: https://www.thedrum.com/news/mcdonald-s-turns-real-camera-rolls-into-a-late-night-campaign (Accessed: 5 March 2026).</w:t>
      </w:r>
    </w:p>
    <w:p w14:paraId="7A6EC836" w14:textId="77777777" w:rsidR="00685290" w:rsidRPr="00685290" w:rsidRDefault="00685290" w:rsidP="00685290">
      <w:pPr>
        <w:rPr>
          <w:rFonts w:ascii="Arial" w:hAnsi="Arial" w:cs="Arial"/>
        </w:rPr>
      </w:pPr>
      <w:r w:rsidRPr="00685290">
        <w:rPr>
          <w:rFonts w:ascii="Arial" w:hAnsi="Arial" w:cs="Arial"/>
        </w:rPr>
        <w:t xml:space="preserve">Jones, P. </w:t>
      </w:r>
      <w:r w:rsidRPr="00685290">
        <w:rPr>
          <w:rFonts w:ascii="Arial" w:hAnsi="Arial" w:cs="Arial"/>
          <w:i/>
          <w:iCs/>
        </w:rPr>
        <w:t>et al.</w:t>
      </w:r>
      <w:r w:rsidRPr="00685290">
        <w:rPr>
          <w:rFonts w:ascii="Arial" w:hAnsi="Arial" w:cs="Arial"/>
        </w:rPr>
        <w:t xml:space="preserve"> (2002) ‘Customer perceptions of services brands: a case study of the three major </w:t>
      </w:r>
      <w:proofErr w:type="gramStart"/>
      <w:r w:rsidRPr="00685290">
        <w:rPr>
          <w:rFonts w:ascii="Arial" w:hAnsi="Arial" w:cs="Arial"/>
        </w:rPr>
        <w:t>fast food</w:t>
      </w:r>
      <w:proofErr w:type="gramEnd"/>
      <w:r w:rsidRPr="00685290">
        <w:rPr>
          <w:rFonts w:ascii="Arial" w:hAnsi="Arial" w:cs="Arial"/>
        </w:rPr>
        <w:t xml:space="preserve"> retailers in the UK’, </w:t>
      </w:r>
      <w:r w:rsidRPr="00685290">
        <w:rPr>
          <w:rFonts w:ascii="Arial" w:hAnsi="Arial" w:cs="Arial"/>
          <w:i/>
          <w:iCs/>
        </w:rPr>
        <w:t>Management Research News</w:t>
      </w:r>
      <w:r w:rsidRPr="00685290">
        <w:rPr>
          <w:rFonts w:ascii="Arial" w:hAnsi="Arial" w:cs="Arial"/>
        </w:rPr>
        <w:t xml:space="preserve">, 25(6/7), pp. 41–49. Available at: </w:t>
      </w:r>
      <w:hyperlink r:id="rId11" w:history="1">
        <w:r w:rsidRPr="00685290">
          <w:rPr>
            <w:rStyle w:val="Hyperlink"/>
            <w:rFonts w:ascii="Arial" w:hAnsi="Arial" w:cs="Arial"/>
          </w:rPr>
          <w:t>https://doi.org/10.1108/01409170210783359</w:t>
        </w:r>
      </w:hyperlink>
      <w:r w:rsidRPr="00685290">
        <w:rPr>
          <w:rFonts w:ascii="Arial" w:hAnsi="Arial" w:cs="Arial"/>
        </w:rPr>
        <w:t>.</w:t>
      </w:r>
    </w:p>
    <w:p w14:paraId="0703AEF7" w14:textId="77777777" w:rsidR="00685290" w:rsidRPr="00685290" w:rsidRDefault="00685290" w:rsidP="00685290">
      <w:pPr>
        <w:rPr>
          <w:rFonts w:ascii="Arial" w:hAnsi="Arial" w:cs="Arial"/>
        </w:rPr>
      </w:pPr>
      <w:r w:rsidRPr="00685290">
        <w:rPr>
          <w:rFonts w:ascii="Arial" w:hAnsi="Arial" w:cs="Arial"/>
        </w:rPr>
        <w:t xml:space="preserve">Keller, K.L. (1993) ‘Conceptualizing, Measuring, and Managing Customer-Based Brand Equity’, </w:t>
      </w:r>
      <w:r w:rsidRPr="00685290">
        <w:rPr>
          <w:rFonts w:ascii="Arial" w:hAnsi="Arial" w:cs="Arial"/>
          <w:i/>
          <w:iCs/>
        </w:rPr>
        <w:t>Journal of Marketing</w:t>
      </w:r>
      <w:r w:rsidRPr="00685290">
        <w:rPr>
          <w:rFonts w:ascii="Arial" w:hAnsi="Arial" w:cs="Arial"/>
        </w:rPr>
        <w:t xml:space="preserve">, 57(1), pp. 1–22. Available at: </w:t>
      </w:r>
      <w:hyperlink r:id="rId12" w:history="1">
        <w:r w:rsidRPr="00685290">
          <w:rPr>
            <w:rStyle w:val="Hyperlink"/>
            <w:rFonts w:ascii="Arial" w:hAnsi="Arial" w:cs="Arial"/>
          </w:rPr>
          <w:t>https://doi.org/10.1177/002224299305700101</w:t>
        </w:r>
      </w:hyperlink>
      <w:r w:rsidRPr="00685290">
        <w:rPr>
          <w:rFonts w:ascii="Arial" w:hAnsi="Arial" w:cs="Arial"/>
        </w:rPr>
        <w:t>.</w:t>
      </w:r>
    </w:p>
    <w:p w14:paraId="335BEA36" w14:textId="77777777" w:rsidR="00685290" w:rsidRPr="00685290" w:rsidRDefault="00685290" w:rsidP="00685290">
      <w:pPr>
        <w:rPr>
          <w:rFonts w:ascii="Arial" w:hAnsi="Arial" w:cs="Arial"/>
        </w:rPr>
      </w:pPr>
      <w:r w:rsidRPr="00685290">
        <w:rPr>
          <w:rFonts w:ascii="Arial" w:hAnsi="Arial" w:cs="Arial"/>
        </w:rPr>
        <w:t xml:space="preserve">Keller, K.L. (2001) </w:t>
      </w:r>
      <w:r w:rsidRPr="00685290">
        <w:rPr>
          <w:rFonts w:ascii="Arial" w:hAnsi="Arial" w:cs="Arial"/>
          <w:i/>
          <w:iCs/>
        </w:rPr>
        <w:t>Building Customer-Based Brand Equity: a Blueprint for Creating Strong Brands</w:t>
      </w:r>
      <w:r w:rsidRPr="00685290">
        <w:rPr>
          <w:rFonts w:ascii="Arial" w:hAnsi="Arial" w:cs="Arial"/>
        </w:rPr>
        <w:t xml:space="preserve">. Marketing Science Institute. Available at: </w:t>
      </w:r>
      <w:hyperlink r:id="rId13" w:history="1">
        <w:r w:rsidRPr="00685290">
          <w:rPr>
            <w:rStyle w:val="Hyperlink"/>
            <w:rFonts w:ascii="Arial" w:hAnsi="Arial" w:cs="Arial"/>
          </w:rPr>
          <w:t>https://thearf-org-unified-admin.s3.amazonaws.com/MSI/2020/06/MSI_Report_01-107.pdf</w:t>
        </w:r>
      </w:hyperlink>
      <w:r w:rsidRPr="00685290">
        <w:rPr>
          <w:rFonts w:ascii="Arial" w:hAnsi="Arial" w:cs="Arial"/>
        </w:rPr>
        <w:t>.</w:t>
      </w:r>
    </w:p>
    <w:p w14:paraId="6834E119" w14:textId="77777777" w:rsidR="00685290" w:rsidRPr="00685290" w:rsidRDefault="00685290" w:rsidP="00685290">
      <w:pPr>
        <w:rPr>
          <w:rFonts w:ascii="Arial" w:hAnsi="Arial" w:cs="Arial"/>
        </w:rPr>
      </w:pPr>
      <w:r w:rsidRPr="00685290">
        <w:rPr>
          <w:rFonts w:ascii="Arial" w:hAnsi="Arial" w:cs="Arial"/>
        </w:rPr>
        <w:t xml:space="preserve">Keller, K.L. (2013) </w:t>
      </w:r>
      <w:r w:rsidRPr="00685290">
        <w:rPr>
          <w:rFonts w:ascii="Arial" w:hAnsi="Arial" w:cs="Arial"/>
          <w:i/>
          <w:iCs/>
        </w:rPr>
        <w:t xml:space="preserve">Strategic Brand </w:t>
      </w:r>
      <w:proofErr w:type="gramStart"/>
      <w:r w:rsidRPr="00685290">
        <w:rPr>
          <w:rFonts w:ascii="Arial" w:hAnsi="Arial" w:cs="Arial"/>
          <w:i/>
          <w:iCs/>
        </w:rPr>
        <w:t>Management :</w:t>
      </w:r>
      <w:proofErr w:type="gramEnd"/>
      <w:r w:rsidRPr="00685290">
        <w:rPr>
          <w:rFonts w:ascii="Arial" w:hAnsi="Arial" w:cs="Arial"/>
          <w:i/>
          <w:iCs/>
        </w:rPr>
        <w:t xml:space="preserve"> building, Measuring and Managing Brand Equity</w:t>
      </w:r>
      <w:r w:rsidRPr="00685290">
        <w:rPr>
          <w:rFonts w:ascii="Arial" w:hAnsi="Arial" w:cs="Arial"/>
        </w:rPr>
        <w:t>. Prentice Hall.</w:t>
      </w:r>
    </w:p>
    <w:p w14:paraId="4FAC60DC" w14:textId="77777777" w:rsidR="00685290" w:rsidRPr="00685290" w:rsidRDefault="00685290" w:rsidP="00685290">
      <w:pPr>
        <w:rPr>
          <w:rFonts w:ascii="Arial" w:hAnsi="Arial" w:cs="Arial"/>
        </w:rPr>
      </w:pPr>
      <w:r w:rsidRPr="00685290">
        <w:rPr>
          <w:rFonts w:ascii="Arial" w:hAnsi="Arial" w:cs="Arial"/>
        </w:rPr>
        <w:t xml:space="preserve">Kim, W.G. and Kim, H.-B. (2004) ‘Measuring Customer-Based Restaurant Brand Equity’, </w:t>
      </w:r>
      <w:r w:rsidRPr="00685290">
        <w:rPr>
          <w:rFonts w:ascii="Arial" w:hAnsi="Arial" w:cs="Arial"/>
          <w:i/>
          <w:iCs/>
        </w:rPr>
        <w:t>Cornell Hotel and Restaurant Administration Quarterly</w:t>
      </w:r>
      <w:r w:rsidRPr="00685290">
        <w:rPr>
          <w:rFonts w:ascii="Arial" w:hAnsi="Arial" w:cs="Arial"/>
        </w:rPr>
        <w:t xml:space="preserve">, 45(2), pp. 115–131. Available at: </w:t>
      </w:r>
      <w:hyperlink r:id="rId14" w:history="1">
        <w:r w:rsidRPr="00685290">
          <w:rPr>
            <w:rStyle w:val="Hyperlink"/>
            <w:rFonts w:ascii="Arial" w:hAnsi="Arial" w:cs="Arial"/>
          </w:rPr>
          <w:t>https://doi.org/10.1177/0010880404264507</w:t>
        </w:r>
      </w:hyperlink>
      <w:r w:rsidRPr="00685290">
        <w:rPr>
          <w:rFonts w:ascii="Arial" w:hAnsi="Arial" w:cs="Arial"/>
        </w:rPr>
        <w:t>.</w:t>
      </w:r>
    </w:p>
    <w:p w14:paraId="230CBD87" w14:textId="77777777" w:rsidR="00685290" w:rsidRPr="00685290" w:rsidRDefault="00685290" w:rsidP="00685290">
      <w:pPr>
        <w:rPr>
          <w:rFonts w:ascii="Arial" w:hAnsi="Arial" w:cs="Arial"/>
        </w:rPr>
      </w:pPr>
      <w:r w:rsidRPr="00685290">
        <w:rPr>
          <w:rFonts w:ascii="Arial" w:hAnsi="Arial" w:cs="Arial"/>
        </w:rPr>
        <w:t xml:space="preserve">Kitchen, P.J. and Burgmann, I. (2010) ‘Integrated Marketing Communication’, </w:t>
      </w:r>
      <w:r w:rsidRPr="00685290">
        <w:rPr>
          <w:rFonts w:ascii="Arial" w:hAnsi="Arial" w:cs="Arial"/>
          <w:i/>
          <w:iCs/>
        </w:rPr>
        <w:t xml:space="preserve">Wiley International </w:t>
      </w:r>
      <w:proofErr w:type="spellStart"/>
      <w:r w:rsidRPr="00685290">
        <w:rPr>
          <w:rFonts w:ascii="Arial" w:hAnsi="Arial" w:cs="Arial"/>
          <w:i/>
          <w:iCs/>
        </w:rPr>
        <w:t>Encyclopedia</w:t>
      </w:r>
      <w:proofErr w:type="spellEnd"/>
      <w:r w:rsidRPr="00685290">
        <w:rPr>
          <w:rFonts w:ascii="Arial" w:hAnsi="Arial" w:cs="Arial"/>
          <w:i/>
          <w:iCs/>
        </w:rPr>
        <w:t xml:space="preserve"> of Marketing</w:t>
      </w:r>
      <w:r w:rsidRPr="00685290">
        <w:rPr>
          <w:rFonts w:ascii="Arial" w:hAnsi="Arial" w:cs="Arial"/>
        </w:rPr>
        <w:t xml:space="preserve">, 4(1). Available at: </w:t>
      </w:r>
      <w:hyperlink r:id="rId15" w:history="1">
        <w:r w:rsidRPr="00685290">
          <w:rPr>
            <w:rStyle w:val="Hyperlink"/>
            <w:rFonts w:ascii="Arial" w:hAnsi="Arial" w:cs="Arial"/>
          </w:rPr>
          <w:t>https://doi.org/10.1002/9781444316568.wiem04001</w:t>
        </w:r>
      </w:hyperlink>
      <w:r w:rsidRPr="00685290">
        <w:rPr>
          <w:rFonts w:ascii="Arial" w:hAnsi="Arial" w:cs="Arial"/>
        </w:rPr>
        <w:t>.</w:t>
      </w:r>
    </w:p>
    <w:p w14:paraId="3ACFA335" w14:textId="77777777" w:rsidR="00685290" w:rsidRPr="00685290" w:rsidRDefault="00685290" w:rsidP="00685290">
      <w:pPr>
        <w:rPr>
          <w:rFonts w:ascii="Arial" w:hAnsi="Arial" w:cs="Arial"/>
        </w:rPr>
      </w:pPr>
      <w:r w:rsidRPr="00685290">
        <w:rPr>
          <w:rFonts w:ascii="Arial" w:hAnsi="Arial" w:cs="Arial"/>
        </w:rPr>
        <w:lastRenderedPageBreak/>
        <w:t xml:space="preserve">Li, M. </w:t>
      </w:r>
      <w:r w:rsidRPr="00685290">
        <w:rPr>
          <w:rFonts w:ascii="Arial" w:hAnsi="Arial" w:cs="Arial"/>
          <w:i/>
          <w:iCs/>
        </w:rPr>
        <w:t>et al.</w:t>
      </w:r>
      <w:r w:rsidRPr="00685290">
        <w:rPr>
          <w:rFonts w:ascii="Arial" w:hAnsi="Arial" w:cs="Arial"/>
        </w:rPr>
        <w:t xml:space="preserve"> (2022) ‘The Role of Influencing Factors on Brand Equity and Firm Performance with Innovation Culture as a Moderator: A Study on Art Education Firms in China’, </w:t>
      </w:r>
      <w:r w:rsidRPr="00685290">
        <w:rPr>
          <w:rFonts w:ascii="Arial" w:hAnsi="Arial" w:cs="Arial"/>
          <w:i/>
          <w:iCs/>
        </w:rPr>
        <w:t>Sustainability</w:t>
      </w:r>
      <w:r w:rsidRPr="00685290">
        <w:rPr>
          <w:rFonts w:ascii="Arial" w:hAnsi="Arial" w:cs="Arial"/>
        </w:rPr>
        <w:t xml:space="preserve">, 15(1), pp. 519–519. Available at: </w:t>
      </w:r>
      <w:hyperlink r:id="rId16" w:history="1">
        <w:r w:rsidRPr="00685290">
          <w:rPr>
            <w:rStyle w:val="Hyperlink"/>
            <w:rFonts w:ascii="Arial" w:hAnsi="Arial" w:cs="Arial"/>
          </w:rPr>
          <w:t>https://doi.org/10.3390/su15010519</w:t>
        </w:r>
      </w:hyperlink>
      <w:r w:rsidRPr="00685290">
        <w:rPr>
          <w:rFonts w:ascii="Arial" w:hAnsi="Arial" w:cs="Arial"/>
        </w:rPr>
        <w:t>.</w:t>
      </w:r>
    </w:p>
    <w:p w14:paraId="4AB506D0" w14:textId="77777777" w:rsidR="00685290" w:rsidRPr="00685290" w:rsidRDefault="00685290" w:rsidP="00685290">
      <w:pPr>
        <w:rPr>
          <w:rFonts w:ascii="Arial" w:hAnsi="Arial" w:cs="Arial"/>
        </w:rPr>
      </w:pPr>
      <w:r w:rsidRPr="00685290">
        <w:rPr>
          <w:rFonts w:ascii="Arial" w:hAnsi="Arial" w:cs="Arial"/>
        </w:rPr>
        <w:t xml:space="preserve">McDonald's (2023) </w:t>
      </w:r>
      <w:r w:rsidRPr="00685290">
        <w:rPr>
          <w:rFonts w:ascii="Arial" w:hAnsi="Arial" w:cs="Arial"/>
          <w:i/>
          <w:iCs/>
        </w:rPr>
        <w:t xml:space="preserve">McDonald’s Announces New Targets </w:t>
      </w:r>
      <w:proofErr w:type="gramStart"/>
      <w:r w:rsidRPr="00685290">
        <w:rPr>
          <w:rFonts w:ascii="Arial" w:hAnsi="Arial" w:cs="Arial"/>
          <w:i/>
          <w:iCs/>
        </w:rPr>
        <w:t>For</w:t>
      </w:r>
      <w:proofErr w:type="gramEnd"/>
      <w:r w:rsidRPr="00685290">
        <w:rPr>
          <w:rFonts w:ascii="Arial" w:hAnsi="Arial" w:cs="Arial"/>
          <w:i/>
          <w:iCs/>
        </w:rPr>
        <w:t xml:space="preserve"> Development, Loyalty Membership, And Cloud Technology</w:t>
      </w:r>
      <w:r w:rsidRPr="00685290">
        <w:rPr>
          <w:rFonts w:ascii="Arial" w:hAnsi="Arial" w:cs="Arial"/>
        </w:rPr>
        <w:t xml:space="preserve">, </w:t>
      </w:r>
      <w:r w:rsidRPr="00685290">
        <w:rPr>
          <w:rFonts w:ascii="Arial" w:hAnsi="Arial" w:cs="Arial"/>
          <w:i/>
          <w:iCs/>
        </w:rPr>
        <w:t>McDonald’s</w:t>
      </w:r>
      <w:r w:rsidRPr="00685290">
        <w:rPr>
          <w:rFonts w:ascii="Arial" w:hAnsi="Arial" w:cs="Arial"/>
        </w:rPr>
        <w:t>. Available at: https://corporate.mcdonalds.com/corpmcd/our-stories/article/mcd-announces-targets-development-loyalty-membership-cloud-tech.html (Accessed: 20 February 2026).</w:t>
      </w:r>
    </w:p>
    <w:p w14:paraId="1DD33C3F" w14:textId="77777777" w:rsidR="00685290" w:rsidRPr="00685290" w:rsidRDefault="00685290" w:rsidP="00685290">
      <w:pPr>
        <w:rPr>
          <w:rFonts w:ascii="Arial" w:hAnsi="Arial" w:cs="Arial"/>
        </w:rPr>
      </w:pPr>
      <w:r w:rsidRPr="00685290">
        <w:rPr>
          <w:rFonts w:ascii="Arial" w:hAnsi="Arial" w:cs="Arial"/>
        </w:rPr>
        <w:t xml:space="preserve">McDonald's (2024) </w:t>
      </w:r>
      <w:r w:rsidRPr="00685290">
        <w:rPr>
          <w:rFonts w:ascii="Arial" w:hAnsi="Arial" w:cs="Arial"/>
          <w:i/>
          <w:iCs/>
        </w:rPr>
        <w:t>Moving with Purpose and Driving Lasting Impact</w:t>
      </w:r>
      <w:r w:rsidRPr="00685290">
        <w:rPr>
          <w:rFonts w:ascii="Arial" w:hAnsi="Arial" w:cs="Arial"/>
        </w:rPr>
        <w:t>. Available at: https://corporate.mcdonalds.com/content/dam/sites/corp/nfl/pdf/McD%20-%202024%20Annual%20Report%20to%20Shareholders.pdf (Accessed: 1 March 2026).</w:t>
      </w:r>
    </w:p>
    <w:p w14:paraId="4BBAF8D4" w14:textId="77777777" w:rsidR="00685290" w:rsidRPr="00685290" w:rsidRDefault="00685290" w:rsidP="00685290">
      <w:pPr>
        <w:rPr>
          <w:rFonts w:ascii="Arial" w:hAnsi="Arial" w:cs="Arial"/>
        </w:rPr>
      </w:pPr>
      <w:r w:rsidRPr="00685290">
        <w:rPr>
          <w:rFonts w:ascii="Arial" w:hAnsi="Arial" w:cs="Arial"/>
        </w:rPr>
        <w:t xml:space="preserve">Pickton, D. and Broderick, A. (2005) </w:t>
      </w:r>
      <w:r w:rsidRPr="00685290">
        <w:rPr>
          <w:rFonts w:ascii="Arial" w:hAnsi="Arial" w:cs="Arial"/>
          <w:i/>
          <w:iCs/>
        </w:rPr>
        <w:t>Integrated marketing communications</w:t>
      </w:r>
      <w:r w:rsidRPr="00685290">
        <w:rPr>
          <w:rFonts w:ascii="Arial" w:hAnsi="Arial" w:cs="Arial"/>
        </w:rPr>
        <w:t xml:space="preserve">. 2nd </w:t>
      </w:r>
      <w:proofErr w:type="spellStart"/>
      <w:r w:rsidRPr="00685290">
        <w:rPr>
          <w:rFonts w:ascii="Arial" w:hAnsi="Arial" w:cs="Arial"/>
        </w:rPr>
        <w:t>edn</w:t>
      </w:r>
      <w:proofErr w:type="spellEnd"/>
      <w:r w:rsidRPr="00685290">
        <w:rPr>
          <w:rFonts w:ascii="Arial" w:hAnsi="Arial" w:cs="Arial"/>
        </w:rPr>
        <w:t>. Prentice Hall.</w:t>
      </w:r>
    </w:p>
    <w:p w14:paraId="5EE8C2D7" w14:textId="77777777" w:rsidR="00685290" w:rsidRPr="00685290" w:rsidRDefault="00685290" w:rsidP="00685290">
      <w:pPr>
        <w:rPr>
          <w:rFonts w:ascii="Arial" w:hAnsi="Arial" w:cs="Arial"/>
        </w:rPr>
      </w:pPr>
      <w:r w:rsidRPr="00685290">
        <w:rPr>
          <w:rFonts w:ascii="Arial" w:hAnsi="Arial" w:cs="Arial"/>
        </w:rPr>
        <w:t xml:space="preserve">Saunders, M., Lewis, P. and Thornhill, A. (2019) </w:t>
      </w:r>
      <w:r w:rsidRPr="00685290">
        <w:rPr>
          <w:rFonts w:ascii="Arial" w:hAnsi="Arial" w:cs="Arial"/>
          <w:i/>
          <w:iCs/>
        </w:rPr>
        <w:t>Research Methods for Business Students</w:t>
      </w:r>
      <w:r w:rsidRPr="00685290">
        <w:rPr>
          <w:rFonts w:ascii="Arial" w:hAnsi="Arial" w:cs="Arial"/>
        </w:rPr>
        <w:t xml:space="preserve">. 8th </w:t>
      </w:r>
      <w:proofErr w:type="spellStart"/>
      <w:r w:rsidRPr="00685290">
        <w:rPr>
          <w:rFonts w:ascii="Arial" w:hAnsi="Arial" w:cs="Arial"/>
        </w:rPr>
        <w:t>edn</w:t>
      </w:r>
      <w:proofErr w:type="spellEnd"/>
      <w:r w:rsidRPr="00685290">
        <w:rPr>
          <w:rFonts w:ascii="Arial" w:hAnsi="Arial" w:cs="Arial"/>
        </w:rPr>
        <w:t>. Pearson.</w:t>
      </w:r>
    </w:p>
    <w:p w14:paraId="2287AC8A" w14:textId="77777777" w:rsidR="00685290" w:rsidRPr="00685290" w:rsidRDefault="00685290" w:rsidP="00685290">
      <w:pPr>
        <w:rPr>
          <w:rFonts w:ascii="Arial" w:hAnsi="Arial" w:cs="Arial"/>
        </w:rPr>
      </w:pPr>
      <w:r w:rsidRPr="00685290">
        <w:rPr>
          <w:rFonts w:ascii="Arial" w:hAnsi="Arial" w:cs="Arial"/>
        </w:rPr>
        <w:t xml:space="preserve">Schröder, M.J.A. and McEachern, M.G. (2005) ‘Fast Foods and Ethical Consumer value: a Focus on McDonald’s and KFC’, </w:t>
      </w:r>
      <w:r w:rsidRPr="00685290">
        <w:rPr>
          <w:rFonts w:ascii="Arial" w:hAnsi="Arial" w:cs="Arial"/>
          <w:i/>
          <w:iCs/>
        </w:rPr>
        <w:t>British Food Journal</w:t>
      </w:r>
      <w:r w:rsidRPr="00685290">
        <w:rPr>
          <w:rFonts w:ascii="Arial" w:hAnsi="Arial" w:cs="Arial"/>
        </w:rPr>
        <w:t>, 107(4), pp. 212–224.</w:t>
      </w:r>
    </w:p>
    <w:p w14:paraId="49F2FC54" w14:textId="77777777" w:rsidR="00685290" w:rsidRPr="00685290" w:rsidRDefault="00685290" w:rsidP="00685290">
      <w:pPr>
        <w:rPr>
          <w:rFonts w:ascii="Arial" w:hAnsi="Arial" w:cs="Arial"/>
        </w:rPr>
      </w:pPr>
      <w:r w:rsidRPr="00685290">
        <w:rPr>
          <w:rFonts w:ascii="Arial" w:hAnsi="Arial" w:cs="Arial"/>
        </w:rPr>
        <w:t xml:space="preserve">Schultz, D.E. (1992) ‘Integrated Marketing Communications’, </w:t>
      </w:r>
      <w:r w:rsidRPr="00685290">
        <w:rPr>
          <w:rFonts w:ascii="Arial" w:hAnsi="Arial" w:cs="Arial"/>
          <w:i/>
          <w:iCs/>
        </w:rPr>
        <w:t>Journal of Promotion Management</w:t>
      </w:r>
      <w:r w:rsidRPr="00685290">
        <w:rPr>
          <w:rFonts w:ascii="Arial" w:hAnsi="Arial" w:cs="Arial"/>
        </w:rPr>
        <w:t xml:space="preserve">, 1(1), pp. 99–104. Available at: </w:t>
      </w:r>
      <w:hyperlink r:id="rId17" w:history="1">
        <w:r w:rsidRPr="00685290">
          <w:rPr>
            <w:rStyle w:val="Hyperlink"/>
            <w:rFonts w:ascii="Arial" w:hAnsi="Arial" w:cs="Arial"/>
          </w:rPr>
          <w:t>https://doi.org/10.1300/j057v01n01_07</w:t>
        </w:r>
      </w:hyperlink>
      <w:r w:rsidRPr="00685290">
        <w:rPr>
          <w:rFonts w:ascii="Arial" w:hAnsi="Arial" w:cs="Arial"/>
        </w:rPr>
        <w:t>.</w:t>
      </w:r>
    </w:p>
    <w:p w14:paraId="09C70653" w14:textId="77777777" w:rsidR="00685290" w:rsidRPr="00685290" w:rsidRDefault="00685290" w:rsidP="00685290">
      <w:pPr>
        <w:rPr>
          <w:rFonts w:ascii="Arial" w:hAnsi="Arial" w:cs="Arial"/>
        </w:rPr>
      </w:pPr>
      <w:r w:rsidRPr="00685290">
        <w:rPr>
          <w:rFonts w:ascii="Arial" w:hAnsi="Arial" w:cs="Arial"/>
        </w:rPr>
        <w:t xml:space="preserve">Šerić, M., Gil-Saura, I. and Ruiz-Molina, M.E. (2014) ‘How can integrated marketing communications and advanced technology influence the creation of customer-based brand equity? Evidence from the hospitality industry’, </w:t>
      </w:r>
      <w:r w:rsidRPr="00685290">
        <w:rPr>
          <w:rFonts w:ascii="Arial" w:hAnsi="Arial" w:cs="Arial"/>
          <w:i/>
          <w:iCs/>
        </w:rPr>
        <w:t>International Journal of Hospitality Management</w:t>
      </w:r>
      <w:r w:rsidRPr="00685290">
        <w:rPr>
          <w:rFonts w:ascii="Arial" w:hAnsi="Arial" w:cs="Arial"/>
        </w:rPr>
        <w:t xml:space="preserve">, 39, pp. 144–156. Available at: </w:t>
      </w:r>
      <w:hyperlink r:id="rId18" w:history="1">
        <w:r w:rsidRPr="00685290">
          <w:rPr>
            <w:rStyle w:val="Hyperlink"/>
            <w:rFonts w:ascii="Arial" w:hAnsi="Arial" w:cs="Arial"/>
          </w:rPr>
          <w:t>https://doi.org/10.1016/j.ijhm.2014.02.008</w:t>
        </w:r>
      </w:hyperlink>
      <w:r w:rsidRPr="00685290">
        <w:rPr>
          <w:rFonts w:ascii="Arial" w:hAnsi="Arial" w:cs="Arial"/>
        </w:rPr>
        <w:t>.</w:t>
      </w:r>
    </w:p>
    <w:p w14:paraId="334A4F88" w14:textId="77777777" w:rsidR="00685290" w:rsidRPr="00685290" w:rsidRDefault="00685290" w:rsidP="00685290">
      <w:pPr>
        <w:rPr>
          <w:rFonts w:ascii="Arial" w:hAnsi="Arial" w:cs="Arial"/>
        </w:rPr>
      </w:pPr>
      <w:r w:rsidRPr="00685290">
        <w:rPr>
          <w:rFonts w:ascii="Arial" w:hAnsi="Arial" w:cs="Arial"/>
        </w:rPr>
        <w:t xml:space="preserve">Siano, A. </w:t>
      </w:r>
      <w:r w:rsidRPr="00685290">
        <w:rPr>
          <w:rFonts w:ascii="Arial" w:hAnsi="Arial" w:cs="Arial"/>
          <w:i/>
          <w:iCs/>
        </w:rPr>
        <w:t>et al.</w:t>
      </w:r>
      <w:r w:rsidRPr="00685290">
        <w:rPr>
          <w:rFonts w:ascii="Arial" w:hAnsi="Arial" w:cs="Arial"/>
        </w:rPr>
        <w:t xml:space="preserve"> (2021) ‘Redefining brand hijacking from a non-collaborative brand co-creation perspective’, </w:t>
      </w:r>
      <w:r w:rsidRPr="00685290">
        <w:rPr>
          <w:rFonts w:ascii="Arial" w:hAnsi="Arial" w:cs="Arial"/>
          <w:i/>
          <w:iCs/>
        </w:rPr>
        <w:t>Journal of Product &amp; Brand Management</w:t>
      </w:r>
      <w:r w:rsidRPr="00685290">
        <w:rPr>
          <w:rFonts w:ascii="Arial" w:hAnsi="Arial" w:cs="Arial"/>
        </w:rPr>
        <w:t xml:space="preserve">, 31(1), pp. 110–126. Available at: </w:t>
      </w:r>
      <w:hyperlink r:id="rId19" w:history="1">
        <w:r w:rsidRPr="00685290">
          <w:rPr>
            <w:rStyle w:val="Hyperlink"/>
            <w:rFonts w:ascii="Arial" w:hAnsi="Arial" w:cs="Arial"/>
          </w:rPr>
          <w:t>https://doi.org/10.1108/jpbm-03-2020-2780</w:t>
        </w:r>
      </w:hyperlink>
      <w:r w:rsidRPr="00685290">
        <w:rPr>
          <w:rFonts w:ascii="Arial" w:hAnsi="Arial" w:cs="Arial"/>
        </w:rPr>
        <w:t>.</w:t>
      </w:r>
    </w:p>
    <w:p w14:paraId="44D9E2C8" w14:textId="77777777" w:rsidR="00685290" w:rsidRPr="00685290" w:rsidRDefault="00685290" w:rsidP="00685290">
      <w:pPr>
        <w:rPr>
          <w:rFonts w:ascii="Arial" w:hAnsi="Arial" w:cs="Arial"/>
        </w:rPr>
      </w:pPr>
      <w:r w:rsidRPr="00685290">
        <w:rPr>
          <w:rFonts w:ascii="Arial" w:hAnsi="Arial" w:cs="Arial"/>
        </w:rPr>
        <w:lastRenderedPageBreak/>
        <w:t xml:space="preserve">Staff Reporter (2024) </w:t>
      </w:r>
      <w:r w:rsidRPr="00685290">
        <w:rPr>
          <w:rFonts w:ascii="Arial" w:hAnsi="Arial" w:cs="Arial"/>
          <w:i/>
          <w:iCs/>
        </w:rPr>
        <w:t>UK’s QSR market to reach $44.01b by 2029</w:t>
      </w:r>
      <w:r w:rsidRPr="00685290">
        <w:rPr>
          <w:rFonts w:ascii="Arial" w:hAnsi="Arial" w:cs="Arial"/>
        </w:rPr>
        <w:t xml:space="preserve">, </w:t>
      </w:r>
      <w:r w:rsidRPr="00685290">
        <w:rPr>
          <w:rFonts w:ascii="Arial" w:hAnsi="Arial" w:cs="Arial"/>
          <w:i/>
          <w:iCs/>
        </w:rPr>
        <w:t>QSR Media UK</w:t>
      </w:r>
      <w:r w:rsidRPr="00685290">
        <w:rPr>
          <w:rFonts w:ascii="Arial" w:hAnsi="Arial" w:cs="Arial"/>
        </w:rPr>
        <w:t>. Available at: https://qsrmedia.co.uk/research/in-focus/uks-qsr-market-reach-4401b-2029 (Accessed: 27 February 2026).</w:t>
      </w:r>
    </w:p>
    <w:p w14:paraId="75DDEC58" w14:textId="77777777" w:rsidR="00685290" w:rsidRPr="00685290" w:rsidRDefault="00685290" w:rsidP="00685290">
      <w:pPr>
        <w:rPr>
          <w:rFonts w:ascii="Arial" w:hAnsi="Arial" w:cs="Arial"/>
        </w:rPr>
      </w:pPr>
      <w:r w:rsidRPr="00685290">
        <w:rPr>
          <w:rFonts w:ascii="Arial" w:hAnsi="Arial" w:cs="Arial"/>
        </w:rPr>
        <w:t xml:space="preserve">UKRI (2020) </w:t>
      </w:r>
      <w:r w:rsidRPr="00685290">
        <w:rPr>
          <w:rFonts w:ascii="Arial" w:hAnsi="Arial" w:cs="Arial"/>
          <w:i/>
          <w:iCs/>
        </w:rPr>
        <w:t>GDPR: lawful basis, research consent and confidentiality</w:t>
      </w:r>
      <w:r w:rsidRPr="00685290">
        <w:rPr>
          <w:rFonts w:ascii="Arial" w:hAnsi="Arial" w:cs="Arial"/>
        </w:rPr>
        <w:t xml:space="preserve">, </w:t>
      </w:r>
      <w:r w:rsidRPr="00685290">
        <w:rPr>
          <w:rFonts w:ascii="Arial" w:hAnsi="Arial" w:cs="Arial"/>
          <w:i/>
          <w:iCs/>
        </w:rPr>
        <w:t>www.ukri.org</w:t>
      </w:r>
      <w:r w:rsidRPr="00685290">
        <w:rPr>
          <w:rFonts w:ascii="Arial" w:hAnsi="Arial" w:cs="Arial"/>
        </w:rPr>
        <w:t>. Available at: https://www.ukri.org/publications/gdpr-lawful-basis-research-consent-and-confidentiality/ (Accessed: 26 February 2026).</w:t>
      </w:r>
    </w:p>
    <w:p w14:paraId="5DC0D611" w14:textId="77777777" w:rsidR="00685290" w:rsidRPr="00685290" w:rsidRDefault="00685290" w:rsidP="00685290">
      <w:pPr>
        <w:rPr>
          <w:rFonts w:ascii="Arial" w:hAnsi="Arial" w:cs="Arial"/>
        </w:rPr>
      </w:pPr>
      <w:r w:rsidRPr="00685290">
        <w:rPr>
          <w:rFonts w:ascii="Arial" w:hAnsi="Arial" w:cs="Arial"/>
        </w:rPr>
        <w:t xml:space="preserve">World Population Review (2024) </w:t>
      </w:r>
      <w:r w:rsidRPr="00685290">
        <w:rPr>
          <w:rFonts w:ascii="Arial" w:hAnsi="Arial" w:cs="Arial"/>
          <w:i/>
          <w:iCs/>
        </w:rPr>
        <w:t>Most McDonald’s by Country 2024</w:t>
      </w:r>
      <w:r w:rsidRPr="00685290">
        <w:rPr>
          <w:rFonts w:ascii="Arial" w:hAnsi="Arial" w:cs="Arial"/>
        </w:rPr>
        <w:t xml:space="preserve">, </w:t>
      </w:r>
      <w:r w:rsidRPr="00685290">
        <w:rPr>
          <w:rFonts w:ascii="Arial" w:hAnsi="Arial" w:cs="Arial"/>
          <w:i/>
          <w:iCs/>
        </w:rPr>
        <w:t>worldpopulationreview.com</w:t>
      </w:r>
      <w:r w:rsidRPr="00685290">
        <w:rPr>
          <w:rFonts w:ascii="Arial" w:hAnsi="Arial" w:cs="Arial"/>
        </w:rPr>
        <w:t>. Available at: https://worldpopulationreview.com/country-rankings/most-mcdonalds-by-country (Accessed: 23 February 2026).</w:t>
      </w:r>
    </w:p>
    <w:p w14:paraId="49E12BCF" w14:textId="77777777" w:rsidR="00685290" w:rsidRPr="00685290" w:rsidRDefault="00685290" w:rsidP="00685290">
      <w:pPr>
        <w:rPr>
          <w:rFonts w:ascii="Arial" w:hAnsi="Arial" w:cs="Arial"/>
        </w:rPr>
      </w:pPr>
      <w:r w:rsidRPr="00685290">
        <w:rPr>
          <w:rFonts w:ascii="Arial" w:hAnsi="Arial" w:cs="Arial"/>
        </w:rPr>
        <w:t xml:space="preserve">Wright, K.B. (2005) ‘Researching Internet-Based Populations: Advantages and Disadvantages of Online Survey Research, Online Questionnaire Authoring Software Packages, and Web Survey Services’, </w:t>
      </w:r>
      <w:r w:rsidRPr="00685290">
        <w:rPr>
          <w:rFonts w:ascii="Arial" w:hAnsi="Arial" w:cs="Arial"/>
          <w:i/>
          <w:iCs/>
        </w:rPr>
        <w:t>Journal of Computer-Mediated Communication</w:t>
      </w:r>
      <w:r w:rsidRPr="00685290">
        <w:rPr>
          <w:rFonts w:ascii="Arial" w:hAnsi="Arial" w:cs="Arial"/>
        </w:rPr>
        <w:t xml:space="preserve">, 10(3). Available at: </w:t>
      </w:r>
      <w:hyperlink r:id="rId20" w:history="1">
        <w:r w:rsidRPr="00685290">
          <w:rPr>
            <w:rStyle w:val="Hyperlink"/>
            <w:rFonts w:ascii="Arial" w:hAnsi="Arial" w:cs="Arial"/>
          </w:rPr>
          <w:t>https://doi.org/10.1111/j.1083-6101.2005.tb00259.x</w:t>
        </w:r>
      </w:hyperlink>
      <w:r w:rsidRPr="00685290">
        <w:rPr>
          <w:rFonts w:ascii="Arial" w:hAnsi="Arial" w:cs="Arial"/>
        </w:rPr>
        <w:t>.</w:t>
      </w:r>
    </w:p>
    <w:p w14:paraId="5E5A71AC" w14:textId="77777777" w:rsidR="00685290" w:rsidRPr="00685290" w:rsidRDefault="00685290" w:rsidP="00685290">
      <w:pPr>
        <w:rPr>
          <w:rFonts w:ascii="Arial" w:hAnsi="Arial" w:cs="Arial"/>
        </w:rPr>
      </w:pPr>
    </w:p>
    <w:p w14:paraId="631FC9E8" w14:textId="77777777" w:rsidR="00D50207" w:rsidRPr="00685290" w:rsidRDefault="00D50207">
      <w:pPr>
        <w:rPr>
          <w:rFonts w:ascii="Arial" w:hAnsi="Arial" w:cs="Arial"/>
        </w:rPr>
      </w:pPr>
    </w:p>
    <w:sectPr w:rsidR="00D50207" w:rsidRPr="00685290" w:rsidSect="00A669B4">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AF401C"/>
    <w:multiLevelType w:val="multilevel"/>
    <w:tmpl w:val="5170C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197BE5"/>
    <w:multiLevelType w:val="multilevel"/>
    <w:tmpl w:val="B2DC5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1882470">
    <w:abstractNumId w:val="1"/>
  </w:num>
  <w:num w:numId="2" w16cid:durableId="1067191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290"/>
    <w:rsid w:val="000329B3"/>
    <w:rsid w:val="00106672"/>
    <w:rsid w:val="0014773F"/>
    <w:rsid w:val="002271DB"/>
    <w:rsid w:val="00383B61"/>
    <w:rsid w:val="00416C98"/>
    <w:rsid w:val="004B31D3"/>
    <w:rsid w:val="005374A9"/>
    <w:rsid w:val="00685290"/>
    <w:rsid w:val="006E21F4"/>
    <w:rsid w:val="006E792F"/>
    <w:rsid w:val="0096268F"/>
    <w:rsid w:val="00A44CDC"/>
    <w:rsid w:val="00A612B0"/>
    <w:rsid w:val="00A669B4"/>
    <w:rsid w:val="00B42E9D"/>
    <w:rsid w:val="00B605BE"/>
    <w:rsid w:val="00B75FBE"/>
    <w:rsid w:val="00BF66A6"/>
    <w:rsid w:val="00C11393"/>
    <w:rsid w:val="00C13B9B"/>
    <w:rsid w:val="00D40B40"/>
    <w:rsid w:val="00D50207"/>
    <w:rsid w:val="00F341B0"/>
    <w:rsid w:val="00F627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4FB8E"/>
  <w15:chartTrackingRefBased/>
  <w15:docId w15:val="{CA569CD4-103F-4CFC-81FB-A4BB5FB5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290"/>
  </w:style>
  <w:style w:type="paragraph" w:styleId="Heading1">
    <w:name w:val="heading 1"/>
    <w:basedOn w:val="Normal"/>
    <w:next w:val="Normal"/>
    <w:link w:val="Heading1Char"/>
    <w:uiPriority w:val="9"/>
    <w:qFormat/>
    <w:rsid w:val="00B42E9D"/>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6E21F4"/>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96268F"/>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68529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8529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8529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8529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529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529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E9D"/>
    <w:rPr>
      <w:rFonts w:eastAsiaTheme="majorEastAsia" w:cstheme="majorBidi"/>
      <w:b/>
      <w:color w:val="0F4761" w:themeColor="accent1" w:themeShade="BF"/>
      <w:sz w:val="28"/>
      <w:szCs w:val="40"/>
    </w:rPr>
  </w:style>
  <w:style w:type="character" w:customStyle="1" w:styleId="Heading2Char">
    <w:name w:val="Heading 2 Char"/>
    <w:basedOn w:val="DefaultParagraphFont"/>
    <w:link w:val="Heading2"/>
    <w:uiPriority w:val="9"/>
    <w:rsid w:val="006E21F4"/>
    <w:rPr>
      <w:rFonts w:eastAsiaTheme="majorEastAsia" w:cstheme="majorBidi"/>
      <w:b/>
      <w:color w:val="0F4761" w:themeColor="accent1" w:themeShade="BF"/>
      <w:szCs w:val="32"/>
    </w:rPr>
  </w:style>
  <w:style w:type="character" w:customStyle="1" w:styleId="Heading3Char">
    <w:name w:val="Heading 3 Char"/>
    <w:basedOn w:val="DefaultParagraphFont"/>
    <w:link w:val="Heading3"/>
    <w:uiPriority w:val="9"/>
    <w:rsid w:val="0096268F"/>
    <w:rPr>
      <w:rFonts w:eastAsiaTheme="majorEastAsia" w:cstheme="majorBidi"/>
      <w:color w:val="0F4761" w:themeColor="accent1" w:themeShade="BF"/>
      <w:szCs w:val="28"/>
    </w:rPr>
  </w:style>
  <w:style w:type="character" w:customStyle="1" w:styleId="Heading4Char">
    <w:name w:val="Heading 4 Char"/>
    <w:basedOn w:val="DefaultParagraphFont"/>
    <w:link w:val="Heading4"/>
    <w:uiPriority w:val="9"/>
    <w:semiHidden/>
    <w:rsid w:val="0068529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8529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8529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8529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8529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8529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85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2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29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29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85290"/>
    <w:pPr>
      <w:spacing w:before="160"/>
      <w:jc w:val="center"/>
    </w:pPr>
    <w:rPr>
      <w:i/>
      <w:iCs/>
      <w:color w:val="404040" w:themeColor="text1" w:themeTint="BF"/>
    </w:rPr>
  </w:style>
  <w:style w:type="character" w:customStyle="1" w:styleId="QuoteChar">
    <w:name w:val="Quote Char"/>
    <w:basedOn w:val="DefaultParagraphFont"/>
    <w:link w:val="Quote"/>
    <w:uiPriority w:val="29"/>
    <w:rsid w:val="00685290"/>
    <w:rPr>
      <w:i/>
      <w:iCs/>
      <w:color w:val="404040" w:themeColor="text1" w:themeTint="BF"/>
    </w:rPr>
  </w:style>
  <w:style w:type="paragraph" w:styleId="ListParagraph">
    <w:name w:val="List Paragraph"/>
    <w:basedOn w:val="Normal"/>
    <w:uiPriority w:val="34"/>
    <w:qFormat/>
    <w:rsid w:val="00685290"/>
    <w:pPr>
      <w:ind w:left="720"/>
      <w:contextualSpacing/>
    </w:pPr>
  </w:style>
  <w:style w:type="character" w:styleId="IntenseEmphasis">
    <w:name w:val="Intense Emphasis"/>
    <w:basedOn w:val="DefaultParagraphFont"/>
    <w:uiPriority w:val="21"/>
    <w:qFormat/>
    <w:rsid w:val="00685290"/>
    <w:rPr>
      <w:i/>
      <w:iCs/>
      <w:color w:val="0F4761" w:themeColor="accent1" w:themeShade="BF"/>
    </w:rPr>
  </w:style>
  <w:style w:type="paragraph" w:styleId="IntenseQuote">
    <w:name w:val="Intense Quote"/>
    <w:basedOn w:val="Normal"/>
    <w:next w:val="Normal"/>
    <w:link w:val="IntenseQuoteChar"/>
    <w:uiPriority w:val="30"/>
    <w:qFormat/>
    <w:rsid w:val="006852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290"/>
    <w:rPr>
      <w:i/>
      <w:iCs/>
      <w:color w:val="0F4761" w:themeColor="accent1" w:themeShade="BF"/>
    </w:rPr>
  </w:style>
  <w:style w:type="character" w:styleId="IntenseReference">
    <w:name w:val="Intense Reference"/>
    <w:basedOn w:val="DefaultParagraphFont"/>
    <w:uiPriority w:val="32"/>
    <w:qFormat/>
    <w:rsid w:val="00685290"/>
    <w:rPr>
      <w:b/>
      <w:bCs/>
      <w:smallCaps/>
      <w:color w:val="0F4761" w:themeColor="accent1" w:themeShade="BF"/>
      <w:spacing w:val="5"/>
    </w:rPr>
  </w:style>
  <w:style w:type="paragraph" w:styleId="Caption">
    <w:name w:val="caption"/>
    <w:basedOn w:val="Normal"/>
    <w:next w:val="Normal"/>
    <w:uiPriority w:val="35"/>
    <w:unhideWhenUsed/>
    <w:qFormat/>
    <w:rsid w:val="0068529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685290"/>
    <w:pPr>
      <w:spacing w:before="240" w:after="0" w:line="259" w:lineRule="auto"/>
      <w:jc w:val="left"/>
      <w:outlineLvl w:val="9"/>
    </w:pPr>
    <w:rPr>
      <w:rFonts w:asciiTheme="majorHAnsi" w:hAnsiTheme="majorHAnsi"/>
      <w:b w:val="0"/>
      <w:sz w:val="32"/>
      <w:szCs w:val="32"/>
      <w:lang w:eastAsia="en-GB"/>
      <w14:ligatures w14:val="none"/>
    </w:rPr>
  </w:style>
  <w:style w:type="paragraph" w:styleId="TOC1">
    <w:name w:val="toc 1"/>
    <w:basedOn w:val="Normal"/>
    <w:next w:val="Normal"/>
    <w:autoRedefine/>
    <w:uiPriority w:val="39"/>
    <w:unhideWhenUsed/>
    <w:rsid w:val="00685290"/>
    <w:pPr>
      <w:spacing w:after="100"/>
    </w:pPr>
  </w:style>
  <w:style w:type="paragraph" w:styleId="TOC2">
    <w:name w:val="toc 2"/>
    <w:basedOn w:val="Normal"/>
    <w:next w:val="Normal"/>
    <w:autoRedefine/>
    <w:uiPriority w:val="39"/>
    <w:unhideWhenUsed/>
    <w:rsid w:val="00685290"/>
    <w:pPr>
      <w:spacing w:after="100"/>
      <w:ind w:left="240"/>
    </w:pPr>
  </w:style>
  <w:style w:type="character" w:styleId="Hyperlink">
    <w:name w:val="Hyperlink"/>
    <w:basedOn w:val="DefaultParagraphFont"/>
    <w:uiPriority w:val="99"/>
    <w:unhideWhenUsed/>
    <w:rsid w:val="006852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alco.com/wp-content/uploads/2014/10/Reading-Sample-Size1.pdf" TargetMode="External"/><Relationship Id="rId13" Type="http://schemas.openxmlformats.org/officeDocument/2006/relationships/hyperlink" Target="https://thearf-org-unified-admin.s3.amazonaws.com/MSI/2020/06/MSI_Report_01-107.pdf" TargetMode="External"/><Relationship Id="rId18" Type="http://schemas.openxmlformats.org/officeDocument/2006/relationships/hyperlink" Target="https://doi.org/10.1016/j.ijhm.2014.02.00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16/j.emj.2018.07.002" TargetMode="External"/><Relationship Id="rId12" Type="http://schemas.openxmlformats.org/officeDocument/2006/relationships/hyperlink" Target="https://doi.org/10.1177/002224299305700101" TargetMode="External"/><Relationship Id="rId17" Type="http://schemas.openxmlformats.org/officeDocument/2006/relationships/hyperlink" Target="https://doi.org/10.1300/j057v01n01_07" TargetMode="External"/><Relationship Id="rId2" Type="http://schemas.openxmlformats.org/officeDocument/2006/relationships/styles" Target="styles.xml"/><Relationship Id="rId16" Type="http://schemas.openxmlformats.org/officeDocument/2006/relationships/hyperlink" Target="https://doi.org/10.3390/su15010519" TargetMode="External"/><Relationship Id="rId20" Type="http://schemas.openxmlformats.org/officeDocument/2006/relationships/hyperlink" Target="https://doi.org/10.1111/j.1083-6101.2005.tb00259.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108/01409170210783359" TargetMode="External"/><Relationship Id="rId5" Type="http://schemas.openxmlformats.org/officeDocument/2006/relationships/image" Target="media/image1.png"/><Relationship Id="rId15" Type="http://schemas.openxmlformats.org/officeDocument/2006/relationships/hyperlink" Target="https://doi.org/10.1002/9781444316568.wiem04001" TargetMode="External"/><Relationship Id="rId10" Type="http://schemas.openxmlformats.org/officeDocument/2006/relationships/hyperlink" Target="https://doi.org/10.11648/j.ajtas.20160501.11" TargetMode="External"/><Relationship Id="rId19" Type="http://schemas.openxmlformats.org/officeDocument/2006/relationships/hyperlink" Target="https://doi.org/10.1108/jpbm-03-2020-2780" TargetMode="External"/><Relationship Id="rId4" Type="http://schemas.openxmlformats.org/officeDocument/2006/relationships/webSettings" Target="webSettings.xml"/><Relationship Id="rId9" Type="http://schemas.openxmlformats.org/officeDocument/2006/relationships/hyperlink" Target="https://www.ucg.ac.me/skladiste/blog_609332/objava_105202/fajlovi/Creswell.pdf" TargetMode="External"/><Relationship Id="rId14" Type="http://schemas.openxmlformats.org/officeDocument/2006/relationships/hyperlink" Target="https://doi.org/10.1177/001088040426450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3779</Words>
  <Characters>24376</Characters>
  <DocSecurity>0</DocSecurity>
  <Lines>641</Lines>
  <Paragraphs>196</Paragraphs>
  <ScaleCrop>false</ScaleCrop>
  <Company/>
  <LinksUpToDate>false</LinksUpToDate>
  <CharactersWithSpaces>27959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2026-03-14T16:50:00Z</dcterms:created>
  <dcterms:modified xsi:type="dcterms:W3CDTF">2026-03-14T16:54:00Z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8d0d7fb3-0bff-4cde-a686-fcb5c496d708</vt:lpwstr>
  </property>
</Properties>
</file>