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5E171C"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A6BA3F1"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835C22">
        <w:rPr>
          <w:rFonts w:ascii="Arial" w:hAnsi="Arial" w:cs="Arial"/>
          <w:sz w:val="28"/>
          <w:szCs w:val="28"/>
          <w:lang w:val="nl-NL"/>
        </w:rPr>
        <w:t>Introduction to Health and Social Care</w:t>
      </w:r>
    </w:p>
    <w:p w14:paraId="537571AF" w14:textId="3834968E"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835C22">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B210A0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35C22">
        <w:rPr>
          <w:rFonts w:ascii="Arial" w:hAnsi="Arial" w:cs="Arial"/>
          <w:sz w:val="28"/>
          <w:szCs w:val="28"/>
          <w:lang w:val="nl-NL"/>
        </w:rPr>
        <w:t xml:space="preserve"> </w:t>
      </w:r>
      <w:r w:rsidR="00835C22" w:rsidRPr="00835C22">
        <w:rPr>
          <w:rFonts w:ascii="Arial" w:hAnsi="Arial" w:cs="Arial"/>
          <w:sz w:val="28"/>
          <w:szCs w:val="28"/>
          <w:lang w:val="nl-NL"/>
        </w:rPr>
        <w:t>Ibrahim Kante</w:t>
      </w:r>
    </w:p>
    <w:p w14:paraId="39AA4413" w14:textId="16CBB3F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835C22">
        <w:rPr>
          <w:rFonts w:ascii="Arial" w:hAnsi="Arial" w:cs="Arial"/>
          <w:sz w:val="28"/>
          <w:szCs w:val="28"/>
          <w:lang w:val="nl-NL"/>
        </w:rPr>
        <w:t xml:space="preserve"> 2512898</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5F883D0"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A5A79">
        <w:rPr>
          <w:rFonts w:ascii="Arial" w:hAnsi="Arial" w:cs="Arial"/>
          <w:sz w:val="28"/>
          <w:szCs w:val="28"/>
        </w:rPr>
        <w:t xml:space="preserve"> Muhammad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362E556D" w:rsidR="00B87E75" w:rsidRDefault="007B2804" w:rsidP="007B2804">
      <w:pPr>
        <w:pStyle w:val="ListParagraph"/>
        <w:numPr>
          <w:ilvl w:val="0"/>
          <w:numId w:val="1"/>
        </w:numPr>
        <w:spacing w:line="360" w:lineRule="auto"/>
        <w:rPr>
          <w:rFonts w:asciiTheme="minorBidi" w:hAnsiTheme="minorBidi"/>
          <w:sz w:val="22"/>
        </w:rPr>
      </w:pPr>
      <w:r>
        <w:rPr>
          <w:rFonts w:asciiTheme="minorBidi" w:hAnsiTheme="minorBidi"/>
          <w:sz w:val="22"/>
        </w:rPr>
        <w:t>Introduction</w:t>
      </w:r>
      <w:r w:rsidR="00835C22">
        <w:rPr>
          <w:rFonts w:asciiTheme="minorBidi" w:hAnsiTheme="minorBidi"/>
          <w:sz w:val="22"/>
        </w:rPr>
        <w:t>…………………………………………………………………….</w:t>
      </w:r>
    </w:p>
    <w:p w14:paraId="73F89D8D" w14:textId="77777777" w:rsidR="00835C22" w:rsidRPr="00835C22" w:rsidRDefault="00835C22" w:rsidP="00835C22">
      <w:pPr>
        <w:spacing w:line="360" w:lineRule="auto"/>
        <w:rPr>
          <w:rFonts w:asciiTheme="minorBidi" w:hAnsiTheme="minorBidi"/>
          <w:sz w:val="22"/>
        </w:rPr>
      </w:pPr>
    </w:p>
    <w:p w14:paraId="71488753" w14:textId="77777777" w:rsidR="00835C22" w:rsidRPr="00835C22" w:rsidRDefault="00835C22" w:rsidP="00835C22">
      <w:pPr>
        <w:spacing w:line="360" w:lineRule="auto"/>
        <w:rPr>
          <w:rFonts w:asciiTheme="minorBidi" w:hAnsiTheme="minorBidi"/>
          <w:sz w:val="22"/>
        </w:rPr>
      </w:pPr>
    </w:p>
    <w:p w14:paraId="68FA89E5" w14:textId="77777777" w:rsidR="007B2804" w:rsidRPr="007B2804" w:rsidRDefault="007B2804" w:rsidP="007B2804">
      <w:pPr>
        <w:spacing w:line="360" w:lineRule="auto"/>
        <w:rPr>
          <w:rFonts w:asciiTheme="minorBidi" w:hAnsiTheme="minorBidi"/>
          <w:sz w:val="22"/>
        </w:rPr>
      </w:pPr>
    </w:p>
    <w:p w14:paraId="533C6C10" w14:textId="23D71D83" w:rsidR="007B2804" w:rsidRDefault="007B2804" w:rsidP="007B2804">
      <w:pPr>
        <w:pStyle w:val="ListParagraph"/>
        <w:numPr>
          <w:ilvl w:val="0"/>
          <w:numId w:val="1"/>
        </w:numPr>
        <w:spacing w:line="360" w:lineRule="auto"/>
        <w:rPr>
          <w:rFonts w:asciiTheme="minorBidi" w:hAnsiTheme="minorBidi"/>
          <w:sz w:val="22"/>
        </w:rPr>
      </w:pPr>
      <w:r>
        <w:rPr>
          <w:rFonts w:asciiTheme="minorBidi" w:hAnsiTheme="minorBidi"/>
          <w:sz w:val="22"/>
        </w:rPr>
        <w:t>Importance of effective communication</w:t>
      </w:r>
      <w:r w:rsidR="00835C22">
        <w:rPr>
          <w:rFonts w:asciiTheme="minorBidi" w:hAnsiTheme="minorBidi"/>
          <w:sz w:val="22"/>
        </w:rPr>
        <w:t>……………………………………….</w:t>
      </w:r>
    </w:p>
    <w:p w14:paraId="05DE167A" w14:textId="77777777" w:rsidR="00835C22" w:rsidRPr="00835C22" w:rsidRDefault="00835C22" w:rsidP="00835C22">
      <w:pPr>
        <w:pStyle w:val="ListParagraph"/>
        <w:rPr>
          <w:rFonts w:asciiTheme="minorBidi" w:hAnsiTheme="minorBidi"/>
          <w:sz w:val="22"/>
        </w:rPr>
      </w:pPr>
    </w:p>
    <w:p w14:paraId="1C3DB1E3" w14:textId="77777777" w:rsidR="00835C22" w:rsidRDefault="00835C22" w:rsidP="00835C22">
      <w:pPr>
        <w:spacing w:line="360" w:lineRule="auto"/>
        <w:rPr>
          <w:rFonts w:asciiTheme="minorBidi" w:hAnsiTheme="minorBidi"/>
          <w:sz w:val="22"/>
        </w:rPr>
      </w:pPr>
    </w:p>
    <w:p w14:paraId="3F09F020" w14:textId="77777777" w:rsidR="00835C22" w:rsidRPr="00835C22" w:rsidRDefault="00835C22" w:rsidP="00835C22">
      <w:pPr>
        <w:spacing w:line="360" w:lineRule="auto"/>
        <w:rPr>
          <w:rFonts w:asciiTheme="minorBidi" w:hAnsiTheme="minorBidi"/>
          <w:sz w:val="22"/>
        </w:rPr>
      </w:pPr>
    </w:p>
    <w:p w14:paraId="3D7EB35C" w14:textId="77777777" w:rsidR="007B2804" w:rsidRPr="007B2804" w:rsidRDefault="007B2804" w:rsidP="007B2804">
      <w:pPr>
        <w:pStyle w:val="ListParagraph"/>
        <w:rPr>
          <w:rFonts w:asciiTheme="minorBidi" w:hAnsiTheme="minorBidi"/>
          <w:sz w:val="22"/>
        </w:rPr>
      </w:pPr>
    </w:p>
    <w:p w14:paraId="4084B0C8" w14:textId="15C043B0" w:rsidR="007B2804" w:rsidRDefault="007B2804" w:rsidP="007B2804">
      <w:pPr>
        <w:pStyle w:val="ListParagraph"/>
        <w:numPr>
          <w:ilvl w:val="0"/>
          <w:numId w:val="1"/>
        </w:numPr>
        <w:spacing w:line="360" w:lineRule="auto"/>
        <w:rPr>
          <w:rFonts w:asciiTheme="minorBidi" w:hAnsiTheme="minorBidi"/>
          <w:sz w:val="22"/>
        </w:rPr>
      </w:pPr>
      <w:r>
        <w:rPr>
          <w:rFonts w:asciiTheme="minorBidi" w:hAnsiTheme="minorBidi"/>
          <w:sz w:val="22"/>
        </w:rPr>
        <w:t xml:space="preserve">Importance of good </w:t>
      </w:r>
      <w:r w:rsidR="00835C22">
        <w:rPr>
          <w:rFonts w:asciiTheme="minorBidi" w:hAnsiTheme="minorBidi"/>
          <w:sz w:val="22"/>
        </w:rPr>
        <w:t>administrative skill…………………………………….</w:t>
      </w:r>
    </w:p>
    <w:p w14:paraId="176A7CE9" w14:textId="77777777" w:rsidR="00835C22" w:rsidRPr="00835C22" w:rsidRDefault="00835C22" w:rsidP="00835C22">
      <w:pPr>
        <w:spacing w:line="360" w:lineRule="auto"/>
        <w:rPr>
          <w:rFonts w:asciiTheme="minorBidi" w:hAnsiTheme="minorBidi"/>
          <w:sz w:val="22"/>
        </w:rPr>
      </w:pPr>
    </w:p>
    <w:p w14:paraId="5F7C19EF" w14:textId="77777777" w:rsidR="00835C22" w:rsidRPr="00835C22" w:rsidRDefault="00835C22" w:rsidP="00835C22">
      <w:pPr>
        <w:pStyle w:val="ListParagraph"/>
        <w:rPr>
          <w:rFonts w:asciiTheme="minorBidi" w:hAnsiTheme="minorBidi"/>
          <w:sz w:val="22"/>
        </w:rPr>
      </w:pPr>
    </w:p>
    <w:p w14:paraId="7CABA23E" w14:textId="77777777" w:rsidR="00835C22" w:rsidRPr="00835C22" w:rsidRDefault="00835C22" w:rsidP="00835C22">
      <w:pPr>
        <w:spacing w:line="360" w:lineRule="auto"/>
        <w:rPr>
          <w:rFonts w:asciiTheme="minorBidi" w:hAnsiTheme="minorBidi"/>
          <w:sz w:val="22"/>
        </w:rPr>
      </w:pPr>
    </w:p>
    <w:p w14:paraId="6D26F12A" w14:textId="77777777" w:rsidR="00835C22" w:rsidRPr="00835C22" w:rsidRDefault="00835C22" w:rsidP="00835C22">
      <w:pPr>
        <w:pStyle w:val="ListParagraph"/>
        <w:rPr>
          <w:rFonts w:asciiTheme="minorBidi" w:hAnsiTheme="minorBidi"/>
          <w:sz w:val="22"/>
        </w:rPr>
      </w:pPr>
    </w:p>
    <w:p w14:paraId="66EEAB1A" w14:textId="5486859D" w:rsidR="00835C22" w:rsidRDefault="00835C22" w:rsidP="007B2804">
      <w:pPr>
        <w:pStyle w:val="ListParagraph"/>
        <w:numPr>
          <w:ilvl w:val="0"/>
          <w:numId w:val="1"/>
        </w:numPr>
        <w:spacing w:line="360" w:lineRule="auto"/>
        <w:rPr>
          <w:rFonts w:asciiTheme="minorBidi" w:hAnsiTheme="minorBidi"/>
          <w:sz w:val="22"/>
        </w:rPr>
      </w:pPr>
      <w:r>
        <w:rPr>
          <w:rFonts w:asciiTheme="minorBidi" w:hAnsiTheme="minorBidi"/>
          <w:sz w:val="22"/>
        </w:rPr>
        <w:t>Importance of good collaboratively………………………………………</w:t>
      </w:r>
      <w:proofErr w:type="gramStart"/>
      <w:r>
        <w:rPr>
          <w:rFonts w:asciiTheme="minorBidi" w:hAnsiTheme="minorBidi"/>
          <w:sz w:val="22"/>
        </w:rPr>
        <w:t>…..</w:t>
      </w:r>
      <w:proofErr w:type="gramEnd"/>
    </w:p>
    <w:p w14:paraId="283F757D" w14:textId="77777777" w:rsidR="00835C22" w:rsidRDefault="00835C22" w:rsidP="00835C22">
      <w:pPr>
        <w:spacing w:line="360" w:lineRule="auto"/>
        <w:rPr>
          <w:rFonts w:asciiTheme="minorBidi" w:hAnsiTheme="minorBidi"/>
          <w:sz w:val="22"/>
        </w:rPr>
      </w:pPr>
    </w:p>
    <w:p w14:paraId="13A905EF" w14:textId="77777777" w:rsidR="00835C22" w:rsidRDefault="00835C22" w:rsidP="00835C22">
      <w:pPr>
        <w:spacing w:line="360" w:lineRule="auto"/>
        <w:rPr>
          <w:rFonts w:asciiTheme="minorBidi" w:hAnsiTheme="minorBidi"/>
          <w:sz w:val="22"/>
        </w:rPr>
      </w:pPr>
    </w:p>
    <w:p w14:paraId="268A708C" w14:textId="77777777" w:rsidR="00835C22" w:rsidRDefault="00835C22" w:rsidP="00835C22">
      <w:pPr>
        <w:spacing w:line="360" w:lineRule="auto"/>
        <w:rPr>
          <w:rFonts w:asciiTheme="minorBidi" w:hAnsiTheme="minorBidi"/>
          <w:sz w:val="22"/>
        </w:rPr>
      </w:pPr>
    </w:p>
    <w:p w14:paraId="7F99E33E" w14:textId="77777777" w:rsidR="00835C22" w:rsidRDefault="00835C22" w:rsidP="00835C22">
      <w:pPr>
        <w:spacing w:line="360" w:lineRule="auto"/>
        <w:rPr>
          <w:rFonts w:asciiTheme="minorBidi" w:hAnsiTheme="minorBidi"/>
          <w:sz w:val="22"/>
        </w:rPr>
      </w:pPr>
    </w:p>
    <w:p w14:paraId="6C8D9862" w14:textId="77777777" w:rsidR="00835C22" w:rsidRPr="00835C22" w:rsidRDefault="00835C22" w:rsidP="00835C22">
      <w:pPr>
        <w:spacing w:line="360" w:lineRule="auto"/>
        <w:rPr>
          <w:rFonts w:asciiTheme="minorBidi" w:hAnsiTheme="minorBidi"/>
          <w:sz w:val="22"/>
        </w:rPr>
      </w:pPr>
    </w:p>
    <w:p w14:paraId="28F0FC7C" w14:textId="54822A62" w:rsidR="00835C22" w:rsidRDefault="00835C22" w:rsidP="007B2804">
      <w:pPr>
        <w:pStyle w:val="ListParagraph"/>
        <w:numPr>
          <w:ilvl w:val="0"/>
          <w:numId w:val="1"/>
        </w:numPr>
        <w:spacing w:line="360" w:lineRule="auto"/>
        <w:rPr>
          <w:rFonts w:asciiTheme="minorBidi" w:hAnsiTheme="minorBidi"/>
          <w:sz w:val="22"/>
        </w:rPr>
      </w:pPr>
      <w:r>
        <w:rPr>
          <w:rFonts w:asciiTheme="minorBidi" w:hAnsiTheme="minorBidi"/>
          <w:sz w:val="22"/>
        </w:rPr>
        <w:t>reference ……………………………………………………………………</w:t>
      </w:r>
    </w:p>
    <w:p w14:paraId="5E9A2E27" w14:textId="77777777" w:rsidR="00835C22" w:rsidRPr="007B2804" w:rsidRDefault="00835C22" w:rsidP="00835C22">
      <w:pPr>
        <w:pStyle w:val="ListParagraph"/>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14BF3272" w14:textId="66E05593" w:rsidR="0026393A" w:rsidRDefault="0026393A" w:rsidP="008E3943">
      <w:pPr>
        <w:tabs>
          <w:tab w:val="left" w:pos="6540"/>
        </w:tabs>
        <w:spacing w:line="360" w:lineRule="auto"/>
        <w:rPr>
          <w:rFonts w:ascii="Arial" w:hAnsi="Arial" w:cs="Arial"/>
          <w:sz w:val="22"/>
        </w:rPr>
      </w:pPr>
    </w:p>
    <w:p w14:paraId="534567CA" w14:textId="5151AEB2" w:rsidR="00EF0DD0" w:rsidRPr="00EF0DD0" w:rsidRDefault="00EF0DD0" w:rsidP="00EF0DD0">
      <w:pPr>
        <w:tabs>
          <w:tab w:val="left" w:pos="6540"/>
        </w:tabs>
        <w:spacing w:line="360" w:lineRule="auto"/>
        <w:rPr>
          <w:rFonts w:ascii="Arial" w:hAnsi="Arial" w:cs="Arial"/>
          <w:sz w:val="22"/>
        </w:rPr>
      </w:pPr>
      <w:r w:rsidRPr="00EF0DD0">
        <w:rPr>
          <w:rFonts w:ascii="Arial" w:hAnsi="Arial" w:cs="Arial"/>
          <w:sz w:val="22"/>
        </w:rPr>
        <w:t>High</w:t>
      </w:r>
      <w:r w:rsidRPr="00EF0DD0">
        <w:rPr>
          <w:rFonts w:ascii="Cambria Math" w:hAnsi="Cambria Math" w:cs="Cambria Math"/>
          <w:sz w:val="22"/>
        </w:rPr>
        <w:t>‑</w:t>
      </w:r>
      <w:r w:rsidRPr="00EF0DD0">
        <w:rPr>
          <w:rFonts w:ascii="Arial" w:hAnsi="Arial" w:cs="Arial"/>
          <w:sz w:val="22"/>
        </w:rPr>
        <w:t xml:space="preserve">quality health and social care </w:t>
      </w:r>
      <w:r w:rsidRPr="00EF0DD0">
        <w:rPr>
          <w:rFonts w:ascii="Arial" w:hAnsi="Arial" w:cs="Arial"/>
          <w:sz w:val="22"/>
        </w:rPr>
        <w:t>depend</w:t>
      </w:r>
      <w:r w:rsidRPr="00EF0DD0">
        <w:rPr>
          <w:rFonts w:ascii="Arial" w:hAnsi="Arial" w:cs="Arial"/>
          <w:sz w:val="22"/>
        </w:rPr>
        <w:t xml:space="preserve"> on professionals delivering safe, person</w:t>
      </w:r>
      <w:r w:rsidRPr="00EF0DD0">
        <w:rPr>
          <w:rFonts w:ascii="Cambria Math" w:hAnsi="Cambria Math" w:cs="Cambria Math"/>
          <w:sz w:val="22"/>
        </w:rPr>
        <w:t>‑</w:t>
      </w:r>
      <w:r w:rsidRPr="00EF0DD0">
        <w:rPr>
          <w:rFonts w:ascii="Arial" w:hAnsi="Arial" w:cs="Arial"/>
          <w:sz w:val="22"/>
        </w:rPr>
        <w:t>centred and well</w:t>
      </w:r>
      <w:r w:rsidRPr="00EF0DD0">
        <w:rPr>
          <w:rFonts w:ascii="Cambria Math" w:hAnsi="Cambria Math" w:cs="Cambria Math"/>
          <w:sz w:val="22"/>
        </w:rPr>
        <w:t>‑</w:t>
      </w:r>
      <w:r w:rsidRPr="00EF0DD0">
        <w:rPr>
          <w:rFonts w:ascii="Arial" w:hAnsi="Arial" w:cs="Arial"/>
          <w:sz w:val="22"/>
        </w:rPr>
        <w:t>coordinated support that protects people’s dignity, rights and independence. This case study focuses on Mrs Thompson, an 84</w:t>
      </w:r>
      <w:r w:rsidRPr="00EF0DD0">
        <w:rPr>
          <w:rFonts w:ascii="Cambria Math" w:hAnsi="Cambria Math" w:cs="Cambria Math"/>
          <w:sz w:val="22"/>
        </w:rPr>
        <w:t>‑</w:t>
      </w:r>
      <w:r w:rsidRPr="00EF0DD0">
        <w:rPr>
          <w:rFonts w:ascii="Arial" w:hAnsi="Arial" w:cs="Arial"/>
          <w:sz w:val="22"/>
        </w:rPr>
        <w:t>year</w:t>
      </w:r>
      <w:r w:rsidRPr="00EF0DD0">
        <w:rPr>
          <w:rFonts w:ascii="Cambria Math" w:hAnsi="Cambria Math" w:cs="Cambria Math"/>
          <w:sz w:val="22"/>
        </w:rPr>
        <w:t>‑</w:t>
      </w:r>
      <w:r w:rsidRPr="00EF0DD0">
        <w:rPr>
          <w:rFonts w:ascii="Arial" w:hAnsi="Arial" w:cs="Arial"/>
          <w:sz w:val="22"/>
        </w:rPr>
        <w:t>old woman recently discharged from hospital after pneumonia. She lives alone in sheltered accommodation and receives two daily home</w:t>
      </w:r>
      <w:r w:rsidRPr="00EF0DD0">
        <w:rPr>
          <w:rFonts w:ascii="Cambria Math" w:hAnsi="Cambria Math" w:cs="Cambria Math"/>
          <w:sz w:val="22"/>
        </w:rPr>
        <w:t>‑</w:t>
      </w:r>
      <w:r w:rsidRPr="00EF0DD0">
        <w:rPr>
          <w:rFonts w:ascii="Arial" w:hAnsi="Arial" w:cs="Arial"/>
          <w:sz w:val="22"/>
        </w:rPr>
        <w:t>care visits. Mrs Thompson has mild dementia and occasionally forgets her medication. Recently, she missed two days of medication, which led to an incident report and a request for a medication review. She was also found outdoors in cold weather without suitable clothing, raising concerns about her wellbeing and safety.</w:t>
      </w:r>
    </w:p>
    <w:p w14:paraId="28ABA4D3" w14:textId="77777777" w:rsidR="00EF0DD0" w:rsidRPr="00EF0DD0" w:rsidRDefault="00EF0DD0" w:rsidP="00EF0DD0">
      <w:pPr>
        <w:tabs>
          <w:tab w:val="left" w:pos="6540"/>
        </w:tabs>
        <w:spacing w:line="360" w:lineRule="auto"/>
        <w:rPr>
          <w:rFonts w:ascii="Arial" w:hAnsi="Arial" w:cs="Arial"/>
          <w:sz w:val="22"/>
        </w:rPr>
      </w:pPr>
    </w:p>
    <w:p w14:paraId="68C53673" w14:textId="5BDEF078" w:rsidR="008E3943" w:rsidRPr="00CD33A8" w:rsidRDefault="00EF0DD0" w:rsidP="00EF0DD0">
      <w:pPr>
        <w:tabs>
          <w:tab w:val="left" w:pos="6540"/>
        </w:tabs>
        <w:spacing w:line="360" w:lineRule="auto"/>
        <w:rPr>
          <w:rFonts w:ascii="Arial" w:hAnsi="Arial" w:cs="Arial"/>
          <w:sz w:val="22"/>
        </w:rPr>
      </w:pPr>
      <w:r w:rsidRPr="00EF0DD0">
        <w:rPr>
          <w:rFonts w:ascii="Arial" w:hAnsi="Arial" w:cs="Arial"/>
          <w:sz w:val="22"/>
        </w:rPr>
        <w:t>The report explores three core areas of professional practice: communication, administrative responsibilities and collaborative working. It also considers key legislation such as the Equality Act 2010, Data Protection Act 2018, UK GDPR, Mental Capacity Act 2005 and Care Act 2014.</w:t>
      </w: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31936310" w14:textId="77777777" w:rsidR="007B2804" w:rsidRDefault="007B2804" w:rsidP="007B2804">
      <w:pPr>
        <w:tabs>
          <w:tab w:val="left" w:pos="6540"/>
        </w:tabs>
        <w:spacing w:line="360" w:lineRule="auto"/>
        <w:rPr>
          <w:rFonts w:asciiTheme="minorBidi" w:hAnsiTheme="minorBidi"/>
          <w:sz w:val="22"/>
        </w:rPr>
      </w:pPr>
    </w:p>
    <w:p w14:paraId="67489D74" w14:textId="6C4BC361"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Clear and effective communication is vital in supporting Mrs Thompson because it helps professionals understand her needs, preferences and concerns. Poor communication could lead to medication mistakes, confusion, reduced independence and increased risks. Although she has mild dementia, this does not automatically mean she lacks capacity. As stated in the document, “adults must be presumed to have capacity unless it is established otherwise.”</w:t>
      </w:r>
    </w:p>
    <w:p w14:paraId="67CD5EC1" w14:textId="77777777" w:rsidR="007B2804" w:rsidRPr="007B2804" w:rsidRDefault="007B2804" w:rsidP="007B2804">
      <w:pPr>
        <w:tabs>
          <w:tab w:val="left" w:pos="6540"/>
        </w:tabs>
        <w:spacing w:line="360" w:lineRule="auto"/>
        <w:rPr>
          <w:rFonts w:asciiTheme="minorBidi" w:hAnsiTheme="minorBidi"/>
          <w:sz w:val="22"/>
        </w:rPr>
      </w:pPr>
    </w:p>
    <w:p w14:paraId="4CB8F65E"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Care workers should communicate using simple, clear language, speak slowly enough for her to follow, and give her time to respond. Repeating essential information—especially about medication—and checking her understanding is important. Tools such as written reminders or medication charts may help her memory. Communication should be tailored to her individual needs rather than assuming dementia prevents her involvement in decisions.</w:t>
      </w:r>
    </w:p>
    <w:p w14:paraId="6ED04F55" w14:textId="77777777" w:rsidR="007B2804" w:rsidRPr="007B2804" w:rsidRDefault="007B2804" w:rsidP="007B2804">
      <w:pPr>
        <w:tabs>
          <w:tab w:val="left" w:pos="6540"/>
        </w:tabs>
        <w:spacing w:line="360" w:lineRule="auto"/>
        <w:rPr>
          <w:rFonts w:asciiTheme="minorBidi" w:hAnsiTheme="minorBidi"/>
          <w:sz w:val="22"/>
        </w:rPr>
      </w:pPr>
    </w:p>
    <w:p w14:paraId="48807241"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lastRenderedPageBreak/>
        <w:t>The SOLER model can support positive face</w:t>
      </w:r>
      <w:r w:rsidRPr="007B2804">
        <w:rPr>
          <w:rFonts w:ascii="Cambria Math" w:hAnsi="Cambria Math" w:cs="Cambria Math"/>
          <w:sz w:val="22"/>
        </w:rPr>
        <w:t>‑</w:t>
      </w:r>
      <w:r w:rsidRPr="007B2804">
        <w:rPr>
          <w:rFonts w:asciiTheme="minorBidi" w:hAnsiTheme="minorBidi"/>
          <w:sz w:val="22"/>
        </w:rPr>
        <w:t>to</w:t>
      </w:r>
      <w:r w:rsidRPr="007B2804">
        <w:rPr>
          <w:rFonts w:ascii="Cambria Math" w:hAnsi="Cambria Math" w:cs="Cambria Math"/>
          <w:sz w:val="22"/>
        </w:rPr>
        <w:t>‑</w:t>
      </w:r>
      <w:r w:rsidRPr="007B2804">
        <w:rPr>
          <w:rFonts w:asciiTheme="minorBidi" w:hAnsiTheme="minorBidi"/>
          <w:sz w:val="22"/>
        </w:rPr>
        <w:t>face communication by encouraging open posture, appropriate eye contact and relaxed engagement. Using these techniques shows attentiveness and helps Mrs Thompson feel comfortable expressing her thoughts. When discussing missed medication, staff should adopt a non</w:t>
      </w:r>
      <w:r w:rsidRPr="007B2804">
        <w:rPr>
          <w:rFonts w:ascii="Cambria Math" w:hAnsi="Cambria Math" w:cs="Cambria Math"/>
          <w:sz w:val="22"/>
        </w:rPr>
        <w:t>‑</w:t>
      </w:r>
      <w:r w:rsidRPr="007B2804">
        <w:rPr>
          <w:rFonts w:asciiTheme="minorBidi" w:hAnsiTheme="minorBidi"/>
          <w:sz w:val="22"/>
        </w:rPr>
        <w:t>judgemental tone, asking what happened and whether she struggles with remembering or accessing her medication.</w:t>
      </w:r>
    </w:p>
    <w:p w14:paraId="02AC038E" w14:textId="77777777" w:rsidR="007B2804" w:rsidRPr="007B2804" w:rsidRDefault="007B2804" w:rsidP="007B2804">
      <w:pPr>
        <w:tabs>
          <w:tab w:val="left" w:pos="6540"/>
        </w:tabs>
        <w:spacing w:line="360" w:lineRule="auto"/>
        <w:rPr>
          <w:rFonts w:asciiTheme="minorBidi" w:hAnsiTheme="minorBidi"/>
          <w:sz w:val="22"/>
        </w:rPr>
      </w:pPr>
    </w:p>
    <w:p w14:paraId="1C110D32"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The Equality Act 2010 protects individuals from discrimination based on age or disability. Professionals must avoid making assumptions about Mrs Thompson because she is elderly or has dementia. Reasonable adjustments should be made to ensure she can access information and services. Government guidance stresses the need for accessible communication.</w:t>
      </w:r>
    </w:p>
    <w:p w14:paraId="5533E9E4" w14:textId="77777777" w:rsidR="007B2804" w:rsidRPr="007B2804" w:rsidRDefault="007B2804" w:rsidP="007B2804">
      <w:pPr>
        <w:tabs>
          <w:tab w:val="left" w:pos="6540"/>
        </w:tabs>
        <w:spacing w:line="360" w:lineRule="auto"/>
        <w:rPr>
          <w:rFonts w:asciiTheme="minorBidi" w:hAnsiTheme="minorBidi"/>
          <w:sz w:val="22"/>
        </w:rPr>
      </w:pPr>
    </w:p>
    <w:p w14:paraId="0537CEF5" w14:textId="43A0BF8C" w:rsidR="003E4ECF" w:rsidRDefault="007B2804" w:rsidP="007B2804">
      <w:pPr>
        <w:tabs>
          <w:tab w:val="left" w:pos="6540"/>
        </w:tabs>
        <w:spacing w:line="360" w:lineRule="auto"/>
        <w:rPr>
          <w:rFonts w:asciiTheme="minorBidi" w:hAnsiTheme="minorBidi"/>
          <w:sz w:val="22"/>
        </w:rPr>
      </w:pPr>
      <w:r w:rsidRPr="007B2804">
        <w:rPr>
          <w:rFonts w:asciiTheme="minorBidi" w:hAnsiTheme="minorBidi"/>
          <w:sz w:val="22"/>
        </w:rPr>
        <w:t>Family members may provide helpful insight into her usual routines and preferences, but confidentiality must be respected. Information should only be shared with her consent and in line with her capacity. Communication should remain centred on Mrs Thompson, ensuring she is involved in decisions about her care.</w:t>
      </w: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4DB3EC83" w14:textId="77777777" w:rsidR="007B2804" w:rsidRDefault="007B2804" w:rsidP="007B2804">
      <w:pPr>
        <w:tabs>
          <w:tab w:val="left" w:pos="6540"/>
        </w:tabs>
        <w:spacing w:line="360" w:lineRule="auto"/>
        <w:rPr>
          <w:rFonts w:asciiTheme="minorBidi" w:hAnsiTheme="minorBidi"/>
          <w:sz w:val="22"/>
        </w:rPr>
      </w:pPr>
    </w:p>
    <w:p w14:paraId="7E00D223" w14:textId="7E4C3C58"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Strong administrative practice is essential for safe and effective care. Accurate record</w:t>
      </w:r>
      <w:r w:rsidRPr="007B2804">
        <w:rPr>
          <w:rFonts w:ascii="Cambria Math" w:hAnsi="Cambria Math" w:cs="Cambria Math"/>
          <w:sz w:val="22"/>
        </w:rPr>
        <w:t>‑</w:t>
      </w:r>
      <w:r w:rsidRPr="007B2804">
        <w:rPr>
          <w:rFonts w:asciiTheme="minorBidi" w:hAnsiTheme="minorBidi"/>
          <w:sz w:val="22"/>
        </w:rPr>
        <w:t>keeping is particularly important in Mrs Thompson</w:t>
      </w:r>
      <w:r w:rsidRPr="007B2804">
        <w:rPr>
          <w:rFonts w:ascii="Arial" w:hAnsi="Arial" w:cs="Arial"/>
          <w:sz w:val="22"/>
        </w:rPr>
        <w:t>’</w:t>
      </w:r>
      <w:r w:rsidRPr="007B2804">
        <w:rPr>
          <w:rFonts w:asciiTheme="minorBidi" w:hAnsiTheme="minorBidi"/>
          <w:sz w:val="22"/>
        </w:rPr>
        <w:t>s situation due to the medication incident and concerns about her safety outdoors. Staff should document information clearly, objectively and promptly, including what medication was missed, when it happened, actions taken and who was informed.</w:t>
      </w:r>
    </w:p>
    <w:p w14:paraId="008A72F8" w14:textId="77777777" w:rsidR="007B2804" w:rsidRPr="007B2804" w:rsidRDefault="007B2804" w:rsidP="007B2804">
      <w:pPr>
        <w:tabs>
          <w:tab w:val="left" w:pos="6540"/>
        </w:tabs>
        <w:spacing w:line="360" w:lineRule="auto"/>
        <w:rPr>
          <w:rFonts w:asciiTheme="minorBidi" w:hAnsiTheme="minorBidi"/>
          <w:sz w:val="22"/>
        </w:rPr>
      </w:pPr>
    </w:p>
    <w:p w14:paraId="5A693715"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The incident must be recorded through the organisation’s reporting system. This helps identify why the medication was missed and whether her care plan needs updating. Possible changes might include extra prompts, pharmacy reviews or increased monitoring.</w:t>
      </w:r>
    </w:p>
    <w:p w14:paraId="11731A2B" w14:textId="77777777" w:rsidR="007B2804" w:rsidRPr="007B2804" w:rsidRDefault="007B2804" w:rsidP="007B2804">
      <w:pPr>
        <w:tabs>
          <w:tab w:val="left" w:pos="6540"/>
        </w:tabs>
        <w:spacing w:line="360" w:lineRule="auto"/>
        <w:rPr>
          <w:rFonts w:asciiTheme="minorBidi" w:hAnsiTheme="minorBidi"/>
          <w:sz w:val="22"/>
        </w:rPr>
      </w:pPr>
    </w:p>
    <w:p w14:paraId="07BF9407"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lastRenderedPageBreak/>
        <w:t>CQC Regulation 17 requires providers to maintain secure, complete and up</w:t>
      </w:r>
      <w:r w:rsidRPr="007B2804">
        <w:rPr>
          <w:rFonts w:ascii="Cambria Math" w:hAnsi="Cambria Math" w:cs="Cambria Math"/>
          <w:sz w:val="22"/>
        </w:rPr>
        <w:t>‑</w:t>
      </w:r>
      <w:r w:rsidRPr="007B2804">
        <w:rPr>
          <w:rFonts w:asciiTheme="minorBidi" w:hAnsiTheme="minorBidi"/>
          <w:sz w:val="22"/>
        </w:rPr>
        <w:t>to</w:t>
      </w:r>
      <w:r w:rsidRPr="007B2804">
        <w:rPr>
          <w:rFonts w:ascii="Cambria Math" w:hAnsi="Cambria Math" w:cs="Cambria Math"/>
          <w:sz w:val="22"/>
        </w:rPr>
        <w:t>‑</w:t>
      </w:r>
      <w:r w:rsidRPr="007B2804">
        <w:rPr>
          <w:rFonts w:asciiTheme="minorBidi" w:hAnsiTheme="minorBidi"/>
          <w:sz w:val="22"/>
        </w:rPr>
        <w:t>date records. Good documentation supports continuity of care and ensures professionals understand her history. Poor record</w:t>
      </w:r>
      <w:r w:rsidRPr="007B2804">
        <w:rPr>
          <w:rFonts w:ascii="Cambria Math" w:hAnsi="Cambria Math" w:cs="Cambria Math"/>
          <w:sz w:val="22"/>
        </w:rPr>
        <w:t>‑</w:t>
      </w:r>
      <w:r w:rsidRPr="007B2804">
        <w:rPr>
          <w:rFonts w:asciiTheme="minorBidi" w:hAnsiTheme="minorBidi"/>
          <w:sz w:val="22"/>
        </w:rPr>
        <w:t>keeping could lead to missed information and increased risk.</w:t>
      </w:r>
    </w:p>
    <w:p w14:paraId="5B9E910E" w14:textId="77777777" w:rsidR="007B2804" w:rsidRPr="007B2804" w:rsidRDefault="007B2804" w:rsidP="007B2804">
      <w:pPr>
        <w:tabs>
          <w:tab w:val="left" w:pos="6540"/>
        </w:tabs>
        <w:spacing w:line="360" w:lineRule="auto"/>
        <w:rPr>
          <w:rFonts w:asciiTheme="minorBidi" w:hAnsiTheme="minorBidi"/>
          <w:sz w:val="22"/>
        </w:rPr>
      </w:pPr>
    </w:p>
    <w:p w14:paraId="6D2FAEFC"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Data protection laws, including the Data Protection Act 2018 and UK GDPR, require that Mrs Thompson’s health information is handled securely. Health data is considered “special category data,” meaning it needs extra protection. Staff should only access information relevant to their role, store records securely and avoid discussing her personal details in inappropriate settings. Information should only be shared when lawful and necessary.</w:t>
      </w:r>
    </w:p>
    <w:p w14:paraId="5958DEC6" w14:textId="77777777" w:rsidR="007B2804" w:rsidRPr="007B2804" w:rsidRDefault="007B2804" w:rsidP="007B2804">
      <w:pPr>
        <w:tabs>
          <w:tab w:val="left" w:pos="6540"/>
        </w:tabs>
        <w:spacing w:line="360" w:lineRule="auto"/>
        <w:rPr>
          <w:rFonts w:asciiTheme="minorBidi" w:hAnsiTheme="minorBidi"/>
          <w:sz w:val="22"/>
        </w:rPr>
      </w:pPr>
    </w:p>
    <w:p w14:paraId="41673B0E"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Confidentiality must not prevent essential information sharing. The Caldicott Principles emphasise that sharing relevant information is important for safe care. If Mrs Thompson’s condition worsens, staff should inform the appropriate professionals.</w:t>
      </w:r>
    </w:p>
    <w:p w14:paraId="30515BDB" w14:textId="77777777" w:rsidR="007B2804" w:rsidRPr="007B2804" w:rsidRDefault="007B2804" w:rsidP="007B2804">
      <w:pPr>
        <w:tabs>
          <w:tab w:val="left" w:pos="6540"/>
        </w:tabs>
        <w:spacing w:line="360" w:lineRule="auto"/>
        <w:rPr>
          <w:rFonts w:asciiTheme="minorBidi" w:hAnsiTheme="minorBidi"/>
          <w:sz w:val="22"/>
        </w:rPr>
      </w:pPr>
    </w:p>
    <w:p w14:paraId="4FC14C6B" w14:textId="3C3DBD3F" w:rsidR="00B87E75" w:rsidRDefault="007B2804" w:rsidP="007B2804">
      <w:pPr>
        <w:tabs>
          <w:tab w:val="left" w:pos="6540"/>
        </w:tabs>
        <w:spacing w:line="360" w:lineRule="auto"/>
        <w:rPr>
          <w:rFonts w:asciiTheme="minorBidi" w:hAnsiTheme="minorBidi"/>
          <w:sz w:val="22"/>
        </w:rPr>
      </w:pPr>
      <w:r w:rsidRPr="007B2804">
        <w:rPr>
          <w:rFonts w:asciiTheme="minorBidi" w:hAnsiTheme="minorBidi"/>
          <w:sz w:val="22"/>
        </w:rPr>
        <w:t>Administrative duties also include updating her care plan, recording changes in her needs and reporting safeguarding concerns. The incident where she was found outside without proper clothing should be documented and reported. The Care Act 2014 outlines responsibilities for safeguarding adults who may be at risk.</w:t>
      </w: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32AF5404" w14:textId="77777777" w:rsidR="007B2804" w:rsidRDefault="007B2804" w:rsidP="007B2804">
      <w:pPr>
        <w:tabs>
          <w:tab w:val="left" w:pos="6540"/>
        </w:tabs>
        <w:spacing w:line="360" w:lineRule="auto"/>
        <w:rPr>
          <w:rFonts w:asciiTheme="minorBidi" w:hAnsiTheme="minorBidi"/>
          <w:sz w:val="22"/>
        </w:rPr>
      </w:pPr>
    </w:p>
    <w:p w14:paraId="466A660F" w14:textId="0A8530D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Working collaboratively is crucial because Mrs Thompson’s needs span multiple areas. Her pneumonia recovery, missed medication, dementia and safety concerns require input from different professionals. Multidisciplinary working ensures a more complete understanding of her needs.</w:t>
      </w:r>
    </w:p>
    <w:p w14:paraId="7ADA2C01" w14:textId="77777777" w:rsidR="007B2804" w:rsidRPr="007B2804" w:rsidRDefault="007B2804" w:rsidP="007B2804">
      <w:pPr>
        <w:tabs>
          <w:tab w:val="left" w:pos="6540"/>
        </w:tabs>
        <w:spacing w:line="360" w:lineRule="auto"/>
        <w:rPr>
          <w:rFonts w:asciiTheme="minorBidi" w:hAnsiTheme="minorBidi"/>
          <w:sz w:val="22"/>
        </w:rPr>
      </w:pPr>
    </w:p>
    <w:p w14:paraId="1ED72B69"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The GP plays a key role in reviewing her health after discharge, checking whether her medication is still appropriate and assessing the medication incident. The GP may also liaise with other professionals.</w:t>
      </w:r>
    </w:p>
    <w:p w14:paraId="3FA9172A" w14:textId="77777777" w:rsidR="007B2804" w:rsidRPr="007B2804" w:rsidRDefault="007B2804" w:rsidP="007B2804">
      <w:pPr>
        <w:tabs>
          <w:tab w:val="left" w:pos="6540"/>
        </w:tabs>
        <w:spacing w:line="360" w:lineRule="auto"/>
        <w:rPr>
          <w:rFonts w:asciiTheme="minorBidi" w:hAnsiTheme="minorBidi"/>
          <w:sz w:val="22"/>
        </w:rPr>
      </w:pPr>
    </w:p>
    <w:p w14:paraId="54EA6CB1"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The community nurse can monitor her recovery, observe changes in her physical health and identify early signs of deterioration. The nurse can share relevant information with the GP and care team.</w:t>
      </w:r>
    </w:p>
    <w:p w14:paraId="40589240" w14:textId="77777777" w:rsidR="007B2804" w:rsidRPr="007B2804" w:rsidRDefault="007B2804" w:rsidP="007B2804">
      <w:pPr>
        <w:tabs>
          <w:tab w:val="left" w:pos="6540"/>
        </w:tabs>
        <w:spacing w:line="360" w:lineRule="auto"/>
        <w:rPr>
          <w:rFonts w:asciiTheme="minorBidi" w:hAnsiTheme="minorBidi"/>
          <w:sz w:val="22"/>
        </w:rPr>
      </w:pPr>
    </w:p>
    <w:p w14:paraId="20EF73D3"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Domiciliary care workers see Mrs Thompson regularly and may notice changes in her behaviour, mobility, nutrition or emotional wellbeing. Their observations are valuable and should be reported promptly rather than handled independently.</w:t>
      </w:r>
    </w:p>
    <w:p w14:paraId="1D3B1F93" w14:textId="77777777" w:rsidR="007B2804" w:rsidRPr="007B2804" w:rsidRDefault="007B2804" w:rsidP="007B2804">
      <w:pPr>
        <w:tabs>
          <w:tab w:val="left" w:pos="6540"/>
        </w:tabs>
        <w:spacing w:line="360" w:lineRule="auto"/>
        <w:rPr>
          <w:rFonts w:asciiTheme="minorBidi" w:hAnsiTheme="minorBidi"/>
          <w:sz w:val="22"/>
        </w:rPr>
      </w:pPr>
    </w:p>
    <w:p w14:paraId="00370D8B"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Social care professionals may need to assess whether the incident outdoors indicates broader risks. The Care Act guidance highlights the importance of safeguarding, information sharing and multi</w:t>
      </w:r>
      <w:r w:rsidRPr="007B2804">
        <w:rPr>
          <w:rFonts w:ascii="Cambria Math" w:hAnsi="Cambria Math" w:cs="Cambria Math"/>
          <w:sz w:val="22"/>
        </w:rPr>
        <w:t>‑</w:t>
      </w:r>
      <w:r w:rsidRPr="007B2804">
        <w:rPr>
          <w:rFonts w:asciiTheme="minorBidi" w:hAnsiTheme="minorBidi"/>
          <w:sz w:val="22"/>
        </w:rPr>
        <w:t>agency working.</w:t>
      </w:r>
    </w:p>
    <w:p w14:paraId="5B0F3761" w14:textId="77777777" w:rsidR="007B2804" w:rsidRPr="007B2804" w:rsidRDefault="007B2804" w:rsidP="007B2804">
      <w:pPr>
        <w:tabs>
          <w:tab w:val="left" w:pos="6540"/>
        </w:tabs>
        <w:spacing w:line="360" w:lineRule="auto"/>
        <w:rPr>
          <w:rFonts w:asciiTheme="minorBidi" w:hAnsiTheme="minorBidi"/>
          <w:sz w:val="22"/>
        </w:rPr>
      </w:pPr>
    </w:p>
    <w:p w14:paraId="71CC72AE"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Collaboration must also respect Mrs Thompson’s rights. She should be involved in decisions wherever possible. Capacity assessments should follow the Mental Capacity Act 2005, recognising that capacity is decision</w:t>
      </w:r>
      <w:r w:rsidRPr="007B2804">
        <w:rPr>
          <w:rFonts w:ascii="Cambria Math" w:hAnsi="Cambria Math" w:cs="Cambria Math"/>
          <w:sz w:val="22"/>
        </w:rPr>
        <w:t>‑</w:t>
      </w:r>
      <w:r w:rsidRPr="007B2804">
        <w:rPr>
          <w:rFonts w:asciiTheme="minorBidi" w:hAnsiTheme="minorBidi"/>
          <w:sz w:val="22"/>
        </w:rPr>
        <w:t>specific. If she lacks capacity for a particular decision, professionals must act in her best interests and choose the least restrictive option.</w:t>
      </w:r>
    </w:p>
    <w:p w14:paraId="4B5881C2" w14:textId="77777777" w:rsidR="007B2804" w:rsidRPr="007B2804" w:rsidRDefault="007B2804" w:rsidP="007B2804">
      <w:pPr>
        <w:tabs>
          <w:tab w:val="left" w:pos="6540"/>
        </w:tabs>
        <w:spacing w:line="360" w:lineRule="auto"/>
        <w:rPr>
          <w:rFonts w:asciiTheme="minorBidi" w:hAnsiTheme="minorBidi"/>
          <w:sz w:val="22"/>
        </w:rPr>
      </w:pPr>
    </w:p>
    <w:p w14:paraId="15C25996" w14:textId="1D76D5C2" w:rsidR="008E3943" w:rsidRDefault="007B2804" w:rsidP="007B2804">
      <w:pPr>
        <w:tabs>
          <w:tab w:val="left" w:pos="6540"/>
        </w:tabs>
        <w:spacing w:line="360" w:lineRule="auto"/>
        <w:rPr>
          <w:rFonts w:asciiTheme="minorBidi" w:hAnsiTheme="minorBidi"/>
          <w:sz w:val="22"/>
        </w:rPr>
      </w:pPr>
      <w:r w:rsidRPr="007B2804">
        <w:rPr>
          <w:rFonts w:asciiTheme="minorBidi" w:hAnsiTheme="minorBidi"/>
          <w:sz w:val="22"/>
        </w:rPr>
        <w:t>Effective multidisciplinary communication may lead to an updated care plan addressing medication support, health monitoring, safety and daily living needs. NHS England emphasises that partnership working helps people maintain independence and receive coordinated care.</w:t>
      </w: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r>
        <w:t>5</w:t>
      </w:r>
      <w:r w:rsidR="00B87E75" w:rsidRPr="00CD33A8">
        <w:t>. Conclusion</w:t>
      </w:r>
      <w:r w:rsidR="00CD33A8">
        <w:t xml:space="preserve"> </w:t>
      </w:r>
    </w:p>
    <w:p w14:paraId="5383AEE7" w14:textId="77777777" w:rsidR="007B2804" w:rsidRDefault="007B2804" w:rsidP="007B2804">
      <w:pPr>
        <w:tabs>
          <w:tab w:val="left" w:pos="6540"/>
        </w:tabs>
        <w:spacing w:line="360" w:lineRule="auto"/>
        <w:rPr>
          <w:rFonts w:asciiTheme="minorBidi" w:hAnsiTheme="minorBidi"/>
          <w:sz w:val="22"/>
        </w:rPr>
      </w:pPr>
    </w:p>
    <w:p w14:paraId="367D43B4" w14:textId="0B36E1DE"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In summary, effective communication, strong administrative practice and collaborative working are essential for delivering safe, person</w:t>
      </w:r>
      <w:r w:rsidRPr="007B2804">
        <w:rPr>
          <w:rFonts w:ascii="Cambria Math" w:hAnsi="Cambria Math" w:cs="Cambria Math"/>
          <w:sz w:val="22"/>
        </w:rPr>
        <w:t>‑</w:t>
      </w:r>
      <w:r w:rsidRPr="007B2804">
        <w:rPr>
          <w:rFonts w:asciiTheme="minorBidi" w:hAnsiTheme="minorBidi"/>
          <w:sz w:val="22"/>
        </w:rPr>
        <w:t>centred care to Mrs Thompson. Communication should be adapted to her needs and uphold her rights under the Equality Act 2010 and Mental Capacity Act 2005. The SOLER model can help professionals communicate respectfully and attentively.</w:t>
      </w:r>
    </w:p>
    <w:p w14:paraId="7E9B3072" w14:textId="77777777" w:rsidR="007B2804" w:rsidRPr="007B2804" w:rsidRDefault="007B2804" w:rsidP="007B2804">
      <w:pPr>
        <w:tabs>
          <w:tab w:val="left" w:pos="6540"/>
        </w:tabs>
        <w:spacing w:line="360" w:lineRule="auto"/>
        <w:rPr>
          <w:rFonts w:asciiTheme="minorBidi" w:hAnsiTheme="minorBidi"/>
          <w:sz w:val="22"/>
        </w:rPr>
      </w:pPr>
    </w:p>
    <w:p w14:paraId="229E8060"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Accurate administrative work is vital due to her medication incident and safeguarding concerns. Proper documentation, secure information handling and appropriate information sharing protect her safety and support continuity of care. Legislation such as the Data Protection Act 2018, UK GDPR and CQC Regulation 17 guide these responsibilities.</w:t>
      </w:r>
    </w:p>
    <w:p w14:paraId="35AF9933" w14:textId="77777777" w:rsidR="007B2804" w:rsidRPr="007B2804" w:rsidRDefault="007B2804" w:rsidP="007B2804">
      <w:pPr>
        <w:tabs>
          <w:tab w:val="left" w:pos="6540"/>
        </w:tabs>
        <w:spacing w:line="360" w:lineRule="auto"/>
        <w:rPr>
          <w:rFonts w:asciiTheme="minorBidi" w:hAnsiTheme="minorBidi"/>
          <w:sz w:val="22"/>
        </w:rPr>
      </w:pPr>
    </w:p>
    <w:p w14:paraId="6DBC958B" w14:textId="2C950774" w:rsidR="00CD33A8" w:rsidRPr="00CD33A8" w:rsidRDefault="007B2804" w:rsidP="007B2804">
      <w:pPr>
        <w:tabs>
          <w:tab w:val="left" w:pos="6540"/>
        </w:tabs>
        <w:spacing w:line="360" w:lineRule="auto"/>
        <w:rPr>
          <w:rFonts w:asciiTheme="minorBidi" w:hAnsiTheme="minorBidi"/>
          <w:sz w:val="22"/>
        </w:rPr>
      </w:pPr>
      <w:r w:rsidRPr="007B2804">
        <w:rPr>
          <w:rFonts w:asciiTheme="minorBidi" w:hAnsiTheme="minorBidi"/>
          <w:sz w:val="22"/>
        </w:rPr>
        <w:t>Finally, collaboration between health and social care professionals ensures her needs are assessed from multiple perspectives. Sharing information, reviewing risks and involving Mrs Thompson in decisions promotes her wellbeing, dignity and independence.</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1E963723"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Care Quality Commission (CQC) (2014) Regulation 17: Good governance. London: CQC.</w:t>
      </w:r>
    </w:p>
    <w:p w14:paraId="03CE0BEA" w14:textId="77777777" w:rsidR="007B2804" w:rsidRPr="007B2804" w:rsidRDefault="007B2804" w:rsidP="007B2804">
      <w:pPr>
        <w:tabs>
          <w:tab w:val="left" w:pos="6540"/>
        </w:tabs>
        <w:spacing w:line="360" w:lineRule="auto"/>
        <w:rPr>
          <w:rFonts w:asciiTheme="minorBidi" w:hAnsiTheme="minorBidi"/>
          <w:sz w:val="22"/>
        </w:rPr>
      </w:pPr>
    </w:p>
    <w:p w14:paraId="12ABCD74"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Department of Health and Social Care (2025) Care and support statutory guidance. London: Department of Health and Social Care.</w:t>
      </w:r>
    </w:p>
    <w:p w14:paraId="63F58C84" w14:textId="77777777" w:rsidR="007B2804" w:rsidRPr="007B2804" w:rsidRDefault="007B2804" w:rsidP="007B2804">
      <w:pPr>
        <w:tabs>
          <w:tab w:val="left" w:pos="6540"/>
        </w:tabs>
        <w:spacing w:line="360" w:lineRule="auto"/>
        <w:rPr>
          <w:rFonts w:asciiTheme="minorBidi" w:hAnsiTheme="minorBidi"/>
          <w:sz w:val="22"/>
        </w:rPr>
      </w:pPr>
    </w:p>
    <w:p w14:paraId="5E1C98B1"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Equality and Human Rights Commission (2026) Equality Act 2010: Code of Practice for Services, Public Functions and Associations. London: EHRC.</w:t>
      </w:r>
    </w:p>
    <w:p w14:paraId="0A1A97FE" w14:textId="77777777" w:rsidR="007B2804" w:rsidRPr="007B2804" w:rsidRDefault="007B2804" w:rsidP="007B2804">
      <w:pPr>
        <w:tabs>
          <w:tab w:val="left" w:pos="6540"/>
        </w:tabs>
        <w:spacing w:line="360" w:lineRule="auto"/>
        <w:rPr>
          <w:rFonts w:asciiTheme="minorBidi" w:hAnsiTheme="minorBidi"/>
          <w:sz w:val="22"/>
        </w:rPr>
      </w:pPr>
    </w:p>
    <w:p w14:paraId="3945AF02"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Government Equalities Office (2026) Equality Act 2010: Guidance. London: GOV.UK.</w:t>
      </w:r>
    </w:p>
    <w:p w14:paraId="4157C15C" w14:textId="77777777" w:rsidR="007B2804" w:rsidRPr="007B2804" w:rsidRDefault="007B2804" w:rsidP="007B2804">
      <w:pPr>
        <w:tabs>
          <w:tab w:val="left" w:pos="6540"/>
        </w:tabs>
        <w:spacing w:line="360" w:lineRule="auto"/>
        <w:rPr>
          <w:rFonts w:asciiTheme="minorBidi" w:hAnsiTheme="minorBidi"/>
          <w:sz w:val="22"/>
        </w:rPr>
      </w:pPr>
    </w:p>
    <w:p w14:paraId="5EA1B3E5"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Information Commissioner's Office (ICO) (2026) Data protection principles: guidance and resources. Wilmslow: ICO.</w:t>
      </w:r>
    </w:p>
    <w:p w14:paraId="7C7F5159" w14:textId="77777777" w:rsidR="007B2804" w:rsidRPr="007B2804" w:rsidRDefault="007B2804" w:rsidP="007B2804">
      <w:pPr>
        <w:tabs>
          <w:tab w:val="left" w:pos="6540"/>
        </w:tabs>
        <w:spacing w:line="360" w:lineRule="auto"/>
        <w:rPr>
          <w:rFonts w:asciiTheme="minorBidi" w:hAnsiTheme="minorBidi"/>
          <w:sz w:val="22"/>
        </w:rPr>
      </w:pPr>
    </w:p>
    <w:p w14:paraId="3B60B885"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Information Commissioner's Office (ICO) (2026) Special category data. Wilmslow: ICO.</w:t>
      </w:r>
    </w:p>
    <w:p w14:paraId="0893A375" w14:textId="77777777" w:rsidR="007B2804" w:rsidRPr="007B2804" w:rsidRDefault="007B2804" w:rsidP="007B2804">
      <w:pPr>
        <w:tabs>
          <w:tab w:val="left" w:pos="6540"/>
        </w:tabs>
        <w:spacing w:line="360" w:lineRule="auto"/>
        <w:rPr>
          <w:rFonts w:asciiTheme="minorBidi" w:hAnsiTheme="minorBidi"/>
          <w:sz w:val="22"/>
        </w:rPr>
      </w:pPr>
    </w:p>
    <w:p w14:paraId="22F26A84"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National Data Guardian (2021) The Caldicott Principles. London: Department of Health and Social Care.</w:t>
      </w:r>
    </w:p>
    <w:p w14:paraId="48ED0778" w14:textId="77777777" w:rsidR="007B2804" w:rsidRPr="007B2804" w:rsidRDefault="007B2804" w:rsidP="007B2804">
      <w:pPr>
        <w:tabs>
          <w:tab w:val="left" w:pos="6540"/>
        </w:tabs>
        <w:spacing w:line="360" w:lineRule="auto"/>
        <w:rPr>
          <w:rFonts w:asciiTheme="minorBidi" w:hAnsiTheme="minorBidi"/>
          <w:sz w:val="22"/>
        </w:rPr>
      </w:pPr>
    </w:p>
    <w:p w14:paraId="4844654E"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NHS England (2026) Working in partnership. London: NHS England.</w:t>
      </w:r>
    </w:p>
    <w:p w14:paraId="02EF2B98" w14:textId="77777777" w:rsidR="007B2804" w:rsidRPr="007B2804" w:rsidRDefault="007B2804" w:rsidP="007B2804">
      <w:pPr>
        <w:tabs>
          <w:tab w:val="left" w:pos="6540"/>
        </w:tabs>
        <w:spacing w:line="360" w:lineRule="auto"/>
        <w:rPr>
          <w:rFonts w:asciiTheme="minorBidi" w:hAnsiTheme="minorBidi"/>
          <w:sz w:val="22"/>
        </w:rPr>
      </w:pPr>
    </w:p>
    <w:p w14:paraId="2C6819EC"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Office of the Public Guardian (2026) Making decisions: a guide for people who work in health and social care. London: GOV.UK.</w:t>
      </w:r>
    </w:p>
    <w:p w14:paraId="30B732F4" w14:textId="77777777" w:rsidR="007B2804" w:rsidRPr="007B2804" w:rsidRDefault="007B2804" w:rsidP="007B2804">
      <w:pPr>
        <w:tabs>
          <w:tab w:val="left" w:pos="6540"/>
        </w:tabs>
        <w:spacing w:line="360" w:lineRule="auto"/>
        <w:rPr>
          <w:rFonts w:asciiTheme="minorBidi" w:hAnsiTheme="minorBidi"/>
          <w:sz w:val="22"/>
        </w:rPr>
      </w:pPr>
    </w:p>
    <w:p w14:paraId="7F2A784E"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UK Government (2005) Mental Capacity Act 2005. London: The Stationery Office.</w:t>
      </w:r>
    </w:p>
    <w:p w14:paraId="1B5634FC" w14:textId="77777777" w:rsidR="007B2804" w:rsidRPr="007B2804" w:rsidRDefault="007B2804" w:rsidP="007B2804">
      <w:pPr>
        <w:tabs>
          <w:tab w:val="left" w:pos="6540"/>
        </w:tabs>
        <w:spacing w:line="360" w:lineRule="auto"/>
        <w:rPr>
          <w:rFonts w:asciiTheme="minorBidi" w:hAnsiTheme="minorBidi"/>
          <w:sz w:val="22"/>
        </w:rPr>
      </w:pPr>
    </w:p>
    <w:p w14:paraId="553B69B5" w14:textId="77777777" w:rsidR="007B2804" w:rsidRPr="007B2804" w:rsidRDefault="007B2804" w:rsidP="007B2804">
      <w:pPr>
        <w:tabs>
          <w:tab w:val="left" w:pos="6540"/>
        </w:tabs>
        <w:spacing w:line="360" w:lineRule="auto"/>
        <w:rPr>
          <w:rFonts w:asciiTheme="minorBidi" w:hAnsiTheme="minorBidi"/>
          <w:sz w:val="22"/>
        </w:rPr>
      </w:pPr>
      <w:r w:rsidRPr="007B2804">
        <w:rPr>
          <w:rFonts w:asciiTheme="minorBidi" w:hAnsiTheme="minorBidi"/>
          <w:sz w:val="22"/>
        </w:rPr>
        <w:t>UK Government (2010) Equality Act 2010. London: The Stationery Office.</w:t>
      </w:r>
    </w:p>
    <w:p w14:paraId="63532D80" w14:textId="77777777" w:rsidR="007B2804" w:rsidRPr="007B2804" w:rsidRDefault="007B2804" w:rsidP="007B2804">
      <w:pPr>
        <w:tabs>
          <w:tab w:val="left" w:pos="6540"/>
        </w:tabs>
        <w:spacing w:line="360" w:lineRule="auto"/>
        <w:rPr>
          <w:rFonts w:asciiTheme="minorBidi" w:hAnsiTheme="minorBidi"/>
          <w:sz w:val="22"/>
        </w:rPr>
      </w:pPr>
    </w:p>
    <w:p w14:paraId="1425F4AC" w14:textId="09058529" w:rsidR="001D7C03" w:rsidRPr="00CD33A8" w:rsidRDefault="007B2804" w:rsidP="007B2804">
      <w:pPr>
        <w:tabs>
          <w:tab w:val="left" w:pos="6540"/>
        </w:tabs>
        <w:spacing w:line="360" w:lineRule="auto"/>
        <w:rPr>
          <w:rFonts w:asciiTheme="minorBidi" w:hAnsiTheme="minorBidi"/>
          <w:sz w:val="22"/>
        </w:rPr>
      </w:pPr>
      <w:r w:rsidRPr="007B2804">
        <w:rPr>
          <w:rFonts w:asciiTheme="minorBidi" w:hAnsiTheme="minorBidi"/>
          <w:sz w:val="22"/>
        </w:rPr>
        <w:t>UK Government (2018) Data Protection Act 2018. London: The Stationery Office.</w:t>
      </w: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AF1E3" w14:textId="77777777" w:rsidR="00FA6712" w:rsidRDefault="00FA6712" w:rsidP="003E4ECF">
      <w:pPr>
        <w:spacing w:after="0" w:line="240" w:lineRule="auto"/>
      </w:pPr>
      <w:r>
        <w:separator/>
      </w:r>
    </w:p>
  </w:endnote>
  <w:endnote w:type="continuationSeparator" w:id="0">
    <w:p w14:paraId="50609E1B" w14:textId="77777777" w:rsidR="00FA6712" w:rsidRDefault="00FA671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938E8" w14:textId="77777777" w:rsidR="00FA6712" w:rsidRDefault="00FA6712" w:rsidP="003E4ECF">
      <w:pPr>
        <w:spacing w:after="0" w:line="240" w:lineRule="auto"/>
      </w:pPr>
      <w:r>
        <w:separator/>
      </w:r>
    </w:p>
  </w:footnote>
  <w:footnote w:type="continuationSeparator" w:id="0">
    <w:p w14:paraId="2B39D417" w14:textId="77777777" w:rsidR="00FA6712" w:rsidRDefault="00FA6712"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B18B4"/>
    <w:multiLevelType w:val="hybridMultilevel"/>
    <w:tmpl w:val="36D60E2E"/>
    <w:lvl w:ilvl="0" w:tplc="0810AD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263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6393A"/>
    <w:rsid w:val="00273EDD"/>
    <w:rsid w:val="002C3965"/>
    <w:rsid w:val="00321C4C"/>
    <w:rsid w:val="00392BBC"/>
    <w:rsid w:val="003E4ECF"/>
    <w:rsid w:val="004A736E"/>
    <w:rsid w:val="005E171C"/>
    <w:rsid w:val="006925AA"/>
    <w:rsid w:val="00725177"/>
    <w:rsid w:val="007A1B8D"/>
    <w:rsid w:val="007B2804"/>
    <w:rsid w:val="008000C1"/>
    <w:rsid w:val="00814A9E"/>
    <w:rsid w:val="00835C22"/>
    <w:rsid w:val="008E3943"/>
    <w:rsid w:val="0090040D"/>
    <w:rsid w:val="009D052C"/>
    <w:rsid w:val="009D1D1E"/>
    <w:rsid w:val="00A035FD"/>
    <w:rsid w:val="00AD23A0"/>
    <w:rsid w:val="00B87E75"/>
    <w:rsid w:val="00BA5A79"/>
    <w:rsid w:val="00CD33A8"/>
    <w:rsid w:val="00E569FD"/>
    <w:rsid w:val="00E620E7"/>
    <w:rsid w:val="00EF0DD0"/>
    <w:rsid w:val="00F66E1B"/>
    <w:rsid w:val="00FA67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7B28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1398</Words>
  <Characters>7973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Ibrahim Kante</cp:lastModifiedBy>
  <cp:revision>2</cp:revision>
  <dcterms:created xsi:type="dcterms:W3CDTF">2026-08-24T13:54:00Z</dcterms:created>
  <dcterms:modified xsi:type="dcterms:W3CDTF">2026-08-24T13:54:00Z</dcterms:modified>
</cp:coreProperties>
</file>