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32014445"/>
        <w:docPartObj>
          <w:docPartGallery w:val="Cover Pages"/>
          <w:docPartUnique/>
        </w:docPartObj>
      </w:sdtPr>
      <w:sdtEndPr>
        <w:rPr>
          <w:rFonts w:ascii="Times New Roman" w:eastAsiaTheme="minorEastAsia" w:hAnsi="Times New Roman" w:cs="Times New Roman"/>
          <w:caps/>
          <w:color w:val="000000" w:themeColor="text1"/>
          <w:lang w:val="en-US" w:eastAsia="zh-CN"/>
        </w:rPr>
      </w:sdtEndPr>
      <w:sdtContent>
        <w:p w14:paraId="77B8C85E" w14:textId="27801E45" w:rsidR="000B4D77" w:rsidRPr="00E5122B" w:rsidRDefault="000B4D77" w:rsidP="00E5122B">
          <w:pPr>
            <w:spacing w:line="360" w:lineRule="auto"/>
            <w:rPr>
              <w:rFonts w:ascii="Times New Roman" w:hAnsi="Times New Roman" w:cs="Times New Roman"/>
              <w:color w:val="000000" w:themeColor="text1"/>
            </w:rPr>
          </w:pPr>
          <w:r w:rsidRPr="00E5122B">
            <w:rPr>
              <w:rFonts w:ascii="Times New Roman" w:hAnsi="Times New Roman" w:cs="Times New Roman"/>
              <w:noProof/>
              <w:color w:val="000000" w:themeColor="text1"/>
            </w:rPr>
            <mc:AlternateContent>
              <mc:Choice Requires="wpg">
                <w:drawing>
                  <wp:anchor distT="0" distB="0" distL="114300" distR="114300" simplePos="0" relativeHeight="251661312" behindDoc="0" locked="0" layoutInCell="1" allowOverlap="1" wp14:anchorId="06EBC5FF" wp14:editId="1E17874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26D6D25" w14:textId="145C9846" w:rsidR="000B4D77" w:rsidRDefault="000037C4" w:rsidP="000037C4">
                                      <w:pPr>
                                        <w:pStyle w:val="NoSpacing"/>
                                        <w:spacing w:after="240"/>
                                        <w:jc w:val="right"/>
                                        <w:rPr>
                                          <w:color w:val="44546A" w:themeColor="text2"/>
                                          <w:spacing w:val="10"/>
                                          <w:sz w:val="36"/>
                                          <w:szCs w:val="36"/>
                                        </w:rPr>
                                      </w:pPr>
                                      <w:r>
                                        <w:rPr>
                                          <w:color w:val="44546A" w:themeColor="text2"/>
                                          <w:spacing w:val="10"/>
                                          <w:sz w:val="36"/>
                                          <w:szCs w:val="36"/>
                                        </w:rPr>
                                        <w:t xml:space="preserve">Student number: </w:t>
                                      </w:r>
                                      <w:r w:rsidR="000B4D77">
                                        <w:rPr>
                                          <w:color w:val="44546A" w:themeColor="text2"/>
                                          <w:spacing w:val="10"/>
                                          <w:sz w:val="36"/>
                                          <w:szCs w:val="36"/>
                                        </w:rPr>
                                        <w:t>1502459</w:t>
                                      </w:r>
                                    </w:p>
                                  </w:sdtContent>
                                </w:sdt>
                                <w:p w14:paraId="3B00DFA3" w14:textId="47FFA793" w:rsidR="000B4D77" w:rsidRDefault="000B4D77" w:rsidP="000037C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0037C4">
                                        <w:rPr>
                                          <w:color w:val="44546A" w:themeColor="text2"/>
                                          <w:spacing w:val="10"/>
                                          <w:sz w:val="28"/>
                                          <w:szCs w:val="28"/>
                                        </w:rPr>
                                        <w:t>Module Co-</w:t>
                                      </w:r>
                                      <w:proofErr w:type="spellStart"/>
                                      <w:r w:rsidR="00570A89">
                                        <w:rPr>
                                          <w:color w:val="44546A" w:themeColor="text2"/>
                                          <w:spacing w:val="10"/>
                                          <w:sz w:val="28"/>
                                          <w:szCs w:val="28"/>
                                        </w:rPr>
                                        <w:t>ordinator</w:t>
                                      </w:r>
                                      <w:proofErr w:type="spellEnd"/>
                                      <w:r w:rsidR="000037C4">
                                        <w:rPr>
                                          <w:color w:val="44546A" w:themeColor="text2"/>
                                          <w:spacing w:val="10"/>
                                          <w:sz w:val="28"/>
                                          <w:szCs w:val="28"/>
                                        </w:rPr>
                                        <w:t>: Rachel Wallis</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EBC5FF"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26D6D25" w14:textId="145C9846" w:rsidR="000B4D77" w:rsidRDefault="000037C4" w:rsidP="000037C4">
                                <w:pPr>
                                  <w:pStyle w:val="NoSpacing"/>
                                  <w:spacing w:after="240"/>
                                  <w:jc w:val="right"/>
                                  <w:rPr>
                                    <w:color w:val="44546A" w:themeColor="text2"/>
                                    <w:spacing w:val="10"/>
                                    <w:sz w:val="36"/>
                                    <w:szCs w:val="36"/>
                                  </w:rPr>
                                </w:pPr>
                                <w:r>
                                  <w:rPr>
                                    <w:color w:val="44546A" w:themeColor="text2"/>
                                    <w:spacing w:val="10"/>
                                    <w:sz w:val="36"/>
                                    <w:szCs w:val="36"/>
                                  </w:rPr>
                                  <w:t xml:space="preserve">Student number: </w:t>
                                </w:r>
                                <w:r w:rsidR="000B4D77">
                                  <w:rPr>
                                    <w:color w:val="44546A" w:themeColor="text2"/>
                                    <w:spacing w:val="10"/>
                                    <w:sz w:val="36"/>
                                    <w:szCs w:val="36"/>
                                  </w:rPr>
                                  <w:t>1502459</w:t>
                                </w:r>
                              </w:p>
                            </w:sdtContent>
                          </w:sdt>
                          <w:p w14:paraId="3B00DFA3" w14:textId="47FFA793" w:rsidR="000B4D77" w:rsidRDefault="000B4D77" w:rsidP="000037C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0037C4">
                                  <w:rPr>
                                    <w:color w:val="44546A" w:themeColor="text2"/>
                                    <w:spacing w:val="10"/>
                                    <w:sz w:val="28"/>
                                    <w:szCs w:val="28"/>
                                  </w:rPr>
                                  <w:t>Module Co-</w:t>
                                </w:r>
                                <w:proofErr w:type="spellStart"/>
                                <w:r w:rsidR="00570A89">
                                  <w:rPr>
                                    <w:color w:val="44546A" w:themeColor="text2"/>
                                    <w:spacing w:val="10"/>
                                    <w:sz w:val="28"/>
                                    <w:szCs w:val="28"/>
                                  </w:rPr>
                                  <w:t>ordinator</w:t>
                                </w:r>
                                <w:proofErr w:type="spellEnd"/>
                                <w:r w:rsidR="000037C4">
                                  <w:rPr>
                                    <w:color w:val="44546A" w:themeColor="text2"/>
                                    <w:spacing w:val="10"/>
                                    <w:sz w:val="28"/>
                                    <w:szCs w:val="28"/>
                                  </w:rPr>
                                  <w:t>: Rachel Wallis</w:t>
                                </w:r>
                              </w:sdtContent>
                            </w:sdt>
                          </w:p>
                        </w:txbxContent>
                      </v:textbox>
                    </v:shape>
                    <w10:wrap anchorx="page" anchory="page"/>
                  </v:group>
                </w:pict>
              </mc:Fallback>
            </mc:AlternateContent>
          </w:r>
          <w:r w:rsidRPr="00E5122B">
            <w:rPr>
              <w:rFonts w:ascii="Times New Roman" w:hAnsi="Times New Roman" w:cs="Times New Roman"/>
              <w:noProof/>
              <w:color w:val="000000" w:themeColor="text1"/>
            </w:rPr>
            <mc:AlternateContent>
              <mc:Choice Requires="wpg">
                <w:drawing>
                  <wp:anchor distT="0" distB="0" distL="114300" distR="114300" simplePos="0" relativeHeight="251660288" behindDoc="0" locked="0" layoutInCell="1" allowOverlap="1" wp14:anchorId="07AC8443" wp14:editId="005AA1EF">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B9036BA" w14:textId="1056B220" w:rsidR="000B4D77" w:rsidRDefault="000B4D7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ECAD6012</w:t>
                                      </w:r>
                                      <w:r w:rsidR="00754213">
                                        <w:rPr>
                                          <w:rFonts w:asciiTheme="majorHAnsi" w:hAnsiTheme="majorHAnsi"/>
                                          <w:color w:val="44546A" w:themeColor="text2"/>
                                          <w:spacing w:val="10"/>
                                          <w:sz w:val="36"/>
                                          <w:szCs w:val="36"/>
                                        </w:rPr>
                                        <w:t>/C</w:t>
                                      </w:r>
                                    </w:p>
                                  </w:sdtContent>
                                </w:sdt>
                                <w:p w14:paraId="56904520" w14:textId="4776125D" w:rsidR="000B4D77" w:rsidRPr="000B4D77" w:rsidRDefault="000B4D77">
                                  <w:pPr>
                                    <w:pStyle w:val="NoSpacing"/>
                                    <w:spacing w:line="216" w:lineRule="auto"/>
                                    <w:rPr>
                                      <w:rFonts w:asciiTheme="majorHAnsi" w:hAnsiTheme="majorHAnsi"/>
                                      <w:caps/>
                                      <w:color w:val="44546A" w:themeColor="text2"/>
                                      <w:sz w:val="36"/>
                                      <w:szCs w:val="36"/>
                                    </w:rPr>
                                  </w:pPr>
                                  <w:sdt>
                                    <w:sdtPr>
                                      <w:rPr>
                                        <w:rFonts w:asciiTheme="majorHAnsi" w:hAnsiTheme="majorHAnsi"/>
                                        <w:caps/>
                                        <w:color w:val="44546A" w:themeColor="text2"/>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0B4D77">
                                        <w:rPr>
                                          <w:rFonts w:asciiTheme="majorHAnsi" w:hAnsiTheme="majorHAnsi"/>
                                          <w:caps/>
                                          <w:color w:val="44546A" w:themeColor="text2"/>
                                          <w:sz w:val="36"/>
                                          <w:szCs w:val="36"/>
                                        </w:rPr>
                                        <w:t>Looking Forward</w:t>
                                      </w:r>
                                    </w:sdtContent>
                                  </w:sdt>
                                  <w:r w:rsidR="000037C4">
                                    <w:rPr>
                                      <w:rFonts w:asciiTheme="majorHAnsi" w:hAnsiTheme="majorHAnsi"/>
                                      <w:caps/>
                                      <w:color w:val="44546A" w:themeColor="text2"/>
                                      <w:sz w:val="36"/>
                                      <w:szCs w:val="36"/>
                                    </w:rPr>
                                    <w:t>: a critical analysis of literacy, numeracy and digital competence as cross-curricular responsibilities.</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AC8443"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B9036BA" w14:textId="1056B220" w:rsidR="000B4D77" w:rsidRDefault="000B4D7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ECAD6012</w:t>
                                </w:r>
                                <w:r w:rsidR="00754213">
                                  <w:rPr>
                                    <w:rFonts w:asciiTheme="majorHAnsi" w:hAnsiTheme="majorHAnsi"/>
                                    <w:color w:val="44546A" w:themeColor="text2"/>
                                    <w:spacing w:val="10"/>
                                    <w:sz w:val="36"/>
                                    <w:szCs w:val="36"/>
                                  </w:rPr>
                                  <w:t>/C</w:t>
                                </w:r>
                              </w:p>
                            </w:sdtContent>
                          </w:sdt>
                          <w:p w14:paraId="56904520" w14:textId="4776125D" w:rsidR="000B4D77" w:rsidRPr="000B4D77" w:rsidRDefault="000B4D77">
                            <w:pPr>
                              <w:pStyle w:val="NoSpacing"/>
                              <w:spacing w:line="216" w:lineRule="auto"/>
                              <w:rPr>
                                <w:rFonts w:asciiTheme="majorHAnsi" w:hAnsiTheme="majorHAnsi"/>
                                <w:caps/>
                                <w:color w:val="44546A" w:themeColor="text2"/>
                                <w:sz w:val="36"/>
                                <w:szCs w:val="36"/>
                              </w:rPr>
                            </w:pPr>
                            <w:sdt>
                              <w:sdtPr>
                                <w:rPr>
                                  <w:rFonts w:asciiTheme="majorHAnsi" w:hAnsiTheme="majorHAnsi"/>
                                  <w:caps/>
                                  <w:color w:val="44546A" w:themeColor="text2"/>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0B4D77">
                                  <w:rPr>
                                    <w:rFonts w:asciiTheme="majorHAnsi" w:hAnsiTheme="majorHAnsi"/>
                                    <w:caps/>
                                    <w:color w:val="44546A" w:themeColor="text2"/>
                                    <w:sz w:val="36"/>
                                    <w:szCs w:val="36"/>
                                  </w:rPr>
                                  <w:t>Looking Forward</w:t>
                                </w:r>
                              </w:sdtContent>
                            </w:sdt>
                            <w:r w:rsidR="000037C4">
                              <w:rPr>
                                <w:rFonts w:asciiTheme="majorHAnsi" w:hAnsiTheme="majorHAnsi"/>
                                <w:caps/>
                                <w:color w:val="44546A" w:themeColor="text2"/>
                                <w:sz w:val="36"/>
                                <w:szCs w:val="36"/>
                              </w:rPr>
                              <w:t>: a critical analysis of literacy, numeracy and digital competence as cross-curricular responsibilities.</w:t>
                            </w:r>
                          </w:p>
                        </w:txbxContent>
                      </v:textbox>
                    </v:shape>
                    <w10:wrap anchorx="page" anchory="page"/>
                  </v:group>
                </w:pict>
              </mc:Fallback>
            </mc:AlternateContent>
          </w:r>
          <w:r w:rsidRPr="00E5122B">
            <w:rPr>
              <w:rFonts w:ascii="Times New Roman" w:hAnsi="Times New Roman" w:cs="Times New Roman"/>
              <w:noProof/>
              <w:color w:val="000000" w:themeColor="text1"/>
            </w:rPr>
            <mc:AlternateContent>
              <mc:Choice Requires="wps">
                <w:drawing>
                  <wp:anchor distT="0" distB="0" distL="114300" distR="114300" simplePos="0" relativeHeight="251659264" behindDoc="1" locked="0" layoutInCell="1" allowOverlap="1" wp14:anchorId="30030C04" wp14:editId="7FF0C626">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3D7FDD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5AFEF798" w14:textId="52EEA015" w:rsidR="000B4D77" w:rsidRPr="00E5122B" w:rsidRDefault="000B4D77" w:rsidP="00E5122B">
          <w:pPr>
            <w:spacing w:line="360" w:lineRule="auto"/>
            <w:rPr>
              <w:rFonts w:ascii="Times New Roman" w:eastAsiaTheme="minorEastAsia" w:hAnsi="Times New Roman" w:cs="Times New Roman"/>
              <w:caps/>
              <w:color w:val="000000" w:themeColor="text1"/>
              <w:lang w:val="en-US" w:eastAsia="zh-CN"/>
            </w:rPr>
          </w:pPr>
          <w:r w:rsidRPr="00E5122B">
            <w:rPr>
              <w:rFonts w:ascii="Times New Roman" w:eastAsiaTheme="minorEastAsia" w:hAnsi="Times New Roman" w:cs="Times New Roman"/>
              <w:caps/>
              <w:color w:val="000000" w:themeColor="text1"/>
              <w:lang w:val="en-US" w:eastAsia="zh-CN"/>
            </w:rPr>
            <w:br w:type="page"/>
          </w:r>
        </w:p>
      </w:sdtContent>
    </w:sdt>
    <w:p w14:paraId="05D31904" w14:textId="4BA17083" w:rsidR="00437F09" w:rsidRPr="003815C9" w:rsidRDefault="00041B8F" w:rsidP="003815C9">
      <w:pPr>
        <w:pStyle w:val="NormalWeb"/>
        <w:shd w:val="clear" w:color="auto" w:fill="FFFFFF"/>
        <w:spacing w:line="360" w:lineRule="auto"/>
        <w:rPr>
          <w:color w:val="000000" w:themeColor="text1"/>
        </w:rPr>
      </w:pPr>
      <w:r w:rsidRPr="003815C9">
        <w:rPr>
          <w:color w:val="000000" w:themeColor="text1"/>
        </w:rPr>
        <w:lastRenderedPageBreak/>
        <w:t>With t</w:t>
      </w:r>
      <w:r w:rsidR="00114833" w:rsidRPr="003815C9">
        <w:rPr>
          <w:color w:val="000000" w:themeColor="text1"/>
        </w:rPr>
        <w:t xml:space="preserve">he formation of literacy, numeracy and digital competence as cross-curricular responsibilities for all teachers (Donaldson, 2015), in conjunction with the Welsh assembly Governments’ aim of developing all learners to </w:t>
      </w:r>
      <w:r w:rsidR="00E5122B" w:rsidRPr="003815C9">
        <w:rPr>
          <w:color w:val="000000" w:themeColor="text1"/>
        </w:rPr>
        <w:t>achieve</w:t>
      </w:r>
      <w:r w:rsidR="00114833" w:rsidRPr="003815C9">
        <w:rPr>
          <w:color w:val="000000" w:themeColor="text1"/>
        </w:rPr>
        <w:t xml:space="preserve"> “high-level’ digital, literacy and numeracy skills” (Welsh Assembly government, 2017</w:t>
      </w:r>
      <w:r w:rsidR="00074677" w:rsidRPr="003815C9">
        <w:rPr>
          <w:color w:val="000000" w:themeColor="text1"/>
        </w:rPr>
        <w:t>a</w:t>
      </w:r>
      <w:r w:rsidR="004330C0" w:rsidRPr="003815C9">
        <w:rPr>
          <w:color w:val="000000" w:themeColor="text1"/>
        </w:rPr>
        <w:t>, p.</w:t>
      </w:r>
      <w:r w:rsidRPr="003815C9">
        <w:rPr>
          <w:color w:val="000000" w:themeColor="text1"/>
        </w:rPr>
        <w:t>11)</w:t>
      </w:r>
      <w:r w:rsidR="00114833" w:rsidRPr="003815C9">
        <w:rPr>
          <w:color w:val="000000" w:themeColor="text1"/>
        </w:rPr>
        <w:t xml:space="preserve">, these competencies may be seen to be key areas at the centre of education policy in Wales (Estyn, 2017). Cross-curricular learning, </w:t>
      </w:r>
      <w:r w:rsidR="00E5122B" w:rsidRPr="003815C9">
        <w:rPr>
          <w:color w:val="000000" w:themeColor="text1"/>
        </w:rPr>
        <w:t>as</w:t>
      </w:r>
      <w:r w:rsidR="00114833" w:rsidRPr="003815C9">
        <w:rPr>
          <w:color w:val="000000" w:themeColor="text1"/>
        </w:rPr>
        <w:t xml:space="preserve"> defined by Barnes (2015, p.11) as when</w:t>
      </w:r>
      <w:r w:rsidR="00CE2725" w:rsidRPr="003815C9">
        <w:rPr>
          <w:color w:val="000000" w:themeColor="text1"/>
        </w:rPr>
        <w:t xml:space="preserve"> “skills, knowledge and attitudes of a </w:t>
      </w:r>
      <w:bookmarkStart w:id="0" w:name="_GoBack"/>
      <w:bookmarkEnd w:id="0"/>
      <w:r w:rsidR="00CE2725" w:rsidRPr="003815C9">
        <w:rPr>
          <w:color w:val="000000" w:themeColor="text1"/>
        </w:rPr>
        <w:t xml:space="preserve">number of different disciplines are applied to a single experience, problem, question, theme or idea”, may provide an opportunity for learners to develop the skills they have gained </w:t>
      </w:r>
      <w:r w:rsidR="00E5122B" w:rsidRPr="003815C9">
        <w:rPr>
          <w:color w:val="000000" w:themeColor="text1"/>
        </w:rPr>
        <w:t xml:space="preserve">within these </w:t>
      </w:r>
      <w:r w:rsidR="00CE2725" w:rsidRPr="003815C9">
        <w:rPr>
          <w:color w:val="000000" w:themeColor="text1"/>
        </w:rPr>
        <w:t xml:space="preserve">disciplines, by applying them to various contexts across the curriculum (Pound and Lee, 2015). </w:t>
      </w:r>
      <w:r w:rsidR="00114833" w:rsidRPr="003815C9">
        <w:rPr>
          <w:color w:val="000000" w:themeColor="text1"/>
        </w:rPr>
        <w:t>The Literacy and Numeracy Framework</w:t>
      </w:r>
      <w:r w:rsidR="00CE2725" w:rsidRPr="003815C9">
        <w:rPr>
          <w:color w:val="000000" w:themeColor="text1"/>
        </w:rPr>
        <w:t xml:space="preserve"> alongside the Digital Competence Framework </w:t>
      </w:r>
      <w:r w:rsidR="00114833" w:rsidRPr="003815C9">
        <w:rPr>
          <w:color w:val="000000" w:themeColor="text1"/>
        </w:rPr>
        <w:t xml:space="preserve">support the coherent development of </w:t>
      </w:r>
      <w:r w:rsidR="00CE2725" w:rsidRPr="003815C9">
        <w:rPr>
          <w:color w:val="000000" w:themeColor="text1"/>
        </w:rPr>
        <w:t>these</w:t>
      </w:r>
      <w:r w:rsidR="00114833" w:rsidRPr="003815C9">
        <w:rPr>
          <w:color w:val="000000" w:themeColor="text1"/>
        </w:rPr>
        <w:t xml:space="preserve"> skills across the curriculum</w:t>
      </w:r>
      <w:r w:rsidR="00CE2725" w:rsidRPr="003815C9">
        <w:rPr>
          <w:color w:val="000000" w:themeColor="text1"/>
        </w:rPr>
        <w:t xml:space="preserve"> (WAG, 2013; WAG, 2018)</w:t>
      </w:r>
      <w:r w:rsidR="00E5122B" w:rsidRPr="003815C9">
        <w:rPr>
          <w:color w:val="000000" w:themeColor="text1"/>
        </w:rPr>
        <w:t>.</w:t>
      </w:r>
      <w:r w:rsidR="00074677" w:rsidRPr="003815C9">
        <w:rPr>
          <w:color w:val="000000" w:themeColor="text1"/>
        </w:rPr>
        <w:t xml:space="preserve"> </w:t>
      </w:r>
      <w:r w:rsidR="00E5122B" w:rsidRPr="003815C9">
        <w:rPr>
          <w:color w:val="000000" w:themeColor="text1"/>
        </w:rPr>
        <w:t>U</w:t>
      </w:r>
      <w:r w:rsidR="00CE2725" w:rsidRPr="003815C9">
        <w:rPr>
          <w:color w:val="000000" w:themeColor="text1"/>
        </w:rPr>
        <w:t xml:space="preserve">tilising such a cross-curricular approach may </w:t>
      </w:r>
      <w:r w:rsidR="00E5122B" w:rsidRPr="003815C9">
        <w:rPr>
          <w:color w:val="000000" w:themeColor="text1"/>
        </w:rPr>
        <w:t xml:space="preserve">also </w:t>
      </w:r>
      <w:r w:rsidR="00CE2725" w:rsidRPr="003815C9">
        <w:rPr>
          <w:color w:val="000000" w:themeColor="text1"/>
        </w:rPr>
        <w:t xml:space="preserve">develop the learner’s ability to make connections and transfer knowledge </w:t>
      </w:r>
      <w:r w:rsidR="00E5122B" w:rsidRPr="003815C9">
        <w:rPr>
          <w:color w:val="000000" w:themeColor="text1"/>
        </w:rPr>
        <w:t>whilst confronting</w:t>
      </w:r>
      <w:r w:rsidR="00CE2725" w:rsidRPr="003815C9">
        <w:rPr>
          <w:color w:val="000000" w:themeColor="text1"/>
        </w:rPr>
        <w:t xml:space="preserve"> unfamiliar problems in a number of contexts, a capacity which has been argued to be central in twenty-first century education (Donaldson, 2015). </w:t>
      </w:r>
    </w:p>
    <w:p w14:paraId="2C2C5C04" w14:textId="42DA0CDB" w:rsidR="00AD2203" w:rsidRPr="003815C9" w:rsidRDefault="00AD2203" w:rsidP="003815C9">
      <w:pPr>
        <w:pStyle w:val="NormalWeb"/>
        <w:shd w:val="clear" w:color="auto" w:fill="FFFFFF"/>
        <w:spacing w:line="360" w:lineRule="auto"/>
        <w:rPr>
          <w:color w:val="000000" w:themeColor="text1"/>
        </w:rPr>
      </w:pPr>
      <w:r w:rsidRPr="003815C9">
        <w:rPr>
          <w:color w:val="000000" w:themeColor="text1"/>
        </w:rPr>
        <w:t>With rapid change taking place in the modern world, including the</w:t>
      </w:r>
      <w:r w:rsidR="00E5122B" w:rsidRPr="003815C9">
        <w:rPr>
          <w:color w:val="000000" w:themeColor="text1"/>
        </w:rPr>
        <w:t xml:space="preserve"> continual</w:t>
      </w:r>
      <w:r w:rsidR="00041B8F" w:rsidRPr="003815C9">
        <w:rPr>
          <w:color w:val="000000" w:themeColor="text1"/>
        </w:rPr>
        <w:t xml:space="preserve"> </w:t>
      </w:r>
      <w:r w:rsidRPr="003815C9">
        <w:rPr>
          <w:color w:val="000000" w:themeColor="text1"/>
        </w:rPr>
        <w:t xml:space="preserve">development of technology (Barnes, 2015; Arthur et al., 2013; Robinson and </w:t>
      </w:r>
      <w:proofErr w:type="spellStart"/>
      <w:r w:rsidRPr="003815C9">
        <w:rPr>
          <w:color w:val="000000" w:themeColor="text1"/>
        </w:rPr>
        <w:t>Aronica</w:t>
      </w:r>
      <w:proofErr w:type="spellEnd"/>
      <w:r w:rsidRPr="003815C9">
        <w:rPr>
          <w:color w:val="000000" w:themeColor="text1"/>
        </w:rPr>
        <w:t xml:space="preserve">, 2015), the content of what children are taught has come under scrutiny (Barnes, 2015), thus the development of adaptable and transferable skills may be seen </w:t>
      </w:r>
      <w:r w:rsidR="00074677" w:rsidRPr="003815C9">
        <w:rPr>
          <w:color w:val="000000" w:themeColor="text1"/>
        </w:rPr>
        <w:t>as</w:t>
      </w:r>
      <w:r w:rsidRPr="003815C9">
        <w:rPr>
          <w:color w:val="000000" w:themeColor="text1"/>
        </w:rPr>
        <w:t xml:space="preserve"> fundamental in </w:t>
      </w:r>
      <w:r w:rsidRPr="003815C9">
        <w:rPr>
          <w:color w:val="000000" w:themeColor="text1"/>
        </w:rPr>
        <w:t xml:space="preserve">preparing learners for the unknown challenges of the future </w:t>
      </w:r>
      <w:r w:rsidRPr="003815C9">
        <w:rPr>
          <w:color w:val="000000" w:themeColor="text1"/>
        </w:rPr>
        <w:t xml:space="preserve">(Barnes, 2015; Arthur et al., 2013). However, Donaldson (2015) outlines the importance of both the acquisition of skills and subject knowledge, stating that the structure of the curriculum should ensure that </w:t>
      </w:r>
      <w:r w:rsidR="00AF04BD" w:rsidRPr="003815C9">
        <w:rPr>
          <w:color w:val="000000" w:themeColor="text1"/>
        </w:rPr>
        <w:t xml:space="preserve">the crucial contribution of disciplinary learning is protected whilst being </w:t>
      </w:r>
      <w:r w:rsidR="00074677" w:rsidRPr="003815C9">
        <w:rPr>
          <w:color w:val="000000" w:themeColor="text1"/>
        </w:rPr>
        <w:t>complemented by elements that support the needs of today and prepare the learners for the challenges of the future</w:t>
      </w:r>
      <w:r w:rsidRPr="003815C9">
        <w:rPr>
          <w:color w:val="000000" w:themeColor="text1"/>
        </w:rPr>
        <w:t xml:space="preserve"> (Donaldson, 2015).</w:t>
      </w:r>
    </w:p>
    <w:p w14:paraId="1FB4ABDB" w14:textId="41977043" w:rsidR="00F700C2" w:rsidRPr="003815C9" w:rsidRDefault="00AD2203" w:rsidP="003815C9">
      <w:pPr>
        <w:pStyle w:val="NormalWeb"/>
        <w:shd w:val="clear" w:color="auto" w:fill="FFFFFF"/>
        <w:spacing w:line="360" w:lineRule="auto"/>
        <w:rPr>
          <w:color w:val="000000" w:themeColor="text1"/>
        </w:rPr>
      </w:pPr>
      <w:r w:rsidRPr="003815C9">
        <w:rPr>
          <w:color w:val="000000" w:themeColor="text1"/>
        </w:rPr>
        <w:t xml:space="preserve">The application of the literacy, numeracy and digital competence across the curriculum may reflect that of a single-transferable subject approach, in which learning in a single subject is developed by applying it to a range of other disciplines (Barnes, 2015). </w:t>
      </w:r>
      <w:r w:rsidR="009A7F9F" w:rsidRPr="003815C9">
        <w:rPr>
          <w:color w:val="000000" w:themeColor="text1"/>
        </w:rPr>
        <w:t>L</w:t>
      </w:r>
      <w:r w:rsidR="00074677" w:rsidRPr="003815C9">
        <w:rPr>
          <w:color w:val="000000" w:themeColor="text1"/>
        </w:rPr>
        <w:t xml:space="preserve">iteracy may be automatically applicable to this approach as skills in </w:t>
      </w:r>
      <w:proofErr w:type="spellStart"/>
      <w:r w:rsidR="00074677" w:rsidRPr="003815C9">
        <w:rPr>
          <w:color w:val="000000" w:themeColor="text1"/>
        </w:rPr>
        <w:t>oracy</w:t>
      </w:r>
      <w:proofErr w:type="spellEnd"/>
      <w:r w:rsidR="00074677" w:rsidRPr="003815C9">
        <w:rPr>
          <w:color w:val="000000" w:themeColor="text1"/>
        </w:rPr>
        <w:t xml:space="preserve"> and writing are often interwoven into all subject areas (Barnes, 2015), and may be argued to essential for such learning to take place (Donaldson, 2015). Whilst the application of this approach may focus primarily</w:t>
      </w:r>
      <w:r w:rsidRPr="003815C9">
        <w:rPr>
          <w:color w:val="000000" w:themeColor="text1"/>
        </w:rPr>
        <w:t xml:space="preserve"> on the subject to be developed as opposed to using the new context to provide a motivating experience (Barnes, 2015)</w:t>
      </w:r>
      <w:r w:rsidR="00074677" w:rsidRPr="003815C9">
        <w:rPr>
          <w:color w:val="000000" w:themeColor="text1"/>
        </w:rPr>
        <w:t>, interesting contexts may be provided by other subject</w:t>
      </w:r>
      <w:r w:rsidR="00E5122B" w:rsidRPr="003815C9">
        <w:rPr>
          <w:color w:val="000000" w:themeColor="text1"/>
        </w:rPr>
        <w:t>s</w:t>
      </w:r>
      <w:r w:rsidR="00074677" w:rsidRPr="003815C9">
        <w:rPr>
          <w:color w:val="000000" w:themeColor="text1"/>
        </w:rPr>
        <w:t xml:space="preserve"> in which </w:t>
      </w:r>
      <w:r w:rsidR="00074677" w:rsidRPr="003815C9">
        <w:rPr>
          <w:color w:val="000000" w:themeColor="text1"/>
        </w:rPr>
        <w:lastRenderedPageBreak/>
        <w:t>skills can be applied in a purposeful, meaningful and relevant way (WAG, 2017b; Pound and Lee, 2015)</w:t>
      </w:r>
      <w:r w:rsidR="00F700C2" w:rsidRPr="003815C9">
        <w:rPr>
          <w:color w:val="000000" w:themeColor="text1"/>
        </w:rPr>
        <w:t>.</w:t>
      </w:r>
      <w:r w:rsidR="00074677" w:rsidRPr="003815C9">
        <w:rPr>
          <w:color w:val="000000" w:themeColor="text1"/>
        </w:rPr>
        <w:t xml:space="preserve"> </w:t>
      </w:r>
    </w:p>
    <w:p w14:paraId="5BF296F5" w14:textId="58072029" w:rsidR="00074677" w:rsidRPr="003815C9" w:rsidRDefault="00074677" w:rsidP="003815C9">
      <w:pPr>
        <w:pStyle w:val="NormalWeb"/>
        <w:shd w:val="clear" w:color="auto" w:fill="FFFFFF"/>
        <w:spacing w:line="360" w:lineRule="auto"/>
        <w:rPr>
          <w:color w:val="000000" w:themeColor="text1"/>
        </w:rPr>
      </w:pPr>
      <w:r w:rsidRPr="003815C9">
        <w:rPr>
          <w:color w:val="000000" w:themeColor="text1"/>
        </w:rPr>
        <w:t xml:space="preserve">As children first experience the written word as they interact </w:t>
      </w:r>
      <w:r w:rsidR="006254B9" w:rsidRPr="003815C9">
        <w:rPr>
          <w:color w:val="000000" w:themeColor="text1"/>
        </w:rPr>
        <w:t xml:space="preserve">in the context of </w:t>
      </w:r>
      <w:r w:rsidRPr="003815C9">
        <w:rPr>
          <w:color w:val="000000" w:themeColor="text1"/>
        </w:rPr>
        <w:t xml:space="preserve">their </w:t>
      </w:r>
      <w:r w:rsidR="006254B9" w:rsidRPr="003815C9">
        <w:rPr>
          <w:color w:val="000000" w:themeColor="text1"/>
        </w:rPr>
        <w:t xml:space="preserve">own </w:t>
      </w:r>
      <w:r w:rsidRPr="003815C9">
        <w:rPr>
          <w:color w:val="000000" w:themeColor="text1"/>
        </w:rPr>
        <w:t>social and cultural worlds (</w:t>
      </w:r>
      <w:r w:rsidR="006254B9" w:rsidRPr="003815C9">
        <w:rPr>
          <w:color w:val="000000" w:themeColor="text1"/>
        </w:rPr>
        <w:t xml:space="preserve">Neuman and </w:t>
      </w:r>
      <w:proofErr w:type="spellStart"/>
      <w:r w:rsidR="006254B9" w:rsidRPr="003815C9">
        <w:rPr>
          <w:color w:val="000000" w:themeColor="text1"/>
        </w:rPr>
        <w:t>Roskos</w:t>
      </w:r>
      <w:proofErr w:type="spellEnd"/>
      <w:r w:rsidR="006254B9" w:rsidRPr="003815C9">
        <w:rPr>
          <w:color w:val="000000" w:themeColor="text1"/>
        </w:rPr>
        <w:t xml:space="preserve">, 1997, as cited in Dombey, 2013, p.23), it may follow that writing </w:t>
      </w:r>
      <w:r w:rsidR="00E5122B" w:rsidRPr="003815C9">
        <w:rPr>
          <w:color w:val="000000" w:themeColor="text1"/>
        </w:rPr>
        <w:t>is</w:t>
      </w:r>
      <w:r w:rsidR="006254B9" w:rsidRPr="003815C9">
        <w:rPr>
          <w:color w:val="000000" w:themeColor="text1"/>
        </w:rPr>
        <w:t xml:space="preserve"> “a cognitive, social and cultural act, focused on the making of meaning, much more than the sum of its technical parts” (Dombey, 2013b, p.24). </w:t>
      </w:r>
      <w:r w:rsidR="00E5122B" w:rsidRPr="003815C9">
        <w:rPr>
          <w:color w:val="000000" w:themeColor="text1"/>
        </w:rPr>
        <w:t>C</w:t>
      </w:r>
      <w:r w:rsidR="006254B9" w:rsidRPr="003815C9">
        <w:rPr>
          <w:color w:val="000000" w:themeColor="text1"/>
        </w:rPr>
        <w:t>onsideration of purpose has been found to be vital to producing effective writing (Education Endowment Foundation, 2017), with a strong view being held that children</w:t>
      </w:r>
      <w:r w:rsidR="00E5122B" w:rsidRPr="003815C9">
        <w:rPr>
          <w:color w:val="000000" w:themeColor="text1"/>
        </w:rPr>
        <w:t xml:space="preserve"> </w:t>
      </w:r>
      <w:r w:rsidR="006254B9" w:rsidRPr="003815C9">
        <w:rPr>
          <w:color w:val="000000" w:themeColor="text1"/>
        </w:rPr>
        <w:t xml:space="preserve">need both a purpose for writing and a clear audience for whom they are writing (EEF, 2017; Estyn, 2008; Ofsted, 2012 as cited in Grigg, 2015; Donaldson, 2015). </w:t>
      </w:r>
    </w:p>
    <w:p w14:paraId="524565A0" w14:textId="7ED16894" w:rsidR="00784F3B" w:rsidRPr="003815C9" w:rsidRDefault="006254B9" w:rsidP="003815C9">
      <w:pPr>
        <w:pStyle w:val="NormalWeb"/>
        <w:shd w:val="clear" w:color="auto" w:fill="FFFFFF"/>
        <w:spacing w:line="360" w:lineRule="auto"/>
        <w:rPr>
          <w:color w:val="000000" w:themeColor="text1"/>
        </w:rPr>
      </w:pPr>
      <w:r w:rsidRPr="003815C9">
        <w:rPr>
          <w:color w:val="000000" w:themeColor="text1"/>
        </w:rPr>
        <w:t>In addition, it has been suggested that the level of purposefulness in learning is directly proportional to the motivation experienced by the learner (Haylock and Cockburn, 2013)</w:t>
      </w:r>
      <w:r w:rsidR="00E5122B" w:rsidRPr="003815C9">
        <w:rPr>
          <w:color w:val="000000" w:themeColor="text1"/>
        </w:rPr>
        <w:t xml:space="preserve">. </w:t>
      </w:r>
      <w:r w:rsidR="005920ED" w:rsidRPr="003815C9">
        <w:rPr>
          <w:color w:val="000000" w:themeColor="text1"/>
        </w:rPr>
        <w:t>Evidence has shown that m</w:t>
      </w:r>
      <w:r w:rsidR="00E5122B" w:rsidRPr="003815C9">
        <w:rPr>
          <w:color w:val="000000" w:themeColor="text1"/>
        </w:rPr>
        <w:t xml:space="preserve">otivation </w:t>
      </w:r>
      <w:r w:rsidR="005920ED" w:rsidRPr="003815C9">
        <w:rPr>
          <w:color w:val="000000" w:themeColor="text1"/>
        </w:rPr>
        <w:t xml:space="preserve">may affect the level of attainment a child achieves in writing, with </w:t>
      </w:r>
      <w:r w:rsidRPr="003815C9">
        <w:rPr>
          <w:color w:val="000000" w:themeColor="text1"/>
        </w:rPr>
        <w:t xml:space="preserve">those who enjoy writing </w:t>
      </w:r>
      <w:r w:rsidR="005920ED" w:rsidRPr="003815C9">
        <w:rPr>
          <w:color w:val="000000" w:themeColor="text1"/>
        </w:rPr>
        <w:t>being more</w:t>
      </w:r>
      <w:r w:rsidRPr="003815C9">
        <w:rPr>
          <w:color w:val="000000" w:themeColor="text1"/>
        </w:rPr>
        <w:t xml:space="preserve"> likely to achieve a higher level in their writing than those who do not (Clark, 2012 as cited in Dombey, 2013b)</w:t>
      </w:r>
      <w:r w:rsidR="005920ED" w:rsidRPr="003815C9">
        <w:rPr>
          <w:color w:val="000000" w:themeColor="text1"/>
        </w:rPr>
        <w:t xml:space="preserve">. This </w:t>
      </w:r>
      <w:r w:rsidRPr="003815C9">
        <w:rPr>
          <w:color w:val="000000" w:themeColor="text1"/>
        </w:rPr>
        <w:t>support</w:t>
      </w:r>
      <w:r w:rsidR="005920ED" w:rsidRPr="003815C9">
        <w:rPr>
          <w:color w:val="000000" w:themeColor="text1"/>
        </w:rPr>
        <w:t>s</w:t>
      </w:r>
      <w:r w:rsidRPr="003815C9">
        <w:rPr>
          <w:color w:val="000000" w:themeColor="text1"/>
        </w:rPr>
        <w:t xml:space="preserve"> the </w:t>
      </w:r>
      <w:r w:rsidR="009A7F9F" w:rsidRPr="003815C9">
        <w:rPr>
          <w:color w:val="000000" w:themeColor="text1"/>
        </w:rPr>
        <w:t>view</w:t>
      </w:r>
      <w:r w:rsidRPr="003815C9">
        <w:rPr>
          <w:color w:val="000000" w:themeColor="text1"/>
        </w:rPr>
        <w:t xml:space="preserve"> that, “how we feel about a thing determines in large part, how good we will be at that thing” (Kerr as cited in </w:t>
      </w:r>
      <w:proofErr w:type="spellStart"/>
      <w:r w:rsidRPr="003815C9">
        <w:rPr>
          <w:color w:val="000000" w:themeColor="text1"/>
        </w:rPr>
        <w:t>Didau</w:t>
      </w:r>
      <w:proofErr w:type="spellEnd"/>
      <w:r w:rsidRPr="003815C9">
        <w:rPr>
          <w:color w:val="000000" w:themeColor="text1"/>
        </w:rPr>
        <w:t>, 2014, p.7)</w:t>
      </w:r>
      <w:r w:rsidR="005920ED" w:rsidRPr="003815C9">
        <w:rPr>
          <w:color w:val="000000" w:themeColor="text1"/>
        </w:rPr>
        <w:t>, for</w:t>
      </w:r>
      <w:r w:rsidR="00F700C2" w:rsidRPr="003815C9">
        <w:rPr>
          <w:color w:val="000000" w:themeColor="text1"/>
        </w:rPr>
        <w:t xml:space="preserve"> it </w:t>
      </w:r>
      <w:r w:rsidR="005920ED" w:rsidRPr="003815C9">
        <w:rPr>
          <w:color w:val="000000" w:themeColor="text1"/>
        </w:rPr>
        <w:t xml:space="preserve">is </w:t>
      </w:r>
      <w:r w:rsidR="00F700C2" w:rsidRPr="003815C9">
        <w:rPr>
          <w:color w:val="000000" w:themeColor="text1"/>
        </w:rPr>
        <w:t>a child’s choice to enter into the learning the teacher has planned for, which depends greatly on whether the child is motivated to want to learn (Barnes, 2015).</w:t>
      </w:r>
      <w:r w:rsidR="00784F3B" w:rsidRPr="003815C9">
        <w:rPr>
          <w:color w:val="000000" w:themeColor="text1"/>
        </w:rPr>
        <w:t xml:space="preserve"> </w:t>
      </w:r>
    </w:p>
    <w:p w14:paraId="110C269E" w14:textId="69376B85" w:rsidR="006834B2" w:rsidRPr="003815C9" w:rsidRDefault="005920ED" w:rsidP="003815C9">
      <w:pPr>
        <w:pStyle w:val="NormalWeb"/>
        <w:spacing w:line="360" w:lineRule="auto"/>
        <w:rPr>
          <w:color w:val="000000" w:themeColor="text1"/>
        </w:rPr>
      </w:pPr>
      <w:r w:rsidRPr="003815C9">
        <w:rPr>
          <w:color w:val="000000" w:themeColor="text1"/>
        </w:rPr>
        <w:t xml:space="preserve">Writing has been argued by some to </w:t>
      </w:r>
      <w:r w:rsidRPr="003815C9">
        <w:rPr>
          <w:color w:val="000000" w:themeColor="text1"/>
        </w:rPr>
        <w:t>no longer be about words alone</w:t>
      </w:r>
      <w:r w:rsidRPr="003815C9">
        <w:rPr>
          <w:color w:val="000000" w:themeColor="text1"/>
        </w:rPr>
        <w:t xml:space="preserve"> as advances in digital technology</w:t>
      </w:r>
      <w:r w:rsidRPr="003815C9">
        <w:rPr>
          <w:color w:val="000000" w:themeColor="text1"/>
        </w:rPr>
        <w:t xml:space="preserve"> </w:t>
      </w:r>
      <w:r w:rsidRPr="003815C9">
        <w:rPr>
          <w:color w:val="000000" w:themeColor="text1"/>
        </w:rPr>
        <w:t xml:space="preserve">cause a greater focus to be placed on visual components </w:t>
      </w:r>
      <w:r w:rsidRPr="003815C9">
        <w:rPr>
          <w:color w:val="000000" w:themeColor="text1"/>
        </w:rPr>
        <w:t>(</w:t>
      </w:r>
      <w:proofErr w:type="spellStart"/>
      <w:r w:rsidRPr="003815C9">
        <w:rPr>
          <w:color w:val="000000" w:themeColor="text1"/>
        </w:rPr>
        <w:t>Bearne</w:t>
      </w:r>
      <w:proofErr w:type="spellEnd"/>
      <w:r w:rsidRPr="003815C9">
        <w:rPr>
          <w:color w:val="000000" w:themeColor="text1"/>
        </w:rPr>
        <w:t>, 2005; Kress, 2008 as cited in Dombey, 2013).</w:t>
      </w:r>
      <w:r w:rsidRPr="003815C9">
        <w:rPr>
          <w:color w:val="000000" w:themeColor="text1"/>
        </w:rPr>
        <w:t xml:space="preserve"> A</w:t>
      </w:r>
      <w:r w:rsidR="00784F3B" w:rsidRPr="003815C9">
        <w:rPr>
          <w:color w:val="000000" w:themeColor="text1"/>
        </w:rPr>
        <w:t xml:space="preserve">ccess to such technology </w:t>
      </w:r>
      <w:r w:rsidRPr="003815C9">
        <w:rPr>
          <w:color w:val="000000" w:themeColor="text1"/>
        </w:rPr>
        <w:t>may also</w:t>
      </w:r>
      <w:r w:rsidR="00784F3B" w:rsidRPr="003815C9">
        <w:rPr>
          <w:color w:val="000000" w:themeColor="text1"/>
        </w:rPr>
        <w:t xml:space="preserve"> increase motivation for learning in students</w:t>
      </w:r>
      <w:r w:rsidR="006834B2" w:rsidRPr="003815C9">
        <w:rPr>
          <w:color w:val="000000" w:themeColor="text1"/>
        </w:rPr>
        <w:t xml:space="preserve"> across the curriculum</w:t>
      </w:r>
      <w:r w:rsidR="00784F3B" w:rsidRPr="003815C9">
        <w:rPr>
          <w:color w:val="000000" w:themeColor="text1"/>
        </w:rPr>
        <w:t xml:space="preserve">, as it is increasingly able to gather information about the user’s interests, </w:t>
      </w:r>
      <w:r w:rsidRPr="003815C9">
        <w:rPr>
          <w:color w:val="000000" w:themeColor="text1"/>
        </w:rPr>
        <w:t xml:space="preserve">thus </w:t>
      </w:r>
      <w:r w:rsidR="00784F3B" w:rsidRPr="003815C9">
        <w:rPr>
          <w:color w:val="000000" w:themeColor="text1"/>
        </w:rPr>
        <w:t>responding accordingly (Beetham and Sharpe, 2007).</w:t>
      </w:r>
      <w:r w:rsidR="006834B2" w:rsidRPr="003815C9">
        <w:rPr>
          <w:color w:val="000000" w:themeColor="text1"/>
        </w:rPr>
        <w:t xml:space="preserve"> </w:t>
      </w:r>
      <w:r w:rsidR="006834B2" w:rsidRPr="003815C9">
        <w:rPr>
          <w:color w:val="000000" w:themeColor="text1"/>
        </w:rPr>
        <w:t xml:space="preserve">The use of technology has also been utilised within some schools to provide access to learning for pupils with additional learning needs, as well as providing opportunities to further challenge more able and talented pupils </w:t>
      </w:r>
      <w:sdt>
        <w:sdtPr>
          <w:rPr>
            <w:color w:val="000000" w:themeColor="text1"/>
          </w:rPr>
          <w:id w:val="-642808931"/>
          <w:citation/>
        </w:sdtPr>
        <w:sdtContent>
          <w:r w:rsidR="006834B2" w:rsidRPr="003815C9">
            <w:rPr>
              <w:color w:val="000000" w:themeColor="text1"/>
            </w:rPr>
            <w:fldChar w:fldCharType="begin"/>
          </w:r>
          <w:r w:rsidR="006834B2" w:rsidRPr="003815C9">
            <w:rPr>
              <w:color w:val="000000" w:themeColor="text1"/>
            </w:rPr>
            <w:instrText xml:space="preserve"> CITATION Est186 \l 2057 </w:instrText>
          </w:r>
          <w:r w:rsidR="006834B2" w:rsidRPr="003815C9">
            <w:rPr>
              <w:color w:val="000000" w:themeColor="text1"/>
            </w:rPr>
            <w:fldChar w:fldCharType="separate"/>
          </w:r>
          <w:r w:rsidR="006834B2" w:rsidRPr="003815C9">
            <w:rPr>
              <w:noProof/>
              <w:color w:val="000000" w:themeColor="text1"/>
            </w:rPr>
            <w:t>(Estyn, 2018b)</w:t>
          </w:r>
          <w:r w:rsidR="006834B2" w:rsidRPr="003815C9">
            <w:rPr>
              <w:color w:val="000000" w:themeColor="text1"/>
            </w:rPr>
            <w:fldChar w:fldCharType="end"/>
          </w:r>
        </w:sdtContent>
      </w:sdt>
      <w:r w:rsidR="006834B2" w:rsidRPr="003815C9">
        <w:rPr>
          <w:color w:val="000000" w:themeColor="text1"/>
        </w:rPr>
        <w:t xml:space="preserve">. </w:t>
      </w:r>
      <w:r w:rsidR="006834B2" w:rsidRPr="003815C9">
        <w:rPr>
          <w:color w:val="000000" w:themeColor="text1"/>
          <w:shd w:val="clear" w:color="auto" w:fill="FFFFFF"/>
        </w:rPr>
        <w:t>However,</w:t>
      </w:r>
      <w:r w:rsidR="006834B2" w:rsidRPr="003815C9">
        <w:rPr>
          <w:color w:val="000000" w:themeColor="text1"/>
          <w:shd w:val="clear" w:color="auto" w:fill="FFFFFF"/>
        </w:rPr>
        <w:t xml:space="preserve"> the Welsh Assembly Government (2018, p</w:t>
      </w:r>
      <w:r w:rsidRPr="003815C9">
        <w:rPr>
          <w:color w:val="000000" w:themeColor="text1"/>
          <w:shd w:val="clear" w:color="auto" w:fill="FFFFFF"/>
        </w:rPr>
        <w:t>.</w:t>
      </w:r>
      <w:r w:rsidR="006834B2" w:rsidRPr="003815C9">
        <w:rPr>
          <w:color w:val="000000" w:themeColor="text1"/>
          <w:shd w:val="clear" w:color="auto" w:fill="FFFFFF"/>
        </w:rPr>
        <w:t>2) warn against the overuse of digital technology across the curriculum, stating that, “</w:t>
      </w:r>
      <w:r w:rsidR="006834B2" w:rsidRPr="003815C9">
        <w:rPr>
          <w:color w:val="000000" w:themeColor="text1"/>
          <w:shd w:val="clear" w:color="auto" w:fill="FFFFFF"/>
        </w:rPr>
        <w:t xml:space="preserve">it is not intended that digital competence should be </w:t>
      </w:r>
      <w:r w:rsidR="006834B2" w:rsidRPr="003815C9">
        <w:rPr>
          <w:color w:val="000000" w:themeColor="text1"/>
          <w:shd w:val="clear" w:color="auto" w:fill="FFFFFF"/>
        </w:rPr>
        <w:t>artificially</w:t>
      </w:r>
      <w:r w:rsidR="006834B2" w:rsidRPr="003815C9">
        <w:rPr>
          <w:color w:val="000000" w:themeColor="text1"/>
          <w:shd w:val="clear" w:color="auto" w:fill="FFFFFF"/>
        </w:rPr>
        <w:t xml:space="preserve"> imposed into all subject areas</w:t>
      </w:r>
      <w:r w:rsidR="006834B2" w:rsidRPr="003815C9">
        <w:rPr>
          <w:color w:val="000000" w:themeColor="text1"/>
          <w:shd w:val="clear" w:color="auto" w:fill="FFFFFF"/>
        </w:rPr>
        <w:t>”.</w:t>
      </w:r>
    </w:p>
    <w:p w14:paraId="704805D9" w14:textId="5DD28BBA" w:rsidR="006254B9" w:rsidRPr="003815C9" w:rsidRDefault="00784F3B" w:rsidP="003815C9">
      <w:pPr>
        <w:pStyle w:val="NormalWeb"/>
        <w:shd w:val="clear" w:color="auto" w:fill="FFFFFF"/>
        <w:spacing w:line="360" w:lineRule="auto"/>
        <w:rPr>
          <w:color w:val="000000" w:themeColor="text1"/>
        </w:rPr>
      </w:pPr>
      <w:r w:rsidRPr="003815C9">
        <w:rPr>
          <w:color w:val="000000" w:themeColor="text1"/>
        </w:rPr>
        <w:lastRenderedPageBreak/>
        <w:t>C</w:t>
      </w:r>
      <w:r w:rsidR="006254B9" w:rsidRPr="003815C9">
        <w:rPr>
          <w:color w:val="000000" w:themeColor="text1"/>
        </w:rPr>
        <w:t xml:space="preserve">ross-curricular learning may be regarded as less meaningful than </w:t>
      </w:r>
      <w:r w:rsidR="005920ED" w:rsidRPr="003815C9">
        <w:rPr>
          <w:color w:val="000000" w:themeColor="text1"/>
        </w:rPr>
        <w:t>t</w:t>
      </w:r>
      <w:r w:rsidR="006254B9" w:rsidRPr="003815C9">
        <w:rPr>
          <w:color w:val="000000" w:themeColor="text1"/>
        </w:rPr>
        <w:t xml:space="preserve">eaching within the context of a singular subject area (Pound and Lee, 2015), possibly </w:t>
      </w:r>
      <w:r w:rsidR="005920ED" w:rsidRPr="003815C9">
        <w:rPr>
          <w:color w:val="000000" w:themeColor="text1"/>
        </w:rPr>
        <w:t>resulting from</w:t>
      </w:r>
      <w:r w:rsidR="006254B9" w:rsidRPr="003815C9">
        <w:rPr>
          <w:color w:val="000000" w:themeColor="text1"/>
        </w:rPr>
        <w:t xml:space="preserve"> artificial connections being forged between subjects, </w:t>
      </w:r>
      <w:r w:rsidR="005920ED" w:rsidRPr="003815C9">
        <w:rPr>
          <w:color w:val="000000" w:themeColor="text1"/>
        </w:rPr>
        <w:t xml:space="preserve">thereby </w:t>
      </w:r>
      <w:r w:rsidR="006254B9" w:rsidRPr="003815C9">
        <w:rPr>
          <w:color w:val="000000" w:themeColor="text1"/>
        </w:rPr>
        <w:t xml:space="preserve">rendering the learning meaningless (Donaldson, 2015). Furthermore, it may be argued that less focus should be placed on teachers’ roles in orchestrating meaningful contexts for children’s writing, instead focusing more greatly on encouraging children </w:t>
      </w:r>
      <w:r w:rsidR="005920ED" w:rsidRPr="003815C9">
        <w:rPr>
          <w:color w:val="000000" w:themeColor="text1"/>
        </w:rPr>
        <w:t xml:space="preserve">to </w:t>
      </w:r>
      <w:r w:rsidR="006254B9" w:rsidRPr="003815C9">
        <w:rPr>
          <w:color w:val="000000" w:themeColor="text1"/>
        </w:rPr>
        <w:t>becom</w:t>
      </w:r>
      <w:r w:rsidR="005920ED" w:rsidRPr="003815C9">
        <w:rPr>
          <w:color w:val="000000" w:themeColor="text1"/>
        </w:rPr>
        <w:t>e</w:t>
      </w:r>
      <w:r w:rsidR="006254B9" w:rsidRPr="003815C9">
        <w:rPr>
          <w:color w:val="000000" w:themeColor="text1"/>
        </w:rPr>
        <w:t xml:space="preserve"> active participants in their learning by attempting to </w:t>
      </w:r>
      <w:r w:rsidR="005920ED" w:rsidRPr="003815C9">
        <w:rPr>
          <w:color w:val="000000" w:themeColor="text1"/>
        </w:rPr>
        <w:t>extract</w:t>
      </w:r>
      <w:r w:rsidR="006254B9" w:rsidRPr="003815C9">
        <w:rPr>
          <w:color w:val="000000" w:themeColor="text1"/>
        </w:rPr>
        <w:t xml:space="preserve"> personal meaning from writing practice</w:t>
      </w:r>
      <w:r w:rsidR="005920ED" w:rsidRPr="003815C9">
        <w:rPr>
          <w:color w:val="000000" w:themeColor="text1"/>
        </w:rPr>
        <w:t>s</w:t>
      </w:r>
      <w:r w:rsidR="006254B9" w:rsidRPr="003815C9">
        <w:rPr>
          <w:color w:val="000000" w:themeColor="text1"/>
        </w:rPr>
        <w:t xml:space="preserve"> (</w:t>
      </w:r>
      <w:proofErr w:type="spellStart"/>
      <w:r w:rsidR="006254B9" w:rsidRPr="003815C9">
        <w:rPr>
          <w:color w:val="000000" w:themeColor="text1"/>
        </w:rPr>
        <w:t>Cremin</w:t>
      </w:r>
      <w:proofErr w:type="spellEnd"/>
      <w:r w:rsidR="006254B9" w:rsidRPr="003815C9">
        <w:rPr>
          <w:color w:val="000000" w:themeColor="text1"/>
        </w:rPr>
        <w:t xml:space="preserve"> and </w:t>
      </w:r>
      <w:proofErr w:type="spellStart"/>
      <w:r w:rsidR="006254B9" w:rsidRPr="003815C9">
        <w:rPr>
          <w:color w:val="000000" w:themeColor="text1"/>
        </w:rPr>
        <w:t>Myhill</w:t>
      </w:r>
      <w:proofErr w:type="spellEnd"/>
      <w:r w:rsidR="006254B9" w:rsidRPr="003815C9">
        <w:rPr>
          <w:color w:val="000000" w:themeColor="text1"/>
        </w:rPr>
        <w:t xml:space="preserve">, 2011; </w:t>
      </w:r>
      <w:proofErr w:type="spellStart"/>
      <w:r w:rsidR="006254B9" w:rsidRPr="003815C9">
        <w:rPr>
          <w:color w:val="000000" w:themeColor="text1"/>
        </w:rPr>
        <w:t>Lankshear</w:t>
      </w:r>
      <w:proofErr w:type="spellEnd"/>
      <w:r w:rsidR="006254B9" w:rsidRPr="003815C9">
        <w:rPr>
          <w:color w:val="000000" w:themeColor="text1"/>
        </w:rPr>
        <w:t xml:space="preserve"> and </w:t>
      </w:r>
      <w:proofErr w:type="spellStart"/>
      <w:r w:rsidR="006254B9" w:rsidRPr="003815C9">
        <w:rPr>
          <w:color w:val="000000" w:themeColor="text1"/>
        </w:rPr>
        <w:t>Knobel</w:t>
      </w:r>
      <w:proofErr w:type="spellEnd"/>
      <w:r w:rsidR="006254B9" w:rsidRPr="003815C9">
        <w:rPr>
          <w:color w:val="000000" w:themeColor="text1"/>
        </w:rPr>
        <w:t xml:space="preserve">, 2003 as cited in Dombey, 2013b). </w:t>
      </w:r>
    </w:p>
    <w:p w14:paraId="1D3E9C94" w14:textId="47EEE65D" w:rsidR="00C63B27" w:rsidRPr="003815C9" w:rsidRDefault="00C63B27" w:rsidP="003815C9">
      <w:pPr>
        <w:pStyle w:val="NormalWeb"/>
        <w:shd w:val="clear" w:color="auto" w:fill="FFFFFF"/>
        <w:spacing w:line="360" w:lineRule="auto"/>
        <w:rPr>
          <w:color w:val="000000" w:themeColor="text1"/>
        </w:rPr>
      </w:pPr>
      <w:r w:rsidRPr="003815C9">
        <w:rPr>
          <w:color w:val="000000" w:themeColor="text1"/>
        </w:rPr>
        <w:t>In addition to meaning, a variety of skills</w:t>
      </w:r>
      <w:r w:rsidR="005920ED" w:rsidRPr="003815C9">
        <w:rPr>
          <w:color w:val="000000" w:themeColor="text1"/>
        </w:rPr>
        <w:t>,</w:t>
      </w:r>
      <w:r w:rsidRPr="003815C9">
        <w:rPr>
          <w:color w:val="000000" w:themeColor="text1"/>
        </w:rPr>
        <w:t xml:space="preserve"> knowledge and understanding need to be orchestrated harmoniously by the learner in order to create a satisfying text (Dombey, 2013a)</w:t>
      </w:r>
      <w:r w:rsidR="005920ED" w:rsidRPr="003815C9">
        <w:rPr>
          <w:color w:val="000000" w:themeColor="text1"/>
        </w:rPr>
        <w:t>. Such s</w:t>
      </w:r>
      <w:r w:rsidRPr="003815C9">
        <w:rPr>
          <w:color w:val="000000" w:themeColor="text1"/>
        </w:rPr>
        <w:t>kills may require conscious attention, particularly in a child’s early years of education (Dombey, 2013a)</w:t>
      </w:r>
      <w:r w:rsidR="005920ED" w:rsidRPr="003815C9">
        <w:rPr>
          <w:color w:val="000000" w:themeColor="text1"/>
        </w:rPr>
        <w:t>, with th</w:t>
      </w:r>
      <w:r w:rsidRPr="003815C9">
        <w:rPr>
          <w:color w:val="000000" w:themeColor="text1"/>
        </w:rPr>
        <w:t xml:space="preserve">e lack of progress found in these basic skills </w:t>
      </w:r>
      <w:r w:rsidR="005920ED" w:rsidRPr="003815C9">
        <w:rPr>
          <w:color w:val="000000" w:themeColor="text1"/>
        </w:rPr>
        <w:t xml:space="preserve">being </w:t>
      </w:r>
      <w:r w:rsidRPr="003815C9">
        <w:rPr>
          <w:color w:val="000000" w:themeColor="text1"/>
        </w:rPr>
        <w:t>marked by Estyn as common characteristics of schools whose standards of writing fail to reach above adequate (Estyn, 2018</w:t>
      </w:r>
      <w:r w:rsidR="005920ED" w:rsidRPr="003815C9">
        <w:rPr>
          <w:color w:val="000000" w:themeColor="text1"/>
        </w:rPr>
        <w:t>a</w:t>
      </w:r>
      <w:r w:rsidRPr="003815C9">
        <w:rPr>
          <w:color w:val="000000" w:themeColor="text1"/>
        </w:rPr>
        <w:t xml:space="preserve">). </w:t>
      </w:r>
    </w:p>
    <w:p w14:paraId="510ACCB2" w14:textId="54DD3F87" w:rsidR="00C63B27" w:rsidRPr="003815C9" w:rsidRDefault="00C63B27" w:rsidP="003815C9">
      <w:pPr>
        <w:pStyle w:val="NormalWeb"/>
        <w:shd w:val="clear" w:color="auto" w:fill="FFFFFF"/>
        <w:spacing w:line="360" w:lineRule="auto"/>
        <w:rPr>
          <w:color w:val="000000" w:themeColor="text1"/>
        </w:rPr>
      </w:pPr>
      <w:r w:rsidRPr="003815C9">
        <w:rPr>
          <w:color w:val="000000" w:themeColor="text1"/>
        </w:rPr>
        <w:t xml:space="preserve">The acquiring of basic skills in literacy may be seen as central to a child’s engagement in reading, as by being freed from focusing one’s attention on word recognition, one can then redirect their focus onto the comprehension of the text (EEF, 2017). Skills such as these are important to a child being able to access learning, for it is often through reading that they are able to access key information, knowledge and ideas (WAG, 2013a).  </w:t>
      </w:r>
      <w:r w:rsidR="005920ED" w:rsidRPr="003815C9">
        <w:rPr>
          <w:color w:val="000000" w:themeColor="text1"/>
        </w:rPr>
        <w:t>Although</w:t>
      </w:r>
      <w:r w:rsidRPr="003815C9">
        <w:rPr>
          <w:color w:val="000000" w:themeColor="text1"/>
        </w:rPr>
        <w:t xml:space="preserve"> it has been argued that the structure of the curriculum should be one that allows children to make connections (Donaldson, 2015), </w:t>
      </w:r>
      <w:r w:rsidR="005920ED" w:rsidRPr="003815C9">
        <w:rPr>
          <w:color w:val="000000" w:themeColor="text1"/>
        </w:rPr>
        <w:t xml:space="preserve">effective teaching and learning requires learners to be provided with challenges that build </w:t>
      </w:r>
      <w:r w:rsidRPr="003815C9">
        <w:rPr>
          <w:color w:val="000000" w:themeColor="text1"/>
        </w:rPr>
        <w:t xml:space="preserve">systematically </w:t>
      </w:r>
      <w:r w:rsidR="005920ED" w:rsidRPr="003815C9">
        <w:rPr>
          <w:color w:val="000000" w:themeColor="text1"/>
        </w:rPr>
        <w:t>onto t</w:t>
      </w:r>
      <w:r w:rsidRPr="003815C9">
        <w:rPr>
          <w:color w:val="000000" w:themeColor="text1"/>
        </w:rPr>
        <w:t xml:space="preserve">heir </w:t>
      </w:r>
      <w:r w:rsidR="005920ED" w:rsidRPr="003815C9">
        <w:rPr>
          <w:color w:val="000000" w:themeColor="text1"/>
        </w:rPr>
        <w:t xml:space="preserve">prior </w:t>
      </w:r>
      <w:r w:rsidRPr="003815C9">
        <w:rPr>
          <w:color w:val="000000" w:themeColor="text1"/>
        </w:rPr>
        <w:t>knowledge (Estyn, 2018).</w:t>
      </w:r>
    </w:p>
    <w:p w14:paraId="02552952" w14:textId="31EA814C" w:rsidR="009A7F9F" w:rsidRPr="003815C9" w:rsidRDefault="00C63B27" w:rsidP="003815C9">
      <w:pPr>
        <w:spacing w:line="360" w:lineRule="auto"/>
        <w:rPr>
          <w:rFonts w:ascii="Times New Roman" w:hAnsi="Times New Roman" w:cs="Times New Roman"/>
          <w:color w:val="000000" w:themeColor="text1"/>
        </w:rPr>
      </w:pPr>
      <w:r w:rsidRPr="003815C9">
        <w:rPr>
          <w:rFonts w:ascii="Times New Roman" w:hAnsi="Times New Roman" w:cs="Times New Roman"/>
          <w:color w:val="000000" w:themeColor="text1"/>
        </w:rPr>
        <w:t xml:space="preserve">The importance of creating a foundation of knowledge on which further knowledge can be built is relevant to the development of numeracy, as Haylock and Cockburn (2013, p.35) argue that “it is important…for teachers of young children to lay foundations of experience and networks of connections on to which future experiences of number can be built”. However, it is important to consider that learners cannot automatically move from a place of little understanding to one of full understanding, therefore teachers must supply the means to mediate this transition by utilising tools </w:t>
      </w:r>
      <w:r w:rsidR="005920ED" w:rsidRPr="003815C9">
        <w:rPr>
          <w:rFonts w:ascii="Times New Roman" w:hAnsi="Times New Roman" w:cs="Times New Roman"/>
          <w:color w:val="000000" w:themeColor="text1"/>
        </w:rPr>
        <w:t>which</w:t>
      </w:r>
      <w:r w:rsidRPr="003815C9">
        <w:rPr>
          <w:rFonts w:ascii="Times New Roman" w:hAnsi="Times New Roman" w:cs="Times New Roman"/>
          <w:color w:val="000000" w:themeColor="text1"/>
        </w:rPr>
        <w:t xml:space="preserve"> enable the learning to take place (Askew, 2012). </w:t>
      </w:r>
      <w:r w:rsidR="009A7F9F" w:rsidRPr="003815C9">
        <w:rPr>
          <w:rFonts w:ascii="Times New Roman" w:hAnsi="Times New Roman" w:cs="Times New Roman"/>
          <w:color w:val="000000" w:themeColor="text1"/>
        </w:rPr>
        <w:t xml:space="preserve">However, it has been argued by some that most skills are acquired naturally by a child, rather than as a product of explicit teaching, with good teaching being perceived to be simply the provision of suitable environments in which learning is most likely to occur (Kerr, 2008). </w:t>
      </w:r>
    </w:p>
    <w:p w14:paraId="74F4CFB3" w14:textId="77777777" w:rsidR="009A7F9F" w:rsidRPr="003815C9" w:rsidRDefault="009A7F9F" w:rsidP="003815C9">
      <w:pPr>
        <w:spacing w:line="360" w:lineRule="auto"/>
        <w:rPr>
          <w:rFonts w:ascii="Times New Roman" w:hAnsi="Times New Roman" w:cs="Times New Roman"/>
          <w:color w:val="000000" w:themeColor="text1"/>
        </w:rPr>
      </w:pPr>
    </w:p>
    <w:p w14:paraId="36BA0382" w14:textId="2F19F240" w:rsidR="00C63B27" w:rsidRPr="003815C9" w:rsidRDefault="009A7F9F" w:rsidP="003815C9">
      <w:pPr>
        <w:spacing w:line="360" w:lineRule="auto"/>
        <w:rPr>
          <w:rFonts w:ascii="Times New Roman" w:hAnsi="Times New Roman" w:cs="Times New Roman"/>
          <w:color w:val="000000" w:themeColor="text1"/>
        </w:rPr>
      </w:pPr>
      <w:r w:rsidRPr="003815C9">
        <w:rPr>
          <w:rFonts w:ascii="Times New Roman" w:hAnsi="Times New Roman" w:cs="Times New Roman"/>
          <w:color w:val="000000" w:themeColor="text1"/>
        </w:rPr>
        <w:t>In order to build onto a learner’s existing knowledge, it</w:t>
      </w:r>
      <w:r w:rsidR="00C63B27" w:rsidRPr="003815C9">
        <w:rPr>
          <w:rFonts w:ascii="Times New Roman" w:hAnsi="Times New Roman" w:cs="Times New Roman"/>
          <w:color w:val="000000" w:themeColor="text1"/>
        </w:rPr>
        <w:t xml:space="preserve"> may</w:t>
      </w:r>
      <w:r w:rsidRPr="003815C9">
        <w:rPr>
          <w:rFonts w:ascii="Times New Roman" w:hAnsi="Times New Roman" w:cs="Times New Roman"/>
          <w:color w:val="000000" w:themeColor="text1"/>
        </w:rPr>
        <w:t xml:space="preserve"> be seen as</w:t>
      </w:r>
      <w:r w:rsidR="00C63B27" w:rsidRPr="003815C9">
        <w:rPr>
          <w:rFonts w:ascii="Times New Roman" w:hAnsi="Times New Roman" w:cs="Times New Roman"/>
          <w:color w:val="000000" w:themeColor="text1"/>
        </w:rPr>
        <w:t xml:space="preserve"> imperative for teachers to have a sound understanding of what knowledge, understanding and skills they aim to develop within their learners (Estyn, 2018; Barnes, 2015). Furthermore, children </w:t>
      </w:r>
      <w:r w:rsidRPr="003815C9">
        <w:rPr>
          <w:rFonts w:ascii="Times New Roman" w:hAnsi="Times New Roman" w:cs="Times New Roman"/>
          <w:color w:val="000000" w:themeColor="text1"/>
        </w:rPr>
        <w:t>may also</w:t>
      </w:r>
      <w:r w:rsidR="005920ED" w:rsidRPr="003815C9">
        <w:rPr>
          <w:rFonts w:ascii="Times New Roman" w:hAnsi="Times New Roman" w:cs="Times New Roman"/>
          <w:color w:val="000000" w:themeColor="text1"/>
        </w:rPr>
        <w:t xml:space="preserve"> </w:t>
      </w:r>
      <w:r w:rsidRPr="003815C9">
        <w:rPr>
          <w:rFonts w:ascii="Times New Roman" w:hAnsi="Times New Roman" w:cs="Times New Roman"/>
          <w:color w:val="000000" w:themeColor="text1"/>
        </w:rPr>
        <w:t>need a clear</w:t>
      </w:r>
      <w:r w:rsidR="00C63B27" w:rsidRPr="003815C9">
        <w:rPr>
          <w:rFonts w:ascii="Times New Roman" w:hAnsi="Times New Roman" w:cs="Times New Roman"/>
          <w:color w:val="000000" w:themeColor="text1"/>
        </w:rPr>
        <w:t xml:space="preserve"> understanding </w:t>
      </w:r>
      <w:r w:rsidRPr="003815C9">
        <w:rPr>
          <w:rFonts w:ascii="Times New Roman" w:hAnsi="Times New Roman" w:cs="Times New Roman"/>
          <w:color w:val="000000" w:themeColor="text1"/>
        </w:rPr>
        <w:t xml:space="preserve">of </w:t>
      </w:r>
      <w:r w:rsidR="00C63B27" w:rsidRPr="003815C9">
        <w:rPr>
          <w:rFonts w:ascii="Times New Roman" w:hAnsi="Times New Roman" w:cs="Times New Roman"/>
          <w:color w:val="000000" w:themeColor="text1"/>
        </w:rPr>
        <w:t>the intentions of what they are to learn</w:t>
      </w:r>
      <w:r w:rsidRPr="003815C9">
        <w:rPr>
          <w:rFonts w:ascii="Times New Roman" w:hAnsi="Times New Roman" w:cs="Times New Roman"/>
          <w:color w:val="000000" w:themeColor="text1"/>
        </w:rPr>
        <w:t xml:space="preserve"> as well as understanding </w:t>
      </w:r>
      <w:r w:rsidR="00C63B27" w:rsidRPr="003815C9">
        <w:rPr>
          <w:rFonts w:ascii="Times New Roman" w:hAnsi="Times New Roman" w:cs="Times New Roman"/>
          <w:color w:val="000000" w:themeColor="text1"/>
        </w:rPr>
        <w:t>the success criteria</w:t>
      </w:r>
      <w:r w:rsidRPr="003815C9">
        <w:rPr>
          <w:rFonts w:ascii="Times New Roman" w:hAnsi="Times New Roman" w:cs="Times New Roman"/>
          <w:color w:val="000000" w:themeColor="text1"/>
        </w:rPr>
        <w:t xml:space="preserve"> they need to meet in order to </w:t>
      </w:r>
      <w:r w:rsidR="00C63B27" w:rsidRPr="003815C9">
        <w:rPr>
          <w:rFonts w:ascii="Times New Roman" w:hAnsi="Times New Roman" w:cs="Times New Roman"/>
          <w:color w:val="000000" w:themeColor="text1"/>
        </w:rPr>
        <w:t>achieve such learning</w:t>
      </w:r>
      <w:r w:rsidRPr="003815C9">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074578224"/>
          <w:citation/>
        </w:sdtPr>
        <w:sdtContent>
          <w:r w:rsidRPr="003815C9">
            <w:rPr>
              <w:rFonts w:ascii="Times New Roman" w:hAnsi="Times New Roman" w:cs="Times New Roman"/>
              <w:color w:val="000000" w:themeColor="text1"/>
            </w:rPr>
            <w:fldChar w:fldCharType="begin"/>
          </w:r>
          <w:r w:rsidRPr="003815C9">
            <w:rPr>
              <w:rFonts w:ascii="Times New Roman" w:hAnsi="Times New Roman" w:cs="Times New Roman"/>
              <w:color w:val="000000" w:themeColor="text1"/>
            </w:rPr>
            <w:instrText xml:space="preserve"> CITATION Hat12 \l 2057 </w:instrText>
          </w:r>
          <w:r w:rsidRPr="003815C9">
            <w:rPr>
              <w:rFonts w:ascii="Times New Roman" w:hAnsi="Times New Roman" w:cs="Times New Roman"/>
              <w:color w:val="000000" w:themeColor="text1"/>
            </w:rPr>
            <w:fldChar w:fldCharType="separate"/>
          </w:r>
          <w:r w:rsidRPr="003815C9">
            <w:rPr>
              <w:rFonts w:ascii="Times New Roman" w:hAnsi="Times New Roman" w:cs="Times New Roman"/>
              <w:noProof/>
              <w:color w:val="000000" w:themeColor="text1"/>
            </w:rPr>
            <w:t>(Hattie, 2012)</w:t>
          </w:r>
          <w:r w:rsidRPr="003815C9">
            <w:rPr>
              <w:rFonts w:ascii="Times New Roman" w:hAnsi="Times New Roman" w:cs="Times New Roman"/>
              <w:color w:val="000000" w:themeColor="text1"/>
            </w:rPr>
            <w:fldChar w:fldCharType="end"/>
          </w:r>
        </w:sdtContent>
      </w:sdt>
      <w:r w:rsidRPr="003815C9">
        <w:rPr>
          <w:rFonts w:ascii="Times New Roman" w:hAnsi="Times New Roman" w:cs="Times New Roman"/>
          <w:color w:val="000000" w:themeColor="text1"/>
        </w:rPr>
        <w:t xml:space="preserve">, a lack of clarity in which may result in unfocused, confused and unproductive outcomes (Edwards and Mercer, 1987; Sheeran and Barnes, 1991; Barnes and Todd, 1995 as cited in Mercer et al., 1999). </w:t>
      </w:r>
      <w:r w:rsidR="00C63B27" w:rsidRPr="003815C9">
        <w:rPr>
          <w:rFonts w:ascii="Times New Roman" w:hAnsi="Times New Roman" w:cs="Times New Roman"/>
          <w:color w:val="000000" w:themeColor="text1"/>
        </w:rPr>
        <w:t xml:space="preserve">Cross-curricular teaching and learning may be more likely to result in </w:t>
      </w:r>
      <w:r w:rsidRPr="003815C9">
        <w:rPr>
          <w:rFonts w:ascii="Times New Roman" w:hAnsi="Times New Roman" w:cs="Times New Roman"/>
          <w:color w:val="000000" w:themeColor="text1"/>
        </w:rPr>
        <w:t>such outcomes, as unclear learning intentions within activities caused by</w:t>
      </w:r>
      <w:r w:rsidR="00C63B27" w:rsidRPr="003815C9">
        <w:rPr>
          <w:rFonts w:ascii="Times New Roman" w:hAnsi="Times New Roman" w:cs="Times New Roman"/>
          <w:color w:val="000000" w:themeColor="text1"/>
        </w:rPr>
        <w:t xml:space="preserve"> combining multiple subjects into a single experience may produce a, “’bland-broth’ of half-understood ideas and fresh misconceptions” (Barnes, 2015, p. 74). </w:t>
      </w:r>
    </w:p>
    <w:p w14:paraId="3B4E49A2" w14:textId="1BCC414B" w:rsidR="00437F09" w:rsidRPr="003815C9" w:rsidRDefault="00C63B27" w:rsidP="003815C9">
      <w:pPr>
        <w:pStyle w:val="NormalWeb"/>
        <w:shd w:val="clear" w:color="auto" w:fill="FFFFFF"/>
        <w:spacing w:line="360" w:lineRule="auto"/>
        <w:rPr>
          <w:color w:val="000000" w:themeColor="text1"/>
        </w:rPr>
      </w:pPr>
      <w:r w:rsidRPr="003815C9">
        <w:rPr>
          <w:color w:val="000000" w:themeColor="text1"/>
        </w:rPr>
        <w:t xml:space="preserve">Language, as outlined by Vygotsky (as cited in Askew, 2012, p.8) is a </w:t>
      </w:r>
      <w:r w:rsidR="00C93FA3" w:rsidRPr="003815C9">
        <w:rPr>
          <w:color w:val="000000" w:themeColor="text1"/>
        </w:rPr>
        <w:t xml:space="preserve">fundamental </w:t>
      </w:r>
      <w:r w:rsidRPr="003815C9">
        <w:rPr>
          <w:color w:val="000000" w:themeColor="text1"/>
        </w:rPr>
        <w:t xml:space="preserve">tool “that not only enables us to achieve our ‘objects’ but also fundamentally changes who we are in the process of their use” (Askew, 2012, p.8). </w:t>
      </w:r>
      <w:r w:rsidR="00C93FA3" w:rsidRPr="003815C9">
        <w:rPr>
          <w:color w:val="000000" w:themeColor="text1"/>
        </w:rPr>
        <w:t>The absence of explicit teaching of language</w:t>
      </w:r>
      <w:r w:rsidR="005920ED" w:rsidRPr="003815C9">
        <w:rPr>
          <w:color w:val="000000" w:themeColor="text1"/>
        </w:rPr>
        <w:t>,</w:t>
      </w:r>
      <w:r w:rsidR="00C93FA3" w:rsidRPr="003815C9">
        <w:rPr>
          <w:color w:val="000000" w:themeColor="text1"/>
        </w:rPr>
        <w:t xml:space="preserve"> and how to use such language</w:t>
      </w:r>
      <w:r w:rsidR="005920ED" w:rsidRPr="003815C9">
        <w:rPr>
          <w:color w:val="000000" w:themeColor="text1"/>
        </w:rPr>
        <w:t>,</w:t>
      </w:r>
      <w:r w:rsidR="00C93FA3" w:rsidRPr="003815C9">
        <w:rPr>
          <w:color w:val="000000" w:themeColor="text1"/>
        </w:rPr>
        <w:t xml:space="preserve"> may therefore hinder learners’ abilities to</w:t>
      </w:r>
      <w:r w:rsidR="004C6A02" w:rsidRPr="003815C9">
        <w:rPr>
          <w:color w:val="000000" w:themeColor="text1"/>
        </w:rPr>
        <w:t xml:space="preserve"> progress in</w:t>
      </w:r>
      <w:r w:rsidR="00C93FA3" w:rsidRPr="003815C9">
        <w:rPr>
          <w:color w:val="000000" w:themeColor="text1"/>
        </w:rPr>
        <w:t xml:space="preserve"> other subjects, causing a greater chasm to form between those who have such knowledge and those who have not (</w:t>
      </w:r>
      <w:proofErr w:type="spellStart"/>
      <w:r w:rsidR="00C93FA3" w:rsidRPr="003815C9">
        <w:rPr>
          <w:color w:val="000000" w:themeColor="text1"/>
        </w:rPr>
        <w:t>Didau</w:t>
      </w:r>
      <w:proofErr w:type="spellEnd"/>
      <w:r w:rsidR="00C93FA3" w:rsidRPr="003815C9">
        <w:rPr>
          <w:color w:val="000000" w:themeColor="text1"/>
        </w:rPr>
        <w:t xml:space="preserve">, 2014). </w:t>
      </w:r>
      <w:r w:rsidR="004C6A02" w:rsidRPr="003815C9">
        <w:rPr>
          <w:color w:val="000000" w:themeColor="text1"/>
        </w:rPr>
        <w:t>Therefore, it may be argued that learners who have sufficient language skills are able to grasp effectively what is being taught, which in turn enables them to gain a knowledge base onto which they can build more knowledge (</w:t>
      </w:r>
      <w:proofErr w:type="spellStart"/>
      <w:r w:rsidR="004C6A02" w:rsidRPr="003815C9">
        <w:rPr>
          <w:color w:val="000000" w:themeColor="text1"/>
        </w:rPr>
        <w:t>Didau</w:t>
      </w:r>
      <w:proofErr w:type="spellEnd"/>
      <w:r w:rsidR="004C6A02" w:rsidRPr="003815C9">
        <w:rPr>
          <w:color w:val="000000" w:themeColor="text1"/>
        </w:rPr>
        <w:t xml:space="preserve">, 2014). </w:t>
      </w:r>
      <w:r w:rsidR="00A5664E" w:rsidRPr="003815C9">
        <w:rPr>
          <w:color w:val="000000" w:themeColor="text1"/>
        </w:rPr>
        <w:t>This notion is supported by cognitive theory, which suggests that if an individual’s schema is sparse, then connections are less likely to be found, which in turn will limit the individual’s chance of constructing their own understanding (Cross, 1999).</w:t>
      </w:r>
      <w:r w:rsidR="00784F3B" w:rsidRPr="003815C9">
        <w:rPr>
          <w:color w:val="000000" w:themeColor="text1"/>
          <w:shd w:val="clear" w:color="auto" w:fill="FFFFFF"/>
        </w:rPr>
        <w:t xml:space="preserve"> This is evident also in numeracy, where t</w:t>
      </w:r>
      <w:r w:rsidR="00784F3B" w:rsidRPr="003815C9">
        <w:rPr>
          <w:color w:val="000000" w:themeColor="text1"/>
          <w:shd w:val="clear" w:color="auto" w:fill="FFFFFF"/>
        </w:rPr>
        <w:t>he understanding of the concepts of number and number operations have been argued by Haylock and Cockburn (2013, p.9) to depend upon the forming of connections between the four types of experience in mathematics, namely</w:t>
      </w:r>
      <w:r w:rsidR="00784F3B" w:rsidRPr="003815C9">
        <w:rPr>
          <w:color w:val="000000" w:themeColor="text1"/>
          <w:shd w:val="clear" w:color="auto" w:fill="FFFFFF"/>
        </w:rPr>
        <w:t>:</w:t>
      </w:r>
      <w:r w:rsidR="00784F3B" w:rsidRPr="003815C9">
        <w:rPr>
          <w:color w:val="000000" w:themeColor="text1"/>
          <w:shd w:val="clear" w:color="auto" w:fill="FFFFFF"/>
        </w:rPr>
        <w:t xml:space="preserve"> “concrete experiences, symbols, language and pictures”.</w:t>
      </w:r>
    </w:p>
    <w:p w14:paraId="69F04BA1" w14:textId="4599E124" w:rsidR="004C6A02" w:rsidRPr="003815C9" w:rsidRDefault="004C6A02" w:rsidP="003815C9">
      <w:pPr>
        <w:pStyle w:val="NormalWeb"/>
        <w:shd w:val="clear" w:color="auto" w:fill="FFFFFF"/>
        <w:spacing w:line="360" w:lineRule="auto"/>
        <w:rPr>
          <w:color w:val="000000" w:themeColor="text1"/>
        </w:rPr>
      </w:pPr>
      <w:r w:rsidRPr="003815C9">
        <w:rPr>
          <w:color w:val="000000" w:themeColor="text1"/>
        </w:rPr>
        <w:t>Although language may be seen to be integral to learning, it is also argued to be fundamental to creativity (Donaldson, 2015), therefore being instrumental in the Welsh Assembly Governments’ aim to develop all children and young people to be</w:t>
      </w:r>
      <w:r w:rsidRPr="003815C9">
        <w:rPr>
          <w:color w:val="000000" w:themeColor="text1"/>
          <w:shd w:val="clear" w:color="auto" w:fill="FFFFFF"/>
        </w:rPr>
        <w:t xml:space="preserve"> “</w:t>
      </w:r>
      <w:r w:rsidRPr="003815C9">
        <w:rPr>
          <w:color w:val="000000" w:themeColor="text1"/>
          <w:shd w:val="clear" w:color="auto" w:fill="FFFFFF"/>
        </w:rPr>
        <w:t>enterprising, creative contributors, ready to play a full part in life and work</w:t>
      </w:r>
      <w:r w:rsidRPr="003815C9">
        <w:rPr>
          <w:color w:val="000000" w:themeColor="text1"/>
          <w:shd w:val="clear" w:color="auto" w:fill="FFFFFF"/>
        </w:rPr>
        <w:t xml:space="preserve">” (Donaldson, 2015, p.29), with Estyn (2016 as cited in WAG, 2017b) stating that in order to meet the needs of the twenty-first </w:t>
      </w:r>
      <w:r w:rsidRPr="003815C9">
        <w:rPr>
          <w:color w:val="000000" w:themeColor="text1"/>
          <w:shd w:val="clear" w:color="auto" w:fill="FFFFFF"/>
        </w:rPr>
        <w:lastRenderedPageBreak/>
        <w:t xml:space="preserve">century, the curriculum needs </w:t>
      </w:r>
      <w:r w:rsidR="005920ED" w:rsidRPr="003815C9">
        <w:rPr>
          <w:color w:val="000000" w:themeColor="text1"/>
          <w:shd w:val="clear" w:color="auto" w:fill="FFFFFF"/>
        </w:rPr>
        <w:t xml:space="preserve">to </w:t>
      </w:r>
      <w:r w:rsidRPr="003815C9">
        <w:rPr>
          <w:color w:val="000000" w:themeColor="text1"/>
          <w:shd w:val="clear" w:color="auto" w:fill="FFFFFF"/>
        </w:rPr>
        <w:t>support the development of creativity in learners. Cross-curricular approaches to learning may complement those of creative learning as both are</w:t>
      </w:r>
      <w:r w:rsidR="005920ED" w:rsidRPr="003815C9">
        <w:rPr>
          <w:color w:val="000000" w:themeColor="text1"/>
          <w:shd w:val="clear" w:color="auto" w:fill="FFFFFF"/>
        </w:rPr>
        <w:t>,</w:t>
      </w:r>
      <w:r w:rsidRPr="003815C9">
        <w:rPr>
          <w:color w:val="000000" w:themeColor="text1"/>
          <w:shd w:val="clear" w:color="auto" w:fill="FFFFFF"/>
        </w:rPr>
        <w:t xml:space="preserve"> in part</w:t>
      </w:r>
      <w:r w:rsidR="005920ED" w:rsidRPr="003815C9">
        <w:rPr>
          <w:color w:val="000000" w:themeColor="text1"/>
          <w:shd w:val="clear" w:color="auto" w:fill="FFFFFF"/>
        </w:rPr>
        <w:t>,</w:t>
      </w:r>
      <w:r w:rsidRPr="003815C9">
        <w:rPr>
          <w:color w:val="000000" w:themeColor="text1"/>
          <w:shd w:val="clear" w:color="auto" w:fill="FFFFFF"/>
        </w:rPr>
        <w:t xml:space="preserve"> characterised by the forming of connections and the consequent recognition of relationships (Hodder, 2014;</w:t>
      </w:r>
      <w:r w:rsidR="00F700C2" w:rsidRPr="003815C9">
        <w:rPr>
          <w:color w:val="000000" w:themeColor="text1"/>
          <w:shd w:val="clear" w:color="auto" w:fill="FFFFFF"/>
        </w:rPr>
        <w:t xml:space="preserve"> Barnes, 2015; Donaldson, 2015), with cross-curricular approaches to learning being viewed by some as encouraging children to think creatively (Rose, </w:t>
      </w:r>
      <w:r w:rsidR="00F700C2" w:rsidRPr="003815C9">
        <w:rPr>
          <w:color w:val="000000" w:themeColor="text1"/>
          <w:shd w:val="clear" w:color="auto" w:fill="FFFFFF"/>
        </w:rPr>
        <w:t>2009 as cited in Pound and Lee, 2015</w:t>
      </w:r>
      <w:r w:rsidR="00F700C2" w:rsidRPr="003815C9">
        <w:rPr>
          <w:color w:val="000000" w:themeColor="text1"/>
          <w:shd w:val="clear" w:color="auto" w:fill="FFFFFF"/>
        </w:rPr>
        <w:t>; Barnes, 2015</w:t>
      </w:r>
      <w:r w:rsidR="00F700C2" w:rsidRPr="003815C9">
        <w:rPr>
          <w:color w:val="000000" w:themeColor="text1"/>
          <w:shd w:val="clear" w:color="auto" w:fill="FFFFFF"/>
        </w:rPr>
        <w:t>)</w:t>
      </w:r>
      <w:r w:rsidR="00F700C2" w:rsidRPr="003815C9">
        <w:rPr>
          <w:color w:val="000000" w:themeColor="text1"/>
          <w:shd w:val="clear" w:color="auto" w:fill="FFFFFF"/>
        </w:rPr>
        <w:t>.</w:t>
      </w:r>
    </w:p>
    <w:p w14:paraId="19173053" w14:textId="0A57D3C5" w:rsidR="00A5664E" w:rsidRPr="003815C9" w:rsidRDefault="00784F3B" w:rsidP="003815C9">
      <w:pPr>
        <w:pStyle w:val="NormalWeb"/>
        <w:spacing w:line="360" w:lineRule="auto"/>
        <w:rPr>
          <w:color w:val="000000" w:themeColor="text1"/>
          <w:shd w:val="clear" w:color="auto" w:fill="FFFFFF"/>
        </w:rPr>
      </w:pPr>
      <w:r w:rsidRPr="003815C9">
        <w:rPr>
          <w:color w:val="000000" w:themeColor="text1"/>
          <w:shd w:val="clear" w:color="auto" w:fill="FFFFFF"/>
        </w:rPr>
        <w:t xml:space="preserve">Creativity </w:t>
      </w:r>
      <w:r w:rsidR="00F700C2" w:rsidRPr="003815C9">
        <w:rPr>
          <w:color w:val="000000" w:themeColor="text1"/>
          <w:shd w:val="clear" w:color="auto" w:fill="FFFFFF"/>
        </w:rPr>
        <w:t>may be seen to be at the heart of mathematics (Capacity Building Series, 2012), with</w:t>
      </w:r>
      <w:r w:rsidR="00A5664E" w:rsidRPr="003815C9">
        <w:rPr>
          <w:color w:val="000000" w:themeColor="text1"/>
          <w:shd w:val="clear" w:color="auto" w:fill="FFFFFF"/>
        </w:rPr>
        <w:t xml:space="preserve"> mathematics providing support for developing creativity within learners, as well as developing wider skills, including problem solving and critical thinking (Donaldson, 2015).</w:t>
      </w:r>
      <w:r w:rsidRPr="003815C9">
        <w:rPr>
          <w:color w:val="000000" w:themeColor="text1"/>
          <w:shd w:val="clear" w:color="auto" w:fill="FFFFFF"/>
        </w:rPr>
        <w:t xml:space="preserve"> </w:t>
      </w:r>
      <w:r w:rsidR="00A5664E" w:rsidRPr="003815C9">
        <w:rPr>
          <w:color w:val="000000" w:themeColor="text1"/>
          <w:shd w:val="clear" w:color="auto" w:fill="FFFFFF"/>
        </w:rPr>
        <w:t>However, it has been</w:t>
      </w:r>
      <w:r w:rsidR="005920ED" w:rsidRPr="003815C9">
        <w:rPr>
          <w:color w:val="000000" w:themeColor="text1"/>
          <w:shd w:val="clear" w:color="auto" w:fill="FFFFFF"/>
        </w:rPr>
        <w:t xml:space="preserve"> a</w:t>
      </w:r>
      <w:r w:rsidR="00A5664E" w:rsidRPr="003815C9">
        <w:rPr>
          <w:color w:val="000000" w:themeColor="text1"/>
          <w:shd w:val="clear" w:color="auto" w:fill="FFFFFF"/>
        </w:rPr>
        <w:t xml:space="preserve">rgued that if mathematics is to become more creative, it must permeate subject boundaries (Pound and Lee, 2015). This may be due in part to the perceived limitation put on creativity as imposed by linear and predictable learning experiences (Askew, 2012). </w:t>
      </w:r>
      <w:r w:rsidRPr="003815C9">
        <w:rPr>
          <w:color w:val="000000" w:themeColor="text1"/>
          <w:shd w:val="clear" w:color="auto" w:fill="FFFFFF"/>
        </w:rPr>
        <w:t>In addition to this, the tendency of mathematics teaching to depend too much on a “one-right-answer-approach” may produce a greater level of convergent thinking, as opposed to divergent thinking (Pound and Lee, 2012, p. 103).</w:t>
      </w:r>
    </w:p>
    <w:p w14:paraId="6F1B457B" w14:textId="17EFE711" w:rsidR="004C6A02" w:rsidRPr="003815C9" w:rsidRDefault="00784F3B" w:rsidP="003815C9">
      <w:pPr>
        <w:pStyle w:val="NormalWeb"/>
        <w:spacing w:line="360" w:lineRule="auto"/>
        <w:rPr>
          <w:color w:val="000000" w:themeColor="text1"/>
        </w:rPr>
      </w:pPr>
      <w:r w:rsidRPr="003815C9">
        <w:rPr>
          <w:color w:val="000000" w:themeColor="text1"/>
        </w:rPr>
        <w:t>It has been argued that, “</w:t>
      </w:r>
      <w:r w:rsidR="004C6A02" w:rsidRPr="003815C9">
        <w:rPr>
          <w:color w:val="000000" w:themeColor="text1"/>
        </w:rPr>
        <w:t xml:space="preserve">to be creative, children need to feel emotionally safe enough to make new connections, new directions and new insights” </w:t>
      </w:r>
      <w:r w:rsidRPr="003815C9">
        <w:rPr>
          <w:color w:val="000000" w:themeColor="text1"/>
        </w:rPr>
        <w:t xml:space="preserve">(Hodder Education, 2014, p.2). This may contribute to why it has been argued that one of the fundamental aims of teaching mathematics is to instil in learners the belief that they have the capacity and ability to succeed in the subject (Grigg, 2015). Self-efficacy, as defined as “the belief that one has the capacity or power to learn”, may also depend upon one’s perception of the subject itself (Capacity Building Series, 2012, p.5). Mathematics in particular is often held in a negative view as many believe it to be a challenging subject that lacks creativity, being based solely on memorising a set of rules (Grigg, 2015). </w:t>
      </w:r>
    </w:p>
    <w:p w14:paraId="3B2248C0" w14:textId="77777777" w:rsidR="005920ED" w:rsidRPr="003815C9" w:rsidRDefault="00784F3B" w:rsidP="003815C9">
      <w:pPr>
        <w:pStyle w:val="NormalWeb"/>
        <w:spacing w:line="360" w:lineRule="auto"/>
        <w:rPr>
          <w:color w:val="000000" w:themeColor="text1"/>
        </w:rPr>
      </w:pPr>
      <w:r w:rsidRPr="003815C9">
        <w:rPr>
          <w:color w:val="000000" w:themeColor="text1"/>
          <w:shd w:val="clear" w:color="auto" w:fill="FFFFFF"/>
        </w:rPr>
        <w:t xml:space="preserve">The theory of multiple intelligences as developed by Gardner (Gardner and </w:t>
      </w:r>
      <w:proofErr w:type="spellStart"/>
      <w:r w:rsidRPr="003815C9">
        <w:rPr>
          <w:color w:val="000000" w:themeColor="text1"/>
          <w:shd w:val="clear" w:color="auto" w:fill="FFFFFF"/>
        </w:rPr>
        <w:t>Seana</w:t>
      </w:r>
      <w:proofErr w:type="spellEnd"/>
      <w:r w:rsidRPr="003815C9">
        <w:rPr>
          <w:color w:val="000000" w:themeColor="text1"/>
          <w:shd w:val="clear" w:color="auto" w:fill="FFFFFF"/>
        </w:rPr>
        <w:t>, 2006, Gardner 1999, 1998, 1993, 1983 as cited in Doherty and Hughes, 2014)</w:t>
      </w:r>
      <w:r w:rsidR="005920ED" w:rsidRPr="003815C9">
        <w:rPr>
          <w:color w:val="000000" w:themeColor="text1"/>
          <w:shd w:val="clear" w:color="auto" w:fill="FFFFFF"/>
        </w:rPr>
        <w:t>,</w:t>
      </w:r>
      <w:r w:rsidRPr="003815C9">
        <w:rPr>
          <w:color w:val="000000" w:themeColor="text1"/>
          <w:shd w:val="clear" w:color="auto" w:fill="FFFFFF"/>
        </w:rPr>
        <w:t xml:space="preserve"> </w:t>
      </w:r>
      <w:r w:rsidR="005920ED" w:rsidRPr="003815C9">
        <w:rPr>
          <w:color w:val="000000" w:themeColor="text1"/>
          <w:shd w:val="clear" w:color="auto" w:fill="FFFFFF"/>
        </w:rPr>
        <w:t>suggests</w:t>
      </w:r>
      <w:r w:rsidRPr="003815C9">
        <w:rPr>
          <w:color w:val="000000" w:themeColor="text1"/>
          <w:shd w:val="clear" w:color="auto" w:fill="FFFFFF"/>
        </w:rPr>
        <w:t xml:space="preserve"> that every individual displays different combinations of multiple</w:t>
      </w:r>
      <w:r w:rsidR="005920ED" w:rsidRPr="003815C9">
        <w:rPr>
          <w:color w:val="000000" w:themeColor="text1"/>
          <w:shd w:val="clear" w:color="auto" w:fill="FFFFFF"/>
        </w:rPr>
        <w:t>, interrelated</w:t>
      </w:r>
      <w:r w:rsidRPr="003815C9">
        <w:rPr>
          <w:color w:val="000000" w:themeColor="text1"/>
          <w:shd w:val="clear" w:color="auto" w:fill="FFFFFF"/>
        </w:rPr>
        <w:t xml:space="preserve"> intelligences (Pound and Lee, 2015).</w:t>
      </w:r>
      <w:r w:rsidRPr="003815C9">
        <w:rPr>
          <w:color w:val="000000" w:themeColor="text1"/>
        </w:rPr>
        <w:t xml:space="preserve"> </w:t>
      </w:r>
      <w:r w:rsidRPr="003815C9">
        <w:rPr>
          <w:color w:val="000000" w:themeColor="text1"/>
        </w:rPr>
        <w:t xml:space="preserve">By utilising a cross-curricular approach, where all disciplines are </w:t>
      </w:r>
      <w:r w:rsidR="005920ED" w:rsidRPr="003815C9">
        <w:rPr>
          <w:color w:val="000000" w:themeColor="text1"/>
        </w:rPr>
        <w:t>approached</w:t>
      </w:r>
      <w:r w:rsidRPr="003815C9">
        <w:rPr>
          <w:color w:val="000000" w:themeColor="text1"/>
        </w:rPr>
        <w:t xml:space="preserve"> equally, children may have a greater chance of finding an access point to learning that they would otherwise have struggled to engage with (Barnes, 2015). </w:t>
      </w:r>
    </w:p>
    <w:p w14:paraId="5FF58BA5" w14:textId="77777777" w:rsidR="005920ED" w:rsidRPr="003815C9" w:rsidRDefault="00DA4A49" w:rsidP="003815C9">
      <w:pPr>
        <w:pStyle w:val="NormalWeb"/>
        <w:spacing w:line="360" w:lineRule="auto"/>
        <w:rPr>
          <w:color w:val="000000" w:themeColor="text1"/>
        </w:rPr>
      </w:pPr>
      <w:r w:rsidRPr="003815C9">
        <w:rPr>
          <w:color w:val="000000" w:themeColor="text1"/>
        </w:rPr>
        <w:lastRenderedPageBreak/>
        <w:t>P</w:t>
      </w:r>
      <w:r w:rsidR="00784F3B" w:rsidRPr="003815C9">
        <w:rPr>
          <w:color w:val="000000" w:themeColor="text1"/>
        </w:rPr>
        <w:t xml:space="preserve">romoting self-efficacy in learners may not be achieved simply by imparting positive attitudes, but instead it may be argued that it also involves “developing confidence based on the acquisition of applicable skills” (Capacity Building Series, 2012, p.5). </w:t>
      </w:r>
      <w:r w:rsidRPr="003815C9">
        <w:rPr>
          <w:color w:val="000000" w:themeColor="text1"/>
        </w:rPr>
        <w:t>C</w:t>
      </w:r>
      <w:r w:rsidRPr="003815C9">
        <w:rPr>
          <w:color w:val="000000" w:themeColor="text1"/>
        </w:rPr>
        <w:t>ross-curricular learning may provide opportunity to strengthen weak areas in a child’s learning by enabling then child to apply and develop</w:t>
      </w:r>
      <w:r w:rsidR="005920ED" w:rsidRPr="003815C9">
        <w:rPr>
          <w:color w:val="000000" w:themeColor="text1"/>
        </w:rPr>
        <w:t xml:space="preserve"> these areas</w:t>
      </w:r>
      <w:r w:rsidRPr="003815C9">
        <w:rPr>
          <w:color w:val="000000" w:themeColor="text1"/>
        </w:rPr>
        <w:t xml:space="preserve"> </w:t>
      </w:r>
      <w:r w:rsidR="005920ED" w:rsidRPr="003815C9">
        <w:rPr>
          <w:color w:val="000000" w:themeColor="text1"/>
        </w:rPr>
        <w:t>with</w:t>
      </w:r>
      <w:r w:rsidRPr="003815C9">
        <w:rPr>
          <w:color w:val="000000" w:themeColor="text1"/>
        </w:rPr>
        <w:t>in numerous contexts (Barnes, 2015), thus strengthening the connections within the relative cognitive schema (Cross, 1999; Haylock and Cockburn, 2013).</w:t>
      </w:r>
      <w:r w:rsidRPr="003815C9">
        <w:rPr>
          <w:color w:val="000000" w:themeColor="text1"/>
        </w:rPr>
        <w:t xml:space="preserve"> </w:t>
      </w:r>
    </w:p>
    <w:p w14:paraId="0AE3746E" w14:textId="127E0975" w:rsidR="00784F3B" w:rsidRPr="003815C9" w:rsidRDefault="00DA4A49" w:rsidP="003815C9">
      <w:pPr>
        <w:pStyle w:val="NormalWeb"/>
        <w:spacing w:line="360" w:lineRule="auto"/>
        <w:rPr>
          <w:color w:val="000000" w:themeColor="text1"/>
        </w:rPr>
      </w:pPr>
      <w:r w:rsidRPr="003815C9">
        <w:rPr>
          <w:color w:val="000000" w:themeColor="text1"/>
        </w:rPr>
        <w:t xml:space="preserve">Furthermore, </w:t>
      </w:r>
      <w:r w:rsidR="00784F3B" w:rsidRPr="003815C9">
        <w:rPr>
          <w:color w:val="000000" w:themeColor="text1"/>
        </w:rPr>
        <w:t>Askew (2012)</w:t>
      </w:r>
      <w:r w:rsidRPr="003815C9">
        <w:rPr>
          <w:color w:val="000000" w:themeColor="text1"/>
        </w:rPr>
        <w:t xml:space="preserve"> suggests</w:t>
      </w:r>
      <w:r w:rsidR="00784F3B" w:rsidRPr="003815C9">
        <w:rPr>
          <w:color w:val="000000" w:themeColor="text1"/>
        </w:rPr>
        <w:t xml:space="preserve"> that children will achieve higher standards in mathematics if they are given learning opportunities that are more engaging and challenging,</w:t>
      </w:r>
      <w:r w:rsidR="00EC4FC1" w:rsidRPr="003815C9">
        <w:rPr>
          <w:color w:val="000000" w:themeColor="text1"/>
        </w:rPr>
        <w:t xml:space="preserve"> a notion which is supported by Barnes (2015, p.142) who states, “a degree of stress may be important to learning”</w:t>
      </w:r>
      <w:r w:rsidR="00784F3B" w:rsidRPr="003815C9">
        <w:rPr>
          <w:color w:val="000000" w:themeColor="text1"/>
        </w:rPr>
        <w:t xml:space="preserve">. </w:t>
      </w:r>
      <w:r w:rsidRPr="003815C9">
        <w:rPr>
          <w:color w:val="000000" w:themeColor="text1"/>
        </w:rPr>
        <w:t>However,</w:t>
      </w:r>
      <w:r w:rsidR="005920ED" w:rsidRPr="003815C9">
        <w:rPr>
          <w:color w:val="000000" w:themeColor="text1"/>
        </w:rPr>
        <w:t xml:space="preserve"> from my own experience in teaching a key stage two class</w:t>
      </w:r>
      <w:r w:rsidR="00784F3B" w:rsidRPr="003815C9">
        <w:rPr>
          <w:color w:val="000000" w:themeColor="text1"/>
        </w:rPr>
        <w:t xml:space="preserve">, it was evident that one learner often disengaged when met with tasks that </w:t>
      </w:r>
      <w:r w:rsidRPr="003815C9">
        <w:rPr>
          <w:color w:val="000000" w:themeColor="text1"/>
        </w:rPr>
        <w:t>challenged them in</w:t>
      </w:r>
      <w:r w:rsidR="00784F3B" w:rsidRPr="003815C9">
        <w:rPr>
          <w:color w:val="000000" w:themeColor="text1"/>
        </w:rPr>
        <w:t xml:space="preserve"> using literacy or numeracy skills. This may support the notion that “few people persevere with something they find difficult and uncomfortable” (</w:t>
      </w:r>
      <w:proofErr w:type="spellStart"/>
      <w:r w:rsidR="00784F3B" w:rsidRPr="003815C9">
        <w:rPr>
          <w:color w:val="000000" w:themeColor="text1"/>
        </w:rPr>
        <w:t>Didau</w:t>
      </w:r>
      <w:proofErr w:type="spellEnd"/>
      <w:r w:rsidR="00784F3B" w:rsidRPr="003815C9">
        <w:rPr>
          <w:color w:val="000000" w:themeColor="text1"/>
        </w:rPr>
        <w:t xml:space="preserve">, 2014, p.10). </w:t>
      </w:r>
    </w:p>
    <w:p w14:paraId="6280CA01" w14:textId="77777777" w:rsidR="00570A89" w:rsidRPr="003815C9" w:rsidRDefault="00784F3B" w:rsidP="003815C9">
      <w:pPr>
        <w:pStyle w:val="NormalWeb"/>
        <w:spacing w:line="360" w:lineRule="auto"/>
        <w:rPr>
          <w:color w:val="000000" w:themeColor="text1"/>
          <w:shd w:val="clear" w:color="auto" w:fill="FFFFFF"/>
        </w:rPr>
      </w:pPr>
      <w:r w:rsidRPr="003815C9">
        <w:rPr>
          <w:color w:val="000000" w:themeColor="text1"/>
        </w:rPr>
        <w:t xml:space="preserve">Grigg (2015) argues that pupils’ attitudes towards maths will improve by the realisation of mathematics as “a powerful tool and an essential form of communication” </w:t>
      </w:r>
      <w:r w:rsidRPr="003815C9">
        <w:rPr>
          <w:color w:val="000000" w:themeColor="text1"/>
        </w:rPr>
        <w:t>(Grigg, 2015, p.187).</w:t>
      </w:r>
      <w:r w:rsidRPr="003815C9">
        <w:rPr>
          <w:color w:val="000000" w:themeColor="text1"/>
        </w:rPr>
        <w:t xml:space="preserve"> Digital technology may be seen to </w:t>
      </w:r>
      <w:r w:rsidR="005920ED" w:rsidRPr="003815C9">
        <w:rPr>
          <w:color w:val="000000" w:themeColor="text1"/>
        </w:rPr>
        <w:t>complement</w:t>
      </w:r>
      <w:r w:rsidRPr="003815C9">
        <w:rPr>
          <w:color w:val="000000" w:themeColor="text1"/>
        </w:rPr>
        <w:t xml:space="preserve"> the teaching and learning of such mathematical ideas, with it being argued to be an important element of communication (Pound and Lee, 2015). In addition, </w:t>
      </w:r>
      <w:r w:rsidRPr="003815C9">
        <w:rPr>
          <w:color w:val="000000" w:themeColor="text1"/>
          <w:shd w:val="clear" w:color="auto" w:fill="FFFFFF"/>
        </w:rPr>
        <w:t>a</w:t>
      </w:r>
      <w:r w:rsidRPr="003815C9">
        <w:rPr>
          <w:color w:val="000000" w:themeColor="text1"/>
          <w:shd w:val="clear" w:color="auto" w:fill="FFFFFF"/>
        </w:rPr>
        <w:t>s children progress further in their mathematical ability, teachers are presented with the challenge to move from presenting learners with real-life problem-solving tasks, to those that engage the learners in more abstract thinking (Ofsted, 1995 as cited in Grigg, 2015)</w:t>
      </w:r>
      <w:r w:rsidR="00EC4FC1" w:rsidRPr="003815C9">
        <w:rPr>
          <w:color w:val="000000" w:themeColor="text1"/>
          <w:shd w:val="clear" w:color="auto" w:fill="FFFFFF"/>
        </w:rPr>
        <w:t>, which requires</w:t>
      </w:r>
      <w:r w:rsidR="00570A89" w:rsidRPr="003815C9">
        <w:rPr>
          <w:color w:val="000000" w:themeColor="text1"/>
          <w:shd w:val="clear" w:color="auto" w:fill="FFFFFF"/>
        </w:rPr>
        <w:t xml:space="preserve"> </w:t>
      </w:r>
      <w:r w:rsidR="00EC4FC1" w:rsidRPr="003815C9">
        <w:rPr>
          <w:color w:val="000000" w:themeColor="text1"/>
          <w:shd w:val="clear" w:color="auto" w:fill="FFFFFF"/>
        </w:rPr>
        <w:t xml:space="preserve">symbolic underpinning (Devlin, 2000; du </w:t>
      </w:r>
      <w:proofErr w:type="spellStart"/>
      <w:r w:rsidR="00EC4FC1" w:rsidRPr="003815C9">
        <w:rPr>
          <w:color w:val="000000" w:themeColor="text1"/>
          <w:shd w:val="clear" w:color="auto" w:fill="FFFFFF"/>
        </w:rPr>
        <w:t>Sautoy</w:t>
      </w:r>
      <w:proofErr w:type="spellEnd"/>
      <w:r w:rsidR="00EC4FC1" w:rsidRPr="003815C9">
        <w:rPr>
          <w:color w:val="000000" w:themeColor="text1"/>
          <w:shd w:val="clear" w:color="auto" w:fill="FFFFFF"/>
        </w:rPr>
        <w:t>, 2004 as cited in Pound and Lee, 2015).</w:t>
      </w:r>
      <w:r w:rsidR="00570A89" w:rsidRPr="003815C9">
        <w:rPr>
          <w:color w:val="000000" w:themeColor="text1"/>
          <w:shd w:val="clear" w:color="auto" w:fill="FFFFFF"/>
        </w:rPr>
        <w:t xml:space="preserve"> For learners to engage successfully in a</w:t>
      </w:r>
      <w:r w:rsidR="00EC4FC1" w:rsidRPr="003815C9">
        <w:rPr>
          <w:color w:val="000000" w:themeColor="text1"/>
          <w:shd w:val="clear" w:color="auto" w:fill="FFFFFF"/>
        </w:rPr>
        <w:t>bstract thinking</w:t>
      </w:r>
      <w:r w:rsidR="00570A89" w:rsidRPr="003815C9">
        <w:rPr>
          <w:color w:val="000000" w:themeColor="text1"/>
          <w:shd w:val="clear" w:color="auto" w:fill="FFFFFF"/>
        </w:rPr>
        <w:t>, allowing them to access such learning in a variety of modes of representation may be fundamental</w:t>
      </w:r>
      <w:r w:rsidRPr="003815C9">
        <w:rPr>
          <w:color w:val="000000" w:themeColor="text1"/>
          <w:shd w:val="clear" w:color="auto" w:fill="FFFFFF"/>
        </w:rPr>
        <w:t xml:space="preserve"> (Pound and Lee, 2015). Smith (2005</w:t>
      </w:r>
      <w:r w:rsidRPr="003815C9">
        <w:rPr>
          <w:color w:val="000000" w:themeColor="text1"/>
          <w:shd w:val="clear" w:color="auto" w:fill="FFFFFF"/>
        </w:rPr>
        <w:t>, as cited in Pound and Lee, 2015, p111</w:t>
      </w:r>
      <w:r w:rsidRPr="003815C9">
        <w:rPr>
          <w:color w:val="000000" w:themeColor="text1"/>
          <w:shd w:val="clear" w:color="auto" w:fill="FFFFFF"/>
        </w:rPr>
        <w:t xml:space="preserve">) has suggested that the use of technology </w:t>
      </w:r>
      <w:r w:rsidRPr="003815C9">
        <w:rPr>
          <w:color w:val="000000" w:themeColor="text1"/>
          <w:shd w:val="clear" w:color="auto" w:fill="FFFFFF"/>
        </w:rPr>
        <w:t>may support such processes</w:t>
      </w:r>
      <w:r w:rsidR="00570A89" w:rsidRPr="003815C9">
        <w:rPr>
          <w:color w:val="000000" w:themeColor="text1"/>
          <w:shd w:val="clear" w:color="auto" w:fill="FFFFFF"/>
        </w:rPr>
        <w:t>,</w:t>
      </w:r>
      <w:r w:rsidRPr="003815C9">
        <w:rPr>
          <w:color w:val="000000" w:themeColor="text1"/>
          <w:shd w:val="clear" w:color="auto" w:fill="FFFFFF"/>
        </w:rPr>
        <w:t xml:space="preserve"> as “the ability to use and understand symbolic representations in one context can then be transferred to another context”.</w:t>
      </w:r>
    </w:p>
    <w:p w14:paraId="59A061BE" w14:textId="13628830" w:rsidR="00DA4A49" w:rsidRPr="003815C9" w:rsidRDefault="006834B2" w:rsidP="003815C9">
      <w:pPr>
        <w:pStyle w:val="NormalWeb"/>
        <w:spacing w:line="360" w:lineRule="auto"/>
        <w:rPr>
          <w:color w:val="000000" w:themeColor="text1"/>
        </w:rPr>
      </w:pPr>
      <w:r w:rsidRPr="003815C9">
        <w:rPr>
          <w:color w:val="000000" w:themeColor="text1"/>
          <w:shd w:val="clear" w:color="auto" w:fill="FFFFFF"/>
        </w:rPr>
        <w:t xml:space="preserve">In conclusion, </w:t>
      </w:r>
      <w:r w:rsidR="003646F5" w:rsidRPr="003815C9">
        <w:rPr>
          <w:color w:val="000000" w:themeColor="text1"/>
          <w:shd w:val="clear" w:color="auto" w:fill="FFFFFF"/>
        </w:rPr>
        <w:t xml:space="preserve">cross-curricular approaches to teaching literacy, numeracy and digital competence </w:t>
      </w:r>
      <w:r w:rsidR="00DA4A49" w:rsidRPr="003815C9">
        <w:rPr>
          <w:color w:val="000000" w:themeColor="text1"/>
          <w:shd w:val="clear" w:color="auto" w:fill="FFFFFF"/>
        </w:rPr>
        <w:t xml:space="preserve">may </w:t>
      </w:r>
      <w:r w:rsidR="00041B8F" w:rsidRPr="003815C9">
        <w:rPr>
          <w:color w:val="000000" w:themeColor="text1"/>
          <w:shd w:val="clear" w:color="auto" w:fill="FFFFFF"/>
        </w:rPr>
        <w:t>support learners in acquiring</w:t>
      </w:r>
      <w:r w:rsidR="00DA4A49" w:rsidRPr="003815C9">
        <w:rPr>
          <w:color w:val="000000" w:themeColor="text1"/>
          <w:shd w:val="clear" w:color="auto" w:fill="FFFFFF"/>
        </w:rPr>
        <w:t xml:space="preserve"> such</w:t>
      </w:r>
      <w:r w:rsidR="00041B8F" w:rsidRPr="003815C9">
        <w:rPr>
          <w:color w:val="000000" w:themeColor="text1"/>
          <w:shd w:val="clear" w:color="auto" w:fill="FFFFFF"/>
        </w:rPr>
        <w:t xml:space="preserve"> skills by allowing th</w:t>
      </w:r>
      <w:r w:rsidR="00570A89" w:rsidRPr="003815C9">
        <w:rPr>
          <w:color w:val="000000" w:themeColor="text1"/>
          <w:shd w:val="clear" w:color="auto" w:fill="FFFFFF"/>
        </w:rPr>
        <w:t>ese skills</w:t>
      </w:r>
      <w:r w:rsidR="00041B8F" w:rsidRPr="003815C9">
        <w:rPr>
          <w:color w:val="000000" w:themeColor="text1"/>
          <w:shd w:val="clear" w:color="auto" w:fill="FFFFFF"/>
        </w:rPr>
        <w:t xml:space="preserve"> to be applied </w:t>
      </w:r>
      <w:r w:rsidR="00570A89" w:rsidRPr="003815C9">
        <w:rPr>
          <w:color w:val="000000" w:themeColor="text1"/>
          <w:shd w:val="clear" w:color="auto" w:fill="FFFFFF"/>
        </w:rPr>
        <w:t>within</w:t>
      </w:r>
      <w:r w:rsidR="00041B8F" w:rsidRPr="003815C9">
        <w:rPr>
          <w:color w:val="000000" w:themeColor="text1"/>
          <w:shd w:val="clear" w:color="auto" w:fill="FFFFFF"/>
        </w:rPr>
        <w:t xml:space="preserve"> various contexts (Pound and Lee, 2015). Furthermore, these disciplines may support learning within other subjects</w:t>
      </w:r>
      <w:r w:rsidR="00FD5244" w:rsidRPr="003815C9">
        <w:rPr>
          <w:color w:val="000000" w:themeColor="text1"/>
          <w:shd w:val="clear" w:color="auto" w:fill="FFFFFF"/>
        </w:rPr>
        <w:t xml:space="preserve">, </w:t>
      </w:r>
      <w:r w:rsidR="00041B8F" w:rsidRPr="003815C9">
        <w:rPr>
          <w:color w:val="000000" w:themeColor="text1"/>
          <w:shd w:val="clear" w:color="auto" w:fill="FFFFFF"/>
        </w:rPr>
        <w:t xml:space="preserve">with the use of technology supporting learners in </w:t>
      </w:r>
      <w:r w:rsidR="00041B8F" w:rsidRPr="003815C9">
        <w:rPr>
          <w:color w:val="000000" w:themeColor="text1"/>
          <w:shd w:val="clear" w:color="auto" w:fill="FFFFFF"/>
        </w:rPr>
        <w:lastRenderedPageBreak/>
        <w:t xml:space="preserve">accessing the curriculum in a way that both supports and challenges </w:t>
      </w:r>
      <w:r w:rsidR="00570A89" w:rsidRPr="003815C9">
        <w:rPr>
          <w:color w:val="000000" w:themeColor="text1"/>
          <w:shd w:val="clear" w:color="auto" w:fill="FFFFFF"/>
        </w:rPr>
        <w:t>children’s</w:t>
      </w:r>
      <w:r w:rsidR="00041B8F" w:rsidRPr="003815C9">
        <w:rPr>
          <w:color w:val="000000" w:themeColor="text1"/>
          <w:shd w:val="clear" w:color="auto" w:fill="FFFFFF"/>
        </w:rPr>
        <w:t xml:space="preserve"> understanding (Estyn, 2018b)</w:t>
      </w:r>
      <w:r w:rsidR="00FD5244" w:rsidRPr="003815C9">
        <w:rPr>
          <w:color w:val="000000" w:themeColor="text1"/>
          <w:shd w:val="clear" w:color="auto" w:fill="FFFFFF"/>
        </w:rPr>
        <w:t xml:space="preserve">, and </w:t>
      </w:r>
      <w:r w:rsidR="00FD5244" w:rsidRPr="003815C9">
        <w:rPr>
          <w:color w:val="000000" w:themeColor="text1"/>
          <w:shd w:val="clear" w:color="auto" w:fill="FFFFFF"/>
        </w:rPr>
        <w:t>literacy and numeracy be</w:t>
      </w:r>
      <w:r w:rsidR="00FD5244" w:rsidRPr="003815C9">
        <w:rPr>
          <w:color w:val="000000" w:themeColor="text1"/>
          <w:shd w:val="clear" w:color="auto" w:fill="FFFFFF"/>
        </w:rPr>
        <w:t>ing</w:t>
      </w:r>
      <w:r w:rsidR="00FD5244" w:rsidRPr="003815C9">
        <w:rPr>
          <w:color w:val="000000" w:themeColor="text1"/>
          <w:shd w:val="clear" w:color="auto" w:fill="FFFFFF"/>
        </w:rPr>
        <w:t xml:space="preserve"> </w:t>
      </w:r>
      <w:r w:rsidR="00DA4A49" w:rsidRPr="003815C9">
        <w:rPr>
          <w:color w:val="000000" w:themeColor="text1"/>
          <w:shd w:val="clear" w:color="auto" w:fill="FFFFFF"/>
        </w:rPr>
        <w:t>viewed</w:t>
      </w:r>
      <w:r w:rsidR="00FD5244" w:rsidRPr="003815C9">
        <w:rPr>
          <w:color w:val="000000" w:themeColor="text1"/>
          <w:shd w:val="clear" w:color="auto" w:fill="FFFFFF"/>
        </w:rPr>
        <w:t xml:space="preserve"> as </w:t>
      </w:r>
      <w:r w:rsidR="00DA4A49" w:rsidRPr="003815C9">
        <w:rPr>
          <w:color w:val="000000" w:themeColor="text1"/>
          <w:shd w:val="clear" w:color="auto" w:fill="FFFFFF"/>
        </w:rPr>
        <w:t>fundamental</w:t>
      </w:r>
      <w:r w:rsidR="00FD5244" w:rsidRPr="003815C9">
        <w:rPr>
          <w:color w:val="000000" w:themeColor="text1"/>
          <w:shd w:val="clear" w:color="auto" w:fill="FFFFFF"/>
        </w:rPr>
        <w:t xml:space="preserve"> to learning across the curriculum (</w:t>
      </w:r>
      <w:proofErr w:type="spellStart"/>
      <w:r w:rsidR="00FD5244" w:rsidRPr="003815C9">
        <w:rPr>
          <w:color w:val="000000" w:themeColor="text1"/>
          <w:shd w:val="clear" w:color="auto" w:fill="FFFFFF"/>
        </w:rPr>
        <w:t>Didau</w:t>
      </w:r>
      <w:proofErr w:type="spellEnd"/>
      <w:r w:rsidR="00FD5244" w:rsidRPr="003815C9">
        <w:rPr>
          <w:color w:val="000000" w:themeColor="text1"/>
          <w:shd w:val="clear" w:color="auto" w:fill="FFFFFF"/>
        </w:rPr>
        <w:t>, 2014, Pound and Lee, 2015)</w:t>
      </w:r>
      <w:r w:rsidR="00570A89" w:rsidRPr="003815C9">
        <w:rPr>
          <w:color w:val="000000" w:themeColor="text1"/>
          <w:shd w:val="clear" w:color="auto" w:fill="FFFFFF"/>
        </w:rPr>
        <w:t>.</w:t>
      </w:r>
      <w:r w:rsidR="00FD5244" w:rsidRPr="003815C9">
        <w:rPr>
          <w:color w:val="000000" w:themeColor="text1"/>
          <w:shd w:val="clear" w:color="auto" w:fill="FFFFFF"/>
        </w:rPr>
        <w:t xml:space="preserve"> </w:t>
      </w:r>
      <w:r w:rsidR="00570A89" w:rsidRPr="003815C9">
        <w:rPr>
          <w:color w:val="000000" w:themeColor="text1"/>
          <w:shd w:val="clear" w:color="auto" w:fill="FFFFFF"/>
        </w:rPr>
        <w:t>L</w:t>
      </w:r>
      <w:r w:rsidR="00FD5244" w:rsidRPr="003815C9">
        <w:rPr>
          <w:color w:val="000000" w:themeColor="text1"/>
          <w:shd w:val="clear" w:color="auto" w:fill="FFFFFF"/>
        </w:rPr>
        <w:t>anguage</w:t>
      </w:r>
      <w:r w:rsidR="00570A89" w:rsidRPr="003815C9">
        <w:rPr>
          <w:color w:val="000000" w:themeColor="text1"/>
          <w:shd w:val="clear" w:color="auto" w:fill="FFFFFF"/>
        </w:rPr>
        <w:t>, in particular,</w:t>
      </w:r>
      <w:r w:rsidR="00FD5244" w:rsidRPr="003815C9">
        <w:rPr>
          <w:color w:val="000000" w:themeColor="text1"/>
        </w:rPr>
        <w:t xml:space="preserve"> appear</w:t>
      </w:r>
      <w:r w:rsidR="00570A89" w:rsidRPr="003815C9">
        <w:rPr>
          <w:color w:val="000000" w:themeColor="text1"/>
        </w:rPr>
        <w:t>s</w:t>
      </w:r>
      <w:r w:rsidR="00FD5244" w:rsidRPr="003815C9">
        <w:rPr>
          <w:color w:val="000000" w:themeColor="text1"/>
        </w:rPr>
        <w:t xml:space="preserve"> to be an integral component, as </w:t>
      </w:r>
      <w:proofErr w:type="spellStart"/>
      <w:r w:rsidR="00FD5244" w:rsidRPr="003815C9">
        <w:rPr>
          <w:color w:val="000000" w:themeColor="text1"/>
        </w:rPr>
        <w:t>Didau</w:t>
      </w:r>
      <w:proofErr w:type="spellEnd"/>
      <w:r w:rsidR="00FD5244" w:rsidRPr="003815C9">
        <w:rPr>
          <w:color w:val="000000" w:themeColor="text1"/>
        </w:rPr>
        <w:t xml:space="preserve"> (2014, p.3) states “</w:t>
      </w:r>
      <w:r w:rsidR="00FD5244" w:rsidRPr="003815C9">
        <w:rPr>
          <w:color w:val="000000" w:themeColor="text1"/>
        </w:rPr>
        <w:t>the knowledge of the subject is the language of the subject”</w:t>
      </w:r>
      <w:r w:rsidR="00FD5244" w:rsidRPr="003815C9">
        <w:rPr>
          <w:color w:val="000000" w:themeColor="text1"/>
        </w:rPr>
        <w:t>.</w:t>
      </w:r>
      <w:r w:rsidR="00570A89" w:rsidRPr="003815C9">
        <w:rPr>
          <w:color w:val="000000" w:themeColor="text1"/>
        </w:rPr>
        <w:t xml:space="preserve"> The</w:t>
      </w:r>
      <w:r w:rsidR="00DA4A49" w:rsidRPr="003815C9">
        <w:rPr>
          <w:color w:val="000000" w:themeColor="text1"/>
        </w:rPr>
        <w:t xml:space="preserve"> reciprocal relationship between </w:t>
      </w:r>
      <w:r w:rsidR="00570A89" w:rsidRPr="003815C9">
        <w:rPr>
          <w:color w:val="000000" w:themeColor="text1"/>
        </w:rPr>
        <w:t>these disciplines</w:t>
      </w:r>
      <w:r w:rsidR="00DA4A49" w:rsidRPr="003815C9">
        <w:rPr>
          <w:color w:val="000000" w:themeColor="text1"/>
        </w:rPr>
        <w:t xml:space="preserve"> has led to the development of a personal target</w:t>
      </w:r>
      <w:r w:rsidR="00570A89" w:rsidRPr="003815C9">
        <w:rPr>
          <w:color w:val="000000" w:themeColor="text1"/>
        </w:rPr>
        <w:t>,</w:t>
      </w:r>
      <w:r w:rsidR="00DA4A49" w:rsidRPr="003815C9">
        <w:rPr>
          <w:color w:val="000000" w:themeColor="text1"/>
        </w:rPr>
        <w:t xml:space="preserve"> to ensure that I do not approach the </w:t>
      </w:r>
      <w:r w:rsidR="00570A89" w:rsidRPr="003815C9">
        <w:rPr>
          <w:color w:val="000000" w:themeColor="text1"/>
        </w:rPr>
        <w:t xml:space="preserve">skills within </w:t>
      </w:r>
      <w:r w:rsidR="00DA4A49" w:rsidRPr="003815C9">
        <w:rPr>
          <w:color w:val="000000" w:themeColor="text1"/>
        </w:rPr>
        <w:t>literacy, numeracy and digital competence as ends in themselves, but instead to pursue them as, “</w:t>
      </w:r>
      <w:r w:rsidR="00DA4A49" w:rsidRPr="003815C9">
        <w:rPr>
          <w:color w:val="000000" w:themeColor="text1"/>
        </w:rPr>
        <w:t>tools that allow us to enhance our understanding of important questions, topics and themes” (Gardner, 1999b as cited in Barnes, 2015, p.6).</w:t>
      </w:r>
    </w:p>
    <w:p w14:paraId="11F1C27E" w14:textId="1A29F320" w:rsidR="00784F3B" w:rsidRPr="003815C9" w:rsidRDefault="00570A89" w:rsidP="003815C9">
      <w:pPr>
        <w:pStyle w:val="NormalWeb"/>
        <w:spacing w:line="360" w:lineRule="auto"/>
        <w:rPr>
          <w:color w:val="000000" w:themeColor="text1"/>
          <w:shd w:val="clear" w:color="auto" w:fill="FFFFFF"/>
        </w:rPr>
      </w:pPr>
      <w:r w:rsidRPr="003815C9">
        <w:rPr>
          <w:color w:val="000000" w:themeColor="text1"/>
          <w:shd w:val="clear" w:color="auto" w:fill="FFFFFF"/>
        </w:rPr>
        <w:t>As teachers</w:t>
      </w:r>
      <w:r w:rsidR="00FD5244" w:rsidRPr="003815C9">
        <w:rPr>
          <w:color w:val="000000" w:themeColor="text1"/>
          <w:shd w:val="clear" w:color="auto" w:fill="FFFFFF"/>
        </w:rPr>
        <w:t xml:space="preserve"> face </w:t>
      </w:r>
      <w:r w:rsidRPr="003815C9">
        <w:rPr>
          <w:color w:val="000000" w:themeColor="text1"/>
          <w:shd w:val="clear" w:color="auto" w:fill="FFFFFF"/>
        </w:rPr>
        <w:t xml:space="preserve">the challenge of </w:t>
      </w:r>
      <w:r w:rsidR="00FD5244" w:rsidRPr="003815C9">
        <w:rPr>
          <w:color w:val="000000" w:themeColor="text1"/>
          <w:shd w:val="clear" w:color="auto" w:fill="FFFFFF"/>
        </w:rPr>
        <w:t>ho</w:t>
      </w:r>
      <w:r w:rsidRPr="003815C9">
        <w:rPr>
          <w:color w:val="000000" w:themeColor="text1"/>
          <w:shd w:val="clear" w:color="auto" w:fill="FFFFFF"/>
        </w:rPr>
        <w:t>w</w:t>
      </w:r>
      <w:r w:rsidR="00FD5244" w:rsidRPr="003815C9">
        <w:rPr>
          <w:color w:val="000000" w:themeColor="text1"/>
          <w:shd w:val="clear" w:color="auto" w:fill="FFFFFF"/>
        </w:rPr>
        <w:t xml:space="preserve"> to ensure that children make sufficient progress when utilising a cross-curricular approach (Grigg, 2015)</w:t>
      </w:r>
      <w:r w:rsidRPr="003815C9">
        <w:rPr>
          <w:color w:val="000000" w:themeColor="text1"/>
          <w:shd w:val="clear" w:color="auto" w:fill="FFFFFF"/>
        </w:rPr>
        <w:t>, their</w:t>
      </w:r>
      <w:r w:rsidR="00FD5244" w:rsidRPr="003815C9">
        <w:rPr>
          <w:color w:val="000000" w:themeColor="text1"/>
          <w:shd w:val="clear" w:color="auto" w:fill="FFFFFF"/>
        </w:rPr>
        <w:t xml:space="preserve"> understanding of the specific skills they wish to develop, and the strategies that they will use to support this process</w:t>
      </w:r>
      <w:r w:rsidR="00DA4A49" w:rsidRPr="003815C9">
        <w:rPr>
          <w:color w:val="000000" w:themeColor="text1"/>
          <w:shd w:val="clear" w:color="auto" w:fill="FFFFFF"/>
        </w:rPr>
        <w:t xml:space="preserve"> may play</w:t>
      </w:r>
      <w:r w:rsidR="00FD5244" w:rsidRPr="003815C9">
        <w:rPr>
          <w:color w:val="000000" w:themeColor="text1"/>
          <w:shd w:val="clear" w:color="auto" w:fill="FFFFFF"/>
        </w:rPr>
        <w:t xml:space="preserve"> a key role in securing </w:t>
      </w:r>
      <w:r w:rsidR="00DA4A49" w:rsidRPr="003815C9">
        <w:rPr>
          <w:color w:val="000000" w:themeColor="text1"/>
          <w:shd w:val="clear" w:color="auto" w:fill="FFFFFF"/>
        </w:rPr>
        <w:t xml:space="preserve">such </w:t>
      </w:r>
      <w:r w:rsidR="00FD5244" w:rsidRPr="003815C9">
        <w:rPr>
          <w:color w:val="000000" w:themeColor="text1"/>
          <w:shd w:val="clear" w:color="auto" w:fill="FFFFFF"/>
        </w:rPr>
        <w:t>progress (Barnes, 2015, Haylock and Cockburn, 2013, Donaldson, 2015).</w:t>
      </w:r>
      <w:r w:rsidR="00570F71" w:rsidRPr="003815C9">
        <w:rPr>
          <w:color w:val="000000" w:themeColor="text1"/>
          <w:shd w:val="clear" w:color="auto" w:fill="FFFFFF"/>
        </w:rPr>
        <w:t xml:space="preserve"> Therefore, it may be recommended that all teachers </w:t>
      </w:r>
      <w:r w:rsidR="00570F71" w:rsidRPr="003815C9">
        <w:rPr>
          <w:color w:val="000000" w:themeColor="text1"/>
        </w:rPr>
        <w:t>“clarify the specific new learning aims for the transferable subject as well as those for its partner subject” (Barnes, 2015, p. 69)</w:t>
      </w:r>
      <w:r w:rsidR="00570F71" w:rsidRPr="003815C9">
        <w:rPr>
          <w:color w:val="000000" w:themeColor="text1"/>
        </w:rPr>
        <w:t xml:space="preserve"> when planning for the delivery of literacy, numeracy and digital competence as cross-curricular responsibilities. </w:t>
      </w:r>
    </w:p>
    <w:p w14:paraId="5660C427" w14:textId="77777777" w:rsidR="00570A89" w:rsidRPr="003815C9" w:rsidRDefault="00570A89" w:rsidP="003815C9">
      <w:pPr>
        <w:pStyle w:val="NormalWeb"/>
        <w:spacing w:line="360" w:lineRule="auto"/>
        <w:rPr>
          <w:color w:val="000000" w:themeColor="text1"/>
          <w:shd w:val="clear" w:color="auto" w:fill="FFFFFF"/>
        </w:rPr>
      </w:pPr>
    </w:p>
    <w:p w14:paraId="2EC3BA82" w14:textId="5951E87A" w:rsidR="00784F3B" w:rsidRPr="003815C9" w:rsidRDefault="003646F5" w:rsidP="003815C9">
      <w:pPr>
        <w:pStyle w:val="NormalWeb"/>
        <w:spacing w:line="360" w:lineRule="auto"/>
        <w:rPr>
          <w:color w:val="000000" w:themeColor="text1"/>
        </w:rPr>
      </w:pPr>
      <w:r w:rsidRPr="003815C9">
        <w:rPr>
          <w:color w:val="000000" w:themeColor="text1"/>
        </w:rPr>
        <w:t xml:space="preserve">Word count: </w:t>
      </w:r>
      <w:r w:rsidR="00570A89" w:rsidRPr="003815C9">
        <w:rPr>
          <w:color w:val="000000" w:themeColor="text1"/>
        </w:rPr>
        <w:t>2,723.</w:t>
      </w:r>
    </w:p>
    <w:p w14:paraId="36508822" w14:textId="0DBE8195" w:rsidR="00570A89" w:rsidRPr="003815C9" w:rsidRDefault="00570A89" w:rsidP="003815C9">
      <w:pPr>
        <w:pStyle w:val="NormalWeb"/>
        <w:spacing w:line="360" w:lineRule="auto"/>
        <w:rPr>
          <w:color w:val="000000" w:themeColor="text1"/>
        </w:rPr>
      </w:pPr>
    </w:p>
    <w:p w14:paraId="607DF8D5" w14:textId="5BBFFD10" w:rsidR="00570A89" w:rsidRPr="003815C9" w:rsidRDefault="00570A89" w:rsidP="003815C9">
      <w:pPr>
        <w:pStyle w:val="NormalWeb"/>
        <w:spacing w:line="360" w:lineRule="auto"/>
        <w:rPr>
          <w:color w:val="000000" w:themeColor="text1"/>
        </w:rPr>
      </w:pPr>
    </w:p>
    <w:p w14:paraId="6F5C280D" w14:textId="3D796160" w:rsidR="00570A89" w:rsidRPr="003815C9" w:rsidRDefault="00570A89" w:rsidP="003815C9">
      <w:pPr>
        <w:pStyle w:val="NormalWeb"/>
        <w:spacing w:line="360" w:lineRule="auto"/>
        <w:rPr>
          <w:color w:val="000000" w:themeColor="text1"/>
        </w:rPr>
      </w:pPr>
    </w:p>
    <w:p w14:paraId="74997404" w14:textId="3E04BCFB" w:rsidR="00570A89" w:rsidRPr="003815C9" w:rsidRDefault="00570A89" w:rsidP="003815C9">
      <w:pPr>
        <w:pStyle w:val="NormalWeb"/>
        <w:spacing w:line="360" w:lineRule="auto"/>
        <w:rPr>
          <w:color w:val="000000" w:themeColor="text1"/>
        </w:rPr>
      </w:pPr>
    </w:p>
    <w:p w14:paraId="56D2C904" w14:textId="6F768481" w:rsidR="00570A89" w:rsidRPr="003815C9" w:rsidRDefault="00570A89" w:rsidP="003815C9">
      <w:pPr>
        <w:pStyle w:val="NormalWeb"/>
        <w:spacing w:line="360" w:lineRule="auto"/>
        <w:rPr>
          <w:color w:val="000000" w:themeColor="text1"/>
        </w:rPr>
      </w:pPr>
    </w:p>
    <w:p w14:paraId="30C631D7" w14:textId="3E72CB04" w:rsidR="00570A89" w:rsidRDefault="00570A89" w:rsidP="009F54EA">
      <w:pPr>
        <w:pStyle w:val="NormalWeb"/>
        <w:spacing w:line="360" w:lineRule="auto"/>
      </w:pPr>
    </w:p>
    <w:p w14:paraId="54E31DFC" w14:textId="77777777" w:rsidR="00570A89" w:rsidRDefault="00570A89" w:rsidP="009F54EA">
      <w:pPr>
        <w:pStyle w:val="NormalWeb"/>
        <w:spacing w:line="360" w:lineRule="auto"/>
      </w:pPr>
    </w:p>
    <w:sdt>
      <w:sdtPr>
        <w:id w:val="-111668171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4BB7A782" w14:textId="0C7F891B" w:rsidR="00570A89" w:rsidRDefault="00570A89">
          <w:pPr>
            <w:pStyle w:val="Heading1"/>
          </w:pPr>
          <w:r>
            <w:t>Reference List</w:t>
          </w:r>
        </w:p>
        <w:sdt>
          <w:sdtPr>
            <w:id w:val="111145805"/>
            <w:bibliography/>
          </w:sdtPr>
          <w:sdtContent>
            <w:p w14:paraId="0D49BB04" w14:textId="77777777" w:rsidR="00570A89" w:rsidRDefault="00570A89" w:rsidP="00570A89">
              <w:pPr>
                <w:pStyle w:val="Bibliography"/>
                <w:rPr>
                  <w:noProof/>
                  <w:lang w:val="en-US"/>
                </w:rPr>
              </w:pPr>
              <w:r>
                <w:fldChar w:fldCharType="begin"/>
              </w:r>
              <w:r>
                <w:instrText xml:space="preserve"> BIBLIOGRAPHY </w:instrText>
              </w:r>
              <w:r>
                <w:fldChar w:fldCharType="separate"/>
              </w:r>
              <w:r>
                <w:rPr>
                  <w:noProof/>
                  <w:lang w:val="en-US"/>
                </w:rPr>
                <w:t xml:space="preserve">Arthur, S., Crick, T. &amp; Hayward, J., 2013. </w:t>
              </w:r>
              <w:r>
                <w:rPr>
                  <w:i/>
                  <w:iCs/>
                  <w:noProof/>
                  <w:lang w:val="en-US"/>
                </w:rPr>
                <w:t xml:space="preserve">THE ICT STEERING GROUP’S REPORT TO THE WELSH GOVERNMENT. </w:t>
              </w:r>
              <w:r>
                <w:rPr>
                  <w:noProof/>
                  <w:lang w:val="en-US"/>
                </w:rPr>
                <w:t xml:space="preserve">[Online] </w:t>
              </w:r>
              <w:r>
                <w:rPr>
                  <w:noProof/>
                  <w:lang w:val="en-US"/>
                </w:rPr>
                <w:br/>
                <w:t xml:space="preserve">Available at: </w:t>
              </w:r>
              <w:r>
                <w:rPr>
                  <w:noProof/>
                  <w:u w:val="single"/>
                  <w:lang w:val="en-US"/>
                </w:rPr>
                <w:t>http;//learning.gov.wales/docs/learningwales/publications/131003-ict-steering-group-report-en.pdf</w:t>
              </w:r>
              <w:r>
                <w:rPr>
                  <w:noProof/>
                  <w:lang w:val="en-US"/>
                </w:rPr>
                <w:br/>
                <w:t>[Accessed 27 November 2018].</w:t>
              </w:r>
            </w:p>
            <w:p w14:paraId="60982F57" w14:textId="77777777" w:rsidR="00570A89" w:rsidRDefault="00570A89" w:rsidP="00570A89">
              <w:pPr>
                <w:pStyle w:val="Bibliography"/>
                <w:rPr>
                  <w:noProof/>
                  <w:lang w:val="en-US"/>
                </w:rPr>
              </w:pPr>
              <w:r>
                <w:rPr>
                  <w:noProof/>
                  <w:lang w:val="en-US"/>
                </w:rPr>
                <w:t xml:space="preserve">Askew, M., 2012. </w:t>
              </w:r>
              <w:r>
                <w:rPr>
                  <w:i/>
                  <w:iCs/>
                  <w:noProof/>
                  <w:lang w:val="en-US"/>
                </w:rPr>
                <w:t xml:space="preserve">Transforming Primary Mathematics. </w:t>
              </w:r>
              <w:r>
                <w:rPr>
                  <w:noProof/>
                  <w:lang w:val="en-US"/>
                </w:rPr>
                <w:t>Oxon: Routledge, Taylor &amp; Francis Group.</w:t>
              </w:r>
            </w:p>
            <w:p w14:paraId="495D00DC" w14:textId="77777777" w:rsidR="00570A89" w:rsidRDefault="00570A89" w:rsidP="00570A89">
              <w:pPr>
                <w:pStyle w:val="Bibliography"/>
                <w:rPr>
                  <w:noProof/>
                  <w:lang w:val="en-US"/>
                </w:rPr>
              </w:pPr>
              <w:r>
                <w:rPr>
                  <w:noProof/>
                  <w:lang w:val="en-US"/>
                </w:rPr>
                <w:t xml:space="preserve">Barnes, J., 2015. </w:t>
              </w:r>
              <w:r>
                <w:rPr>
                  <w:i/>
                  <w:iCs/>
                  <w:noProof/>
                  <w:lang w:val="en-US"/>
                </w:rPr>
                <w:t xml:space="preserve">Cross-Curricular Learning 3-14. </w:t>
              </w:r>
              <w:r>
                <w:rPr>
                  <w:noProof/>
                  <w:lang w:val="en-US"/>
                </w:rPr>
                <w:t>3rd Edition ed. London: Sage.</w:t>
              </w:r>
            </w:p>
            <w:p w14:paraId="0FF6D31D" w14:textId="77777777" w:rsidR="00570A89" w:rsidRDefault="00570A89" w:rsidP="00570A89">
              <w:pPr>
                <w:pStyle w:val="Bibliography"/>
                <w:rPr>
                  <w:noProof/>
                  <w:lang w:val="en-US"/>
                </w:rPr>
              </w:pPr>
              <w:r>
                <w:rPr>
                  <w:noProof/>
                  <w:lang w:val="en-US"/>
                </w:rPr>
                <w:t xml:space="preserve">Beetham, H. &amp; Sharpe, R., 2007. </w:t>
              </w:r>
              <w:r>
                <w:rPr>
                  <w:i/>
                  <w:iCs/>
                  <w:noProof/>
                  <w:lang w:val="en-US"/>
                </w:rPr>
                <w:t xml:space="preserve">Rethinking Pedagogy for a Digital Age. </w:t>
              </w:r>
              <w:r>
                <w:rPr>
                  <w:noProof/>
                  <w:lang w:val="en-US"/>
                </w:rPr>
                <w:t>Oxon: Routledge.</w:t>
              </w:r>
            </w:p>
            <w:p w14:paraId="0B0DB530" w14:textId="77777777" w:rsidR="00570A89" w:rsidRDefault="00570A89" w:rsidP="00570A89">
              <w:pPr>
                <w:pStyle w:val="Bibliography"/>
                <w:rPr>
                  <w:noProof/>
                  <w:lang w:val="en-US"/>
                </w:rPr>
              </w:pPr>
              <w:r>
                <w:rPr>
                  <w:noProof/>
                  <w:lang w:val="en-US"/>
                </w:rPr>
                <w:t xml:space="preserve">Cross, K. P., 1999. </w:t>
              </w:r>
              <w:r>
                <w:rPr>
                  <w:i/>
                  <w:iCs/>
                  <w:noProof/>
                  <w:lang w:val="en-US"/>
                </w:rPr>
                <w:t xml:space="preserve">Learning Is About Making Conections, </w:t>
              </w:r>
              <w:r>
                <w:rPr>
                  <w:noProof/>
                  <w:lang w:val="en-US"/>
                </w:rPr>
                <w:t>Princeton: Alliance for Community College Innovation.</w:t>
              </w:r>
            </w:p>
            <w:p w14:paraId="27ECA803" w14:textId="77777777" w:rsidR="00570A89" w:rsidRDefault="00570A89" w:rsidP="00570A89">
              <w:pPr>
                <w:pStyle w:val="Bibliography"/>
                <w:rPr>
                  <w:noProof/>
                  <w:lang w:val="en-US"/>
                </w:rPr>
              </w:pPr>
              <w:r>
                <w:rPr>
                  <w:noProof/>
                  <w:lang w:val="en-US"/>
                </w:rPr>
                <w:t xml:space="preserve">Didau, D., 2014. </w:t>
              </w:r>
              <w:r>
                <w:rPr>
                  <w:i/>
                  <w:iCs/>
                  <w:noProof/>
                  <w:lang w:val="en-US"/>
                </w:rPr>
                <w:t xml:space="preserve">The Secret of Literacy : Making the implicit explicit. </w:t>
              </w:r>
              <w:r>
                <w:rPr>
                  <w:noProof/>
                  <w:lang w:val="en-US"/>
                </w:rPr>
                <w:t>Carmarthen: Crown House Publishing.</w:t>
              </w:r>
            </w:p>
            <w:p w14:paraId="3CF6500F" w14:textId="77777777" w:rsidR="00570A89" w:rsidRDefault="00570A89" w:rsidP="00570A89">
              <w:pPr>
                <w:pStyle w:val="Bibliography"/>
                <w:rPr>
                  <w:noProof/>
                  <w:lang w:val="en-US"/>
                </w:rPr>
              </w:pPr>
              <w:r>
                <w:rPr>
                  <w:noProof/>
                  <w:lang w:val="en-US"/>
                </w:rPr>
                <w:t xml:space="preserve">Doherty, J. &amp; Hughes, M., 2014. </w:t>
              </w:r>
              <w:r>
                <w:rPr>
                  <w:i/>
                  <w:iCs/>
                  <w:noProof/>
                  <w:lang w:val="en-US"/>
                </w:rPr>
                <w:t xml:space="preserve">Child Development Theory and Practice 0-11. </w:t>
              </w:r>
              <w:r>
                <w:rPr>
                  <w:noProof/>
                  <w:lang w:val="en-US"/>
                </w:rPr>
                <w:t>2nd Edition ed. Harlow: Pearson Education Limited.</w:t>
              </w:r>
            </w:p>
            <w:p w14:paraId="506A288A" w14:textId="77777777" w:rsidR="00570A89" w:rsidRDefault="00570A89" w:rsidP="00570A89">
              <w:pPr>
                <w:pStyle w:val="Bibliography"/>
                <w:rPr>
                  <w:noProof/>
                  <w:lang w:val="en-US"/>
                </w:rPr>
              </w:pPr>
              <w:r>
                <w:rPr>
                  <w:noProof/>
                  <w:lang w:val="en-US"/>
                </w:rPr>
                <w:t xml:space="preserve">Dombey, H., 2013a. </w:t>
              </w:r>
              <w:r>
                <w:rPr>
                  <w:i/>
                  <w:iCs/>
                  <w:noProof/>
                  <w:lang w:val="en-US"/>
                </w:rPr>
                <w:t xml:space="preserve">Teaching Writing: What the evidence says. </w:t>
              </w:r>
              <w:r>
                <w:rPr>
                  <w:noProof/>
                  <w:lang w:val="en-US"/>
                </w:rPr>
                <w:t>Leicester: United Kingdom Literacy Association.</w:t>
              </w:r>
            </w:p>
            <w:p w14:paraId="13A20EDA" w14:textId="77777777" w:rsidR="00570A89" w:rsidRDefault="00570A89" w:rsidP="00570A89">
              <w:pPr>
                <w:pStyle w:val="Bibliography"/>
                <w:rPr>
                  <w:noProof/>
                  <w:lang w:val="en-US"/>
                </w:rPr>
              </w:pPr>
              <w:r>
                <w:rPr>
                  <w:noProof/>
                  <w:lang w:val="en-US"/>
                </w:rPr>
                <w:t xml:space="preserve">Dombey, H., 2013b. What we know about teaching writing. </w:t>
              </w:r>
              <w:r>
                <w:rPr>
                  <w:i/>
                  <w:iCs/>
                  <w:noProof/>
                  <w:lang w:val="en-US"/>
                </w:rPr>
                <w:t xml:space="preserve">Preschool &amp; Primary Education, </w:t>
              </w:r>
              <w:r>
                <w:rPr>
                  <w:noProof/>
                  <w:lang w:val="en-US"/>
                </w:rPr>
                <w:t>1(1), pp. 22-40.</w:t>
              </w:r>
            </w:p>
            <w:p w14:paraId="4B207712" w14:textId="77777777" w:rsidR="00570A89" w:rsidRDefault="00570A89" w:rsidP="00570A89">
              <w:pPr>
                <w:pStyle w:val="Bibliography"/>
                <w:rPr>
                  <w:noProof/>
                  <w:lang w:val="en-US"/>
                </w:rPr>
              </w:pPr>
              <w:r>
                <w:rPr>
                  <w:noProof/>
                  <w:lang w:val="en-US"/>
                </w:rPr>
                <w:t xml:space="preserve">Donaldson, G., 2015. </w:t>
              </w:r>
              <w:r>
                <w:rPr>
                  <w:i/>
                  <w:iCs/>
                  <w:noProof/>
                  <w:lang w:val="en-US"/>
                </w:rPr>
                <w:t xml:space="preserve">Successful Futures. </w:t>
              </w:r>
              <w:r>
                <w:rPr>
                  <w:noProof/>
                  <w:lang w:val="en-US"/>
                </w:rPr>
                <w:t xml:space="preserve">[Online] </w:t>
              </w:r>
              <w:r>
                <w:rPr>
                  <w:noProof/>
                  <w:lang w:val="en-US"/>
                </w:rPr>
                <w:br/>
                <w:t xml:space="preserve">Available at: </w:t>
              </w:r>
              <w:r>
                <w:rPr>
                  <w:noProof/>
                  <w:u w:val="single"/>
                  <w:lang w:val="en-US"/>
                </w:rPr>
                <w:t>https://gov.wales/docs/dcells/publications/150225-successful-futures-en.pdf</w:t>
              </w:r>
              <w:r>
                <w:rPr>
                  <w:noProof/>
                  <w:lang w:val="en-US"/>
                </w:rPr>
                <w:br/>
                <w:t>[Accessed November 2018].</w:t>
              </w:r>
            </w:p>
            <w:p w14:paraId="3784B805" w14:textId="77777777" w:rsidR="00570A89" w:rsidRDefault="00570A89" w:rsidP="00570A89">
              <w:pPr>
                <w:pStyle w:val="Bibliography"/>
                <w:rPr>
                  <w:noProof/>
                  <w:lang w:val="en-US"/>
                </w:rPr>
              </w:pPr>
              <w:r>
                <w:rPr>
                  <w:noProof/>
                  <w:lang w:val="en-US"/>
                </w:rPr>
                <w:t xml:space="preserve">Education, H., 2014. Promote creativity and creative learning in young children: Unit CYPOP 7. In: </w:t>
              </w:r>
              <w:r>
                <w:rPr>
                  <w:i/>
                  <w:iCs/>
                  <w:noProof/>
                  <w:lang w:val="en-US"/>
                </w:rPr>
                <w:t xml:space="preserve">Children &amp; Young People‘s Workforce Diploma. </w:t>
              </w:r>
              <w:r>
                <w:rPr>
                  <w:noProof/>
                  <w:lang w:val="en-US"/>
                </w:rPr>
                <w:t>s.l.:Hodder Education, pp. 1-26.</w:t>
              </w:r>
            </w:p>
            <w:p w14:paraId="7994606B" w14:textId="77777777" w:rsidR="00570A89" w:rsidRDefault="00570A89" w:rsidP="00570A89">
              <w:pPr>
                <w:pStyle w:val="Bibliography"/>
                <w:rPr>
                  <w:noProof/>
                  <w:lang w:val="en-US"/>
                </w:rPr>
              </w:pPr>
              <w:r>
                <w:rPr>
                  <w:noProof/>
                  <w:lang w:val="en-US"/>
                </w:rPr>
                <w:t xml:space="preserve">Estyn, 2017. </w:t>
              </w:r>
              <w:r>
                <w:rPr>
                  <w:i/>
                  <w:iCs/>
                  <w:noProof/>
                  <w:lang w:val="en-US"/>
                </w:rPr>
                <w:t xml:space="preserve">The Annual Report of Her Majesty's Chief Inspector of Education and Training in Wales 2016-2017, </w:t>
              </w:r>
              <w:r>
                <w:rPr>
                  <w:noProof/>
                  <w:lang w:val="en-US"/>
                </w:rPr>
                <w:t>s.l.: Estyn.</w:t>
              </w:r>
            </w:p>
            <w:p w14:paraId="4C43E973" w14:textId="77777777" w:rsidR="00570A89" w:rsidRDefault="00570A89" w:rsidP="00570A89">
              <w:pPr>
                <w:pStyle w:val="Bibliography"/>
                <w:rPr>
                  <w:noProof/>
                  <w:lang w:val="en-US"/>
                </w:rPr>
              </w:pPr>
              <w:r>
                <w:rPr>
                  <w:noProof/>
                  <w:lang w:val="en-US"/>
                </w:rPr>
                <w:t xml:space="preserve">Estyn, 2018a. </w:t>
              </w:r>
              <w:r>
                <w:rPr>
                  <w:i/>
                  <w:iCs/>
                  <w:noProof/>
                  <w:lang w:val="en-US"/>
                </w:rPr>
                <w:t xml:space="preserve">The Annual Report of Her Majesty’s Chief Inspector of Education and Training in Wales 2017-2018. </w:t>
              </w:r>
              <w:r>
                <w:rPr>
                  <w:noProof/>
                  <w:lang w:val="en-US"/>
                </w:rPr>
                <w:t xml:space="preserve">[Online] </w:t>
              </w:r>
              <w:r>
                <w:rPr>
                  <w:noProof/>
                  <w:lang w:val="en-US"/>
                </w:rPr>
                <w:br/>
                <w:t xml:space="preserve">Available at: </w:t>
              </w:r>
              <w:r>
                <w:rPr>
                  <w:noProof/>
                  <w:u w:val="single"/>
                  <w:lang w:val="en-US"/>
                </w:rPr>
                <w:t>https://www.estyn.gov.wales/sites/default/files/documents/ESTYN_Annual%20Report_Accessible_English__2018.pdf</w:t>
              </w:r>
              <w:r>
                <w:rPr>
                  <w:noProof/>
                  <w:lang w:val="en-US"/>
                </w:rPr>
                <w:br/>
                <w:t>[Accessed 09 December 2018].</w:t>
              </w:r>
            </w:p>
            <w:p w14:paraId="645FAEED" w14:textId="77777777" w:rsidR="00570A89" w:rsidRDefault="00570A89" w:rsidP="00570A89">
              <w:pPr>
                <w:pStyle w:val="Bibliography"/>
                <w:rPr>
                  <w:noProof/>
                  <w:lang w:val="en-US"/>
                </w:rPr>
              </w:pPr>
              <w:r>
                <w:rPr>
                  <w:noProof/>
                  <w:lang w:val="en-US"/>
                </w:rPr>
                <w:t xml:space="preserve">Estyn, 2018b. </w:t>
              </w:r>
              <w:r>
                <w:rPr>
                  <w:i/>
                  <w:iCs/>
                  <w:noProof/>
                  <w:lang w:val="en-US"/>
                </w:rPr>
                <w:t xml:space="preserve">Preparing for the Digital Competence Framework (DCF). </w:t>
              </w:r>
              <w:r>
                <w:rPr>
                  <w:noProof/>
                  <w:lang w:val="en-US"/>
                </w:rPr>
                <w:t xml:space="preserve">[Online] </w:t>
              </w:r>
              <w:r>
                <w:rPr>
                  <w:noProof/>
                  <w:lang w:val="en-US"/>
                </w:rPr>
                <w:br/>
                <w:t xml:space="preserve">Available at: </w:t>
              </w:r>
              <w:r>
                <w:rPr>
                  <w:noProof/>
                  <w:u w:val="single"/>
                  <w:lang w:val="en-US"/>
                </w:rPr>
                <w:t>https://www.estyn.gov.wales/thematic-reports/preparing-digital-competence-framework-dcf</w:t>
              </w:r>
              <w:r>
                <w:rPr>
                  <w:noProof/>
                  <w:lang w:val="en-US"/>
                </w:rPr>
                <w:br/>
                <w:t>[Accessed 20 November 2018b].</w:t>
              </w:r>
            </w:p>
            <w:p w14:paraId="45C6A53F" w14:textId="77777777" w:rsidR="00570A89" w:rsidRDefault="00570A89" w:rsidP="00570A89">
              <w:pPr>
                <w:pStyle w:val="Bibliography"/>
                <w:rPr>
                  <w:noProof/>
                  <w:lang w:val="en-US"/>
                </w:rPr>
              </w:pPr>
              <w:r>
                <w:rPr>
                  <w:noProof/>
                  <w:lang w:val="en-US"/>
                </w:rPr>
                <w:t xml:space="preserve">Foundation, E. E., 2017. </w:t>
              </w:r>
              <w:r>
                <w:rPr>
                  <w:i/>
                  <w:iCs/>
                  <w:noProof/>
                  <w:lang w:val="en-US"/>
                </w:rPr>
                <w:t xml:space="preserve">Improving literacy in Key Stage 2, </w:t>
              </w:r>
              <w:r>
                <w:rPr>
                  <w:noProof/>
                  <w:lang w:val="en-US"/>
                </w:rPr>
                <w:t>London: Education Endowment Foundation.</w:t>
              </w:r>
            </w:p>
            <w:p w14:paraId="70BE31FB" w14:textId="77777777" w:rsidR="00570A89" w:rsidRDefault="00570A89" w:rsidP="00570A89">
              <w:pPr>
                <w:pStyle w:val="Bibliography"/>
                <w:rPr>
                  <w:noProof/>
                  <w:lang w:val="en-US"/>
                </w:rPr>
              </w:pPr>
              <w:r>
                <w:rPr>
                  <w:noProof/>
                  <w:lang w:val="en-US"/>
                </w:rPr>
                <w:t xml:space="preserve">Government, W. A., 2013.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http://learning.gov.wales/docs/learningwales/publications/130415-lnf-guidance-en.pdf</w:t>
              </w:r>
              <w:r>
                <w:rPr>
                  <w:noProof/>
                  <w:lang w:val="en-US"/>
                </w:rPr>
                <w:br/>
                <w:t>[Accessed 01 November 2018].</w:t>
              </w:r>
            </w:p>
            <w:p w14:paraId="4B90710E" w14:textId="77777777" w:rsidR="00570A89" w:rsidRDefault="00570A89" w:rsidP="00570A89">
              <w:pPr>
                <w:pStyle w:val="Bibliography"/>
                <w:rPr>
                  <w:noProof/>
                  <w:lang w:val="en-US"/>
                </w:rPr>
              </w:pPr>
              <w:r>
                <w:rPr>
                  <w:noProof/>
                  <w:lang w:val="en-US"/>
                </w:rPr>
                <w:t xml:space="preserve">Government, W. A., 2017a. </w:t>
              </w:r>
              <w:r>
                <w:rPr>
                  <w:i/>
                  <w:iCs/>
                  <w:noProof/>
                  <w:lang w:val="en-US"/>
                </w:rPr>
                <w:t xml:space="preserve">Education in Wales: Our national mission. </w:t>
              </w:r>
              <w:r>
                <w:rPr>
                  <w:noProof/>
                  <w:lang w:val="en-US"/>
                </w:rPr>
                <w:t xml:space="preserve">[Online] </w:t>
              </w:r>
              <w:r>
                <w:rPr>
                  <w:noProof/>
                  <w:lang w:val="en-US"/>
                </w:rPr>
                <w:br/>
                <w:t xml:space="preserve">Available at: </w:t>
              </w:r>
              <w:r>
                <w:rPr>
                  <w:noProof/>
                  <w:u w:val="single"/>
                  <w:lang w:val="en-US"/>
                </w:rPr>
                <w:t>https://beta.gov.wales/sites/default/files/publications/2018-03/education-in-wales-our-national-mission.pdf</w:t>
              </w:r>
              <w:r>
                <w:rPr>
                  <w:noProof/>
                  <w:lang w:val="en-US"/>
                </w:rPr>
                <w:br/>
                <w:t>[Accessed November 2018].</w:t>
              </w:r>
            </w:p>
            <w:p w14:paraId="7F4DFE20" w14:textId="77777777" w:rsidR="00570A89" w:rsidRDefault="00570A89" w:rsidP="00570A89">
              <w:pPr>
                <w:pStyle w:val="Bibliography"/>
                <w:rPr>
                  <w:noProof/>
                  <w:lang w:val="en-US"/>
                </w:rPr>
              </w:pPr>
              <w:r>
                <w:rPr>
                  <w:noProof/>
                  <w:lang w:val="en-US"/>
                </w:rPr>
                <w:lastRenderedPageBreak/>
                <w:t xml:space="preserve">Government, W. A., 2017b. </w:t>
              </w:r>
              <w:r>
                <w:rPr>
                  <w:i/>
                  <w:iCs/>
                  <w:noProof/>
                  <w:lang w:val="en-US"/>
                </w:rPr>
                <w:t xml:space="preserve">Literacy and numeracy:Your questions answered. </w:t>
              </w:r>
              <w:r>
                <w:rPr>
                  <w:noProof/>
                  <w:lang w:val="en-US"/>
                </w:rPr>
                <w:t xml:space="preserve">[Online] </w:t>
              </w:r>
              <w:r>
                <w:rPr>
                  <w:noProof/>
                  <w:lang w:val="en-US"/>
                </w:rPr>
                <w:br/>
                <w:t xml:space="preserve">Available at: </w:t>
              </w:r>
              <w:r>
                <w:rPr>
                  <w:noProof/>
                  <w:u w:val="single"/>
                  <w:lang w:val="en-US"/>
                </w:rPr>
                <w:t>http://learning.gov.wales/docs/learningwales/publications/170425-your-questions-answered-en.pdf</w:t>
              </w:r>
              <w:r>
                <w:rPr>
                  <w:noProof/>
                  <w:lang w:val="en-US"/>
                </w:rPr>
                <w:br/>
                <w:t>[Accessed 19 November 2018].</w:t>
              </w:r>
            </w:p>
            <w:p w14:paraId="6E1AFBDF" w14:textId="77777777" w:rsidR="00570A89" w:rsidRDefault="00570A89" w:rsidP="00570A89">
              <w:pPr>
                <w:pStyle w:val="Bibliography"/>
                <w:rPr>
                  <w:noProof/>
                  <w:lang w:val="en-US"/>
                </w:rPr>
              </w:pPr>
              <w:r>
                <w:rPr>
                  <w:noProof/>
                  <w:lang w:val="en-US"/>
                </w:rPr>
                <w:t xml:space="preserve">Government, W. A., 2018. </w:t>
              </w:r>
              <w:r>
                <w:rPr>
                  <w:i/>
                  <w:iCs/>
                  <w:noProof/>
                  <w:lang w:val="en-US"/>
                </w:rPr>
                <w:t xml:space="preserve">Digital Competence Framework guidance - Update. </w:t>
              </w:r>
              <w:r>
                <w:rPr>
                  <w:noProof/>
                  <w:lang w:val="en-US"/>
                </w:rPr>
                <w:t xml:space="preserve">[Online] </w:t>
              </w:r>
              <w:r>
                <w:rPr>
                  <w:noProof/>
                  <w:lang w:val="en-US"/>
                </w:rPr>
                <w:br/>
                <w:t xml:space="preserve">Available at: </w:t>
              </w:r>
              <w:r>
                <w:rPr>
                  <w:noProof/>
                  <w:u w:val="single"/>
                  <w:lang w:val="en-US"/>
                </w:rPr>
                <w:t>http://learning.gov.wales/docs/learningwales/publications/180620-dcf-guidance-2018-en.pdf</w:t>
              </w:r>
              <w:r>
                <w:rPr>
                  <w:noProof/>
                  <w:lang w:val="en-US"/>
                </w:rPr>
                <w:br/>
                <w:t>[Accessed 01 November 2018].</w:t>
              </w:r>
            </w:p>
            <w:p w14:paraId="1C3D89BB" w14:textId="77777777" w:rsidR="00570A89" w:rsidRDefault="00570A89" w:rsidP="00570A89">
              <w:pPr>
                <w:pStyle w:val="Bibliography"/>
                <w:rPr>
                  <w:noProof/>
                  <w:lang w:val="en-US"/>
                </w:rPr>
              </w:pPr>
              <w:r>
                <w:rPr>
                  <w:noProof/>
                  <w:lang w:val="en-US"/>
                </w:rPr>
                <w:t xml:space="preserve">Grigg, R., 2015. </w:t>
              </w:r>
              <w:r>
                <w:rPr>
                  <w:i/>
                  <w:iCs/>
                  <w:noProof/>
                  <w:lang w:val="en-US"/>
                </w:rPr>
                <w:t xml:space="preserve">Becoming an Outstanding Primary School Teacher. </w:t>
              </w:r>
              <w:r>
                <w:rPr>
                  <w:noProof/>
                  <w:lang w:val="en-US"/>
                </w:rPr>
                <w:t>2nd ed. Oxon: Routledge.</w:t>
              </w:r>
            </w:p>
            <w:p w14:paraId="7FD99E2D" w14:textId="77777777" w:rsidR="00570A89" w:rsidRDefault="00570A89" w:rsidP="00570A89">
              <w:pPr>
                <w:pStyle w:val="Bibliography"/>
                <w:rPr>
                  <w:noProof/>
                  <w:lang w:val="en-US"/>
                </w:rPr>
              </w:pPr>
              <w:r>
                <w:rPr>
                  <w:noProof/>
                  <w:lang w:val="en-US"/>
                </w:rPr>
                <w:t xml:space="preserve">Hattie, J., 2012. </w:t>
              </w:r>
              <w:r>
                <w:rPr>
                  <w:i/>
                  <w:iCs/>
                  <w:noProof/>
                  <w:lang w:val="en-US"/>
                </w:rPr>
                <w:t xml:space="preserve">Visible Learning for Teachers. </w:t>
              </w:r>
              <w:r>
                <w:rPr>
                  <w:noProof/>
                  <w:lang w:val="en-US"/>
                </w:rPr>
                <w:t>Oxon: Routledge.</w:t>
              </w:r>
            </w:p>
            <w:p w14:paraId="5A961CFB" w14:textId="77777777" w:rsidR="00570A89" w:rsidRDefault="00570A89" w:rsidP="00570A89">
              <w:pPr>
                <w:pStyle w:val="Bibliography"/>
                <w:rPr>
                  <w:noProof/>
                  <w:lang w:val="en-US"/>
                </w:rPr>
              </w:pPr>
              <w:r>
                <w:rPr>
                  <w:noProof/>
                  <w:lang w:val="en-US"/>
                </w:rPr>
                <w:t xml:space="preserve">Haylock, D. &amp; Cockburn, A. D., 2013. </w:t>
              </w:r>
              <w:r>
                <w:rPr>
                  <w:i/>
                  <w:iCs/>
                  <w:noProof/>
                  <w:lang w:val="en-US"/>
                </w:rPr>
                <w:t xml:space="preserve">Understanding Mathematics for Young Children. </w:t>
              </w:r>
              <w:r>
                <w:rPr>
                  <w:noProof/>
                  <w:lang w:val="en-US"/>
                </w:rPr>
                <w:t>4th ed. London: Sage.</w:t>
              </w:r>
            </w:p>
            <w:p w14:paraId="4BE2B41B" w14:textId="77777777" w:rsidR="00570A89" w:rsidRDefault="00570A89" w:rsidP="00570A89">
              <w:pPr>
                <w:pStyle w:val="Bibliography"/>
                <w:rPr>
                  <w:noProof/>
                  <w:lang w:val="en-US"/>
                </w:rPr>
              </w:pPr>
              <w:r>
                <w:rPr>
                  <w:noProof/>
                  <w:lang w:val="en-US"/>
                </w:rPr>
                <w:t xml:space="preserve">Kerr, H., 2008. </w:t>
              </w:r>
              <w:r>
                <w:rPr>
                  <w:i/>
                  <w:iCs/>
                  <w:noProof/>
                  <w:lang w:val="en-US"/>
                </w:rPr>
                <w:t xml:space="preserve">The cognitive psychology of teaching literacy: Reading, writing, spelling, dyslexia (&amp; a bit besides). </w:t>
              </w:r>
              <w:r>
                <w:rPr>
                  <w:noProof/>
                  <w:lang w:val="en-US"/>
                </w:rPr>
                <w:t xml:space="preserve">[Online] </w:t>
              </w:r>
              <w:r>
                <w:rPr>
                  <w:noProof/>
                  <w:lang w:val="en-US"/>
                </w:rPr>
                <w:br/>
                <w:t xml:space="preserve">Available at: </w:t>
              </w:r>
              <w:r>
                <w:rPr>
                  <w:noProof/>
                  <w:u w:val="single"/>
                  <w:lang w:val="en-US"/>
                </w:rPr>
                <w:t>http://www.hugokerr.info/book.pdf</w:t>
              </w:r>
              <w:r>
                <w:rPr>
                  <w:noProof/>
                  <w:lang w:val="en-US"/>
                </w:rPr>
                <w:br/>
                <w:t>[Accessed 15 November 2018].</w:t>
              </w:r>
            </w:p>
            <w:p w14:paraId="5324515D" w14:textId="77777777" w:rsidR="00570A89" w:rsidRDefault="00570A89" w:rsidP="00570A89">
              <w:pPr>
                <w:pStyle w:val="Bibliography"/>
                <w:rPr>
                  <w:noProof/>
                  <w:lang w:val="en-US"/>
                </w:rPr>
              </w:pPr>
              <w:r>
                <w:rPr>
                  <w:noProof/>
                  <w:lang w:val="en-US"/>
                </w:rPr>
                <w:t xml:space="preserve">Mercer et al., N., 1999. Children's Talk and the Development of Reasoning in the Classroom. </w:t>
              </w:r>
              <w:r>
                <w:rPr>
                  <w:i/>
                  <w:iCs/>
                  <w:noProof/>
                  <w:lang w:val="en-US"/>
                </w:rPr>
                <w:t xml:space="preserve">British Educational Research Journal, </w:t>
              </w:r>
              <w:r>
                <w:rPr>
                  <w:noProof/>
                  <w:lang w:val="en-US"/>
                </w:rPr>
                <w:t>25(1), pp. 95-111.</w:t>
              </w:r>
            </w:p>
            <w:p w14:paraId="335249A8" w14:textId="77777777" w:rsidR="00570A89" w:rsidRDefault="00570A89" w:rsidP="00570A89">
              <w:pPr>
                <w:pStyle w:val="Bibliography"/>
                <w:rPr>
                  <w:noProof/>
                  <w:lang w:val="en-US"/>
                </w:rPr>
              </w:pPr>
              <w:r>
                <w:rPr>
                  <w:noProof/>
                  <w:lang w:val="en-US"/>
                </w:rPr>
                <w:t xml:space="preserve">Pound, L. &amp; Lee, T., 2015. </w:t>
              </w:r>
              <w:r>
                <w:rPr>
                  <w:i/>
                  <w:iCs/>
                  <w:noProof/>
                  <w:lang w:val="en-US"/>
                </w:rPr>
                <w:t xml:space="preserve">Teaching Mathematics Creatively. </w:t>
              </w:r>
              <w:r>
                <w:rPr>
                  <w:noProof/>
                  <w:lang w:val="en-US"/>
                </w:rPr>
                <w:t>2nd Edition ed. Oxon: Routledge.</w:t>
              </w:r>
            </w:p>
            <w:p w14:paraId="76E088F2" w14:textId="77777777" w:rsidR="00570A89" w:rsidRDefault="00570A89" w:rsidP="00570A89">
              <w:pPr>
                <w:pStyle w:val="Bibliography"/>
                <w:rPr>
                  <w:noProof/>
                  <w:lang w:val="en-US"/>
                </w:rPr>
              </w:pPr>
              <w:r>
                <w:rPr>
                  <w:noProof/>
                  <w:lang w:val="en-US"/>
                </w:rPr>
                <w:t xml:space="preserve">Robinson, K. &amp; Aronica, L., 2015. </w:t>
              </w:r>
              <w:r>
                <w:rPr>
                  <w:i/>
                  <w:iCs/>
                  <w:noProof/>
                  <w:lang w:val="en-US"/>
                </w:rPr>
                <w:t xml:space="preserve">Creative Schools. </w:t>
              </w:r>
              <w:r>
                <w:rPr>
                  <w:noProof/>
                  <w:lang w:val="en-US"/>
                </w:rPr>
                <w:t>1st ed. London: Penguin.</w:t>
              </w:r>
            </w:p>
            <w:p w14:paraId="5D0CE04D" w14:textId="77777777" w:rsidR="00570A89" w:rsidRDefault="00570A89" w:rsidP="00570A89">
              <w:pPr>
                <w:pStyle w:val="Bibliography"/>
                <w:rPr>
                  <w:noProof/>
                  <w:lang w:val="en-US"/>
                </w:rPr>
              </w:pPr>
              <w:r>
                <w:rPr>
                  <w:noProof/>
                  <w:lang w:val="en-US"/>
                </w:rPr>
                <w:t xml:space="preserve">Series, C. B., 2012. </w:t>
              </w:r>
              <w:r>
                <w:rPr>
                  <w:i/>
                  <w:iCs/>
                  <w:noProof/>
                  <w:lang w:val="en-US"/>
                </w:rPr>
                <w:t xml:space="preserve">The Third Teacher. </w:t>
              </w:r>
              <w:r>
                <w:rPr>
                  <w:noProof/>
                  <w:lang w:val="en-US"/>
                </w:rPr>
                <w:t xml:space="preserve">[Online] </w:t>
              </w:r>
              <w:r>
                <w:rPr>
                  <w:noProof/>
                  <w:lang w:val="en-US"/>
                </w:rPr>
                <w:br/>
                <w:t xml:space="preserve">Available at: </w:t>
              </w:r>
              <w:r>
                <w:rPr>
                  <w:noProof/>
                  <w:u w:val="single"/>
                  <w:lang w:val="en-US"/>
                </w:rPr>
                <w:t>http://www.edu.gov.on.ca/eng/literacynumeracy/inspire/research/cbs_thirdteacher.pdf</w:t>
              </w:r>
              <w:r>
                <w:rPr>
                  <w:noProof/>
                  <w:lang w:val="en-US"/>
                </w:rPr>
                <w:br/>
                <w:t>[Accessed 01 October 2018].</w:t>
              </w:r>
            </w:p>
            <w:p w14:paraId="5FA1FCC4" w14:textId="4512D342" w:rsidR="00570A89" w:rsidRDefault="00570A89" w:rsidP="00570A89">
              <w:r>
                <w:rPr>
                  <w:b/>
                  <w:bCs/>
                  <w:noProof/>
                </w:rPr>
                <w:fldChar w:fldCharType="end"/>
              </w:r>
            </w:p>
          </w:sdtContent>
        </w:sdt>
      </w:sdtContent>
    </w:sdt>
    <w:p w14:paraId="28F4A055" w14:textId="77777777" w:rsidR="00570A89" w:rsidRPr="009F54EA" w:rsidRDefault="00570A89" w:rsidP="009F54EA">
      <w:pPr>
        <w:pStyle w:val="NormalWeb"/>
        <w:spacing w:line="360" w:lineRule="auto"/>
      </w:pPr>
    </w:p>
    <w:p w14:paraId="7467F8A2" w14:textId="77777777" w:rsidR="00784F3B" w:rsidRPr="009F54EA" w:rsidRDefault="00784F3B" w:rsidP="009F54EA">
      <w:pPr>
        <w:pStyle w:val="NormalWeb"/>
        <w:spacing w:line="360" w:lineRule="auto"/>
      </w:pPr>
    </w:p>
    <w:p w14:paraId="318F56D4" w14:textId="77777777" w:rsidR="00A5664E" w:rsidRPr="009F54EA" w:rsidRDefault="00A5664E" w:rsidP="009F54EA">
      <w:pPr>
        <w:spacing w:line="360" w:lineRule="auto"/>
        <w:rPr>
          <w:rFonts w:ascii="Times New Roman" w:hAnsi="Times New Roman" w:cs="Times New Roman"/>
        </w:rPr>
      </w:pPr>
    </w:p>
    <w:p w14:paraId="769094EE" w14:textId="77777777" w:rsidR="00F700C2" w:rsidRPr="009F54EA" w:rsidRDefault="00F700C2" w:rsidP="009F54EA">
      <w:pPr>
        <w:pStyle w:val="NormalWeb"/>
        <w:shd w:val="clear" w:color="auto" w:fill="FFFFFF"/>
        <w:spacing w:line="360" w:lineRule="auto"/>
        <w:rPr>
          <w:color w:val="333333"/>
        </w:rPr>
      </w:pPr>
    </w:p>
    <w:p w14:paraId="6C294CE4" w14:textId="2C2FB05C" w:rsidR="00AF04BD" w:rsidRPr="009F54EA" w:rsidRDefault="00AF04BD" w:rsidP="009F54EA">
      <w:pPr>
        <w:spacing w:line="360" w:lineRule="auto"/>
        <w:rPr>
          <w:rFonts w:ascii="Times New Roman" w:hAnsi="Times New Roman" w:cs="Times New Roman"/>
        </w:rPr>
      </w:pPr>
    </w:p>
    <w:sectPr w:rsidR="00AF04BD" w:rsidRPr="009F54EA" w:rsidSect="000B4D77">
      <w:headerReference w:type="default" r:id="rId8"/>
      <w:footerReference w:type="even" r:id="rId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9D6B8" w14:textId="77777777" w:rsidR="00A9359A" w:rsidRDefault="00A9359A" w:rsidP="00074677">
      <w:r>
        <w:separator/>
      </w:r>
    </w:p>
  </w:endnote>
  <w:endnote w:type="continuationSeparator" w:id="0">
    <w:p w14:paraId="09FF5172" w14:textId="77777777" w:rsidR="00A9359A" w:rsidRDefault="00A9359A" w:rsidP="000746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288177"/>
      <w:docPartObj>
        <w:docPartGallery w:val="Page Numbers (Bottom of Page)"/>
        <w:docPartUnique/>
      </w:docPartObj>
    </w:sdtPr>
    <w:sdtContent>
      <w:p w14:paraId="653F0E4F" w14:textId="1BF76376" w:rsidR="000B4D77" w:rsidRDefault="000B4D77" w:rsidP="004B33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C6AF47" w14:textId="77777777" w:rsidR="000B4D77" w:rsidRDefault="000B4D77" w:rsidP="000B4D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8206335"/>
      <w:docPartObj>
        <w:docPartGallery w:val="Page Numbers (Bottom of Page)"/>
        <w:docPartUnique/>
      </w:docPartObj>
    </w:sdtPr>
    <w:sdtContent>
      <w:p w14:paraId="4A5B77F3" w14:textId="0E77C9FD" w:rsidR="000B4D77" w:rsidRDefault="000B4D77" w:rsidP="004B33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26035B" w14:textId="77777777" w:rsidR="000B4D77" w:rsidRDefault="000B4D77" w:rsidP="000B4D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C5F39F" w14:textId="77777777" w:rsidR="00A9359A" w:rsidRDefault="00A9359A" w:rsidP="00074677">
      <w:r>
        <w:separator/>
      </w:r>
    </w:p>
  </w:footnote>
  <w:footnote w:type="continuationSeparator" w:id="0">
    <w:p w14:paraId="6EC19A1D" w14:textId="77777777" w:rsidR="00A9359A" w:rsidRDefault="00A9359A" w:rsidP="000746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E88998" w14:textId="5887F1C2" w:rsidR="000B4D77" w:rsidRDefault="000B4D77">
    <w:pPr>
      <w:pStyle w:val="Header"/>
    </w:pPr>
    <w:r>
      <w:t>Student number: 1502459</w:t>
    </w:r>
    <w:r>
      <w:ptab w:relativeTo="margin" w:alignment="right" w:leader="none"/>
    </w:r>
    <w:r>
      <w:t>Module code: ECAD6012</w:t>
    </w:r>
    <w:r w:rsidR="00754213">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6B3A36"/>
    <w:multiLevelType w:val="hybridMultilevel"/>
    <w:tmpl w:val="2BD4AD74"/>
    <w:lvl w:ilvl="0" w:tplc="98BABDF6">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C83CAA"/>
    <w:multiLevelType w:val="hybridMultilevel"/>
    <w:tmpl w:val="213EBC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1D1EF5"/>
    <w:multiLevelType w:val="multilevel"/>
    <w:tmpl w:val="9A66E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9F4"/>
    <w:rsid w:val="000037C4"/>
    <w:rsid w:val="00041B8F"/>
    <w:rsid w:val="00074677"/>
    <w:rsid w:val="000B4D77"/>
    <w:rsid w:val="00114833"/>
    <w:rsid w:val="002858EF"/>
    <w:rsid w:val="003646F5"/>
    <w:rsid w:val="003815C9"/>
    <w:rsid w:val="004330C0"/>
    <w:rsid w:val="00437F09"/>
    <w:rsid w:val="004C6A02"/>
    <w:rsid w:val="00526991"/>
    <w:rsid w:val="00570A89"/>
    <w:rsid w:val="00570F71"/>
    <w:rsid w:val="005920ED"/>
    <w:rsid w:val="005D29F4"/>
    <w:rsid w:val="006254B9"/>
    <w:rsid w:val="006834B2"/>
    <w:rsid w:val="006E4792"/>
    <w:rsid w:val="00754213"/>
    <w:rsid w:val="00784F3B"/>
    <w:rsid w:val="00915ED5"/>
    <w:rsid w:val="009A7F9F"/>
    <w:rsid w:val="009F54EA"/>
    <w:rsid w:val="00A5664E"/>
    <w:rsid w:val="00A9359A"/>
    <w:rsid w:val="00AD2203"/>
    <w:rsid w:val="00AF04BD"/>
    <w:rsid w:val="00C63B27"/>
    <w:rsid w:val="00C93FA3"/>
    <w:rsid w:val="00CE2725"/>
    <w:rsid w:val="00DA4A49"/>
    <w:rsid w:val="00E5122B"/>
    <w:rsid w:val="00EB1215"/>
    <w:rsid w:val="00EC4FC1"/>
    <w:rsid w:val="00F700C2"/>
    <w:rsid w:val="00FD5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81CDC"/>
  <w15:chartTrackingRefBased/>
  <w15:docId w15:val="{F3D4DE68-F63F-744C-BD2F-9BB659DDE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A8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4833"/>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074677"/>
    <w:pPr>
      <w:tabs>
        <w:tab w:val="center" w:pos="4680"/>
        <w:tab w:val="right" w:pos="9360"/>
      </w:tabs>
    </w:pPr>
  </w:style>
  <w:style w:type="character" w:customStyle="1" w:styleId="HeaderChar">
    <w:name w:val="Header Char"/>
    <w:basedOn w:val="DefaultParagraphFont"/>
    <w:link w:val="Header"/>
    <w:uiPriority w:val="99"/>
    <w:rsid w:val="00074677"/>
  </w:style>
  <w:style w:type="paragraph" w:styleId="Footer">
    <w:name w:val="footer"/>
    <w:basedOn w:val="Normal"/>
    <w:link w:val="FooterChar"/>
    <w:uiPriority w:val="99"/>
    <w:unhideWhenUsed/>
    <w:rsid w:val="00074677"/>
    <w:pPr>
      <w:tabs>
        <w:tab w:val="center" w:pos="4680"/>
        <w:tab w:val="right" w:pos="9360"/>
      </w:tabs>
    </w:pPr>
  </w:style>
  <w:style w:type="character" w:customStyle="1" w:styleId="FooterChar">
    <w:name w:val="Footer Char"/>
    <w:basedOn w:val="DefaultParagraphFont"/>
    <w:link w:val="Footer"/>
    <w:uiPriority w:val="99"/>
    <w:rsid w:val="00074677"/>
  </w:style>
  <w:style w:type="character" w:styleId="Hyperlink">
    <w:name w:val="Hyperlink"/>
    <w:basedOn w:val="DefaultParagraphFont"/>
    <w:uiPriority w:val="99"/>
    <w:unhideWhenUsed/>
    <w:rsid w:val="004C6A02"/>
    <w:rPr>
      <w:color w:val="0563C1" w:themeColor="hyperlink"/>
      <w:u w:val="single"/>
    </w:rPr>
  </w:style>
  <w:style w:type="character" w:styleId="UnresolvedMention">
    <w:name w:val="Unresolved Mention"/>
    <w:basedOn w:val="DefaultParagraphFont"/>
    <w:uiPriority w:val="99"/>
    <w:semiHidden/>
    <w:unhideWhenUsed/>
    <w:rsid w:val="004C6A02"/>
    <w:rPr>
      <w:color w:val="605E5C"/>
      <w:shd w:val="clear" w:color="auto" w:fill="E1DFDD"/>
    </w:rPr>
  </w:style>
  <w:style w:type="character" w:styleId="PageNumber">
    <w:name w:val="page number"/>
    <w:basedOn w:val="DefaultParagraphFont"/>
    <w:uiPriority w:val="99"/>
    <w:semiHidden/>
    <w:unhideWhenUsed/>
    <w:rsid w:val="000B4D77"/>
  </w:style>
  <w:style w:type="paragraph" w:styleId="NoSpacing">
    <w:name w:val="No Spacing"/>
    <w:link w:val="NoSpacingChar"/>
    <w:uiPriority w:val="1"/>
    <w:qFormat/>
    <w:rsid w:val="000B4D77"/>
    <w:rPr>
      <w:rFonts w:eastAsiaTheme="minorEastAsia"/>
      <w:sz w:val="22"/>
      <w:szCs w:val="22"/>
      <w:lang w:val="en-US" w:eastAsia="zh-CN"/>
    </w:rPr>
  </w:style>
  <w:style w:type="character" w:customStyle="1" w:styleId="NoSpacingChar">
    <w:name w:val="No Spacing Char"/>
    <w:basedOn w:val="DefaultParagraphFont"/>
    <w:link w:val="NoSpacing"/>
    <w:uiPriority w:val="1"/>
    <w:rsid w:val="000B4D77"/>
    <w:rPr>
      <w:rFonts w:eastAsiaTheme="minorEastAsia"/>
      <w:sz w:val="22"/>
      <w:szCs w:val="22"/>
      <w:lang w:val="en-US" w:eastAsia="zh-CN"/>
    </w:rPr>
  </w:style>
  <w:style w:type="character" w:customStyle="1" w:styleId="Heading1Char">
    <w:name w:val="Heading 1 Char"/>
    <w:basedOn w:val="DefaultParagraphFont"/>
    <w:link w:val="Heading1"/>
    <w:uiPriority w:val="9"/>
    <w:rsid w:val="00570A8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70A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81556">
      <w:bodyDiv w:val="1"/>
      <w:marLeft w:val="0"/>
      <w:marRight w:val="0"/>
      <w:marTop w:val="0"/>
      <w:marBottom w:val="0"/>
      <w:divBdr>
        <w:top w:val="none" w:sz="0" w:space="0" w:color="auto"/>
        <w:left w:val="none" w:sz="0" w:space="0" w:color="auto"/>
        <w:bottom w:val="none" w:sz="0" w:space="0" w:color="auto"/>
        <w:right w:val="none" w:sz="0" w:space="0" w:color="auto"/>
      </w:divBdr>
    </w:div>
    <w:div w:id="50806790">
      <w:bodyDiv w:val="1"/>
      <w:marLeft w:val="0"/>
      <w:marRight w:val="0"/>
      <w:marTop w:val="0"/>
      <w:marBottom w:val="0"/>
      <w:divBdr>
        <w:top w:val="none" w:sz="0" w:space="0" w:color="auto"/>
        <w:left w:val="none" w:sz="0" w:space="0" w:color="auto"/>
        <w:bottom w:val="none" w:sz="0" w:space="0" w:color="auto"/>
        <w:right w:val="none" w:sz="0" w:space="0" w:color="auto"/>
      </w:divBdr>
      <w:divsChild>
        <w:div w:id="463735752">
          <w:marLeft w:val="0"/>
          <w:marRight w:val="0"/>
          <w:marTop w:val="0"/>
          <w:marBottom w:val="0"/>
          <w:divBdr>
            <w:top w:val="none" w:sz="0" w:space="0" w:color="auto"/>
            <w:left w:val="none" w:sz="0" w:space="0" w:color="auto"/>
            <w:bottom w:val="none" w:sz="0" w:space="0" w:color="auto"/>
            <w:right w:val="none" w:sz="0" w:space="0" w:color="auto"/>
          </w:divBdr>
          <w:divsChild>
            <w:div w:id="305553749">
              <w:marLeft w:val="0"/>
              <w:marRight w:val="0"/>
              <w:marTop w:val="0"/>
              <w:marBottom w:val="0"/>
              <w:divBdr>
                <w:top w:val="none" w:sz="0" w:space="0" w:color="auto"/>
                <w:left w:val="none" w:sz="0" w:space="0" w:color="auto"/>
                <w:bottom w:val="none" w:sz="0" w:space="0" w:color="auto"/>
                <w:right w:val="none" w:sz="0" w:space="0" w:color="auto"/>
              </w:divBdr>
              <w:divsChild>
                <w:div w:id="99125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21478">
      <w:bodyDiv w:val="1"/>
      <w:marLeft w:val="0"/>
      <w:marRight w:val="0"/>
      <w:marTop w:val="0"/>
      <w:marBottom w:val="0"/>
      <w:divBdr>
        <w:top w:val="none" w:sz="0" w:space="0" w:color="auto"/>
        <w:left w:val="none" w:sz="0" w:space="0" w:color="auto"/>
        <w:bottom w:val="none" w:sz="0" w:space="0" w:color="auto"/>
        <w:right w:val="none" w:sz="0" w:space="0" w:color="auto"/>
      </w:divBdr>
    </w:div>
    <w:div w:id="59452171">
      <w:bodyDiv w:val="1"/>
      <w:marLeft w:val="0"/>
      <w:marRight w:val="0"/>
      <w:marTop w:val="0"/>
      <w:marBottom w:val="0"/>
      <w:divBdr>
        <w:top w:val="none" w:sz="0" w:space="0" w:color="auto"/>
        <w:left w:val="none" w:sz="0" w:space="0" w:color="auto"/>
        <w:bottom w:val="none" w:sz="0" w:space="0" w:color="auto"/>
        <w:right w:val="none" w:sz="0" w:space="0" w:color="auto"/>
      </w:divBdr>
    </w:div>
    <w:div w:id="65804599">
      <w:bodyDiv w:val="1"/>
      <w:marLeft w:val="0"/>
      <w:marRight w:val="0"/>
      <w:marTop w:val="0"/>
      <w:marBottom w:val="0"/>
      <w:divBdr>
        <w:top w:val="none" w:sz="0" w:space="0" w:color="auto"/>
        <w:left w:val="none" w:sz="0" w:space="0" w:color="auto"/>
        <w:bottom w:val="none" w:sz="0" w:space="0" w:color="auto"/>
        <w:right w:val="none" w:sz="0" w:space="0" w:color="auto"/>
      </w:divBdr>
      <w:divsChild>
        <w:div w:id="1499466099">
          <w:marLeft w:val="0"/>
          <w:marRight w:val="0"/>
          <w:marTop w:val="0"/>
          <w:marBottom w:val="0"/>
          <w:divBdr>
            <w:top w:val="none" w:sz="0" w:space="0" w:color="auto"/>
            <w:left w:val="none" w:sz="0" w:space="0" w:color="auto"/>
            <w:bottom w:val="none" w:sz="0" w:space="0" w:color="auto"/>
            <w:right w:val="none" w:sz="0" w:space="0" w:color="auto"/>
          </w:divBdr>
          <w:divsChild>
            <w:div w:id="1203445751">
              <w:marLeft w:val="0"/>
              <w:marRight w:val="0"/>
              <w:marTop w:val="0"/>
              <w:marBottom w:val="0"/>
              <w:divBdr>
                <w:top w:val="none" w:sz="0" w:space="0" w:color="auto"/>
                <w:left w:val="none" w:sz="0" w:space="0" w:color="auto"/>
                <w:bottom w:val="none" w:sz="0" w:space="0" w:color="auto"/>
                <w:right w:val="none" w:sz="0" w:space="0" w:color="auto"/>
              </w:divBdr>
              <w:divsChild>
                <w:div w:id="131198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17388">
      <w:bodyDiv w:val="1"/>
      <w:marLeft w:val="0"/>
      <w:marRight w:val="0"/>
      <w:marTop w:val="0"/>
      <w:marBottom w:val="0"/>
      <w:divBdr>
        <w:top w:val="none" w:sz="0" w:space="0" w:color="auto"/>
        <w:left w:val="none" w:sz="0" w:space="0" w:color="auto"/>
        <w:bottom w:val="none" w:sz="0" w:space="0" w:color="auto"/>
        <w:right w:val="none" w:sz="0" w:space="0" w:color="auto"/>
      </w:divBdr>
    </w:div>
    <w:div w:id="84883171">
      <w:bodyDiv w:val="1"/>
      <w:marLeft w:val="0"/>
      <w:marRight w:val="0"/>
      <w:marTop w:val="0"/>
      <w:marBottom w:val="0"/>
      <w:divBdr>
        <w:top w:val="none" w:sz="0" w:space="0" w:color="auto"/>
        <w:left w:val="none" w:sz="0" w:space="0" w:color="auto"/>
        <w:bottom w:val="none" w:sz="0" w:space="0" w:color="auto"/>
        <w:right w:val="none" w:sz="0" w:space="0" w:color="auto"/>
      </w:divBdr>
    </w:div>
    <w:div w:id="88045216">
      <w:bodyDiv w:val="1"/>
      <w:marLeft w:val="0"/>
      <w:marRight w:val="0"/>
      <w:marTop w:val="0"/>
      <w:marBottom w:val="0"/>
      <w:divBdr>
        <w:top w:val="none" w:sz="0" w:space="0" w:color="auto"/>
        <w:left w:val="none" w:sz="0" w:space="0" w:color="auto"/>
        <w:bottom w:val="none" w:sz="0" w:space="0" w:color="auto"/>
        <w:right w:val="none" w:sz="0" w:space="0" w:color="auto"/>
      </w:divBdr>
    </w:div>
    <w:div w:id="144442041">
      <w:bodyDiv w:val="1"/>
      <w:marLeft w:val="0"/>
      <w:marRight w:val="0"/>
      <w:marTop w:val="0"/>
      <w:marBottom w:val="0"/>
      <w:divBdr>
        <w:top w:val="none" w:sz="0" w:space="0" w:color="auto"/>
        <w:left w:val="none" w:sz="0" w:space="0" w:color="auto"/>
        <w:bottom w:val="none" w:sz="0" w:space="0" w:color="auto"/>
        <w:right w:val="none" w:sz="0" w:space="0" w:color="auto"/>
      </w:divBdr>
    </w:div>
    <w:div w:id="173230397">
      <w:bodyDiv w:val="1"/>
      <w:marLeft w:val="0"/>
      <w:marRight w:val="0"/>
      <w:marTop w:val="0"/>
      <w:marBottom w:val="0"/>
      <w:divBdr>
        <w:top w:val="none" w:sz="0" w:space="0" w:color="auto"/>
        <w:left w:val="none" w:sz="0" w:space="0" w:color="auto"/>
        <w:bottom w:val="none" w:sz="0" w:space="0" w:color="auto"/>
        <w:right w:val="none" w:sz="0" w:space="0" w:color="auto"/>
      </w:divBdr>
    </w:div>
    <w:div w:id="182935881">
      <w:bodyDiv w:val="1"/>
      <w:marLeft w:val="0"/>
      <w:marRight w:val="0"/>
      <w:marTop w:val="0"/>
      <w:marBottom w:val="0"/>
      <w:divBdr>
        <w:top w:val="none" w:sz="0" w:space="0" w:color="auto"/>
        <w:left w:val="none" w:sz="0" w:space="0" w:color="auto"/>
        <w:bottom w:val="none" w:sz="0" w:space="0" w:color="auto"/>
        <w:right w:val="none" w:sz="0" w:space="0" w:color="auto"/>
      </w:divBdr>
    </w:div>
    <w:div w:id="238295548">
      <w:bodyDiv w:val="1"/>
      <w:marLeft w:val="0"/>
      <w:marRight w:val="0"/>
      <w:marTop w:val="0"/>
      <w:marBottom w:val="0"/>
      <w:divBdr>
        <w:top w:val="none" w:sz="0" w:space="0" w:color="auto"/>
        <w:left w:val="none" w:sz="0" w:space="0" w:color="auto"/>
        <w:bottom w:val="none" w:sz="0" w:space="0" w:color="auto"/>
        <w:right w:val="none" w:sz="0" w:space="0" w:color="auto"/>
      </w:divBdr>
    </w:div>
    <w:div w:id="239291537">
      <w:bodyDiv w:val="1"/>
      <w:marLeft w:val="0"/>
      <w:marRight w:val="0"/>
      <w:marTop w:val="0"/>
      <w:marBottom w:val="0"/>
      <w:divBdr>
        <w:top w:val="none" w:sz="0" w:space="0" w:color="auto"/>
        <w:left w:val="none" w:sz="0" w:space="0" w:color="auto"/>
        <w:bottom w:val="none" w:sz="0" w:space="0" w:color="auto"/>
        <w:right w:val="none" w:sz="0" w:space="0" w:color="auto"/>
      </w:divBdr>
      <w:divsChild>
        <w:div w:id="1762415135">
          <w:marLeft w:val="0"/>
          <w:marRight w:val="0"/>
          <w:marTop w:val="0"/>
          <w:marBottom w:val="0"/>
          <w:divBdr>
            <w:top w:val="none" w:sz="0" w:space="0" w:color="auto"/>
            <w:left w:val="none" w:sz="0" w:space="0" w:color="auto"/>
            <w:bottom w:val="none" w:sz="0" w:space="0" w:color="auto"/>
            <w:right w:val="none" w:sz="0" w:space="0" w:color="auto"/>
          </w:divBdr>
          <w:divsChild>
            <w:div w:id="509687060">
              <w:marLeft w:val="0"/>
              <w:marRight w:val="0"/>
              <w:marTop w:val="0"/>
              <w:marBottom w:val="0"/>
              <w:divBdr>
                <w:top w:val="none" w:sz="0" w:space="0" w:color="auto"/>
                <w:left w:val="none" w:sz="0" w:space="0" w:color="auto"/>
                <w:bottom w:val="none" w:sz="0" w:space="0" w:color="auto"/>
                <w:right w:val="none" w:sz="0" w:space="0" w:color="auto"/>
              </w:divBdr>
              <w:divsChild>
                <w:div w:id="1669677201">
                  <w:marLeft w:val="0"/>
                  <w:marRight w:val="0"/>
                  <w:marTop w:val="0"/>
                  <w:marBottom w:val="0"/>
                  <w:divBdr>
                    <w:top w:val="none" w:sz="0" w:space="0" w:color="auto"/>
                    <w:left w:val="none" w:sz="0" w:space="0" w:color="auto"/>
                    <w:bottom w:val="none" w:sz="0" w:space="0" w:color="auto"/>
                    <w:right w:val="none" w:sz="0" w:space="0" w:color="auto"/>
                  </w:divBdr>
                  <w:divsChild>
                    <w:div w:id="197324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917537">
      <w:bodyDiv w:val="1"/>
      <w:marLeft w:val="0"/>
      <w:marRight w:val="0"/>
      <w:marTop w:val="0"/>
      <w:marBottom w:val="0"/>
      <w:divBdr>
        <w:top w:val="none" w:sz="0" w:space="0" w:color="auto"/>
        <w:left w:val="none" w:sz="0" w:space="0" w:color="auto"/>
        <w:bottom w:val="none" w:sz="0" w:space="0" w:color="auto"/>
        <w:right w:val="none" w:sz="0" w:space="0" w:color="auto"/>
      </w:divBdr>
    </w:div>
    <w:div w:id="251625007">
      <w:bodyDiv w:val="1"/>
      <w:marLeft w:val="0"/>
      <w:marRight w:val="0"/>
      <w:marTop w:val="0"/>
      <w:marBottom w:val="0"/>
      <w:divBdr>
        <w:top w:val="none" w:sz="0" w:space="0" w:color="auto"/>
        <w:left w:val="none" w:sz="0" w:space="0" w:color="auto"/>
        <w:bottom w:val="none" w:sz="0" w:space="0" w:color="auto"/>
        <w:right w:val="none" w:sz="0" w:space="0" w:color="auto"/>
      </w:divBdr>
    </w:div>
    <w:div w:id="251742217">
      <w:bodyDiv w:val="1"/>
      <w:marLeft w:val="0"/>
      <w:marRight w:val="0"/>
      <w:marTop w:val="0"/>
      <w:marBottom w:val="0"/>
      <w:divBdr>
        <w:top w:val="none" w:sz="0" w:space="0" w:color="auto"/>
        <w:left w:val="none" w:sz="0" w:space="0" w:color="auto"/>
        <w:bottom w:val="none" w:sz="0" w:space="0" w:color="auto"/>
        <w:right w:val="none" w:sz="0" w:space="0" w:color="auto"/>
      </w:divBdr>
    </w:div>
    <w:div w:id="256523415">
      <w:bodyDiv w:val="1"/>
      <w:marLeft w:val="0"/>
      <w:marRight w:val="0"/>
      <w:marTop w:val="0"/>
      <w:marBottom w:val="0"/>
      <w:divBdr>
        <w:top w:val="none" w:sz="0" w:space="0" w:color="auto"/>
        <w:left w:val="none" w:sz="0" w:space="0" w:color="auto"/>
        <w:bottom w:val="none" w:sz="0" w:space="0" w:color="auto"/>
        <w:right w:val="none" w:sz="0" w:space="0" w:color="auto"/>
      </w:divBdr>
      <w:divsChild>
        <w:div w:id="147020306">
          <w:marLeft w:val="0"/>
          <w:marRight w:val="0"/>
          <w:marTop w:val="0"/>
          <w:marBottom w:val="0"/>
          <w:divBdr>
            <w:top w:val="none" w:sz="0" w:space="0" w:color="auto"/>
            <w:left w:val="none" w:sz="0" w:space="0" w:color="auto"/>
            <w:bottom w:val="none" w:sz="0" w:space="0" w:color="auto"/>
            <w:right w:val="none" w:sz="0" w:space="0" w:color="auto"/>
          </w:divBdr>
          <w:divsChild>
            <w:div w:id="864371533">
              <w:marLeft w:val="0"/>
              <w:marRight w:val="0"/>
              <w:marTop w:val="0"/>
              <w:marBottom w:val="0"/>
              <w:divBdr>
                <w:top w:val="none" w:sz="0" w:space="0" w:color="auto"/>
                <w:left w:val="none" w:sz="0" w:space="0" w:color="auto"/>
                <w:bottom w:val="none" w:sz="0" w:space="0" w:color="auto"/>
                <w:right w:val="none" w:sz="0" w:space="0" w:color="auto"/>
              </w:divBdr>
              <w:divsChild>
                <w:div w:id="1507136087">
                  <w:marLeft w:val="0"/>
                  <w:marRight w:val="0"/>
                  <w:marTop w:val="0"/>
                  <w:marBottom w:val="0"/>
                  <w:divBdr>
                    <w:top w:val="none" w:sz="0" w:space="0" w:color="auto"/>
                    <w:left w:val="none" w:sz="0" w:space="0" w:color="auto"/>
                    <w:bottom w:val="none" w:sz="0" w:space="0" w:color="auto"/>
                    <w:right w:val="none" w:sz="0" w:space="0" w:color="auto"/>
                  </w:divBdr>
                  <w:divsChild>
                    <w:div w:id="51584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122723">
      <w:bodyDiv w:val="1"/>
      <w:marLeft w:val="0"/>
      <w:marRight w:val="0"/>
      <w:marTop w:val="0"/>
      <w:marBottom w:val="0"/>
      <w:divBdr>
        <w:top w:val="none" w:sz="0" w:space="0" w:color="auto"/>
        <w:left w:val="none" w:sz="0" w:space="0" w:color="auto"/>
        <w:bottom w:val="none" w:sz="0" w:space="0" w:color="auto"/>
        <w:right w:val="none" w:sz="0" w:space="0" w:color="auto"/>
      </w:divBdr>
    </w:div>
    <w:div w:id="342830168">
      <w:bodyDiv w:val="1"/>
      <w:marLeft w:val="0"/>
      <w:marRight w:val="0"/>
      <w:marTop w:val="0"/>
      <w:marBottom w:val="0"/>
      <w:divBdr>
        <w:top w:val="none" w:sz="0" w:space="0" w:color="auto"/>
        <w:left w:val="none" w:sz="0" w:space="0" w:color="auto"/>
        <w:bottom w:val="none" w:sz="0" w:space="0" w:color="auto"/>
        <w:right w:val="none" w:sz="0" w:space="0" w:color="auto"/>
      </w:divBdr>
    </w:div>
    <w:div w:id="358430661">
      <w:bodyDiv w:val="1"/>
      <w:marLeft w:val="0"/>
      <w:marRight w:val="0"/>
      <w:marTop w:val="0"/>
      <w:marBottom w:val="0"/>
      <w:divBdr>
        <w:top w:val="none" w:sz="0" w:space="0" w:color="auto"/>
        <w:left w:val="none" w:sz="0" w:space="0" w:color="auto"/>
        <w:bottom w:val="none" w:sz="0" w:space="0" w:color="auto"/>
        <w:right w:val="none" w:sz="0" w:space="0" w:color="auto"/>
      </w:divBdr>
    </w:div>
    <w:div w:id="377900141">
      <w:bodyDiv w:val="1"/>
      <w:marLeft w:val="0"/>
      <w:marRight w:val="0"/>
      <w:marTop w:val="0"/>
      <w:marBottom w:val="0"/>
      <w:divBdr>
        <w:top w:val="none" w:sz="0" w:space="0" w:color="auto"/>
        <w:left w:val="none" w:sz="0" w:space="0" w:color="auto"/>
        <w:bottom w:val="none" w:sz="0" w:space="0" w:color="auto"/>
        <w:right w:val="none" w:sz="0" w:space="0" w:color="auto"/>
      </w:divBdr>
    </w:div>
    <w:div w:id="387723758">
      <w:bodyDiv w:val="1"/>
      <w:marLeft w:val="0"/>
      <w:marRight w:val="0"/>
      <w:marTop w:val="0"/>
      <w:marBottom w:val="0"/>
      <w:divBdr>
        <w:top w:val="none" w:sz="0" w:space="0" w:color="auto"/>
        <w:left w:val="none" w:sz="0" w:space="0" w:color="auto"/>
        <w:bottom w:val="none" w:sz="0" w:space="0" w:color="auto"/>
        <w:right w:val="none" w:sz="0" w:space="0" w:color="auto"/>
      </w:divBdr>
      <w:divsChild>
        <w:div w:id="2090536014">
          <w:marLeft w:val="0"/>
          <w:marRight w:val="0"/>
          <w:marTop w:val="0"/>
          <w:marBottom w:val="0"/>
          <w:divBdr>
            <w:top w:val="none" w:sz="0" w:space="0" w:color="auto"/>
            <w:left w:val="none" w:sz="0" w:space="0" w:color="auto"/>
            <w:bottom w:val="none" w:sz="0" w:space="0" w:color="auto"/>
            <w:right w:val="none" w:sz="0" w:space="0" w:color="auto"/>
          </w:divBdr>
          <w:divsChild>
            <w:div w:id="385766699">
              <w:marLeft w:val="0"/>
              <w:marRight w:val="0"/>
              <w:marTop w:val="0"/>
              <w:marBottom w:val="0"/>
              <w:divBdr>
                <w:top w:val="none" w:sz="0" w:space="0" w:color="auto"/>
                <w:left w:val="none" w:sz="0" w:space="0" w:color="auto"/>
                <w:bottom w:val="none" w:sz="0" w:space="0" w:color="auto"/>
                <w:right w:val="none" w:sz="0" w:space="0" w:color="auto"/>
              </w:divBdr>
              <w:divsChild>
                <w:div w:id="1336106234">
                  <w:marLeft w:val="0"/>
                  <w:marRight w:val="0"/>
                  <w:marTop w:val="0"/>
                  <w:marBottom w:val="0"/>
                  <w:divBdr>
                    <w:top w:val="none" w:sz="0" w:space="0" w:color="auto"/>
                    <w:left w:val="none" w:sz="0" w:space="0" w:color="auto"/>
                    <w:bottom w:val="none" w:sz="0" w:space="0" w:color="auto"/>
                    <w:right w:val="none" w:sz="0" w:space="0" w:color="auto"/>
                  </w:divBdr>
                  <w:divsChild>
                    <w:div w:id="186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358803">
      <w:bodyDiv w:val="1"/>
      <w:marLeft w:val="0"/>
      <w:marRight w:val="0"/>
      <w:marTop w:val="0"/>
      <w:marBottom w:val="0"/>
      <w:divBdr>
        <w:top w:val="none" w:sz="0" w:space="0" w:color="auto"/>
        <w:left w:val="none" w:sz="0" w:space="0" w:color="auto"/>
        <w:bottom w:val="none" w:sz="0" w:space="0" w:color="auto"/>
        <w:right w:val="none" w:sz="0" w:space="0" w:color="auto"/>
      </w:divBdr>
    </w:div>
    <w:div w:id="403726796">
      <w:bodyDiv w:val="1"/>
      <w:marLeft w:val="0"/>
      <w:marRight w:val="0"/>
      <w:marTop w:val="0"/>
      <w:marBottom w:val="0"/>
      <w:divBdr>
        <w:top w:val="none" w:sz="0" w:space="0" w:color="auto"/>
        <w:left w:val="none" w:sz="0" w:space="0" w:color="auto"/>
        <w:bottom w:val="none" w:sz="0" w:space="0" w:color="auto"/>
        <w:right w:val="none" w:sz="0" w:space="0" w:color="auto"/>
      </w:divBdr>
    </w:div>
    <w:div w:id="420297696">
      <w:bodyDiv w:val="1"/>
      <w:marLeft w:val="0"/>
      <w:marRight w:val="0"/>
      <w:marTop w:val="0"/>
      <w:marBottom w:val="0"/>
      <w:divBdr>
        <w:top w:val="none" w:sz="0" w:space="0" w:color="auto"/>
        <w:left w:val="none" w:sz="0" w:space="0" w:color="auto"/>
        <w:bottom w:val="none" w:sz="0" w:space="0" w:color="auto"/>
        <w:right w:val="none" w:sz="0" w:space="0" w:color="auto"/>
      </w:divBdr>
    </w:div>
    <w:div w:id="428626106">
      <w:bodyDiv w:val="1"/>
      <w:marLeft w:val="0"/>
      <w:marRight w:val="0"/>
      <w:marTop w:val="0"/>
      <w:marBottom w:val="0"/>
      <w:divBdr>
        <w:top w:val="none" w:sz="0" w:space="0" w:color="auto"/>
        <w:left w:val="none" w:sz="0" w:space="0" w:color="auto"/>
        <w:bottom w:val="none" w:sz="0" w:space="0" w:color="auto"/>
        <w:right w:val="none" w:sz="0" w:space="0" w:color="auto"/>
      </w:divBdr>
    </w:div>
    <w:div w:id="475298421">
      <w:bodyDiv w:val="1"/>
      <w:marLeft w:val="0"/>
      <w:marRight w:val="0"/>
      <w:marTop w:val="0"/>
      <w:marBottom w:val="0"/>
      <w:divBdr>
        <w:top w:val="none" w:sz="0" w:space="0" w:color="auto"/>
        <w:left w:val="none" w:sz="0" w:space="0" w:color="auto"/>
        <w:bottom w:val="none" w:sz="0" w:space="0" w:color="auto"/>
        <w:right w:val="none" w:sz="0" w:space="0" w:color="auto"/>
      </w:divBdr>
    </w:div>
    <w:div w:id="477264474">
      <w:bodyDiv w:val="1"/>
      <w:marLeft w:val="0"/>
      <w:marRight w:val="0"/>
      <w:marTop w:val="0"/>
      <w:marBottom w:val="0"/>
      <w:divBdr>
        <w:top w:val="none" w:sz="0" w:space="0" w:color="auto"/>
        <w:left w:val="none" w:sz="0" w:space="0" w:color="auto"/>
        <w:bottom w:val="none" w:sz="0" w:space="0" w:color="auto"/>
        <w:right w:val="none" w:sz="0" w:space="0" w:color="auto"/>
      </w:divBdr>
    </w:div>
    <w:div w:id="509682560">
      <w:bodyDiv w:val="1"/>
      <w:marLeft w:val="0"/>
      <w:marRight w:val="0"/>
      <w:marTop w:val="0"/>
      <w:marBottom w:val="0"/>
      <w:divBdr>
        <w:top w:val="none" w:sz="0" w:space="0" w:color="auto"/>
        <w:left w:val="none" w:sz="0" w:space="0" w:color="auto"/>
        <w:bottom w:val="none" w:sz="0" w:space="0" w:color="auto"/>
        <w:right w:val="none" w:sz="0" w:space="0" w:color="auto"/>
      </w:divBdr>
    </w:div>
    <w:div w:id="603195148">
      <w:bodyDiv w:val="1"/>
      <w:marLeft w:val="0"/>
      <w:marRight w:val="0"/>
      <w:marTop w:val="0"/>
      <w:marBottom w:val="0"/>
      <w:divBdr>
        <w:top w:val="none" w:sz="0" w:space="0" w:color="auto"/>
        <w:left w:val="none" w:sz="0" w:space="0" w:color="auto"/>
        <w:bottom w:val="none" w:sz="0" w:space="0" w:color="auto"/>
        <w:right w:val="none" w:sz="0" w:space="0" w:color="auto"/>
      </w:divBdr>
    </w:div>
    <w:div w:id="610014196">
      <w:bodyDiv w:val="1"/>
      <w:marLeft w:val="0"/>
      <w:marRight w:val="0"/>
      <w:marTop w:val="0"/>
      <w:marBottom w:val="0"/>
      <w:divBdr>
        <w:top w:val="none" w:sz="0" w:space="0" w:color="auto"/>
        <w:left w:val="none" w:sz="0" w:space="0" w:color="auto"/>
        <w:bottom w:val="none" w:sz="0" w:space="0" w:color="auto"/>
        <w:right w:val="none" w:sz="0" w:space="0" w:color="auto"/>
      </w:divBdr>
    </w:div>
    <w:div w:id="618031689">
      <w:bodyDiv w:val="1"/>
      <w:marLeft w:val="0"/>
      <w:marRight w:val="0"/>
      <w:marTop w:val="0"/>
      <w:marBottom w:val="0"/>
      <w:divBdr>
        <w:top w:val="none" w:sz="0" w:space="0" w:color="auto"/>
        <w:left w:val="none" w:sz="0" w:space="0" w:color="auto"/>
        <w:bottom w:val="none" w:sz="0" w:space="0" w:color="auto"/>
        <w:right w:val="none" w:sz="0" w:space="0" w:color="auto"/>
      </w:divBdr>
    </w:div>
    <w:div w:id="628820548">
      <w:bodyDiv w:val="1"/>
      <w:marLeft w:val="0"/>
      <w:marRight w:val="0"/>
      <w:marTop w:val="0"/>
      <w:marBottom w:val="0"/>
      <w:divBdr>
        <w:top w:val="none" w:sz="0" w:space="0" w:color="auto"/>
        <w:left w:val="none" w:sz="0" w:space="0" w:color="auto"/>
        <w:bottom w:val="none" w:sz="0" w:space="0" w:color="auto"/>
        <w:right w:val="none" w:sz="0" w:space="0" w:color="auto"/>
      </w:divBdr>
    </w:div>
    <w:div w:id="732853985">
      <w:bodyDiv w:val="1"/>
      <w:marLeft w:val="0"/>
      <w:marRight w:val="0"/>
      <w:marTop w:val="0"/>
      <w:marBottom w:val="0"/>
      <w:divBdr>
        <w:top w:val="none" w:sz="0" w:space="0" w:color="auto"/>
        <w:left w:val="none" w:sz="0" w:space="0" w:color="auto"/>
        <w:bottom w:val="none" w:sz="0" w:space="0" w:color="auto"/>
        <w:right w:val="none" w:sz="0" w:space="0" w:color="auto"/>
      </w:divBdr>
    </w:div>
    <w:div w:id="741948043">
      <w:bodyDiv w:val="1"/>
      <w:marLeft w:val="0"/>
      <w:marRight w:val="0"/>
      <w:marTop w:val="0"/>
      <w:marBottom w:val="0"/>
      <w:divBdr>
        <w:top w:val="none" w:sz="0" w:space="0" w:color="auto"/>
        <w:left w:val="none" w:sz="0" w:space="0" w:color="auto"/>
        <w:bottom w:val="none" w:sz="0" w:space="0" w:color="auto"/>
        <w:right w:val="none" w:sz="0" w:space="0" w:color="auto"/>
      </w:divBdr>
    </w:div>
    <w:div w:id="798571516">
      <w:bodyDiv w:val="1"/>
      <w:marLeft w:val="0"/>
      <w:marRight w:val="0"/>
      <w:marTop w:val="0"/>
      <w:marBottom w:val="0"/>
      <w:divBdr>
        <w:top w:val="none" w:sz="0" w:space="0" w:color="auto"/>
        <w:left w:val="none" w:sz="0" w:space="0" w:color="auto"/>
        <w:bottom w:val="none" w:sz="0" w:space="0" w:color="auto"/>
        <w:right w:val="none" w:sz="0" w:space="0" w:color="auto"/>
      </w:divBdr>
      <w:divsChild>
        <w:div w:id="2078238191">
          <w:marLeft w:val="0"/>
          <w:marRight w:val="0"/>
          <w:marTop w:val="0"/>
          <w:marBottom w:val="0"/>
          <w:divBdr>
            <w:top w:val="none" w:sz="0" w:space="0" w:color="auto"/>
            <w:left w:val="none" w:sz="0" w:space="0" w:color="auto"/>
            <w:bottom w:val="none" w:sz="0" w:space="0" w:color="auto"/>
            <w:right w:val="none" w:sz="0" w:space="0" w:color="auto"/>
          </w:divBdr>
          <w:divsChild>
            <w:div w:id="54475319">
              <w:marLeft w:val="0"/>
              <w:marRight w:val="0"/>
              <w:marTop w:val="0"/>
              <w:marBottom w:val="0"/>
              <w:divBdr>
                <w:top w:val="none" w:sz="0" w:space="0" w:color="auto"/>
                <w:left w:val="none" w:sz="0" w:space="0" w:color="auto"/>
                <w:bottom w:val="none" w:sz="0" w:space="0" w:color="auto"/>
                <w:right w:val="none" w:sz="0" w:space="0" w:color="auto"/>
              </w:divBdr>
              <w:divsChild>
                <w:div w:id="80354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845948">
      <w:bodyDiv w:val="1"/>
      <w:marLeft w:val="0"/>
      <w:marRight w:val="0"/>
      <w:marTop w:val="0"/>
      <w:marBottom w:val="0"/>
      <w:divBdr>
        <w:top w:val="none" w:sz="0" w:space="0" w:color="auto"/>
        <w:left w:val="none" w:sz="0" w:space="0" w:color="auto"/>
        <w:bottom w:val="none" w:sz="0" w:space="0" w:color="auto"/>
        <w:right w:val="none" w:sz="0" w:space="0" w:color="auto"/>
      </w:divBdr>
    </w:div>
    <w:div w:id="819998498">
      <w:bodyDiv w:val="1"/>
      <w:marLeft w:val="0"/>
      <w:marRight w:val="0"/>
      <w:marTop w:val="0"/>
      <w:marBottom w:val="0"/>
      <w:divBdr>
        <w:top w:val="none" w:sz="0" w:space="0" w:color="auto"/>
        <w:left w:val="none" w:sz="0" w:space="0" w:color="auto"/>
        <w:bottom w:val="none" w:sz="0" w:space="0" w:color="auto"/>
        <w:right w:val="none" w:sz="0" w:space="0" w:color="auto"/>
      </w:divBdr>
    </w:div>
    <w:div w:id="820776107">
      <w:bodyDiv w:val="1"/>
      <w:marLeft w:val="0"/>
      <w:marRight w:val="0"/>
      <w:marTop w:val="0"/>
      <w:marBottom w:val="0"/>
      <w:divBdr>
        <w:top w:val="none" w:sz="0" w:space="0" w:color="auto"/>
        <w:left w:val="none" w:sz="0" w:space="0" w:color="auto"/>
        <w:bottom w:val="none" w:sz="0" w:space="0" w:color="auto"/>
        <w:right w:val="none" w:sz="0" w:space="0" w:color="auto"/>
      </w:divBdr>
    </w:div>
    <w:div w:id="905065075">
      <w:bodyDiv w:val="1"/>
      <w:marLeft w:val="0"/>
      <w:marRight w:val="0"/>
      <w:marTop w:val="0"/>
      <w:marBottom w:val="0"/>
      <w:divBdr>
        <w:top w:val="none" w:sz="0" w:space="0" w:color="auto"/>
        <w:left w:val="none" w:sz="0" w:space="0" w:color="auto"/>
        <w:bottom w:val="none" w:sz="0" w:space="0" w:color="auto"/>
        <w:right w:val="none" w:sz="0" w:space="0" w:color="auto"/>
      </w:divBdr>
    </w:div>
    <w:div w:id="910625039">
      <w:bodyDiv w:val="1"/>
      <w:marLeft w:val="0"/>
      <w:marRight w:val="0"/>
      <w:marTop w:val="0"/>
      <w:marBottom w:val="0"/>
      <w:divBdr>
        <w:top w:val="none" w:sz="0" w:space="0" w:color="auto"/>
        <w:left w:val="none" w:sz="0" w:space="0" w:color="auto"/>
        <w:bottom w:val="none" w:sz="0" w:space="0" w:color="auto"/>
        <w:right w:val="none" w:sz="0" w:space="0" w:color="auto"/>
      </w:divBdr>
    </w:div>
    <w:div w:id="937253012">
      <w:bodyDiv w:val="1"/>
      <w:marLeft w:val="0"/>
      <w:marRight w:val="0"/>
      <w:marTop w:val="0"/>
      <w:marBottom w:val="0"/>
      <w:divBdr>
        <w:top w:val="none" w:sz="0" w:space="0" w:color="auto"/>
        <w:left w:val="none" w:sz="0" w:space="0" w:color="auto"/>
        <w:bottom w:val="none" w:sz="0" w:space="0" w:color="auto"/>
        <w:right w:val="none" w:sz="0" w:space="0" w:color="auto"/>
      </w:divBdr>
    </w:div>
    <w:div w:id="954824917">
      <w:bodyDiv w:val="1"/>
      <w:marLeft w:val="0"/>
      <w:marRight w:val="0"/>
      <w:marTop w:val="0"/>
      <w:marBottom w:val="0"/>
      <w:divBdr>
        <w:top w:val="none" w:sz="0" w:space="0" w:color="auto"/>
        <w:left w:val="none" w:sz="0" w:space="0" w:color="auto"/>
        <w:bottom w:val="none" w:sz="0" w:space="0" w:color="auto"/>
        <w:right w:val="none" w:sz="0" w:space="0" w:color="auto"/>
      </w:divBdr>
    </w:div>
    <w:div w:id="973097028">
      <w:bodyDiv w:val="1"/>
      <w:marLeft w:val="0"/>
      <w:marRight w:val="0"/>
      <w:marTop w:val="0"/>
      <w:marBottom w:val="0"/>
      <w:divBdr>
        <w:top w:val="none" w:sz="0" w:space="0" w:color="auto"/>
        <w:left w:val="none" w:sz="0" w:space="0" w:color="auto"/>
        <w:bottom w:val="none" w:sz="0" w:space="0" w:color="auto"/>
        <w:right w:val="none" w:sz="0" w:space="0" w:color="auto"/>
      </w:divBdr>
    </w:div>
    <w:div w:id="985745736">
      <w:bodyDiv w:val="1"/>
      <w:marLeft w:val="0"/>
      <w:marRight w:val="0"/>
      <w:marTop w:val="0"/>
      <w:marBottom w:val="0"/>
      <w:divBdr>
        <w:top w:val="none" w:sz="0" w:space="0" w:color="auto"/>
        <w:left w:val="none" w:sz="0" w:space="0" w:color="auto"/>
        <w:bottom w:val="none" w:sz="0" w:space="0" w:color="auto"/>
        <w:right w:val="none" w:sz="0" w:space="0" w:color="auto"/>
      </w:divBdr>
    </w:div>
    <w:div w:id="1009260898">
      <w:bodyDiv w:val="1"/>
      <w:marLeft w:val="0"/>
      <w:marRight w:val="0"/>
      <w:marTop w:val="0"/>
      <w:marBottom w:val="0"/>
      <w:divBdr>
        <w:top w:val="none" w:sz="0" w:space="0" w:color="auto"/>
        <w:left w:val="none" w:sz="0" w:space="0" w:color="auto"/>
        <w:bottom w:val="none" w:sz="0" w:space="0" w:color="auto"/>
        <w:right w:val="none" w:sz="0" w:space="0" w:color="auto"/>
      </w:divBdr>
    </w:div>
    <w:div w:id="1060249791">
      <w:bodyDiv w:val="1"/>
      <w:marLeft w:val="0"/>
      <w:marRight w:val="0"/>
      <w:marTop w:val="0"/>
      <w:marBottom w:val="0"/>
      <w:divBdr>
        <w:top w:val="none" w:sz="0" w:space="0" w:color="auto"/>
        <w:left w:val="none" w:sz="0" w:space="0" w:color="auto"/>
        <w:bottom w:val="none" w:sz="0" w:space="0" w:color="auto"/>
        <w:right w:val="none" w:sz="0" w:space="0" w:color="auto"/>
      </w:divBdr>
    </w:div>
    <w:div w:id="1071081894">
      <w:bodyDiv w:val="1"/>
      <w:marLeft w:val="0"/>
      <w:marRight w:val="0"/>
      <w:marTop w:val="0"/>
      <w:marBottom w:val="0"/>
      <w:divBdr>
        <w:top w:val="none" w:sz="0" w:space="0" w:color="auto"/>
        <w:left w:val="none" w:sz="0" w:space="0" w:color="auto"/>
        <w:bottom w:val="none" w:sz="0" w:space="0" w:color="auto"/>
        <w:right w:val="none" w:sz="0" w:space="0" w:color="auto"/>
      </w:divBdr>
    </w:div>
    <w:div w:id="1073048095">
      <w:bodyDiv w:val="1"/>
      <w:marLeft w:val="0"/>
      <w:marRight w:val="0"/>
      <w:marTop w:val="0"/>
      <w:marBottom w:val="0"/>
      <w:divBdr>
        <w:top w:val="none" w:sz="0" w:space="0" w:color="auto"/>
        <w:left w:val="none" w:sz="0" w:space="0" w:color="auto"/>
        <w:bottom w:val="none" w:sz="0" w:space="0" w:color="auto"/>
        <w:right w:val="none" w:sz="0" w:space="0" w:color="auto"/>
      </w:divBdr>
      <w:divsChild>
        <w:div w:id="266890996">
          <w:marLeft w:val="0"/>
          <w:marRight w:val="0"/>
          <w:marTop w:val="0"/>
          <w:marBottom w:val="0"/>
          <w:divBdr>
            <w:top w:val="none" w:sz="0" w:space="0" w:color="auto"/>
            <w:left w:val="none" w:sz="0" w:space="0" w:color="auto"/>
            <w:bottom w:val="none" w:sz="0" w:space="0" w:color="auto"/>
            <w:right w:val="none" w:sz="0" w:space="0" w:color="auto"/>
          </w:divBdr>
          <w:divsChild>
            <w:div w:id="1240211669">
              <w:marLeft w:val="0"/>
              <w:marRight w:val="0"/>
              <w:marTop w:val="0"/>
              <w:marBottom w:val="0"/>
              <w:divBdr>
                <w:top w:val="none" w:sz="0" w:space="0" w:color="auto"/>
                <w:left w:val="none" w:sz="0" w:space="0" w:color="auto"/>
                <w:bottom w:val="none" w:sz="0" w:space="0" w:color="auto"/>
                <w:right w:val="none" w:sz="0" w:space="0" w:color="auto"/>
              </w:divBdr>
              <w:divsChild>
                <w:div w:id="1124887768">
                  <w:marLeft w:val="0"/>
                  <w:marRight w:val="0"/>
                  <w:marTop w:val="0"/>
                  <w:marBottom w:val="0"/>
                  <w:divBdr>
                    <w:top w:val="none" w:sz="0" w:space="0" w:color="auto"/>
                    <w:left w:val="none" w:sz="0" w:space="0" w:color="auto"/>
                    <w:bottom w:val="none" w:sz="0" w:space="0" w:color="auto"/>
                    <w:right w:val="none" w:sz="0" w:space="0" w:color="auto"/>
                  </w:divBdr>
                  <w:divsChild>
                    <w:div w:id="199310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388053">
      <w:bodyDiv w:val="1"/>
      <w:marLeft w:val="0"/>
      <w:marRight w:val="0"/>
      <w:marTop w:val="0"/>
      <w:marBottom w:val="0"/>
      <w:divBdr>
        <w:top w:val="none" w:sz="0" w:space="0" w:color="auto"/>
        <w:left w:val="none" w:sz="0" w:space="0" w:color="auto"/>
        <w:bottom w:val="none" w:sz="0" w:space="0" w:color="auto"/>
        <w:right w:val="none" w:sz="0" w:space="0" w:color="auto"/>
      </w:divBdr>
    </w:div>
    <w:div w:id="1101687438">
      <w:bodyDiv w:val="1"/>
      <w:marLeft w:val="0"/>
      <w:marRight w:val="0"/>
      <w:marTop w:val="0"/>
      <w:marBottom w:val="0"/>
      <w:divBdr>
        <w:top w:val="none" w:sz="0" w:space="0" w:color="auto"/>
        <w:left w:val="none" w:sz="0" w:space="0" w:color="auto"/>
        <w:bottom w:val="none" w:sz="0" w:space="0" w:color="auto"/>
        <w:right w:val="none" w:sz="0" w:space="0" w:color="auto"/>
      </w:divBdr>
    </w:div>
    <w:div w:id="1156997777">
      <w:bodyDiv w:val="1"/>
      <w:marLeft w:val="0"/>
      <w:marRight w:val="0"/>
      <w:marTop w:val="0"/>
      <w:marBottom w:val="0"/>
      <w:divBdr>
        <w:top w:val="none" w:sz="0" w:space="0" w:color="auto"/>
        <w:left w:val="none" w:sz="0" w:space="0" w:color="auto"/>
        <w:bottom w:val="none" w:sz="0" w:space="0" w:color="auto"/>
        <w:right w:val="none" w:sz="0" w:space="0" w:color="auto"/>
      </w:divBdr>
    </w:div>
    <w:div w:id="1178232157">
      <w:bodyDiv w:val="1"/>
      <w:marLeft w:val="0"/>
      <w:marRight w:val="0"/>
      <w:marTop w:val="0"/>
      <w:marBottom w:val="0"/>
      <w:divBdr>
        <w:top w:val="none" w:sz="0" w:space="0" w:color="auto"/>
        <w:left w:val="none" w:sz="0" w:space="0" w:color="auto"/>
        <w:bottom w:val="none" w:sz="0" w:space="0" w:color="auto"/>
        <w:right w:val="none" w:sz="0" w:space="0" w:color="auto"/>
      </w:divBdr>
    </w:div>
    <w:div w:id="1185560304">
      <w:bodyDiv w:val="1"/>
      <w:marLeft w:val="0"/>
      <w:marRight w:val="0"/>
      <w:marTop w:val="0"/>
      <w:marBottom w:val="0"/>
      <w:divBdr>
        <w:top w:val="none" w:sz="0" w:space="0" w:color="auto"/>
        <w:left w:val="none" w:sz="0" w:space="0" w:color="auto"/>
        <w:bottom w:val="none" w:sz="0" w:space="0" w:color="auto"/>
        <w:right w:val="none" w:sz="0" w:space="0" w:color="auto"/>
      </w:divBdr>
      <w:divsChild>
        <w:div w:id="1908606901">
          <w:marLeft w:val="0"/>
          <w:marRight w:val="0"/>
          <w:marTop w:val="0"/>
          <w:marBottom w:val="0"/>
          <w:divBdr>
            <w:top w:val="none" w:sz="0" w:space="0" w:color="auto"/>
            <w:left w:val="none" w:sz="0" w:space="0" w:color="auto"/>
            <w:bottom w:val="none" w:sz="0" w:space="0" w:color="auto"/>
            <w:right w:val="none" w:sz="0" w:space="0" w:color="auto"/>
          </w:divBdr>
          <w:divsChild>
            <w:div w:id="904149566">
              <w:marLeft w:val="0"/>
              <w:marRight w:val="0"/>
              <w:marTop w:val="0"/>
              <w:marBottom w:val="0"/>
              <w:divBdr>
                <w:top w:val="none" w:sz="0" w:space="0" w:color="auto"/>
                <w:left w:val="none" w:sz="0" w:space="0" w:color="auto"/>
                <w:bottom w:val="none" w:sz="0" w:space="0" w:color="auto"/>
                <w:right w:val="none" w:sz="0" w:space="0" w:color="auto"/>
              </w:divBdr>
              <w:divsChild>
                <w:div w:id="10822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670404">
      <w:bodyDiv w:val="1"/>
      <w:marLeft w:val="0"/>
      <w:marRight w:val="0"/>
      <w:marTop w:val="0"/>
      <w:marBottom w:val="0"/>
      <w:divBdr>
        <w:top w:val="none" w:sz="0" w:space="0" w:color="auto"/>
        <w:left w:val="none" w:sz="0" w:space="0" w:color="auto"/>
        <w:bottom w:val="none" w:sz="0" w:space="0" w:color="auto"/>
        <w:right w:val="none" w:sz="0" w:space="0" w:color="auto"/>
      </w:divBdr>
    </w:div>
    <w:div w:id="1252658714">
      <w:bodyDiv w:val="1"/>
      <w:marLeft w:val="0"/>
      <w:marRight w:val="0"/>
      <w:marTop w:val="0"/>
      <w:marBottom w:val="0"/>
      <w:divBdr>
        <w:top w:val="none" w:sz="0" w:space="0" w:color="auto"/>
        <w:left w:val="none" w:sz="0" w:space="0" w:color="auto"/>
        <w:bottom w:val="none" w:sz="0" w:space="0" w:color="auto"/>
        <w:right w:val="none" w:sz="0" w:space="0" w:color="auto"/>
      </w:divBdr>
    </w:div>
    <w:div w:id="1309088296">
      <w:bodyDiv w:val="1"/>
      <w:marLeft w:val="0"/>
      <w:marRight w:val="0"/>
      <w:marTop w:val="0"/>
      <w:marBottom w:val="0"/>
      <w:divBdr>
        <w:top w:val="none" w:sz="0" w:space="0" w:color="auto"/>
        <w:left w:val="none" w:sz="0" w:space="0" w:color="auto"/>
        <w:bottom w:val="none" w:sz="0" w:space="0" w:color="auto"/>
        <w:right w:val="none" w:sz="0" w:space="0" w:color="auto"/>
      </w:divBdr>
    </w:div>
    <w:div w:id="1322655379">
      <w:bodyDiv w:val="1"/>
      <w:marLeft w:val="0"/>
      <w:marRight w:val="0"/>
      <w:marTop w:val="0"/>
      <w:marBottom w:val="0"/>
      <w:divBdr>
        <w:top w:val="none" w:sz="0" w:space="0" w:color="auto"/>
        <w:left w:val="none" w:sz="0" w:space="0" w:color="auto"/>
        <w:bottom w:val="none" w:sz="0" w:space="0" w:color="auto"/>
        <w:right w:val="none" w:sz="0" w:space="0" w:color="auto"/>
      </w:divBdr>
    </w:div>
    <w:div w:id="1335257589">
      <w:bodyDiv w:val="1"/>
      <w:marLeft w:val="0"/>
      <w:marRight w:val="0"/>
      <w:marTop w:val="0"/>
      <w:marBottom w:val="0"/>
      <w:divBdr>
        <w:top w:val="none" w:sz="0" w:space="0" w:color="auto"/>
        <w:left w:val="none" w:sz="0" w:space="0" w:color="auto"/>
        <w:bottom w:val="none" w:sz="0" w:space="0" w:color="auto"/>
        <w:right w:val="none" w:sz="0" w:space="0" w:color="auto"/>
      </w:divBdr>
    </w:div>
    <w:div w:id="1340039273">
      <w:bodyDiv w:val="1"/>
      <w:marLeft w:val="0"/>
      <w:marRight w:val="0"/>
      <w:marTop w:val="0"/>
      <w:marBottom w:val="0"/>
      <w:divBdr>
        <w:top w:val="none" w:sz="0" w:space="0" w:color="auto"/>
        <w:left w:val="none" w:sz="0" w:space="0" w:color="auto"/>
        <w:bottom w:val="none" w:sz="0" w:space="0" w:color="auto"/>
        <w:right w:val="none" w:sz="0" w:space="0" w:color="auto"/>
      </w:divBdr>
    </w:div>
    <w:div w:id="1370765587">
      <w:bodyDiv w:val="1"/>
      <w:marLeft w:val="0"/>
      <w:marRight w:val="0"/>
      <w:marTop w:val="0"/>
      <w:marBottom w:val="0"/>
      <w:divBdr>
        <w:top w:val="none" w:sz="0" w:space="0" w:color="auto"/>
        <w:left w:val="none" w:sz="0" w:space="0" w:color="auto"/>
        <w:bottom w:val="none" w:sz="0" w:space="0" w:color="auto"/>
        <w:right w:val="none" w:sz="0" w:space="0" w:color="auto"/>
      </w:divBdr>
    </w:div>
    <w:div w:id="1385063303">
      <w:bodyDiv w:val="1"/>
      <w:marLeft w:val="0"/>
      <w:marRight w:val="0"/>
      <w:marTop w:val="0"/>
      <w:marBottom w:val="0"/>
      <w:divBdr>
        <w:top w:val="none" w:sz="0" w:space="0" w:color="auto"/>
        <w:left w:val="none" w:sz="0" w:space="0" w:color="auto"/>
        <w:bottom w:val="none" w:sz="0" w:space="0" w:color="auto"/>
        <w:right w:val="none" w:sz="0" w:space="0" w:color="auto"/>
      </w:divBdr>
      <w:divsChild>
        <w:div w:id="1719544787">
          <w:marLeft w:val="0"/>
          <w:marRight w:val="0"/>
          <w:marTop w:val="0"/>
          <w:marBottom w:val="0"/>
          <w:divBdr>
            <w:top w:val="none" w:sz="0" w:space="0" w:color="auto"/>
            <w:left w:val="none" w:sz="0" w:space="0" w:color="auto"/>
            <w:bottom w:val="none" w:sz="0" w:space="0" w:color="auto"/>
            <w:right w:val="none" w:sz="0" w:space="0" w:color="auto"/>
          </w:divBdr>
          <w:divsChild>
            <w:div w:id="1495411564">
              <w:marLeft w:val="0"/>
              <w:marRight w:val="0"/>
              <w:marTop w:val="0"/>
              <w:marBottom w:val="0"/>
              <w:divBdr>
                <w:top w:val="none" w:sz="0" w:space="0" w:color="auto"/>
                <w:left w:val="none" w:sz="0" w:space="0" w:color="auto"/>
                <w:bottom w:val="none" w:sz="0" w:space="0" w:color="auto"/>
                <w:right w:val="none" w:sz="0" w:space="0" w:color="auto"/>
              </w:divBdr>
              <w:divsChild>
                <w:div w:id="208876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629630">
      <w:bodyDiv w:val="1"/>
      <w:marLeft w:val="0"/>
      <w:marRight w:val="0"/>
      <w:marTop w:val="0"/>
      <w:marBottom w:val="0"/>
      <w:divBdr>
        <w:top w:val="none" w:sz="0" w:space="0" w:color="auto"/>
        <w:left w:val="none" w:sz="0" w:space="0" w:color="auto"/>
        <w:bottom w:val="none" w:sz="0" w:space="0" w:color="auto"/>
        <w:right w:val="none" w:sz="0" w:space="0" w:color="auto"/>
      </w:divBdr>
    </w:div>
    <w:div w:id="1418598007">
      <w:bodyDiv w:val="1"/>
      <w:marLeft w:val="0"/>
      <w:marRight w:val="0"/>
      <w:marTop w:val="0"/>
      <w:marBottom w:val="0"/>
      <w:divBdr>
        <w:top w:val="none" w:sz="0" w:space="0" w:color="auto"/>
        <w:left w:val="none" w:sz="0" w:space="0" w:color="auto"/>
        <w:bottom w:val="none" w:sz="0" w:space="0" w:color="auto"/>
        <w:right w:val="none" w:sz="0" w:space="0" w:color="auto"/>
      </w:divBdr>
    </w:div>
    <w:div w:id="1420524739">
      <w:bodyDiv w:val="1"/>
      <w:marLeft w:val="0"/>
      <w:marRight w:val="0"/>
      <w:marTop w:val="0"/>
      <w:marBottom w:val="0"/>
      <w:divBdr>
        <w:top w:val="none" w:sz="0" w:space="0" w:color="auto"/>
        <w:left w:val="none" w:sz="0" w:space="0" w:color="auto"/>
        <w:bottom w:val="none" w:sz="0" w:space="0" w:color="auto"/>
        <w:right w:val="none" w:sz="0" w:space="0" w:color="auto"/>
      </w:divBdr>
      <w:divsChild>
        <w:div w:id="707221569">
          <w:marLeft w:val="0"/>
          <w:marRight w:val="0"/>
          <w:marTop w:val="0"/>
          <w:marBottom w:val="0"/>
          <w:divBdr>
            <w:top w:val="none" w:sz="0" w:space="0" w:color="auto"/>
            <w:left w:val="none" w:sz="0" w:space="0" w:color="auto"/>
            <w:bottom w:val="none" w:sz="0" w:space="0" w:color="auto"/>
            <w:right w:val="none" w:sz="0" w:space="0" w:color="auto"/>
          </w:divBdr>
          <w:divsChild>
            <w:div w:id="1480539732">
              <w:marLeft w:val="0"/>
              <w:marRight w:val="0"/>
              <w:marTop w:val="0"/>
              <w:marBottom w:val="0"/>
              <w:divBdr>
                <w:top w:val="none" w:sz="0" w:space="0" w:color="auto"/>
                <w:left w:val="none" w:sz="0" w:space="0" w:color="auto"/>
                <w:bottom w:val="none" w:sz="0" w:space="0" w:color="auto"/>
                <w:right w:val="none" w:sz="0" w:space="0" w:color="auto"/>
              </w:divBdr>
              <w:divsChild>
                <w:div w:id="780028809">
                  <w:marLeft w:val="0"/>
                  <w:marRight w:val="0"/>
                  <w:marTop w:val="0"/>
                  <w:marBottom w:val="0"/>
                  <w:divBdr>
                    <w:top w:val="none" w:sz="0" w:space="0" w:color="auto"/>
                    <w:left w:val="none" w:sz="0" w:space="0" w:color="auto"/>
                    <w:bottom w:val="none" w:sz="0" w:space="0" w:color="auto"/>
                    <w:right w:val="none" w:sz="0" w:space="0" w:color="auto"/>
                  </w:divBdr>
                  <w:divsChild>
                    <w:div w:id="100921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048241">
      <w:bodyDiv w:val="1"/>
      <w:marLeft w:val="0"/>
      <w:marRight w:val="0"/>
      <w:marTop w:val="0"/>
      <w:marBottom w:val="0"/>
      <w:divBdr>
        <w:top w:val="none" w:sz="0" w:space="0" w:color="auto"/>
        <w:left w:val="none" w:sz="0" w:space="0" w:color="auto"/>
        <w:bottom w:val="none" w:sz="0" w:space="0" w:color="auto"/>
        <w:right w:val="none" w:sz="0" w:space="0" w:color="auto"/>
      </w:divBdr>
    </w:div>
    <w:div w:id="1459908474">
      <w:bodyDiv w:val="1"/>
      <w:marLeft w:val="0"/>
      <w:marRight w:val="0"/>
      <w:marTop w:val="0"/>
      <w:marBottom w:val="0"/>
      <w:divBdr>
        <w:top w:val="none" w:sz="0" w:space="0" w:color="auto"/>
        <w:left w:val="none" w:sz="0" w:space="0" w:color="auto"/>
        <w:bottom w:val="none" w:sz="0" w:space="0" w:color="auto"/>
        <w:right w:val="none" w:sz="0" w:space="0" w:color="auto"/>
      </w:divBdr>
    </w:div>
    <w:div w:id="1464153009">
      <w:bodyDiv w:val="1"/>
      <w:marLeft w:val="0"/>
      <w:marRight w:val="0"/>
      <w:marTop w:val="0"/>
      <w:marBottom w:val="0"/>
      <w:divBdr>
        <w:top w:val="none" w:sz="0" w:space="0" w:color="auto"/>
        <w:left w:val="none" w:sz="0" w:space="0" w:color="auto"/>
        <w:bottom w:val="none" w:sz="0" w:space="0" w:color="auto"/>
        <w:right w:val="none" w:sz="0" w:space="0" w:color="auto"/>
      </w:divBdr>
    </w:div>
    <w:div w:id="1469978957">
      <w:bodyDiv w:val="1"/>
      <w:marLeft w:val="0"/>
      <w:marRight w:val="0"/>
      <w:marTop w:val="0"/>
      <w:marBottom w:val="0"/>
      <w:divBdr>
        <w:top w:val="none" w:sz="0" w:space="0" w:color="auto"/>
        <w:left w:val="none" w:sz="0" w:space="0" w:color="auto"/>
        <w:bottom w:val="none" w:sz="0" w:space="0" w:color="auto"/>
        <w:right w:val="none" w:sz="0" w:space="0" w:color="auto"/>
      </w:divBdr>
    </w:div>
    <w:div w:id="1476332070">
      <w:bodyDiv w:val="1"/>
      <w:marLeft w:val="0"/>
      <w:marRight w:val="0"/>
      <w:marTop w:val="0"/>
      <w:marBottom w:val="0"/>
      <w:divBdr>
        <w:top w:val="none" w:sz="0" w:space="0" w:color="auto"/>
        <w:left w:val="none" w:sz="0" w:space="0" w:color="auto"/>
        <w:bottom w:val="none" w:sz="0" w:space="0" w:color="auto"/>
        <w:right w:val="none" w:sz="0" w:space="0" w:color="auto"/>
      </w:divBdr>
    </w:div>
    <w:div w:id="1564759787">
      <w:bodyDiv w:val="1"/>
      <w:marLeft w:val="0"/>
      <w:marRight w:val="0"/>
      <w:marTop w:val="0"/>
      <w:marBottom w:val="0"/>
      <w:divBdr>
        <w:top w:val="none" w:sz="0" w:space="0" w:color="auto"/>
        <w:left w:val="none" w:sz="0" w:space="0" w:color="auto"/>
        <w:bottom w:val="none" w:sz="0" w:space="0" w:color="auto"/>
        <w:right w:val="none" w:sz="0" w:space="0" w:color="auto"/>
      </w:divBdr>
    </w:div>
    <w:div w:id="1584560599">
      <w:bodyDiv w:val="1"/>
      <w:marLeft w:val="0"/>
      <w:marRight w:val="0"/>
      <w:marTop w:val="0"/>
      <w:marBottom w:val="0"/>
      <w:divBdr>
        <w:top w:val="none" w:sz="0" w:space="0" w:color="auto"/>
        <w:left w:val="none" w:sz="0" w:space="0" w:color="auto"/>
        <w:bottom w:val="none" w:sz="0" w:space="0" w:color="auto"/>
        <w:right w:val="none" w:sz="0" w:space="0" w:color="auto"/>
      </w:divBdr>
      <w:divsChild>
        <w:div w:id="315036556">
          <w:marLeft w:val="0"/>
          <w:marRight w:val="0"/>
          <w:marTop w:val="0"/>
          <w:marBottom w:val="0"/>
          <w:divBdr>
            <w:top w:val="none" w:sz="0" w:space="0" w:color="auto"/>
            <w:left w:val="none" w:sz="0" w:space="0" w:color="auto"/>
            <w:bottom w:val="none" w:sz="0" w:space="0" w:color="auto"/>
            <w:right w:val="none" w:sz="0" w:space="0" w:color="auto"/>
          </w:divBdr>
          <w:divsChild>
            <w:div w:id="1437555919">
              <w:marLeft w:val="0"/>
              <w:marRight w:val="0"/>
              <w:marTop w:val="0"/>
              <w:marBottom w:val="0"/>
              <w:divBdr>
                <w:top w:val="none" w:sz="0" w:space="0" w:color="auto"/>
                <w:left w:val="none" w:sz="0" w:space="0" w:color="auto"/>
                <w:bottom w:val="none" w:sz="0" w:space="0" w:color="auto"/>
                <w:right w:val="none" w:sz="0" w:space="0" w:color="auto"/>
              </w:divBdr>
              <w:divsChild>
                <w:div w:id="95047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354005">
      <w:bodyDiv w:val="1"/>
      <w:marLeft w:val="0"/>
      <w:marRight w:val="0"/>
      <w:marTop w:val="0"/>
      <w:marBottom w:val="0"/>
      <w:divBdr>
        <w:top w:val="none" w:sz="0" w:space="0" w:color="auto"/>
        <w:left w:val="none" w:sz="0" w:space="0" w:color="auto"/>
        <w:bottom w:val="none" w:sz="0" w:space="0" w:color="auto"/>
        <w:right w:val="none" w:sz="0" w:space="0" w:color="auto"/>
      </w:divBdr>
    </w:div>
    <w:div w:id="1602371666">
      <w:bodyDiv w:val="1"/>
      <w:marLeft w:val="0"/>
      <w:marRight w:val="0"/>
      <w:marTop w:val="0"/>
      <w:marBottom w:val="0"/>
      <w:divBdr>
        <w:top w:val="none" w:sz="0" w:space="0" w:color="auto"/>
        <w:left w:val="none" w:sz="0" w:space="0" w:color="auto"/>
        <w:bottom w:val="none" w:sz="0" w:space="0" w:color="auto"/>
        <w:right w:val="none" w:sz="0" w:space="0" w:color="auto"/>
      </w:divBdr>
    </w:div>
    <w:div w:id="1623341319">
      <w:bodyDiv w:val="1"/>
      <w:marLeft w:val="0"/>
      <w:marRight w:val="0"/>
      <w:marTop w:val="0"/>
      <w:marBottom w:val="0"/>
      <w:divBdr>
        <w:top w:val="none" w:sz="0" w:space="0" w:color="auto"/>
        <w:left w:val="none" w:sz="0" w:space="0" w:color="auto"/>
        <w:bottom w:val="none" w:sz="0" w:space="0" w:color="auto"/>
        <w:right w:val="none" w:sz="0" w:space="0" w:color="auto"/>
      </w:divBdr>
    </w:div>
    <w:div w:id="1643922483">
      <w:bodyDiv w:val="1"/>
      <w:marLeft w:val="0"/>
      <w:marRight w:val="0"/>
      <w:marTop w:val="0"/>
      <w:marBottom w:val="0"/>
      <w:divBdr>
        <w:top w:val="none" w:sz="0" w:space="0" w:color="auto"/>
        <w:left w:val="none" w:sz="0" w:space="0" w:color="auto"/>
        <w:bottom w:val="none" w:sz="0" w:space="0" w:color="auto"/>
        <w:right w:val="none" w:sz="0" w:space="0" w:color="auto"/>
      </w:divBdr>
    </w:div>
    <w:div w:id="1667977691">
      <w:bodyDiv w:val="1"/>
      <w:marLeft w:val="0"/>
      <w:marRight w:val="0"/>
      <w:marTop w:val="0"/>
      <w:marBottom w:val="0"/>
      <w:divBdr>
        <w:top w:val="none" w:sz="0" w:space="0" w:color="auto"/>
        <w:left w:val="none" w:sz="0" w:space="0" w:color="auto"/>
        <w:bottom w:val="none" w:sz="0" w:space="0" w:color="auto"/>
        <w:right w:val="none" w:sz="0" w:space="0" w:color="auto"/>
      </w:divBdr>
    </w:div>
    <w:div w:id="1684698024">
      <w:bodyDiv w:val="1"/>
      <w:marLeft w:val="0"/>
      <w:marRight w:val="0"/>
      <w:marTop w:val="0"/>
      <w:marBottom w:val="0"/>
      <w:divBdr>
        <w:top w:val="none" w:sz="0" w:space="0" w:color="auto"/>
        <w:left w:val="none" w:sz="0" w:space="0" w:color="auto"/>
        <w:bottom w:val="none" w:sz="0" w:space="0" w:color="auto"/>
        <w:right w:val="none" w:sz="0" w:space="0" w:color="auto"/>
      </w:divBdr>
    </w:div>
    <w:div w:id="1723208818">
      <w:bodyDiv w:val="1"/>
      <w:marLeft w:val="0"/>
      <w:marRight w:val="0"/>
      <w:marTop w:val="0"/>
      <w:marBottom w:val="0"/>
      <w:divBdr>
        <w:top w:val="none" w:sz="0" w:space="0" w:color="auto"/>
        <w:left w:val="none" w:sz="0" w:space="0" w:color="auto"/>
        <w:bottom w:val="none" w:sz="0" w:space="0" w:color="auto"/>
        <w:right w:val="none" w:sz="0" w:space="0" w:color="auto"/>
      </w:divBdr>
    </w:div>
    <w:div w:id="1746875349">
      <w:bodyDiv w:val="1"/>
      <w:marLeft w:val="0"/>
      <w:marRight w:val="0"/>
      <w:marTop w:val="0"/>
      <w:marBottom w:val="0"/>
      <w:divBdr>
        <w:top w:val="none" w:sz="0" w:space="0" w:color="auto"/>
        <w:left w:val="none" w:sz="0" w:space="0" w:color="auto"/>
        <w:bottom w:val="none" w:sz="0" w:space="0" w:color="auto"/>
        <w:right w:val="none" w:sz="0" w:space="0" w:color="auto"/>
      </w:divBdr>
    </w:div>
    <w:div w:id="1766421243">
      <w:bodyDiv w:val="1"/>
      <w:marLeft w:val="0"/>
      <w:marRight w:val="0"/>
      <w:marTop w:val="0"/>
      <w:marBottom w:val="0"/>
      <w:divBdr>
        <w:top w:val="none" w:sz="0" w:space="0" w:color="auto"/>
        <w:left w:val="none" w:sz="0" w:space="0" w:color="auto"/>
        <w:bottom w:val="none" w:sz="0" w:space="0" w:color="auto"/>
        <w:right w:val="none" w:sz="0" w:space="0" w:color="auto"/>
      </w:divBdr>
    </w:div>
    <w:div w:id="1833251481">
      <w:bodyDiv w:val="1"/>
      <w:marLeft w:val="0"/>
      <w:marRight w:val="0"/>
      <w:marTop w:val="0"/>
      <w:marBottom w:val="0"/>
      <w:divBdr>
        <w:top w:val="none" w:sz="0" w:space="0" w:color="auto"/>
        <w:left w:val="none" w:sz="0" w:space="0" w:color="auto"/>
        <w:bottom w:val="none" w:sz="0" w:space="0" w:color="auto"/>
        <w:right w:val="none" w:sz="0" w:space="0" w:color="auto"/>
      </w:divBdr>
    </w:div>
    <w:div w:id="1840581292">
      <w:bodyDiv w:val="1"/>
      <w:marLeft w:val="0"/>
      <w:marRight w:val="0"/>
      <w:marTop w:val="0"/>
      <w:marBottom w:val="0"/>
      <w:divBdr>
        <w:top w:val="none" w:sz="0" w:space="0" w:color="auto"/>
        <w:left w:val="none" w:sz="0" w:space="0" w:color="auto"/>
        <w:bottom w:val="none" w:sz="0" w:space="0" w:color="auto"/>
        <w:right w:val="none" w:sz="0" w:space="0" w:color="auto"/>
      </w:divBdr>
    </w:div>
    <w:div w:id="1855068179">
      <w:bodyDiv w:val="1"/>
      <w:marLeft w:val="0"/>
      <w:marRight w:val="0"/>
      <w:marTop w:val="0"/>
      <w:marBottom w:val="0"/>
      <w:divBdr>
        <w:top w:val="none" w:sz="0" w:space="0" w:color="auto"/>
        <w:left w:val="none" w:sz="0" w:space="0" w:color="auto"/>
        <w:bottom w:val="none" w:sz="0" w:space="0" w:color="auto"/>
        <w:right w:val="none" w:sz="0" w:space="0" w:color="auto"/>
      </w:divBdr>
    </w:div>
    <w:div w:id="1894190864">
      <w:bodyDiv w:val="1"/>
      <w:marLeft w:val="0"/>
      <w:marRight w:val="0"/>
      <w:marTop w:val="0"/>
      <w:marBottom w:val="0"/>
      <w:divBdr>
        <w:top w:val="none" w:sz="0" w:space="0" w:color="auto"/>
        <w:left w:val="none" w:sz="0" w:space="0" w:color="auto"/>
        <w:bottom w:val="none" w:sz="0" w:space="0" w:color="auto"/>
        <w:right w:val="none" w:sz="0" w:space="0" w:color="auto"/>
      </w:divBdr>
    </w:div>
    <w:div w:id="1925407234">
      <w:bodyDiv w:val="1"/>
      <w:marLeft w:val="0"/>
      <w:marRight w:val="0"/>
      <w:marTop w:val="0"/>
      <w:marBottom w:val="0"/>
      <w:divBdr>
        <w:top w:val="none" w:sz="0" w:space="0" w:color="auto"/>
        <w:left w:val="none" w:sz="0" w:space="0" w:color="auto"/>
        <w:bottom w:val="none" w:sz="0" w:space="0" w:color="auto"/>
        <w:right w:val="none" w:sz="0" w:space="0" w:color="auto"/>
      </w:divBdr>
    </w:div>
    <w:div w:id="1933466289">
      <w:bodyDiv w:val="1"/>
      <w:marLeft w:val="0"/>
      <w:marRight w:val="0"/>
      <w:marTop w:val="0"/>
      <w:marBottom w:val="0"/>
      <w:divBdr>
        <w:top w:val="none" w:sz="0" w:space="0" w:color="auto"/>
        <w:left w:val="none" w:sz="0" w:space="0" w:color="auto"/>
        <w:bottom w:val="none" w:sz="0" w:space="0" w:color="auto"/>
        <w:right w:val="none" w:sz="0" w:space="0" w:color="auto"/>
      </w:divBdr>
    </w:div>
    <w:div w:id="1937787915">
      <w:bodyDiv w:val="1"/>
      <w:marLeft w:val="0"/>
      <w:marRight w:val="0"/>
      <w:marTop w:val="0"/>
      <w:marBottom w:val="0"/>
      <w:divBdr>
        <w:top w:val="none" w:sz="0" w:space="0" w:color="auto"/>
        <w:left w:val="none" w:sz="0" w:space="0" w:color="auto"/>
        <w:bottom w:val="none" w:sz="0" w:space="0" w:color="auto"/>
        <w:right w:val="none" w:sz="0" w:space="0" w:color="auto"/>
      </w:divBdr>
    </w:div>
    <w:div w:id="1955096490">
      <w:bodyDiv w:val="1"/>
      <w:marLeft w:val="0"/>
      <w:marRight w:val="0"/>
      <w:marTop w:val="0"/>
      <w:marBottom w:val="0"/>
      <w:divBdr>
        <w:top w:val="none" w:sz="0" w:space="0" w:color="auto"/>
        <w:left w:val="none" w:sz="0" w:space="0" w:color="auto"/>
        <w:bottom w:val="none" w:sz="0" w:space="0" w:color="auto"/>
        <w:right w:val="none" w:sz="0" w:space="0" w:color="auto"/>
      </w:divBdr>
    </w:div>
    <w:div w:id="1970277560">
      <w:bodyDiv w:val="1"/>
      <w:marLeft w:val="0"/>
      <w:marRight w:val="0"/>
      <w:marTop w:val="0"/>
      <w:marBottom w:val="0"/>
      <w:divBdr>
        <w:top w:val="none" w:sz="0" w:space="0" w:color="auto"/>
        <w:left w:val="none" w:sz="0" w:space="0" w:color="auto"/>
        <w:bottom w:val="none" w:sz="0" w:space="0" w:color="auto"/>
        <w:right w:val="none" w:sz="0" w:space="0" w:color="auto"/>
      </w:divBdr>
    </w:div>
    <w:div w:id="1981493526">
      <w:bodyDiv w:val="1"/>
      <w:marLeft w:val="0"/>
      <w:marRight w:val="0"/>
      <w:marTop w:val="0"/>
      <w:marBottom w:val="0"/>
      <w:divBdr>
        <w:top w:val="none" w:sz="0" w:space="0" w:color="auto"/>
        <w:left w:val="none" w:sz="0" w:space="0" w:color="auto"/>
        <w:bottom w:val="none" w:sz="0" w:space="0" w:color="auto"/>
        <w:right w:val="none" w:sz="0" w:space="0" w:color="auto"/>
      </w:divBdr>
    </w:div>
    <w:div w:id="2041660060">
      <w:bodyDiv w:val="1"/>
      <w:marLeft w:val="0"/>
      <w:marRight w:val="0"/>
      <w:marTop w:val="0"/>
      <w:marBottom w:val="0"/>
      <w:divBdr>
        <w:top w:val="none" w:sz="0" w:space="0" w:color="auto"/>
        <w:left w:val="none" w:sz="0" w:space="0" w:color="auto"/>
        <w:bottom w:val="none" w:sz="0" w:space="0" w:color="auto"/>
        <w:right w:val="none" w:sz="0" w:space="0" w:color="auto"/>
      </w:divBdr>
    </w:div>
    <w:div w:id="2043551394">
      <w:bodyDiv w:val="1"/>
      <w:marLeft w:val="0"/>
      <w:marRight w:val="0"/>
      <w:marTop w:val="0"/>
      <w:marBottom w:val="0"/>
      <w:divBdr>
        <w:top w:val="none" w:sz="0" w:space="0" w:color="auto"/>
        <w:left w:val="none" w:sz="0" w:space="0" w:color="auto"/>
        <w:bottom w:val="none" w:sz="0" w:space="0" w:color="auto"/>
        <w:right w:val="none" w:sz="0" w:space="0" w:color="auto"/>
      </w:divBdr>
    </w:div>
    <w:div w:id="2047750385">
      <w:bodyDiv w:val="1"/>
      <w:marLeft w:val="0"/>
      <w:marRight w:val="0"/>
      <w:marTop w:val="0"/>
      <w:marBottom w:val="0"/>
      <w:divBdr>
        <w:top w:val="none" w:sz="0" w:space="0" w:color="auto"/>
        <w:left w:val="none" w:sz="0" w:space="0" w:color="auto"/>
        <w:bottom w:val="none" w:sz="0" w:space="0" w:color="auto"/>
        <w:right w:val="none" w:sz="0" w:space="0" w:color="auto"/>
      </w:divBdr>
    </w:div>
    <w:div w:id="2086339846">
      <w:bodyDiv w:val="1"/>
      <w:marLeft w:val="0"/>
      <w:marRight w:val="0"/>
      <w:marTop w:val="0"/>
      <w:marBottom w:val="0"/>
      <w:divBdr>
        <w:top w:val="none" w:sz="0" w:space="0" w:color="auto"/>
        <w:left w:val="none" w:sz="0" w:space="0" w:color="auto"/>
        <w:bottom w:val="none" w:sz="0" w:space="0" w:color="auto"/>
        <w:right w:val="none" w:sz="0" w:space="0" w:color="auto"/>
      </w:divBdr>
    </w:div>
    <w:div w:id="2122138241">
      <w:bodyDiv w:val="1"/>
      <w:marLeft w:val="0"/>
      <w:marRight w:val="0"/>
      <w:marTop w:val="0"/>
      <w:marBottom w:val="0"/>
      <w:divBdr>
        <w:top w:val="none" w:sz="0" w:space="0" w:color="auto"/>
        <w:left w:val="none" w:sz="0" w:space="0" w:color="auto"/>
        <w:bottom w:val="none" w:sz="0" w:space="0" w:color="auto"/>
        <w:right w:val="none" w:sz="0" w:space="0" w:color="auto"/>
      </w:divBdr>
    </w:div>
    <w:div w:id="214272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Est17</b:Tag>
    <b:SourceType>Report</b:SourceType>
    <b:Guid>{75C0CCED-C096-6E4B-95B2-779229687DFF}</b:Guid>
    <b:Title>The Annual Report of Her Majesty's Chief Inspector of Education and Training in Wales 2016-2017</b:Title>
    <b:Year>2017</b:Year>
    <b:Author>
      <b:Author>
        <b:NameList>
          <b:Person>
            <b:Last>Estyn</b:Last>
          </b:Person>
        </b:NameList>
      </b:Author>
    </b:Author>
    <b:Publisher>Estyn</b:Publisher>
    <b:RefOrder>3</b:RefOrder>
  </b:Source>
  <b:Source>
    <b:Tag>Don151</b:Tag>
    <b:SourceType>DocumentFromInternetSite</b:SourceType>
    <b:Guid>{D1E36F72-AE03-F446-9717-5DEB5748C809}</b:Guid>
    <b:Title>Successful Futures</b:Title>
    <b:Year>2015</b:Year>
    <b:Author>
      <b:Author>
        <b:NameList>
          <b:Person>
            <b:Last>Donaldson</b:Last>
            <b:First>Graham</b:First>
          </b:Person>
        </b:NameList>
      </b:Author>
    </b:Author>
    <b:URL>https://gov.wales/docs/dcells/publications/150225-successful-futures-en.pdf</b:URL>
    <b:Month>February</b:Month>
    <b:YearAccessed>2018</b:YearAccessed>
    <b:MonthAccessed>November</b:MonthAccessed>
    <b:RefOrder>4</b:RefOrder>
  </b:Source>
  <b:Source>
    <b:Tag>Wel13</b:Tag>
    <b:SourceType>DocumentFromInternetSite</b:SourceType>
    <b:Guid>{283AC851-1395-4B4D-B433-6EC7AE4C82C5}</b:Guid>
    <b:Author>
      <b:Author>
        <b:NameList>
          <b:Person>
            <b:Last>Government</b:Last>
            <b:First>Welsh</b:First>
            <b:Middle>Assembly</b:Middle>
          </b:Person>
        </b:NameList>
      </b:Author>
    </b:Author>
    <b:Title>National Literacy and Numeracy Framework </b:Title>
    <b:URL>http://learning.gov.wales/docs/learningwales/publications/130415-lnf-guidance-en.pdf</b:URL>
    <b:Year>2013</b:Year>
    <b:Month>March</b:Month>
    <b:YearAccessed>2018</b:YearAccessed>
    <b:MonthAccessed>November</b:MonthAccessed>
    <b:DayAccessed>01</b:DayAccessed>
    <b:RefOrder>5</b:RefOrder>
  </b:Source>
  <b:Source>
    <b:Tag>Wel18</b:Tag>
    <b:SourceType>DocumentFromInternetSite</b:SourceType>
    <b:Guid>{5DED0F25-D627-104A-93C5-2D469B6AE902}</b:Guid>
    <b:Author>
      <b:Author>
        <b:NameList>
          <b:Person>
            <b:Last>Government</b:Last>
            <b:First>Welsh</b:First>
            <b:Middle>Assembly</b:Middle>
          </b:Person>
        </b:NameList>
      </b:Author>
    </b:Author>
    <b:Title>Digital Competence Framework guidance - Update</b:Title>
    <b:URL>http://learning.gov.wales/docs/learningwales/publications/180620-dcf-guidance-2018-en.pdf</b:URL>
    <b:Year>2018</b:Year>
    <b:Month>June</b:Month>
    <b:YearAccessed>2018</b:YearAccessed>
    <b:MonthAccessed>November</b:MonthAccessed>
    <b:DayAccessed>01</b:DayAccessed>
    <b:RefOrder>6</b:RefOrder>
  </b:Source>
  <b:Source>
    <b:Tag>Pou15</b:Tag>
    <b:SourceType>Book</b:SourceType>
    <b:Guid>{2B963E02-8E2F-8D4E-8E92-B286E54078E7}</b:Guid>
    <b:Title>Teaching Mathematics Creatively</b:Title>
    <b:Year>2015</b:Year>
    <b:Author>
      <b:Author>
        <b:NameList>
          <b:Person>
            <b:Last>Pound</b:Last>
            <b:First>Linda</b:First>
          </b:Person>
          <b:Person>
            <b:Last>Lee</b:Last>
            <b:First>Trisha</b:First>
          </b:Person>
        </b:NameList>
      </b:Author>
    </b:Author>
    <b:City>Oxon</b:City>
    <b:Publisher>Routledge</b:Publisher>
    <b:Edition>2nd Edition</b:Edition>
    <b:RefOrder>7</b:RefOrder>
  </b:Source>
  <b:Source>
    <b:Tag>Bar15</b:Tag>
    <b:SourceType>Book</b:SourceType>
    <b:Guid>{DF3D7B91-8E54-6649-AF41-3CF7E6DB1A06}</b:Guid>
    <b:Author>
      <b:Author>
        <b:NameList>
          <b:Person>
            <b:Last>Barnes</b:Last>
            <b:First>Jonathan</b:First>
          </b:Person>
        </b:NameList>
      </b:Author>
    </b:Author>
    <b:Title>Cross-Curricular Learning 3-14</b:Title>
    <b:City>London</b:City>
    <b:Publisher>Sage</b:Publisher>
    <b:Year>2015</b:Year>
    <b:Edition>3rd Edition</b:Edition>
    <b:RefOrder>8</b:RefOrder>
  </b:Source>
  <b:Source>
    <b:Tag>Rob15</b:Tag>
    <b:SourceType>Book</b:SourceType>
    <b:Guid>{11F56E14-D378-4044-B80B-FF63BB7A2CA3}</b:Guid>
    <b:Author>
      <b:Author>
        <b:NameList>
          <b:Person>
            <b:Last>Robinson</b:Last>
            <b:First>Ken</b:First>
          </b:Person>
          <b:Person>
            <b:Last>Aronica</b:Last>
            <b:First>Lou</b:First>
          </b:Person>
        </b:NameList>
      </b:Author>
    </b:Author>
    <b:Title>Creative Schools</b:Title>
    <b:City>London</b:City>
    <b:Publisher>Penguin</b:Publisher>
    <b:Year>2015</b:Year>
    <b:Edition>1st</b:Edition>
    <b:RefOrder>9</b:RefOrder>
  </b:Source>
  <b:Source>
    <b:Tag>Art13</b:Tag>
    <b:SourceType>DocumentFromInternetSite</b:SourceType>
    <b:Guid>{E979747B-5133-014B-BE73-536D195DFE31}</b:Guid>
    <b:Author>
      <b:Author>
        <b:NameList>
          <b:Person>
            <b:Last>Arthur</b:Last>
            <b:First>Stuart</b:First>
          </b:Person>
          <b:Person>
            <b:Last>Crick</b:Last>
            <b:First>Tom</b:First>
          </b:Person>
          <b:Person>
            <b:Last>Hayward</b:Last>
            <b:First>Janet</b:First>
          </b:Person>
        </b:NameList>
      </b:Author>
    </b:Author>
    <b:Title>THE ICT STEERING GROUP’S REPORT TO THE WELSH GOVERNMENT</b:Title>
    <b:Publisher>The ICT Steering Group</b:Publisher>
    <b:Year>2013</b:Year>
    <b:URL>http;//learning.gov.wales/docs/learningwales/publications/131003-ict-steering-group-report-en.pdf</b:URL>
    <b:Month>September</b:Month>
    <b:YearAccessed>2018</b:YearAccessed>
    <b:MonthAccessed>November</b:MonthAccessed>
    <b:DayAccessed>27</b:DayAccessed>
    <b:RefOrder>10</b:RefOrder>
  </b:Source>
  <b:Source>
    <b:Tag>Lit7b</b:Tag>
    <b:SourceType>DocumentFromInternetSite</b:SourceType>
    <b:Guid>{A6B35D32-EC14-9748-B68A-787619A31A83}</b:Guid>
    <b:Title>Literacy and numeracy:Your questions answered</b:Title>
    <b:URL>http://learning.gov.wales/docs/learningwales/publications/170425-your-questions-answered-en.pdf</b:URL>
    <b:Year>2017b</b:Year>
    <b:YearAccessed>2018</b:YearAccessed>
    <b:MonthAccessed>November</b:MonthAccessed>
    <b:DayAccessed>19</b:DayAccessed>
    <b:Author>
      <b:Author>
        <b:NameList>
          <b:Person>
            <b:Last>Government</b:Last>
            <b:First>Welsh</b:First>
            <b:Middle>Assembly</b:Middle>
          </b:Person>
        </b:NameList>
      </b:Author>
    </b:Author>
    <b:RefOrder>11</b:RefOrder>
  </b:Source>
  <b:Source>
    <b:Tag>Wel17</b:Tag>
    <b:SourceType>DocumentFromInternetSite</b:SourceType>
    <b:Guid>{D2C04A55-B867-E849-BB3E-0D7F506CAE85}</b:Guid>
    <b:Author>
      <b:Author>
        <b:NameList>
          <b:Person>
            <b:Last>Government</b:Last>
            <b:First>Welsh</b:First>
            <b:Middle>Assembly</b:Middle>
          </b:Person>
        </b:NameList>
      </b:Author>
    </b:Author>
    <b:Title>Education in Wales: Our national mission</b:Title>
    <b:URL>https://beta.gov.wales/sites/default/files/publications/2018-03/education-in-wales-our-national-mission.pdf</b:URL>
    <b:Year>2017a</b:Year>
    <b:Month>September</b:Month>
    <b:YearAccessed>2018</b:YearAccessed>
    <b:MonthAccessed>November</b:MonthAccessed>
    <b:RefOrder>12</b:RefOrder>
  </b:Source>
  <b:Source>
    <b:Tag>Dom131</b:Tag>
    <b:SourceType>Book</b:SourceType>
    <b:Guid>{0FBA84AE-BEC1-244F-B1F8-1CFBC5DA79DA}</b:Guid>
    <b:Author>
      <b:Author>
        <b:NameList>
          <b:Person>
            <b:Last>Dombey</b:Last>
            <b:First>Henrietta</b:First>
          </b:Person>
        </b:NameList>
      </b:Author>
    </b:Author>
    <b:Title>Teaching Writing: What the evidence says</b:Title>
    <b:Year>2013a</b:Year>
    <b:City>Leicester</b:City>
    <b:Publisher>United Kingdom Literacy Association</b:Publisher>
    <b:RefOrder>13</b:RefOrder>
  </b:Source>
  <b:Source>
    <b:Tag>Dom13</b:Tag>
    <b:SourceType>JournalArticle</b:SourceType>
    <b:Guid>{89A10862-D3A6-6C45-8655-96FFCCF39043}</b:Guid>
    <b:Title>What we know about teaching writing</b:Title>
    <b:URL>https://ejournals.epublishing.ekt.gr/index.php/education/article/viewFile/1816/1799.pdf</b:URL>
    <b:Year>2013b</b:Year>
    <b:Author>
      <b:Author>
        <b:NameList>
          <b:Person>
            <b:Last>Dombey</b:Last>
            <b:First>Henrietta</b:First>
          </b:Person>
        </b:NameList>
      </b:Author>
    </b:Author>
    <b:JournalName>Preschool &amp; Primary Education</b:JournalName>
    <b:Volume>1</b:Volume>
    <b:Issue>1</b:Issue>
    <b:Pages>22-40</b:Pages>
    <b:RefOrder>14</b:RefOrder>
  </b:Source>
  <b:Source>
    <b:Tag>Edu17</b:Tag>
    <b:SourceType>Report</b:SourceType>
    <b:Guid>{B06C9786-A519-4F42-9069-407EBC18791E}</b:Guid>
    <b:Title>Improving literacy in Key Stage 2</b:Title>
    <b:City>London</b:City>
    <b:Publisher>Education Endowment Foundation</b:Publisher>
    <b:Year>2017</b:Year>
    <b:Author>
      <b:Author>
        <b:NameList>
          <b:Person>
            <b:Last>Foundation</b:Last>
            <b:First>Education</b:First>
            <b:Middle>Endowment</b:Middle>
          </b:Person>
        </b:NameList>
      </b:Author>
    </b:Author>
    <b:URL>https://educationendowmentfoundation.org.uk/public/files/Publications/Campaigns/Literacy/KS2_Literacy_Guidance_2017.pdf</b:URL>
    <b:RefOrder>15</b:RefOrder>
  </b:Source>
  <b:Source>
    <b:Tag>Gri15</b:Tag>
    <b:SourceType>Book</b:SourceType>
    <b:Guid>{B6AAB17F-A559-9943-A6DE-59B211FD8FDF}</b:Guid>
    <b:Title>Becoming an Outstanding Primary School Teacher</b:Title>
    <b:Publisher>Routledge</b:Publisher>
    <b:City>Oxon</b:City>
    <b:Year>2015</b:Year>
    <b:Author>
      <b:Author>
        <b:NameList>
          <b:Person>
            <b:Last>Grigg</b:Last>
            <b:First>Russell</b:First>
          </b:Person>
        </b:NameList>
      </b:Author>
    </b:Author>
    <b:Edition>2nd</b:Edition>
    <b:RefOrder>16</b:RefOrder>
  </b:Source>
  <b:Source>
    <b:Tag>Hay13</b:Tag>
    <b:SourceType>Book</b:SourceType>
    <b:Guid>{BA1AA2EF-AC89-684C-9E17-2BFB6B3DFDB1}</b:Guid>
    <b:Author>
      <b:Author>
        <b:NameList>
          <b:Person>
            <b:Last>Haylock</b:Last>
            <b:First>Derek</b:First>
          </b:Person>
          <b:Person>
            <b:Last>Cockburn</b:Last>
            <b:First>Anne</b:First>
            <b:Middle>D</b:Middle>
          </b:Person>
        </b:NameList>
      </b:Author>
    </b:Author>
    <b:Title>Understanding Mathematics for Young Children</b:Title>
    <b:City>London</b:City>
    <b:Publisher>Sage</b:Publisher>
    <b:Year>2013</b:Year>
    <b:Edition>4th</b:Edition>
    <b:RefOrder>17</b:RefOrder>
  </b:Source>
  <b:Source>
    <b:Tag>Did14</b:Tag>
    <b:SourceType>Book</b:SourceType>
    <b:Guid>{4C2AB8C6-6D6B-524C-9676-D06E650F7640}</b:Guid>
    <b:Author>
      <b:Author>
        <b:NameList>
          <b:Person>
            <b:Last>Didau</b:Last>
            <b:First>David</b:First>
          </b:Person>
        </b:NameList>
      </b:Author>
    </b:Author>
    <b:Title>The Secret of Literacy : Making the implicit explicit</b:Title>
    <b:City>Carmarthen</b:City>
    <b:Publisher>Crown House Publishing</b:Publisher>
    <b:Year>2014</b:Year>
    <b:RefOrder>18</b:RefOrder>
  </b:Source>
  <b:Source>
    <b:Tag>Ask121</b:Tag>
    <b:SourceType>Book</b:SourceType>
    <b:Guid>{694F9EF2-4867-3C4E-8B82-D5357FDC3C22}</b:Guid>
    <b:Author>
      <b:Author>
        <b:NameList>
          <b:Person>
            <b:Last>Askew</b:Last>
            <b:First>Mike</b:First>
          </b:Person>
        </b:NameList>
      </b:Author>
    </b:Author>
    <b:Title>Transforming Primary Mathematics</b:Title>
    <b:City>Oxon</b:City>
    <b:Publisher>Routledge, Taylor &amp; Francis Group</b:Publisher>
    <b:Year>2012</b:Year>
    <b:RefOrder>19</b:RefOrder>
  </b:Source>
  <b:Source>
    <b:Tag>Hat12</b:Tag>
    <b:SourceType>Book</b:SourceType>
    <b:Guid>{D35A553D-CF4C-B340-96CE-93475575B8A1}</b:Guid>
    <b:Author>
      <b:Author>
        <b:NameList>
          <b:Person>
            <b:Last>Hattie</b:Last>
            <b:First>John</b:First>
          </b:Person>
        </b:NameList>
      </b:Author>
    </b:Author>
    <b:Title>Visible Learning for Teachers</b:Title>
    <b:City>Oxon</b:City>
    <b:Publisher>Routledge</b:Publisher>
    <b:Year>2012</b:Year>
    <b:RefOrder>2</b:RefOrder>
  </b:Source>
  <b:Source>
    <b:Tag>Ker08</b:Tag>
    <b:SourceType>DocumentFromInternetSite</b:SourceType>
    <b:Guid>{75350FC8-FFD8-EF4D-A672-CC835C106FD4}</b:Guid>
    <b:Title>The cognitive psychology of teaching literacy: Reading, writing, spelling, dyslexia (&amp; a bit besides)</b:Title>
    <b:Year>2008</b:Year>
    <b:URL>http://www.hugokerr.info/book.pdf</b:URL>
    <b:Month>June</b:Month>
    <b:Day>17</b:Day>
    <b:YearAccessed>2018</b:YearAccessed>
    <b:MonthAccessed>November</b:MonthAccessed>
    <b:DayAccessed>15</b:DayAccessed>
    <b:Author>
      <b:Author>
        <b:NameList>
          <b:Person>
            <b:Last>Kerr</b:Last>
            <b:First>Hugo</b:First>
          </b:Person>
        </b:NameList>
      </b:Author>
    </b:Author>
    <b:RefOrder>20</b:RefOrder>
  </b:Source>
  <b:Source>
    <b:Tag>Mer991</b:Tag>
    <b:SourceType>JournalArticle</b:SourceType>
    <b:Guid>{4957338E-5D92-A14A-B0E5-56DC5EAFE380}</b:Guid>
    <b:Author>
      <b:Author>
        <b:NameList>
          <b:Person>
            <b:Last>Mercer et al.</b:Last>
            <b:First>Neil</b:First>
          </b:Person>
        </b:NameList>
      </b:Author>
    </b:Author>
    <b:Title>Children's Talk and the Development of Reasoning in the Classroom</b:Title>
    <b:JournalName>British Educational Research Journal</b:JournalName>
    <b:Year>1999</b:Year>
    <b:Volume>25</b:Volume>
    <b:Issue>1</b:Issue>
    <b:Pages>95-111</b:Pages>
    <b:RefOrder>21</b:RefOrder>
  </b:Source>
  <b:Source>
    <b:Tag>Hod141</b:Tag>
    <b:SourceType>BookSection</b:SourceType>
    <b:Guid>{A6FE3FC2-01F6-7B45-90BD-7E82F9FE705F}</b:Guid>
    <b:Author>
      <b:Author>
        <b:NameList>
          <b:Person>
            <b:Last>Education</b:Last>
            <b:First>Hodder</b:First>
          </b:Person>
        </b:NameList>
      </b:Author>
    </b:Author>
    <b:Title>Promote creativity and creative learning in young children: Unit CYPOP 7</b:Title>
    <b:BookTitle>Children &amp; Young People‘s Workforce Diploma</b:BookTitle>
    <b:Publisher>Hodder Education</b:Publisher>
    <b:Year>2014</b:Year>
    <b:Pages>1-26</b:Pages>
    <b:RefOrder>22</b:RefOrder>
  </b:Source>
  <b:Source>
    <b:Tag>Cap12</b:Tag>
    <b:SourceType>DocumentFromInternetSite</b:SourceType>
    <b:Guid>{3F263D5E-58D8-0142-B781-295287646A0C}</b:Guid>
    <b:Title>The Third Teacher</b:Title>
    <b:Year>2012</b:Year>
    <b:Author>
      <b:Author>
        <b:NameList>
          <b:Person>
            <b:Last>Series</b:Last>
            <b:First>Capacity</b:First>
            <b:Middle>Building</b:Middle>
          </b:Person>
        </b:NameList>
      </b:Author>
    </b:Author>
    <b:URL>http://www.edu.gov.on.ca/eng/literacynumeracy/inspire/research/cbs_thirdteacher.pdf</b:URL>
    <b:Month>July</b:Month>
    <b:YearAccessed>2018</b:YearAccessed>
    <b:MonthAccessed>October</b:MonthAccessed>
    <b:DayAccessed>01</b:DayAccessed>
    <b:RefOrder>23</b:RefOrder>
  </b:Source>
  <b:Source>
    <b:Tag>Cro99</b:Tag>
    <b:SourceType>Report</b:SourceType>
    <b:Guid>{ECD556DA-05C8-FA42-AF41-2A04679FFFEC}</b:Guid>
    <b:Title>Learning Is About Making Conections</b:Title>
    <b:Year>1999</b:Year>
    <b:Author>
      <b:Author>
        <b:NameList>
          <b:Person>
            <b:Last>Cross</b:Last>
            <b:First>K.</b:First>
            <b:Middle>Patricia</b:Middle>
          </b:Person>
        </b:NameList>
      </b:Author>
    </b:Author>
    <b:Publisher>Alliance for Community College Innovation</b:Publisher>
    <b:City>Princeton</b:City>
    <b:RefOrder>24</b:RefOrder>
  </b:Source>
  <b:Source>
    <b:Tag>Row09</b:Tag>
    <b:SourceType>Book</b:SourceType>
    <b:Guid>{AA0B43FD-53E7-1146-8499-70680698A428}</b:Guid>
    <b:Title>Developing Primary Mathematics Teaching</b:Title>
    <b:Publisher>Sage</b:Publisher>
    <b:City>London</b:City>
    <b:Year>2009</b:Year>
    <b:Author>
      <b:Author>
        <b:NameList>
          <b:Person>
            <b:Last>Rowland et al.</b:Last>
            <b:First>Tim</b:First>
          </b:Person>
        </b:NameList>
      </b:Author>
    </b:Author>
    <b:RefOrder>25</b:RefOrder>
  </b:Source>
  <b:Source>
    <b:Tag>Doh141</b:Tag>
    <b:SourceType>Book</b:SourceType>
    <b:Guid>{E1852239-F272-0641-96A8-2F2AEC8245C5}</b:Guid>
    <b:Author>
      <b:Author>
        <b:NameList>
          <b:Person>
            <b:Last>Doherty</b:Last>
            <b:First>Jonathan</b:First>
          </b:Person>
          <b:Person>
            <b:Last>Hughes</b:Last>
            <b:First>Malcolm</b:First>
          </b:Person>
        </b:NameList>
      </b:Author>
    </b:Author>
    <b:Title>Child Development Theory and Practice 0-11</b:Title>
    <b:City>Harlow</b:City>
    <b:Publisher>Pearson Education Limited</b:Publisher>
    <b:Year>2014</b:Year>
    <b:Edition>2nd Edition</b:Edition>
    <b:RefOrder>26</b:RefOrder>
  </b:Source>
  <b:Source>
    <b:Tag>Est186</b:Tag>
    <b:SourceType>DocumentFromInternetSite</b:SourceType>
    <b:Guid>{17EFF8A9-7DAE-854A-873D-ABFA2321C0B4}</b:Guid>
    <b:Author>
      <b:Author>
        <b:NameList>
          <b:Person>
            <b:Last>Estyn</b:Last>
          </b:Person>
        </b:NameList>
      </b:Author>
    </b:Author>
    <b:Title>Preparing for the Digital Competence Framework (DCF)</b:Title>
    <b:URL>https://www.estyn.gov.wales/thematic-reports/preparing-digital-competence-framework-dcf</b:URL>
    <b:Year>2018b</b:Year>
    <b:Month>July</b:Month>
    <b:YearAccessed>2018b</b:YearAccessed>
    <b:MonthAccessed>November</b:MonthAccessed>
    <b:DayAccessed>20</b:DayAccessed>
    <b:RefOrder>1</b:RefOrder>
  </b:Source>
  <b:Source>
    <b:Tag>Est184</b:Tag>
    <b:SourceType>DocumentFromInternetSite</b:SourceType>
    <b:Guid>{7E841B94-D8C9-FF4E-AA18-0D01F2B7EF2F}</b:Guid>
    <b:Author>
      <b:Author>
        <b:NameList>
          <b:Person>
            <b:Last>Estyn</b:Last>
          </b:Person>
        </b:NameList>
      </b:Author>
    </b:Author>
    <b:Title>The Annual Report of Her Majesty’s Chief Inspector of Education and Training in Wales 2017-2018</b:Title>
    <b:URL>https://www.estyn.gov.wales/sites/default/files/documents/ESTYN_Annual%20Report_Accessible_English__2018.pdf</b:URL>
    <b:Year>2018a</b:Year>
    <b:YearAccessed>2018</b:YearAccessed>
    <b:MonthAccessed>December</b:MonthAccessed>
    <b:DayAccessed>09</b:DayAccessed>
    <b:RefOrder>27</b:RefOrder>
  </b:Source>
  <b:Source>
    <b:Tag>Bee07</b:Tag>
    <b:SourceType>Book</b:SourceType>
    <b:Guid>{7ED36F52-030D-F840-9EE7-DB7DB72123B6}</b:Guid>
    <b:Title>Rethinking Pedagogy for a Digital Age</b:Title>
    <b:Year>2007</b:Year>
    <b:Author>
      <b:Author>
        <b:NameList>
          <b:Person>
            <b:Last>Beetham</b:Last>
            <b:First>Helen</b:First>
          </b:Person>
          <b:Person>
            <b:Last>Sharpe</b:Last>
            <b:First>Rhona</b:First>
          </b:Person>
        </b:NameList>
      </b:Author>
    </b:Author>
    <b:Publisher>Routledge</b:Publisher>
    <b:City>Oxon</b:City>
    <b:RefOrder>28</b:RefOrder>
  </b:Source>
</b:Sources>
</file>

<file path=customXml/itemProps1.xml><?xml version="1.0" encoding="utf-8"?>
<ds:datastoreItem xmlns:ds="http://schemas.openxmlformats.org/officeDocument/2006/customXml" ds:itemID="{4E4F116D-DDDD-D44C-9C28-24966CB9B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3228</Words>
  <Characters>18400</Characters>
  <Application>Microsoft Office Word</Application>
  <DocSecurity>0</DocSecurity>
  <Lines>153</Lines>
  <Paragraphs>43</Paragraphs>
  <ScaleCrop>false</ScaleCrop>
  <Company>Module Co-ordinator: Rachel Wallis</Company>
  <LinksUpToDate>false</LinksUpToDate>
  <CharactersWithSpaces>21585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Looking Forward</dc:title>
  <dc:subject>ECAD6012/C</dc:subject>
  <dc:creator>Student number: 1502459</dc:creator>
  <cp:keywords/>
  <dc:description/>
  <cp:lastModifiedBy>Naomi Welsh (1502459)</cp:lastModifiedBy>
  <cp:revision>4</cp:revision>
  <dcterms:created xsi:type="dcterms:W3CDTF">2018-12-14T14:15:00Z</dcterms:created>
  <dcterms:modified xsi:type="dcterms:W3CDTF">2018-12-14T14:20:00Z</dcterms:modified>
</cp:coreProperties>
</file>