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1495261"/>
        <w:docPartObj>
          <w:docPartGallery w:val="Cover Pages"/>
          <w:docPartUnique/>
        </w:docPartObj>
      </w:sdtPr>
      <w:sdtEndPr/>
      <w:sdtContent>
        <w:p w14:paraId="1B0981B6" w14:textId="77777777" w:rsidR="00702785" w:rsidRDefault="00702785" w:rsidP="0059352A">
          <w:pPr>
            <w:spacing w:line="480" w:lineRule="auto"/>
          </w:pPr>
          <w:r>
            <w:rPr>
              <w:noProof/>
              <w:lang w:eastAsia="en-GB"/>
            </w:rPr>
            <mc:AlternateContent>
              <mc:Choice Requires="wpg">
                <w:drawing>
                  <wp:anchor distT="0" distB="0" distL="114300" distR="114300" simplePos="0" relativeHeight="251659264" behindDoc="1" locked="0" layoutInCell="1" allowOverlap="1" wp14:anchorId="1AC3E7B7" wp14:editId="689D280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2BC85D2" w14:textId="77777777" w:rsidR="00702785" w:rsidRDefault="0070278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DC1EC3" w14:textId="2F9F4B8D" w:rsidR="00702785" w:rsidRDefault="00245DF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1: Forensic recovery and examination</w:t>
                                  </w:r>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aps/>
                                          <w:color w:val="FFFFFF" w:themeColor="background1"/>
                                          <w:sz w:val="64"/>
                                          <w:szCs w:val="64"/>
                                        </w:rPr>
                                        <w:t xml:space="preserve">     </w:t>
                                      </w:r>
                                    </w:sdtContent>
                                  </w:sdt>
                                </w:p>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B94EE6A" w14:textId="77777777" w:rsidR="00702785" w:rsidRDefault="00702785">
                                      <w:pPr>
                                        <w:pStyle w:val="NoSpacing"/>
                                        <w:spacing w:before="120"/>
                                        <w:rPr>
                                          <w:color w:val="5B9BD5" w:themeColor="accent1"/>
                                          <w:sz w:val="36"/>
                                          <w:szCs w:val="36"/>
                                        </w:rPr>
                                      </w:pPr>
                                      <w:r w:rsidRPr="00702785">
                                        <w:rPr>
                                          <w:color w:val="5B9BD5" w:themeColor="accent1"/>
                                          <w:sz w:val="36"/>
                                          <w:szCs w:val="36"/>
                                        </w:rPr>
                                        <w:t>Sean Holmes - 1802429</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C3E7B7"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02BC85D2" w14:textId="77777777" w:rsidR="00702785" w:rsidRDefault="0070278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14DC1EC3" w14:textId="2F9F4B8D" w:rsidR="00702785" w:rsidRDefault="00245DFD">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Assignment 1: Forensic recovery and examination</w:t>
                            </w:r>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aps/>
                                    <w:color w:val="FFFFFF" w:themeColor="background1"/>
                                    <w:sz w:val="64"/>
                                    <w:szCs w:val="64"/>
                                  </w:rPr>
                                  <w:t xml:space="preserve">     </w:t>
                                </w:r>
                              </w:sdtContent>
                            </w:sdt>
                          </w:p>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B94EE6A" w14:textId="77777777" w:rsidR="00702785" w:rsidRDefault="00702785">
                                <w:pPr>
                                  <w:pStyle w:val="NoSpacing"/>
                                  <w:spacing w:before="120"/>
                                  <w:rPr>
                                    <w:color w:val="5B9BD5" w:themeColor="accent1"/>
                                    <w:sz w:val="36"/>
                                    <w:szCs w:val="36"/>
                                  </w:rPr>
                                </w:pPr>
                                <w:r w:rsidRPr="00702785">
                                  <w:rPr>
                                    <w:color w:val="5B9BD5" w:themeColor="accent1"/>
                                    <w:sz w:val="36"/>
                                    <w:szCs w:val="36"/>
                                  </w:rPr>
                                  <w:t>Sean Holmes - 1802429</w:t>
                                </w:r>
                              </w:p>
                            </w:sdtContent>
                          </w:sdt>
                        </w:txbxContent>
                      </v:textbox>
                    </v:shape>
                    <w10:wrap anchorx="page" anchory="page"/>
                  </v:group>
                </w:pict>
              </mc:Fallback>
            </mc:AlternateContent>
          </w:r>
        </w:p>
        <w:p w14:paraId="56C1EB6C" w14:textId="77777777" w:rsidR="00702785" w:rsidRDefault="00702785" w:rsidP="0059352A">
          <w:pPr>
            <w:spacing w:line="480" w:lineRule="auto"/>
          </w:pPr>
          <w:r>
            <w:br w:type="page"/>
          </w:r>
        </w:p>
      </w:sdtContent>
    </w:sdt>
    <w:p w14:paraId="698276EC" w14:textId="348AA3D8" w:rsidR="00245DFD" w:rsidRPr="00A3633B" w:rsidRDefault="00245DFD" w:rsidP="008D0E81">
      <w:pPr>
        <w:spacing w:line="480" w:lineRule="auto"/>
        <w:rPr>
          <w:rFonts w:ascii="Arial" w:hAnsi="Arial" w:cs="Arial"/>
          <w:b/>
          <w:bCs/>
          <w:sz w:val="40"/>
          <w:szCs w:val="40"/>
          <w:u w:val="single"/>
        </w:rPr>
      </w:pPr>
      <w:r w:rsidRPr="00A3633B">
        <w:rPr>
          <w:rFonts w:ascii="Arial" w:hAnsi="Arial" w:cs="Arial"/>
          <w:b/>
          <w:bCs/>
          <w:sz w:val="40"/>
          <w:szCs w:val="40"/>
          <w:u w:val="single"/>
        </w:rPr>
        <w:lastRenderedPageBreak/>
        <w:t xml:space="preserve">Part A: </w:t>
      </w:r>
    </w:p>
    <w:p w14:paraId="6DEEE1AF" w14:textId="0C688680" w:rsidR="008C1545" w:rsidRPr="00A3633B" w:rsidRDefault="008814E3" w:rsidP="008D0E81">
      <w:pPr>
        <w:spacing w:line="480" w:lineRule="auto"/>
        <w:rPr>
          <w:rFonts w:ascii="Arial" w:hAnsi="Arial" w:cs="Arial"/>
          <w:sz w:val="24"/>
          <w:szCs w:val="24"/>
        </w:rPr>
      </w:pPr>
      <w:r w:rsidRPr="00A3633B">
        <w:rPr>
          <w:rFonts w:ascii="Arial" w:hAnsi="Arial" w:cs="Arial"/>
          <w:sz w:val="24"/>
          <w:szCs w:val="24"/>
        </w:rPr>
        <w:t xml:space="preserve">As </w:t>
      </w:r>
      <w:r w:rsidR="008C1545" w:rsidRPr="00A3633B">
        <w:rPr>
          <w:rFonts w:ascii="Arial" w:hAnsi="Arial" w:cs="Arial"/>
          <w:sz w:val="24"/>
          <w:szCs w:val="24"/>
        </w:rPr>
        <w:t>B</w:t>
      </w:r>
      <w:r w:rsidR="00956983" w:rsidRPr="00A3633B">
        <w:rPr>
          <w:rFonts w:ascii="Arial" w:hAnsi="Arial" w:cs="Arial"/>
          <w:sz w:val="24"/>
          <w:szCs w:val="24"/>
        </w:rPr>
        <w:t>r</w:t>
      </w:r>
      <w:r w:rsidR="008C1545" w:rsidRPr="00A3633B">
        <w:rPr>
          <w:rFonts w:ascii="Arial" w:hAnsi="Arial" w:cs="Arial"/>
          <w:sz w:val="24"/>
          <w:szCs w:val="24"/>
        </w:rPr>
        <w:t xml:space="preserve">yant and Bryant (2019) detail, that the Police attend many Crime Scene, where the scenes can vary on scale from Minor Crimes to Major Incidents. That in the Major Incidents, it may require a larger scale response from multiple branches of Public Services and therefore Crime Scene Management may be more demanding than the smaller incidents. This is also confirmed by the College of Policing (COP) (2019) as they state that every incident is different and may require different methods of how to tackle the Crime Scene Management, yet all Crime Scenes go through stages that are relatively the same to each incident being handled. </w:t>
      </w:r>
      <w:r w:rsidR="004A30EC" w:rsidRPr="00A3633B">
        <w:rPr>
          <w:rFonts w:ascii="Arial" w:hAnsi="Arial" w:cs="Arial"/>
          <w:sz w:val="24"/>
          <w:szCs w:val="24"/>
        </w:rPr>
        <w:t>COP however, state that there are two different types of Investigations; Reaction and Proactive. Reactive, is where the investigation is the reaction to a report coming in from the Public or Intelligence. Proactive, is where the investigation happens based on Intelligence Packets that identify people to be part of a Criminal Activity that is currently ongoing.</w:t>
      </w:r>
      <w:r w:rsidR="00BA29E4" w:rsidRPr="00A3633B">
        <w:rPr>
          <w:rFonts w:ascii="Arial" w:hAnsi="Arial" w:cs="Arial"/>
          <w:sz w:val="24"/>
          <w:szCs w:val="24"/>
        </w:rPr>
        <w:t xml:space="preserve"> Going back to B</w:t>
      </w:r>
      <w:r w:rsidR="00956983" w:rsidRPr="00A3633B">
        <w:rPr>
          <w:rFonts w:ascii="Arial" w:hAnsi="Arial" w:cs="Arial"/>
          <w:sz w:val="24"/>
          <w:szCs w:val="24"/>
        </w:rPr>
        <w:t>r</w:t>
      </w:r>
      <w:r w:rsidR="00BA29E4" w:rsidRPr="00A3633B">
        <w:rPr>
          <w:rFonts w:ascii="Arial" w:hAnsi="Arial" w:cs="Arial"/>
          <w:sz w:val="24"/>
          <w:szCs w:val="24"/>
        </w:rPr>
        <w:t>yant and B</w:t>
      </w:r>
      <w:r w:rsidR="00956983" w:rsidRPr="00A3633B">
        <w:rPr>
          <w:rFonts w:ascii="Arial" w:hAnsi="Arial" w:cs="Arial"/>
          <w:sz w:val="24"/>
          <w:szCs w:val="24"/>
        </w:rPr>
        <w:t>r</w:t>
      </w:r>
      <w:r w:rsidR="00BA29E4" w:rsidRPr="00A3633B">
        <w:rPr>
          <w:rFonts w:ascii="Arial" w:hAnsi="Arial" w:cs="Arial"/>
          <w:sz w:val="24"/>
          <w:szCs w:val="24"/>
        </w:rPr>
        <w:t xml:space="preserve">yant (2019), they state that the Crime Scene that is set up, is the most important part of any Criminal Investigation, as it contains evidence that links back to potential suspects, corroborate statements and more important find out what happened. </w:t>
      </w:r>
    </w:p>
    <w:p w14:paraId="790D5DF7" w14:textId="77777777" w:rsidR="00D46D60" w:rsidRPr="00A3633B" w:rsidRDefault="00D46D60" w:rsidP="008D0E81">
      <w:pPr>
        <w:spacing w:line="480" w:lineRule="auto"/>
        <w:rPr>
          <w:rFonts w:ascii="Arial" w:hAnsi="Arial" w:cs="Arial"/>
          <w:sz w:val="24"/>
          <w:szCs w:val="24"/>
        </w:rPr>
      </w:pPr>
    </w:p>
    <w:p w14:paraId="3D2FB5FF" w14:textId="77777777" w:rsidR="00A22E97" w:rsidRPr="00A3633B" w:rsidRDefault="00145ED2" w:rsidP="008D0E81">
      <w:pPr>
        <w:spacing w:line="480" w:lineRule="auto"/>
        <w:rPr>
          <w:rFonts w:ascii="Arial" w:hAnsi="Arial" w:cs="Arial"/>
          <w:sz w:val="24"/>
          <w:szCs w:val="24"/>
        </w:rPr>
      </w:pPr>
      <w:r w:rsidRPr="00A3633B">
        <w:rPr>
          <w:rFonts w:ascii="Arial" w:hAnsi="Arial" w:cs="Arial"/>
          <w:sz w:val="24"/>
          <w:szCs w:val="24"/>
        </w:rPr>
        <w:t>COP (2019) continues to state that most reports are not Major Incidents and that the Officer who is first to attend, tends to be all that is required and that, that Officer may continue to be the Invest</w:t>
      </w:r>
      <w:r w:rsidR="004A30EC" w:rsidRPr="00A3633B">
        <w:rPr>
          <w:rFonts w:ascii="Arial" w:hAnsi="Arial" w:cs="Arial"/>
          <w:sz w:val="24"/>
          <w:szCs w:val="24"/>
        </w:rPr>
        <w:t xml:space="preserve">igator throughout. That Officers, are required to gather any relevant material from the person who had it before then and should not assume the investigation can be delayed for someone else to take it up at a later date. </w:t>
      </w:r>
    </w:p>
    <w:p w14:paraId="7FCDC2D7" w14:textId="221E6B23" w:rsidR="00F0542F" w:rsidRPr="00A3633B" w:rsidRDefault="00C636CC" w:rsidP="008D0E81">
      <w:pPr>
        <w:spacing w:line="480" w:lineRule="auto"/>
        <w:rPr>
          <w:rFonts w:ascii="Arial" w:hAnsi="Arial" w:cs="Arial"/>
          <w:sz w:val="24"/>
          <w:szCs w:val="24"/>
        </w:rPr>
      </w:pPr>
      <w:r w:rsidRPr="00A3633B">
        <w:rPr>
          <w:rFonts w:ascii="Arial" w:hAnsi="Arial" w:cs="Arial"/>
          <w:sz w:val="24"/>
          <w:szCs w:val="24"/>
        </w:rPr>
        <w:lastRenderedPageBreak/>
        <w:t>Th</w:t>
      </w:r>
      <w:r w:rsidR="00A22E97" w:rsidRPr="00A3633B">
        <w:rPr>
          <w:rFonts w:ascii="Arial" w:hAnsi="Arial" w:cs="Arial"/>
          <w:sz w:val="24"/>
          <w:szCs w:val="24"/>
        </w:rPr>
        <w:t>e statement above is</w:t>
      </w:r>
      <w:r w:rsidRPr="00A3633B">
        <w:rPr>
          <w:rFonts w:ascii="Arial" w:hAnsi="Arial" w:cs="Arial"/>
          <w:sz w:val="24"/>
          <w:szCs w:val="24"/>
        </w:rPr>
        <w:t xml:space="preserve"> backed up by </w:t>
      </w:r>
      <w:r w:rsidR="00A22E97" w:rsidRPr="00A3633B">
        <w:rPr>
          <w:rFonts w:ascii="Arial" w:hAnsi="Arial" w:cs="Arial"/>
          <w:sz w:val="24"/>
          <w:szCs w:val="24"/>
        </w:rPr>
        <w:t xml:space="preserve">what </w:t>
      </w:r>
      <w:r w:rsidRPr="00A3633B">
        <w:rPr>
          <w:rFonts w:ascii="Arial" w:hAnsi="Arial" w:cs="Arial"/>
          <w:sz w:val="24"/>
          <w:szCs w:val="24"/>
        </w:rPr>
        <w:t>the National Police Improvement Agency</w:t>
      </w:r>
      <w:r w:rsidR="006E263B" w:rsidRPr="00A3633B">
        <w:rPr>
          <w:rFonts w:ascii="Arial" w:hAnsi="Arial" w:cs="Arial"/>
          <w:sz w:val="24"/>
          <w:szCs w:val="24"/>
        </w:rPr>
        <w:t xml:space="preserve"> (NPIA)</w:t>
      </w:r>
      <w:r w:rsidRPr="00A3633B">
        <w:rPr>
          <w:rFonts w:ascii="Arial" w:hAnsi="Arial" w:cs="Arial"/>
          <w:sz w:val="24"/>
          <w:szCs w:val="24"/>
        </w:rPr>
        <w:t xml:space="preserve"> (2011) stat</w:t>
      </w:r>
      <w:r w:rsidR="00A22E97" w:rsidRPr="00A3633B">
        <w:rPr>
          <w:rFonts w:ascii="Arial" w:hAnsi="Arial" w:cs="Arial"/>
          <w:sz w:val="24"/>
          <w:szCs w:val="24"/>
        </w:rPr>
        <w:t>es</w:t>
      </w:r>
      <w:r w:rsidR="00610E5D" w:rsidRPr="00A3633B">
        <w:rPr>
          <w:rFonts w:ascii="Arial" w:hAnsi="Arial" w:cs="Arial"/>
          <w:sz w:val="24"/>
          <w:szCs w:val="24"/>
        </w:rPr>
        <w:t>.</w:t>
      </w:r>
      <w:r w:rsidRPr="00A3633B">
        <w:rPr>
          <w:rFonts w:ascii="Arial" w:hAnsi="Arial" w:cs="Arial"/>
          <w:sz w:val="24"/>
          <w:szCs w:val="24"/>
        </w:rPr>
        <w:t xml:space="preserve"> </w:t>
      </w:r>
      <w:r w:rsidR="00610E5D" w:rsidRPr="00A3633B">
        <w:rPr>
          <w:rFonts w:ascii="Arial" w:hAnsi="Arial" w:cs="Arial"/>
          <w:sz w:val="24"/>
          <w:szCs w:val="24"/>
        </w:rPr>
        <w:t>T</w:t>
      </w:r>
      <w:r w:rsidRPr="00A3633B">
        <w:rPr>
          <w:rFonts w:ascii="Arial" w:hAnsi="Arial" w:cs="Arial"/>
          <w:sz w:val="24"/>
          <w:szCs w:val="24"/>
        </w:rPr>
        <w:t>hat before responding, you should aim to attain as much information about the incident as possible</w:t>
      </w:r>
      <w:r w:rsidR="006D6F10" w:rsidRPr="00A3633B">
        <w:rPr>
          <w:rFonts w:ascii="Arial" w:hAnsi="Arial" w:cs="Arial"/>
          <w:sz w:val="24"/>
          <w:szCs w:val="24"/>
        </w:rPr>
        <w:t>, r</w:t>
      </w:r>
      <w:r w:rsidRPr="00A3633B">
        <w:rPr>
          <w:rFonts w:ascii="Arial" w:hAnsi="Arial" w:cs="Arial"/>
          <w:sz w:val="24"/>
          <w:szCs w:val="24"/>
        </w:rPr>
        <w:t xml:space="preserve">ecording all </w:t>
      </w:r>
      <w:r w:rsidR="00517F6B" w:rsidRPr="00A3633B">
        <w:rPr>
          <w:rFonts w:ascii="Arial" w:hAnsi="Arial" w:cs="Arial"/>
          <w:sz w:val="24"/>
          <w:szCs w:val="24"/>
        </w:rPr>
        <w:t>information</w:t>
      </w:r>
      <w:r w:rsidR="007A48A7" w:rsidRPr="00A3633B">
        <w:rPr>
          <w:rFonts w:ascii="Arial" w:hAnsi="Arial" w:cs="Arial"/>
          <w:sz w:val="24"/>
          <w:szCs w:val="24"/>
        </w:rPr>
        <w:t xml:space="preserve"> you are able to attain</w:t>
      </w:r>
      <w:r w:rsidRPr="00A3633B">
        <w:rPr>
          <w:rFonts w:ascii="Arial" w:hAnsi="Arial" w:cs="Arial"/>
          <w:sz w:val="24"/>
          <w:szCs w:val="24"/>
        </w:rPr>
        <w:t>,</w:t>
      </w:r>
      <w:r w:rsidR="007A48A7" w:rsidRPr="00A3633B">
        <w:rPr>
          <w:rFonts w:ascii="Arial" w:hAnsi="Arial" w:cs="Arial"/>
          <w:sz w:val="24"/>
          <w:szCs w:val="24"/>
        </w:rPr>
        <w:t xml:space="preserve"> be it</w:t>
      </w:r>
      <w:r w:rsidRPr="00A3633B">
        <w:rPr>
          <w:rFonts w:ascii="Arial" w:hAnsi="Arial" w:cs="Arial"/>
          <w:sz w:val="24"/>
          <w:szCs w:val="24"/>
        </w:rPr>
        <w:t xml:space="preserve"> relevant or not. Once you have attended the incident, you should take action in order to Assess, Protect and Communicate evidence </w:t>
      </w:r>
      <w:r w:rsidR="00FB4E8B" w:rsidRPr="00A3633B">
        <w:rPr>
          <w:rFonts w:ascii="Arial" w:hAnsi="Arial" w:cs="Arial"/>
          <w:sz w:val="24"/>
          <w:szCs w:val="24"/>
        </w:rPr>
        <w:t>on</w:t>
      </w:r>
      <w:r w:rsidRPr="00A3633B">
        <w:rPr>
          <w:rFonts w:ascii="Arial" w:hAnsi="Arial" w:cs="Arial"/>
          <w:sz w:val="24"/>
          <w:szCs w:val="24"/>
        </w:rPr>
        <w:t xml:space="preserve"> the Scene, in order to ensure the lack of explosives and </w:t>
      </w:r>
      <w:r w:rsidR="00EA3F97" w:rsidRPr="00A3633B">
        <w:rPr>
          <w:rFonts w:ascii="Arial" w:hAnsi="Arial" w:cs="Arial"/>
          <w:sz w:val="24"/>
          <w:szCs w:val="24"/>
        </w:rPr>
        <w:t xml:space="preserve">potential </w:t>
      </w:r>
      <w:r w:rsidRPr="00A3633B">
        <w:rPr>
          <w:rFonts w:ascii="Arial" w:hAnsi="Arial" w:cs="Arial"/>
          <w:sz w:val="24"/>
          <w:szCs w:val="24"/>
        </w:rPr>
        <w:t xml:space="preserve">contamination. </w:t>
      </w:r>
      <w:r w:rsidR="00F97981" w:rsidRPr="00A3633B">
        <w:rPr>
          <w:rFonts w:ascii="Arial" w:hAnsi="Arial" w:cs="Arial"/>
          <w:sz w:val="24"/>
          <w:szCs w:val="24"/>
        </w:rPr>
        <w:t>This is then corroborated by</w:t>
      </w:r>
      <w:r w:rsidR="00BA29E4" w:rsidRPr="00A3633B">
        <w:rPr>
          <w:rFonts w:ascii="Arial" w:hAnsi="Arial" w:cs="Arial"/>
          <w:sz w:val="24"/>
          <w:szCs w:val="24"/>
        </w:rPr>
        <w:t xml:space="preserve"> B</w:t>
      </w:r>
      <w:r w:rsidR="00956983" w:rsidRPr="00A3633B">
        <w:rPr>
          <w:rFonts w:ascii="Arial" w:hAnsi="Arial" w:cs="Arial"/>
          <w:sz w:val="24"/>
          <w:szCs w:val="24"/>
        </w:rPr>
        <w:t>r</w:t>
      </w:r>
      <w:r w:rsidR="00BA29E4" w:rsidRPr="00A3633B">
        <w:rPr>
          <w:rFonts w:ascii="Arial" w:hAnsi="Arial" w:cs="Arial"/>
          <w:sz w:val="24"/>
          <w:szCs w:val="24"/>
        </w:rPr>
        <w:t>yant and B</w:t>
      </w:r>
      <w:r w:rsidR="00956983" w:rsidRPr="00A3633B">
        <w:rPr>
          <w:rFonts w:ascii="Arial" w:hAnsi="Arial" w:cs="Arial"/>
          <w:sz w:val="24"/>
          <w:szCs w:val="24"/>
        </w:rPr>
        <w:t>r</w:t>
      </w:r>
      <w:r w:rsidR="00A520BA" w:rsidRPr="00A3633B">
        <w:rPr>
          <w:rFonts w:ascii="Arial" w:hAnsi="Arial" w:cs="Arial"/>
          <w:sz w:val="24"/>
          <w:szCs w:val="24"/>
        </w:rPr>
        <w:t>y</w:t>
      </w:r>
      <w:r w:rsidR="00BA29E4" w:rsidRPr="00A3633B">
        <w:rPr>
          <w:rFonts w:ascii="Arial" w:hAnsi="Arial" w:cs="Arial"/>
          <w:sz w:val="24"/>
          <w:szCs w:val="24"/>
        </w:rPr>
        <w:t>ant (2019), that the quicker the preservation of evidence the more value the evidence can pose to the investigation being conducted.</w:t>
      </w:r>
    </w:p>
    <w:p w14:paraId="4FAEA72F" w14:textId="1FF8CA94" w:rsidR="00760D08" w:rsidRPr="00A3633B" w:rsidRDefault="00760D08" w:rsidP="008D0E81">
      <w:pPr>
        <w:spacing w:line="480" w:lineRule="auto"/>
        <w:rPr>
          <w:rFonts w:ascii="Arial" w:hAnsi="Arial" w:cs="Arial"/>
          <w:sz w:val="24"/>
          <w:szCs w:val="24"/>
        </w:rPr>
      </w:pPr>
      <w:r w:rsidRPr="00A3633B">
        <w:rPr>
          <w:rFonts w:ascii="Arial" w:hAnsi="Arial" w:cs="Arial"/>
          <w:sz w:val="24"/>
          <w:szCs w:val="24"/>
        </w:rPr>
        <w:t>B</w:t>
      </w:r>
      <w:r w:rsidR="00956983" w:rsidRPr="00A3633B">
        <w:rPr>
          <w:rFonts w:ascii="Arial" w:hAnsi="Arial" w:cs="Arial"/>
          <w:sz w:val="24"/>
          <w:szCs w:val="24"/>
        </w:rPr>
        <w:t>r</w:t>
      </w:r>
      <w:r w:rsidRPr="00A3633B">
        <w:rPr>
          <w:rFonts w:ascii="Arial" w:hAnsi="Arial" w:cs="Arial"/>
          <w:sz w:val="24"/>
          <w:szCs w:val="24"/>
        </w:rPr>
        <w:t>yant and B</w:t>
      </w:r>
      <w:r w:rsidR="00956983" w:rsidRPr="00A3633B">
        <w:rPr>
          <w:rFonts w:ascii="Arial" w:hAnsi="Arial" w:cs="Arial"/>
          <w:sz w:val="24"/>
          <w:szCs w:val="24"/>
        </w:rPr>
        <w:t>r</w:t>
      </w:r>
      <w:r w:rsidRPr="00A3633B">
        <w:rPr>
          <w:rFonts w:ascii="Arial" w:hAnsi="Arial" w:cs="Arial"/>
          <w:sz w:val="24"/>
          <w:szCs w:val="24"/>
        </w:rPr>
        <w:t>yant (2019) detail that the first priorities of a First Attending Officer</w:t>
      </w:r>
      <w:r w:rsidR="00D356F9" w:rsidRPr="00A3633B">
        <w:rPr>
          <w:rFonts w:ascii="Arial" w:hAnsi="Arial" w:cs="Arial"/>
          <w:sz w:val="24"/>
          <w:szCs w:val="24"/>
        </w:rPr>
        <w:t xml:space="preserve"> (FAO)</w:t>
      </w:r>
      <w:r w:rsidRPr="00A3633B">
        <w:rPr>
          <w:rFonts w:ascii="Arial" w:hAnsi="Arial" w:cs="Arial"/>
          <w:sz w:val="24"/>
          <w:szCs w:val="24"/>
        </w:rPr>
        <w:t xml:space="preserve"> should be to find out how many people are present</w:t>
      </w:r>
      <w:r w:rsidR="004D7022" w:rsidRPr="00A3633B">
        <w:rPr>
          <w:rFonts w:ascii="Arial" w:hAnsi="Arial" w:cs="Arial"/>
          <w:sz w:val="24"/>
          <w:szCs w:val="24"/>
        </w:rPr>
        <w:t xml:space="preserve"> and to ensure their safety including themselves. As people may provide to be a risk to those around them. The </w:t>
      </w:r>
      <w:r w:rsidR="00D356F9" w:rsidRPr="00A3633B">
        <w:rPr>
          <w:rFonts w:ascii="Arial" w:hAnsi="Arial" w:cs="Arial"/>
          <w:sz w:val="24"/>
          <w:szCs w:val="24"/>
        </w:rPr>
        <w:t xml:space="preserve">FAO </w:t>
      </w:r>
      <w:r w:rsidR="004D7022" w:rsidRPr="00A3633B">
        <w:rPr>
          <w:rFonts w:ascii="Arial" w:hAnsi="Arial" w:cs="Arial"/>
          <w:sz w:val="24"/>
          <w:szCs w:val="24"/>
        </w:rPr>
        <w:t>as stated above, should also have a rather basic understanding of the incident before having responded to the incident.</w:t>
      </w:r>
    </w:p>
    <w:p w14:paraId="4A795CEA" w14:textId="77777777" w:rsidR="00760D08" w:rsidRPr="00A3633B" w:rsidRDefault="00760D08" w:rsidP="008D0E81">
      <w:pPr>
        <w:spacing w:line="480" w:lineRule="auto"/>
        <w:rPr>
          <w:rFonts w:ascii="Arial" w:hAnsi="Arial" w:cs="Arial"/>
          <w:sz w:val="24"/>
          <w:szCs w:val="24"/>
        </w:rPr>
      </w:pPr>
    </w:p>
    <w:p w14:paraId="12C29EB0" w14:textId="05F308C5" w:rsidR="007B6812" w:rsidRPr="00A3633B" w:rsidRDefault="007B6812" w:rsidP="008D0E81">
      <w:pPr>
        <w:spacing w:line="480" w:lineRule="auto"/>
        <w:ind w:firstLine="720"/>
        <w:rPr>
          <w:rFonts w:ascii="Arial" w:hAnsi="Arial" w:cs="Arial"/>
          <w:sz w:val="24"/>
          <w:szCs w:val="24"/>
        </w:rPr>
      </w:pPr>
      <w:r w:rsidRPr="00A3633B">
        <w:rPr>
          <w:rFonts w:ascii="Arial" w:hAnsi="Arial" w:cs="Arial"/>
          <w:sz w:val="24"/>
          <w:szCs w:val="24"/>
        </w:rPr>
        <w:t xml:space="preserve">“Golden Hour” </w:t>
      </w:r>
      <w:sdt>
        <w:sdtPr>
          <w:rPr>
            <w:rFonts w:ascii="Arial" w:hAnsi="Arial" w:cs="Arial"/>
            <w:sz w:val="24"/>
            <w:szCs w:val="24"/>
          </w:rPr>
          <w:id w:val="-1993013480"/>
          <w:citation/>
        </w:sdtPr>
        <w:sdtEndPr/>
        <w:sdtContent>
          <w:r w:rsidRPr="00A3633B">
            <w:rPr>
              <w:rFonts w:ascii="Arial" w:hAnsi="Arial" w:cs="Arial"/>
              <w:sz w:val="24"/>
              <w:szCs w:val="24"/>
            </w:rPr>
            <w:fldChar w:fldCharType="begin"/>
          </w:r>
          <w:r w:rsidRPr="00A3633B">
            <w:rPr>
              <w:rFonts w:ascii="Arial" w:hAnsi="Arial" w:cs="Arial"/>
              <w:sz w:val="24"/>
              <w:szCs w:val="24"/>
            </w:rPr>
            <w:instrText xml:space="preserve"> CITATION Bry19 \l 2057 </w:instrText>
          </w:r>
          <w:r w:rsidRPr="00A3633B">
            <w:rPr>
              <w:rFonts w:ascii="Arial" w:hAnsi="Arial" w:cs="Arial"/>
              <w:sz w:val="24"/>
              <w:szCs w:val="24"/>
            </w:rPr>
            <w:fldChar w:fldCharType="separate"/>
          </w:r>
          <w:r w:rsidR="00D65387" w:rsidRPr="00A3633B">
            <w:rPr>
              <w:rFonts w:ascii="Arial" w:hAnsi="Arial" w:cs="Arial"/>
              <w:noProof/>
              <w:sz w:val="24"/>
              <w:szCs w:val="24"/>
            </w:rPr>
            <w:t>(Bryant &amp; Bryant, 2019)</w:t>
          </w:r>
          <w:r w:rsidRPr="00A3633B">
            <w:rPr>
              <w:rFonts w:ascii="Arial" w:hAnsi="Arial" w:cs="Arial"/>
              <w:sz w:val="24"/>
              <w:szCs w:val="24"/>
            </w:rPr>
            <w:fldChar w:fldCharType="end"/>
          </w:r>
        </w:sdtContent>
      </w:sdt>
    </w:p>
    <w:p w14:paraId="70316BA3" w14:textId="27701B3E" w:rsidR="007B6812" w:rsidRPr="00A3633B" w:rsidRDefault="007B6812" w:rsidP="008D0E81">
      <w:pPr>
        <w:spacing w:line="480" w:lineRule="auto"/>
        <w:rPr>
          <w:rFonts w:ascii="Arial" w:hAnsi="Arial" w:cs="Arial"/>
          <w:sz w:val="24"/>
          <w:szCs w:val="24"/>
        </w:rPr>
      </w:pPr>
      <w:r w:rsidRPr="00A3633B">
        <w:rPr>
          <w:rFonts w:ascii="Arial" w:hAnsi="Arial" w:cs="Arial"/>
          <w:sz w:val="24"/>
          <w:szCs w:val="24"/>
        </w:rPr>
        <w:t>The Quote above, from B</w:t>
      </w:r>
      <w:r w:rsidR="008F696D" w:rsidRPr="00A3633B">
        <w:rPr>
          <w:rFonts w:ascii="Arial" w:hAnsi="Arial" w:cs="Arial"/>
          <w:sz w:val="24"/>
          <w:szCs w:val="24"/>
        </w:rPr>
        <w:t>r</w:t>
      </w:r>
      <w:r w:rsidRPr="00A3633B">
        <w:rPr>
          <w:rFonts w:ascii="Arial" w:hAnsi="Arial" w:cs="Arial"/>
          <w:sz w:val="24"/>
          <w:szCs w:val="24"/>
        </w:rPr>
        <w:t>yant and B</w:t>
      </w:r>
      <w:r w:rsidR="00CB5517" w:rsidRPr="00A3633B">
        <w:rPr>
          <w:rFonts w:ascii="Arial" w:hAnsi="Arial" w:cs="Arial"/>
          <w:sz w:val="24"/>
          <w:szCs w:val="24"/>
        </w:rPr>
        <w:t>r</w:t>
      </w:r>
      <w:r w:rsidRPr="00A3633B">
        <w:rPr>
          <w:rFonts w:ascii="Arial" w:hAnsi="Arial" w:cs="Arial"/>
          <w:sz w:val="24"/>
          <w:szCs w:val="24"/>
        </w:rPr>
        <w:t xml:space="preserve">yant (2019) is the name used for the first period of any investigation, where identification, preservation and collection of witnesses and evidence whilst it is undisturbed and new to allow any and all trace, contaminants and evidence itself to be collected and processed without it losing too much value to the investigation. </w:t>
      </w:r>
      <w:r w:rsidR="007B7986" w:rsidRPr="00A3633B">
        <w:rPr>
          <w:rFonts w:ascii="Arial" w:hAnsi="Arial" w:cs="Arial"/>
          <w:sz w:val="24"/>
          <w:szCs w:val="24"/>
        </w:rPr>
        <w:t xml:space="preserve">As evidence like Shoe Prints and Bloodstains can disappear </w:t>
      </w:r>
      <w:r w:rsidR="0033395C" w:rsidRPr="00A3633B">
        <w:rPr>
          <w:rFonts w:ascii="Arial" w:hAnsi="Arial" w:cs="Arial"/>
          <w:sz w:val="24"/>
          <w:szCs w:val="24"/>
        </w:rPr>
        <w:t>dependent on the weather conditions</w:t>
      </w:r>
      <w:r w:rsidR="007B7986" w:rsidRPr="00A3633B">
        <w:rPr>
          <w:rFonts w:ascii="Arial" w:hAnsi="Arial" w:cs="Arial"/>
          <w:sz w:val="24"/>
          <w:szCs w:val="24"/>
        </w:rPr>
        <w:t>.</w:t>
      </w:r>
      <w:r w:rsidR="004D7022" w:rsidRPr="00A3633B">
        <w:rPr>
          <w:rFonts w:ascii="Arial" w:hAnsi="Arial" w:cs="Arial"/>
          <w:sz w:val="24"/>
          <w:szCs w:val="24"/>
        </w:rPr>
        <w:t xml:space="preserve"> Which the </w:t>
      </w:r>
      <w:r w:rsidR="00D356F9" w:rsidRPr="00A3633B">
        <w:rPr>
          <w:rFonts w:ascii="Arial" w:hAnsi="Arial" w:cs="Arial"/>
          <w:sz w:val="24"/>
          <w:szCs w:val="24"/>
        </w:rPr>
        <w:t>FAO</w:t>
      </w:r>
      <w:r w:rsidR="004D7022" w:rsidRPr="00A3633B">
        <w:rPr>
          <w:rFonts w:ascii="Arial" w:hAnsi="Arial" w:cs="Arial"/>
          <w:sz w:val="24"/>
          <w:szCs w:val="24"/>
        </w:rPr>
        <w:t>, should be thinking about trying to preserve the scene and exhibits within it, due to such.</w:t>
      </w:r>
    </w:p>
    <w:p w14:paraId="5AC41A3B" w14:textId="2B051473" w:rsidR="00D5727F" w:rsidRPr="00A3633B" w:rsidRDefault="00D5727F" w:rsidP="008D0E81">
      <w:pPr>
        <w:spacing w:line="480" w:lineRule="auto"/>
        <w:rPr>
          <w:rFonts w:ascii="Arial" w:hAnsi="Arial" w:cs="Arial"/>
          <w:sz w:val="24"/>
          <w:szCs w:val="24"/>
        </w:rPr>
      </w:pPr>
      <w:r w:rsidRPr="00A3633B">
        <w:rPr>
          <w:rFonts w:ascii="Arial" w:hAnsi="Arial" w:cs="Arial"/>
          <w:sz w:val="24"/>
          <w:szCs w:val="24"/>
        </w:rPr>
        <w:lastRenderedPageBreak/>
        <w:t xml:space="preserve">The </w:t>
      </w:r>
      <w:r w:rsidR="00F0542F" w:rsidRPr="00A3633B">
        <w:rPr>
          <w:rFonts w:ascii="Arial" w:hAnsi="Arial" w:cs="Arial"/>
          <w:sz w:val="24"/>
          <w:szCs w:val="24"/>
        </w:rPr>
        <w:t>Forensic Science Regulator (FSR)</w:t>
      </w:r>
      <w:r w:rsidRPr="00A3633B">
        <w:rPr>
          <w:rFonts w:ascii="Arial" w:hAnsi="Arial" w:cs="Arial"/>
          <w:sz w:val="24"/>
          <w:szCs w:val="24"/>
        </w:rPr>
        <w:t xml:space="preserve"> (2020) outline two types of Cross-Contamination, Secondary and Primary. Secondary Transfers are detailed as a transfer of trace evidence that has two or more steps of transfers, it gives the example of equipment being moved from one scene to another and having not been properly washed down, </w:t>
      </w:r>
      <w:r w:rsidR="005438BF">
        <w:rPr>
          <w:rFonts w:ascii="Arial" w:hAnsi="Arial" w:cs="Arial"/>
          <w:sz w:val="24"/>
          <w:szCs w:val="24"/>
        </w:rPr>
        <w:t>this</w:t>
      </w:r>
      <w:r w:rsidRPr="00A3633B">
        <w:rPr>
          <w:rFonts w:ascii="Arial" w:hAnsi="Arial" w:cs="Arial"/>
          <w:sz w:val="24"/>
          <w:szCs w:val="24"/>
        </w:rPr>
        <w:t xml:space="preserve"> could pick up fibres at one scene and deposit them at the next scene. Primary Transfer is when the trace evidence transfers only one time, usually items from your person, like Fingerprints and Hair. </w:t>
      </w:r>
    </w:p>
    <w:p w14:paraId="10B47D83" w14:textId="77777777" w:rsidR="007B6812" w:rsidRPr="00A3633B" w:rsidRDefault="007B6812" w:rsidP="008D0E81">
      <w:pPr>
        <w:spacing w:line="480" w:lineRule="auto"/>
        <w:rPr>
          <w:rFonts w:ascii="Arial" w:hAnsi="Arial" w:cs="Arial"/>
          <w:sz w:val="24"/>
          <w:szCs w:val="24"/>
        </w:rPr>
      </w:pPr>
    </w:p>
    <w:p w14:paraId="0BFBAB82" w14:textId="4CF6B84C" w:rsidR="001509AF" w:rsidRPr="00A3633B" w:rsidRDefault="006E263B" w:rsidP="008D0E81">
      <w:pPr>
        <w:spacing w:line="480" w:lineRule="auto"/>
        <w:rPr>
          <w:rFonts w:ascii="Arial" w:hAnsi="Arial" w:cs="Arial"/>
          <w:sz w:val="24"/>
          <w:szCs w:val="24"/>
        </w:rPr>
      </w:pPr>
      <w:r w:rsidRPr="00A3633B">
        <w:rPr>
          <w:rFonts w:ascii="Arial" w:hAnsi="Arial" w:cs="Arial"/>
          <w:sz w:val="24"/>
          <w:szCs w:val="24"/>
        </w:rPr>
        <w:t>NPIA (2011) states</w:t>
      </w:r>
      <w:r w:rsidR="00C636CC" w:rsidRPr="00A3633B">
        <w:rPr>
          <w:rFonts w:ascii="Arial" w:hAnsi="Arial" w:cs="Arial"/>
          <w:sz w:val="24"/>
          <w:szCs w:val="24"/>
        </w:rPr>
        <w:t xml:space="preserve"> that you should always presume that the offender has always left trace evidence at the scene and should therefore not touch anything as it would result in the piece of evidence being lost due to contamination.</w:t>
      </w:r>
    </w:p>
    <w:p w14:paraId="1D7CFE9F" w14:textId="4BD0DB17" w:rsidR="007E655E" w:rsidRPr="00A3633B" w:rsidRDefault="007E655E" w:rsidP="008D0E81">
      <w:pPr>
        <w:spacing w:line="480" w:lineRule="auto"/>
        <w:ind w:firstLine="720"/>
        <w:rPr>
          <w:rFonts w:ascii="Arial" w:hAnsi="Arial" w:cs="Arial"/>
          <w:sz w:val="24"/>
          <w:szCs w:val="24"/>
        </w:rPr>
      </w:pPr>
      <w:r w:rsidRPr="00A3633B">
        <w:rPr>
          <w:rFonts w:ascii="Arial" w:hAnsi="Arial" w:cs="Arial"/>
          <w:sz w:val="24"/>
          <w:szCs w:val="24"/>
        </w:rPr>
        <w:t xml:space="preserve">“The First Chance to obtain material may be the last.” </w:t>
      </w:r>
      <w:sdt>
        <w:sdtPr>
          <w:rPr>
            <w:rFonts w:ascii="Arial" w:hAnsi="Arial" w:cs="Arial"/>
            <w:sz w:val="24"/>
            <w:szCs w:val="24"/>
          </w:rPr>
          <w:id w:val="1496845167"/>
          <w:citation/>
        </w:sdtPr>
        <w:sdtEndPr/>
        <w:sdtContent>
          <w:r w:rsidRPr="00A3633B">
            <w:rPr>
              <w:rFonts w:ascii="Arial" w:hAnsi="Arial" w:cs="Arial"/>
              <w:sz w:val="24"/>
              <w:szCs w:val="24"/>
            </w:rPr>
            <w:fldChar w:fldCharType="begin"/>
          </w:r>
          <w:r w:rsidRPr="00A3633B">
            <w:rPr>
              <w:rFonts w:ascii="Arial" w:hAnsi="Arial" w:cs="Arial"/>
              <w:sz w:val="24"/>
              <w:szCs w:val="24"/>
            </w:rPr>
            <w:instrText xml:space="preserve"> CITATION Col19 \l 2057 </w:instrText>
          </w:r>
          <w:r w:rsidRPr="00A3633B">
            <w:rPr>
              <w:rFonts w:ascii="Arial" w:hAnsi="Arial" w:cs="Arial"/>
              <w:sz w:val="24"/>
              <w:szCs w:val="24"/>
            </w:rPr>
            <w:fldChar w:fldCharType="separate"/>
          </w:r>
          <w:r w:rsidR="00D65387" w:rsidRPr="00A3633B">
            <w:rPr>
              <w:rFonts w:ascii="Arial" w:hAnsi="Arial" w:cs="Arial"/>
              <w:noProof/>
              <w:sz w:val="24"/>
              <w:szCs w:val="24"/>
            </w:rPr>
            <w:t>(College of Policing, 2019)</w:t>
          </w:r>
          <w:r w:rsidRPr="00A3633B">
            <w:rPr>
              <w:rFonts w:ascii="Arial" w:hAnsi="Arial" w:cs="Arial"/>
              <w:sz w:val="24"/>
              <w:szCs w:val="24"/>
            </w:rPr>
            <w:fldChar w:fldCharType="end"/>
          </w:r>
        </w:sdtContent>
      </w:sdt>
    </w:p>
    <w:p w14:paraId="7953BDE6" w14:textId="266CAD3F" w:rsidR="007E655E" w:rsidRPr="00A3633B" w:rsidRDefault="001509AF" w:rsidP="008D0E81">
      <w:pPr>
        <w:spacing w:line="480" w:lineRule="auto"/>
        <w:rPr>
          <w:rFonts w:ascii="Arial" w:hAnsi="Arial" w:cs="Arial"/>
          <w:sz w:val="24"/>
          <w:szCs w:val="24"/>
        </w:rPr>
      </w:pPr>
      <w:r w:rsidRPr="00A3633B">
        <w:rPr>
          <w:rFonts w:ascii="Arial" w:hAnsi="Arial" w:cs="Arial"/>
          <w:sz w:val="24"/>
          <w:szCs w:val="24"/>
        </w:rPr>
        <w:t xml:space="preserve">The above quote, is in relation to Fast-Track Actions, that when the </w:t>
      </w:r>
      <w:r w:rsidR="00D356F9" w:rsidRPr="00A3633B">
        <w:rPr>
          <w:rFonts w:ascii="Arial" w:hAnsi="Arial" w:cs="Arial"/>
          <w:sz w:val="24"/>
          <w:szCs w:val="24"/>
        </w:rPr>
        <w:t xml:space="preserve">FAO </w:t>
      </w:r>
      <w:r w:rsidR="00DC6512" w:rsidRPr="00A3633B">
        <w:rPr>
          <w:rFonts w:ascii="Arial" w:hAnsi="Arial" w:cs="Arial"/>
          <w:sz w:val="24"/>
          <w:szCs w:val="24"/>
        </w:rPr>
        <w:t>is</w:t>
      </w:r>
      <w:r w:rsidRPr="00A3633B">
        <w:rPr>
          <w:rFonts w:ascii="Arial" w:hAnsi="Arial" w:cs="Arial"/>
          <w:sz w:val="24"/>
          <w:szCs w:val="24"/>
        </w:rPr>
        <w:t xml:space="preserve"> gathering evidence, it may be their only chance to do so as it may be contaminated or lost if there is a delay in preserving the evidence correctly and appropriately. This should effectively lower the risk of contamination</w:t>
      </w:r>
      <w:r w:rsidR="002A73F6" w:rsidRPr="00A3633B">
        <w:rPr>
          <w:rFonts w:ascii="Arial" w:hAnsi="Arial" w:cs="Arial"/>
          <w:sz w:val="24"/>
          <w:szCs w:val="24"/>
        </w:rPr>
        <w:t xml:space="preserve"> as told by COP (2019)</w:t>
      </w:r>
      <w:r w:rsidR="00A9571A" w:rsidRPr="00A3633B">
        <w:rPr>
          <w:rFonts w:ascii="Arial" w:hAnsi="Arial" w:cs="Arial"/>
          <w:sz w:val="24"/>
          <w:szCs w:val="24"/>
        </w:rPr>
        <w:t>. B</w:t>
      </w:r>
      <w:r w:rsidR="00CB5517" w:rsidRPr="00A3633B">
        <w:rPr>
          <w:rFonts w:ascii="Arial" w:hAnsi="Arial" w:cs="Arial"/>
          <w:sz w:val="24"/>
          <w:szCs w:val="24"/>
        </w:rPr>
        <w:t>r</w:t>
      </w:r>
      <w:r w:rsidR="00A9571A" w:rsidRPr="00A3633B">
        <w:rPr>
          <w:rFonts w:ascii="Arial" w:hAnsi="Arial" w:cs="Arial"/>
          <w:sz w:val="24"/>
          <w:szCs w:val="24"/>
        </w:rPr>
        <w:t>yant and B</w:t>
      </w:r>
      <w:r w:rsidR="00CB5517" w:rsidRPr="00A3633B">
        <w:rPr>
          <w:rFonts w:ascii="Arial" w:hAnsi="Arial" w:cs="Arial"/>
          <w:sz w:val="24"/>
          <w:szCs w:val="24"/>
        </w:rPr>
        <w:t>r</w:t>
      </w:r>
      <w:r w:rsidR="00A9571A" w:rsidRPr="00A3633B">
        <w:rPr>
          <w:rFonts w:ascii="Arial" w:hAnsi="Arial" w:cs="Arial"/>
          <w:sz w:val="24"/>
          <w:szCs w:val="24"/>
        </w:rPr>
        <w:t xml:space="preserve">yant (2019) detail that </w:t>
      </w:r>
      <w:r w:rsidR="004C6DF3" w:rsidRPr="00A3633B">
        <w:rPr>
          <w:rFonts w:ascii="Arial" w:hAnsi="Arial" w:cs="Arial"/>
          <w:sz w:val="24"/>
          <w:szCs w:val="24"/>
        </w:rPr>
        <w:t>Fast-Track Actions</w:t>
      </w:r>
      <w:r w:rsidR="00A9571A" w:rsidRPr="00A3633B">
        <w:rPr>
          <w:rFonts w:ascii="Arial" w:hAnsi="Arial" w:cs="Arial"/>
          <w:sz w:val="24"/>
          <w:szCs w:val="24"/>
        </w:rPr>
        <w:t xml:space="preserve"> can be in the use of having a dog to track offenders, immediate collection of evidence that is at risk of being lost due to the environment, switching off a gas/heat appliance due to the risk of fire or covering evidence that may be disturbed due to weather conditions to keep it preserved</w:t>
      </w:r>
      <w:r w:rsidRPr="00A3633B">
        <w:rPr>
          <w:rFonts w:ascii="Arial" w:hAnsi="Arial" w:cs="Arial"/>
          <w:sz w:val="24"/>
          <w:szCs w:val="24"/>
        </w:rPr>
        <w:t>.</w:t>
      </w:r>
    </w:p>
    <w:p w14:paraId="76C295E6" w14:textId="0494B626" w:rsidR="00F0542F" w:rsidRPr="00A3633B" w:rsidRDefault="00D256A1" w:rsidP="008D0E81">
      <w:pPr>
        <w:spacing w:line="480" w:lineRule="auto"/>
        <w:rPr>
          <w:rFonts w:ascii="Arial" w:hAnsi="Arial" w:cs="Arial"/>
          <w:sz w:val="24"/>
          <w:szCs w:val="24"/>
        </w:rPr>
      </w:pPr>
      <w:r w:rsidRPr="00A3633B">
        <w:rPr>
          <w:rFonts w:ascii="Arial" w:hAnsi="Arial" w:cs="Arial"/>
          <w:sz w:val="24"/>
          <w:szCs w:val="24"/>
        </w:rPr>
        <w:t>However,</w:t>
      </w:r>
      <w:r w:rsidR="00F0542F" w:rsidRPr="00A3633B">
        <w:rPr>
          <w:rFonts w:ascii="Arial" w:hAnsi="Arial" w:cs="Arial"/>
          <w:sz w:val="24"/>
          <w:szCs w:val="24"/>
        </w:rPr>
        <w:t xml:space="preserve"> as the FSR (2020) state, the use of Dogs for locating exhibits of evidence within a scene may end up transferring contaminants such as DNA, </w:t>
      </w:r>
      <w:r w:rsidR="005438BF">
        <w:rPr>
          <w:rFonts w:ascii="Arial" w:hAnsi="Arial" w:cs="Arial"/>
          <w:sz w:val="24"/>
          <w:szCs w:val="24"/>
        </w:rPr>
        <w:t>this</w:t>
      </w:r>
      <w:r w:rsidR="00F0542F" w:rsidRPr="00A3633B">
        <w:rPr>
          <w:rFonts w:ascii="Arial" w:hAnsi="Arial" w:cs="Arial"/>
          <w:sz w:val="24"/>
          <w:szCs w:val="24"/>
        </w:rPr>
        <w:t xml:space="preserve"> can potentially compromise any exhibit the dog finds. Be this from the dog, those who </w:t>
      </w:r>
      <w:r w:rsidR="00F0542F" w:rsidRPr="00A3633B">
        <w:rPr>
          <w:rFonts w:ascii="Arial" w:hAnsi="Arial" w:cs="Arial"/>
          <w:sz w:val="24"/>
          <w:szCs w:val="24"/>
        </w:rPr>
        <w:lastRenderedPageBreak/>
        <w:t>handle the dogs and can be from one part of the scene or transferring the material outside of the scene.</w:t>
      </w:r>
      <w:r w:rsidR="007E7C5C" w:rsidRPr="00A3633B">
        <w:rPr>
          <w:rFonts w:ascii="Arial" w:hAnsi="Arial" w:cs="Arial"/>
          <w:sz w:val="24"/>
          <w:szCs w:val="24"/>
        </w:rPr>
        <w:t xml:space="preserve"> </w:t>
      </w:r>
      <w:r w:rsidR="005438BF">
        <w:rPr>
          <w:rFonts w:ascii="Arial" w:hAnsi="Arial" w:cs="Arial"/>
          <w:sz w:val="24"/>
          <w:szCs w:val="24"/>
        </w:rPr>
        <w:t>This</w:t>
      </w:r>
      <w:r w:rsidR="007E7C5C" w:rsidRPr="00A3633B">
        <w:rPr>
          <w:rFonts w:ascii="Arial" w:hAnsi="Arial" w:cs="Arial"/>
          <w:sz w:val="24"/>
          <w:szCs w:val="24"/>
        </w:rPr>
        <w:t xml:space="preserve"> would mean a Dog, is </w:t>
      </w:r>
      <w:r w:rsidRPr="00A3633B">
        <w:rPr>
          <w:rFonts w:ascii="Arial" w:hAnsi="Arial" w:cs="Arial"/>
          <w:sz w:val="24"/>
          <w:szCs w:val="24"/>
        </w:rPr>
        <w:t>riskier</w:t>
      </w:r>
      <w:r w:rsidR="007E7C5C" w:rsidRPr="00A3633B">
        <w:rPr>
          <w:rFonts w:ascii="Arial" w:hAnsi="Arial" w:cs="Arial"/>
          <w:sz w:val="24"/>
          <w:szCs w:val="24"/>
        </w:rPr>
        <w:t xml:space="preserve"> to use, when trying to limit cross-contamination. The FSR recommends to use alternative methods if available, however does state that there are scenarios where there is no alternative method that may be viable to be used in such a scope, where you are searching for evidence over a large area of ground.</w:t>
      </w:r>
    </w:p>
    <w:p w14:paraId="4C9F0E28" w14:textId="1AA1D7AE" w:rsidR="00AB457B" w:rsidRPr="00A3633B" w:rsidRDefault="00AB457B" w:rsidP="008D0E81">
      <w:pPr>
        <w:spacing w:line="480" w:lineRule="auto"/>
        <w:rPr>
          <w:rFonts w:ascii="Arial" w:hAnsi="Arial" w:cs="Arial"/>
          <w:sz w:val="24"/>
          <w:szCs w:val="24"/>
        </w:rPr>
      </w:pPr>
      <w:r w:rsidRPr="00A3633B">
        <w:rPr>
          <w:rFonts w:ascii="Arial" w:hAnsi="Arial" w:cs="Arial"/>
          <w:sz w:val="24"/>
          <w:szCs w:val="24"/>
        </w:rPr>
        <w:t xml:space="preserve">Contamination as COP (2020) states, is based off of the principles of exchange developed by </w:t>
      </w:r>
      <w:proofErr w:type="spellStart"/>
      <w:r w:rsidRPr="00A3633B">
        <w:rPr>
          <w:rFonts w:ascii="Arial" w:hAnsi="Arial" w:cs="Arial"/>
          <w:sz w:val="24"/>
          <w:szCs w:val="24"/>
        </w:rPr>
        <w:t>Locard</w:t>
      </w:r>
      <w:proofErr w:type="spellEnd"/>
      <w:r w:rsidRPr="00A3633B">
        <w:rPr>
          <w:rFonts w:ascii="Arial" w:hAnsi="Arial" w:cs="Arial"/>
          <w:sz w:val="24"/>
          <w:szCs w:val="24"/>
        </w:rPr>
        <w:t xml:space="preserve">. That whoever enters a scene will always leave a trace of something from themselves within the scene itself. As every contact with anything, will leave a trace of some kind, however small or large. Including fingerprints and fibres as a trace element. If the scene holds an object that was brought into it by the Offender, it may assist the investigation by tracing its origin, be it by the traces it left at the scene or the object itself being at the scene. However, traces can result in cross-contamination if articles of evidence aren’t packaged properly or handled with care. </w:t>
      </w:r>
      <w:r w:rsidR="005438BF">
        <w:rPr>
          <w:rFonts w:ascii="Arial" w:hAnsi="Arial" w:cs="Arial"/>
          <w:sz w:val="24"/>
          <w:szCs w:val="24"/>
        </w:rPr>
        <w:t>That</w:t>
      </w:r>
      <w:r w:rsidRPr="00A3633B">
        <w:rPr>
          <w:rFonts w:ascii="Arial" w:hAnsi="Arial" w:cs="Arial"/>
          <w:sz w:val="24"/>
          <w:szCs w:val="24"/>
        </w:rPr>
        <w:t xml:space="preserve"> as the NPIA (2011) detailed above, can result in lost pieces of evidence. </w:t>
      </w:r>
    </w:p>
    <w:p w14:paraId="67E86F24" w14:textId="77777777" w:rsidR="00C535D4" w:rsidRPr="00A3633B" w:rsidRDefault="00C535D4" w:rsidP="008D0E81">
      <w:pPr>
        <w:spacing w:line="480" w:lineRule="auto"/>
        <w:rPr>
          <w:rFonts w:ascii="Arial" w:hAnsi="Arial" w:cs="Arial"/>
          <w:sz w:val="24"/>
          <w:szCs w:val="24"/>
        </w:rPr>
      </w:pPr>
      <w:r w:rsidRPr="00A3633B">
        <w:rPr>
          <w:rFonts w:ascii="Arial" w:hAnsi="Arial" w:cs="Arial"/>
          <w:sz w:val="24"/>
          <w:szCs w:val="24"/>
        </w:rPr>
        <w:t xml:space="preserve">The FSR (2020) also state that environmental factors such as temperature may play a part in how to prioritise preservation and limit contamination of scenes, as the hotter a scene is the more risk of perspiration being a contaminant from an investigator, offender, victim or anyone who was at the scene. Therefore, they do advise in this case, wearing lighter clothes or maybe even a lighter protective suit and regular breaks to ensure a limit to the risk of contamination. </w:t>
      </w:r>
    </w:p>
    <w:p w14:paraId="64ED0DC9" w14:textId="77777777" w:rsidR="00F0542F" w:rsidRPr="00A3633B" w:rsidRDefault="00F0542F" w:rsidP="008D0E81">
      <w:pPr>
        <w:spacing w:line="480" w:lineRule="auto"/>
        <w:rPr>
          <w:rFonts w:ascii="Arial" w:hAnsi="Arial" w:cs="Arial"/>
          <w:sz w:val="24"/>
          <w:szCs w:val="24"/>
        </w:rPr>
      </w:pPr>
    </w:p>
    <w:p w14:paraId="033FC8AC" w14:textId="12B384C5" w:rsidR="00D46D60" w:rsidRPr="00A3633B" w:rsidRDefault="00D46D60" w:rsidP="008D0E81">
      <w:pPr>
        <w:spacing w:line="480" w:lineRule="auto"/>
        <w:rPr>
          <w:rFonts w:ascii="Arial" w:hAnsi="Arial" w:cs="Arial"/>
          <w:sz w:val="24"/>
          <w:szCs w:val="24"/>
        </w:rPr>
      </w:pPr>
      <w:r w:rsidRPr="00A3633B">
        <w:rPr>
          <w:rFonts w:ascii="Arial" w:hAnsi="Arial" w:cs="Arial"/>
          <w:sz w:val="24"/>
          <w:szCs w:val="24"/>
        </w:rPr>
        <w:t xml:space="preserve">The FSR (2020), states under their Anti-Contamination Policy, that Cordons and Protection of the scene should be put into place and positioned appropriately to </w:t>
      </w:r>
      <w:r w:rsidRPr="00A3633B">
        <w:rPr>
          <w:rFonts w:ascii="Arial" w:hAnsi="Arial" w:cs="Arial"/>
          <w:sz w:val="24"/>
          <w:szCs w:val="24"/>
        </w:rPr>
        <w:lastRenderedPageBreak/>
        <w:t xml:space="preserve">ensure control and records are kept of who enters and leave the scene, in order to limit the risk of contamination. Cordons should also have a single point of entry, in order to ensure the record of who enters and leaves can remain recorded correctly. </w:t>
      </w:r>
      <w:r w:rsidR="005438BF">
        <w:rPr>
          <w:rFonts w:ascii="Arial" w:hAnsi="Arial" w:cs="Arial"/>
          <w:sz w:val="24"/>
          <w:szCs w:val="24"/>
        </w:rPr>
        <w:t>This</w:t>
      </w:r>
      <w:r w:rsidR="00E20B41" w:rsidRPr="00A3633B">
        <w:rPr>
          <w:rFonts w:ascii="Arial" w:hAnsi="Arial" w:cs="Arial"/>
          <w:sz w:val="24"/>
          <w:szCs w:val="24"/>
        </w:rPr>
        <w:t xml:space="preserve"> is backed up by Bryant and Bryant (2019) where Cordons should be visible barriers, that are put into place as a statement to limit the access for personnel that are relevant to the scene only</w:t>
      </w:r>
      <w:r w:rsidR="009307AE" w:rsidRPr="00A3633B">
        <w:rPr>
          <w:rFonts w:ascii="Arial" w:hAnsi="Arial" w:cs="Arial"/>
          <w:sz w:val="24"/>
          <w:szCs w:val="24"/>
        </w:rPr>
        <w:t xml:space="preserve"> by the </w:t>
      </w:r>
      <w:r w:rsidR="00B02341" w:rsidRPr="00A3633B">
        <w:rPr>
          <w:rFonts w:ascii="Arial" w:hAnsi="Arial" w:cs="Arial"/>
          <w:sz w:val="24"/>
          <w:szCs w:val="24"/>
        </w:rPr>
        <w:t>FAO</w:t>
      </w:r>
      <w:r w:rsidR="00E20B41" w:rsidRPr="00A3633B">
        <w:rPr>
          <w:rFonts w:ascii="Arial" w:hAnsi="Arial" w:cs="Arial"/>
          <w:sz w:val="24"/>
          <w:szCs w:val="24"/>
        </w:rPr>
        <w:t xml:space="preserve">. They tend to use Police-Tape in order to make it visible and highlighted to the public and personnel accessing the scene. As stated by the FSR, they also help to control the access to and from the scene area/cordon. </w:t>
      </w:r>
      <w:r w:rsidR="003657CE" w:rsidRPr="00A3633B">
        <w:rPr>
          <w:rFonts w:ascii="Arial" w:hAnsi="Arial" w:cs="Arial"/>
          <w:sz w:val="24"/>
          <w:szCs w:val="24"/>
        </w:rPr>
        <w:t>There tends to be two cordons at least, the inner and outer cordon, one for ensuring the public remain away from the scene and the other to secure the scene from potential contamination. A Third may be set up, for traffic in major incidents.</w:t>
      </w:r>
    </w:p>
    <w:p w14:paraId="4E0E93BD" w14:textId="77777777" w:rsidR="009307AE" w:rsidRPr="00A3633B" w:rsidRDefault="009307AE" w:rsidP="008D0E81">
      <w:pPr>
        <w:spacing w:line="480" w:lineRule="auto"/>
        <w:rPr>
          <w:rFonts w:ascii="Arial" w:hAnsi="Arial" w:cs="Arial"/>
          <w:sz w:val="24"/>
          <w:szCs w:val="24"/>
        </w:rPr>
      </w:pPr>
      <w:r w:rsidRPr="00A3633B">
        <w:rPr>
          <w:rFonts w:ascii="Arial" w:hAnsi="Arial" w:cs="Arial"/>
          <w:sz w:val="24"/>
          <w:szCs w:val="24"/>
        </w:rPr>
        <w:t>As the NPIA (2011) state, in order to combat potential cross contamination, you should identify a Common Approach Path (CAP), this should then be used by all personnel in order to follow the route you had taken when entering the scene. That this should take note of all evidence, including positions of people and potential risks. Risks including damage to the building or other hazards like sharp objects and chemicals. This should then ensure the scene is protected from any major contamination from people who are walking over it, leaving trace evidence and foot prints. As the NPIA also state that you should take care to try to minimise the amount of damage when entering the scene, trying to leave it as undisturbed as you can from any interaction until the Investigators would arrive.</w:t>
      </w:r>
    </w:p>
    <w:p w14:paraId="02DF1EAC" w14:textId="77777777" w:rsidR="00D46D60" w:rsidRPr="00A3633B" w:rsidRDefault="00D46D60" w:rsidP="008D0E81">
      <w:pPr>
        <w:spacing w:line="480" w:lineRule="auto"/>
        <w:rPr>
          <w:rFonts w:ascii="Arial" w:hAnsi="Arial" w:cs="Arial"/>
          <w:sz w:val="24"/>
          <w:szCs w:val="24"/>
        </w:rPr>
      </w:pPr>
    </w:p>
    <w:p w14:paraId="51F6A03E" w14:textId="5F55621C" w:rsidR="009307AE" w:rsidRPr="00A3633B" w:rsidRDefault="009307AE" w:rsidP="008D0E81">
      <w:pPr>
        <w:spacing w:line="480" w:lineRule="auto"/>
        <w:rPr>
          <w:rFonts w:ascii="Arial" w:hAnsi="Arial" w:cs="Arial"/>
          <w:sz w:val="24"/>
          <w:szCs w:val="24"/>
        </w:rPr>
      </w:pPr>
      <w:r w:rsidRPr="00A3633B">
        <w:rPr>
          <w:rFonts w:ascii="Arial" w:hAnsi="Arial" w:cs="Arial"/>
          <w:sz w:val="24"/>
          <w:szCs w:val="24"/>
        </w:rPr>
        <w:lastRenderedPageBreak/>
        <w:t xml:space="preserve">As Fryer (2012) backs up what was earlier said with COP and Bryant, that the general assessment of a case will be the same no matter the types of evidence that it may involve. However, Fryer does detail that in a Major Incident, there will more likely be more samples of evidence to be taken from it than a Minor Incident, where the volume of samples will be less alongside less resources allocated to the Incident. Fryer also details that when assessing the incident scene, you should establish that trace evidence may have been left by the Responders, Suspects, Victims, Witnesses and/or items. This also includes Secondary transfers, where it was picked up elsewhere and then the trace had fallen off/was left at this scene. </w:t>
      </w:r>
    </w:p>
    <w:p w14:paraId="69A1A350" w14:textId="7903176A" w:rsidR="00D621A8" w:rsidRPr="00A3633B" w:rsidRDefault="00D621A8" w:rsidP="008D0E81">
      <w:pPr>
        <w:spacing w:line="480" w:lineRule="auto"/>
        <w:rPr>
          <w:rFonts w:ascii="Arial" w:hAnsi="Arial" w:cs="Arial"/>
          <w:sz w:val="24"/>
          <w:szCs w:val="24"/>
        </w:rPr>
      </w:pPr>
    </w:p>
    <w:p w14:paraId="06A6382B" w14:textId="65C93DE4" w:rsidR="00D621A8" w:rsidRPr="00A3633B" w:rsidRDefault="00D621A8" w:rsidP="008D0E81">
      <w:pPr>
        <w:spacing w:line="480" w:lineRule="auto"/>
        <w:rPr>
          <w:rFonts w:ascii="Arial" w:hAnsi="Arial" w:cs="Arial"/>
          <w:sz w:val="24"/>
          <w:szCs w:val="24"/>
        </w:rPr>
      </w:pPr>
      <w:r w:rsidRPr="00A3633B">
        <w:rPr>
          <w:rFonts w:ascii="Arial" w:hAnsi="Arial" w:cs="Arial"/>
          <w:sz w:val="24"/>
          <w:szCs w:val="24"/>
        </w:rPr>
        <w:t>In conclusion, the First Attending Officer has a lot to deal with, as per Bryant and B</w:t>
      </w:r>
      <w:r w:rsidR="008F696D" w:rsidRPr="00A3633B">
        <w:rPr>
          <w:rFonts w:ascii="Arial" w:hAnsi="Arial" w:cs="Arial"/>
          <w:sz w:val="24"/>
          <w:szCs w:val="24"/>
        </w:rPr>
        <w:t>ry</w:t>
      </w:r>
      <w:r w:rsidRPr="00A3633B">
        <w:rPr>
          <w:rFonts w:ascii="Arial" w:hAnsi="Arial" w:cs="Arial"/>
          <w:sz w:val="24"/>
          <w:szCs w:val="24"/>
        </w:rPr>
        <w:t>ant (2019) have detailed, that the First Attending Officer needs to continuously take out risk assessments, minimising the risk to life and evidence as much as they can, prioritising life whilst setting the scene up for the Crime Scene Investigators</w:t>
      </w:r>
      <w:r w:rsidR="00E01AC8" w:rsidRPr="00A3633B">
        <w:rPr>
          <w:rFonts w:ascii="Arial" w:hAnsi="Arial" w:cs="Arial"/>
          <w:sz w:val="24"/>
          <w:szCs w:val="24"/>
        </w:rPr>
        <w:t xml:space="preserve"> (CSI)</w:t>
      </w:r>
      <w:r w:rsidRPr="00A3633B">
        <w:rPr>
          <w:rFonts w:ascii="Arial" w:hAnsi="Arial" w:cs="Arial"/>
          <w:sz w:val="24"/>
          <w:szCs w:val="24"/>
        </w:rPr>
        <w:t xml:space="preserve"> and other Police personnel that may be required.</w:t>
      </w:r>
      <w:r w:rsidR="00821992" w:rsidRPr="00A3633B">
        <w:rPr>
          <w:rFonts w:ascii="Arial" w:hAnsi="Arial" w:cs="Arial"/>
          <w:sz w:val="24"/>
          <w:szCs w:val="24"/>
        </w:rPr>
        <w:t xml:space="preserve"> Whilst trying to ensure all information is remembered and details that may prove prominent, relevant or irrelevant are retained.</w:t>
      </w:r>
      <w:r w:rsidRPr="00A3633B">
        <w:rPr>
          <w:rFonts w:ascii="Arial" w:hAnsi="Arial" w:cs="Arial"/>
          <w:sz w:val="24"/>
          <w:szCs w:val="24"/>
        </w:rPr>
        <w:t xml:space="preserve"> </w:t>
      </w:r>
      <w:r w:rsidR="005438BF">
        <w:rPr>
          <w:rFonts w:ascii="Arial" w:hAnsi="Arial" w:cs="Arial"/>
          <w:sz w:val="24"/>
          <w:szCs w:val="24"/>
        </w:rPr>
        <w:t>This</w:t>
      </w:r>
      <w:r w:rsidRPr="00A3633B">
        <w:rPr>
          <w:rFonts w:ascii="Arial" w:hAnsi="Arial" w:cs="Arial"/>
          <w:sz w:val="24"/>
          <w:szCs w:val="24"/>
        </w:rPr>
        <w:t xml:space="preserve"> is further corroborated by COP (2019) and FSR (2020).</w:t>
      </w:r>
    </w:p>
    <w:p w14:paraId="5A8A98B0" w14:textId="77777777" w:rsidR="00D435FF" w:rsidRPr="00A3633B" w:rsidRDefault="00D435FF" w:rsidP="008D0E81">
      <w:pPr>
        <w:spacing w:line="480" w:lineRule="auto"/>
        <w:rPr>
          <w:rFonts w:ascii="Arial" w:hAnsi="Arial" w:cs="Arial"/>
          <w:sz w:val="24"/>
          <w:szCs w:val="24"/>
        </w:rPr>
      </w:pPr>
    </w:p>
    <w:p w14:paraId="65517CB2" w14:textId="77777777" w:rsidR="00942C75" w:rsidRPr="00A3633B" w:rsidRDefault="00942C75" w:rsidP="008D0E81">
      <w:pPr>
        <w:spacing w:line="480" w:lineRule="auto"/>
        <w:rPr>
          <w:rFonts w:ascii="Arial" w:hAnsi="Arial" w:cs="Arial"/>
          <w:sz w:val="24"/>
          <w:szCs w:val="24"/>
        </w:rPr>
      </w:pPr>
    </w:p>
    <w:p w14:paraId="5C2062A7" w14:textId="77777777" w:rsidR="004D7022" w:rsidRPr="00A3633B" w:rsidRDefault="004D7022" w:rsidP="008D0E81">
      <w:pPr>
        <w:spacing w:line="480" w:lineRule="auto"/>
        <w:rPr>
          <w:rFonts w:ascii="Arial" w:hAnsi="Arial" w:cs="Arial"/>
          <w:sz w:val="24"/>
          <w:szCs w:val="24"/>
        </w:rPr>
      </w:pPr>
    </w:p>
    <w:p w14:paraId="29B39E5D" w14:textId="77777777" w:rsidR="00F4695C" w:rsidRPr="00A3633B" w:rsidRDefault="00F4695C" w:rsidP="008D0E81">
      <w:pPr>
        <w:spacing w:line="480" w:lineRule="auto"/>
        <w:rPr>
          <w:rFonts w:ascii="Arial" w:hAnsi="Arial" w:cs="Arial"/>
          <w:sz w:val="24"/>
          <w:szCs w:val="24"/>
        </w:rPr>
      </w:pPr>
      <w:r w:rsidRPr="00A3633B">
        <w:rPr>
          <w:rFonts w:ascii="Arial" w:hAnsi="Arial" w:cs="Arial"/>
          <w:sz w:val="24"/>
          <w:szCs w:val="24"/>
        </w:rPr>
        <w:br w:type="page"/>
      </w:r>
    </w:p>
    <w:p w14:paraId="753B82F2" w14:textId="4EA62987" w:rsidR="008125B7" w:rsidRPr="00A3633B" w:rsidRDefault="00484A72" w:rsidP="008D0E81">
      <w:pPr>
        <w:spacing w:line="480" w:lineRule="auto"/>
        <w:rPr>
          <w:rFonts w:ascii="Arial" w:hAnsi="Arial" w:cs="Arial"/>
          <w:sz w:val="24"/>
          <w:szCs w:val="24"/>
        </w:rPr>
      </w:pPr>
      <w:r w:rsidRPr="00A3633B">
        <w:rPr>
          <w:rFonts w:ascii="Arial" w:hAnsi="Arial" w:cs="Arial"/>
          <w:b/>
          <w:bCs/>
          <w:sz w:val="40"/>
          <w:szCs w:val="40"/>
          <w:u w:val="single"/>
        </w:rPr>
        <w:lastRenderedPageBreak/>
        <w:t xml:space="preserve">Part B: </w:t>
      </w:r>
    </w:p>
    <w:p w14:paraId="20B50438" w14:textId="523404CC" w:rsidR="0069054A" w:rsidRPr="00A3633B" w:rsidRDefault="00E01AC8" w:rsidP="008D0E81">
      <w:pPr>
        <w:spacing w:line="480" w:lineRule="auto"/>
        <w:rPr>
          <w:rFonts w:ascii="Arial" w:hAnsi="Arial" w:cs="Arial"/>
          <w:sz w:val="24"/>
          <w:szCs w:val="24"/>
        </w:rPr>
      </w:pPr>
      <w:r w:rsidRPr="00A3633B">
        <w:rPr>
          <w:rFonts w:ascii="Arial" w:hAnsi="Arial" w:cs="Arial"/>
          <w:sz w:val="24"/>
          <w:szCs w:val="24"/>
        </w:rPr>
        <w:t>As Bryant and Bryant (2019) declare, that within common law it is the duty of constables to retain exhibits</w:t>
      </w:r>
      <w:r w:rsidR="001F5EB6" w:rsidRPr="00A3633B">
        <w:rPr>
          <w:rFonts w:ascii="Arial" w:hAnsi="Arial" w:cs="Arial"/>
          <w:sz w:val="24"/>
          <w:szCs w:val="24"/>
        </w:rPr>
        <w:t xml:space="preserve"> </w:t>
      </w:r>
      <w:r w:rsidRPr="00A3633B">
        <w:rPr>
          <w:rFonts w:ascii="Arial" w:hAnsi="Arial" w:cs="Arial"/>
          <w:sz w:val="24"/>
          <w:szCs w:val="24"/>
        </w:rPr>
        <w:t xml:space="preserve">for use in court, as it may be evidence of the crime that has taken place. This can range from physical items to digital items such as items on a Computer/Hard-drive. That if an Officer finds an </w:t>
      </w:r>
      <w:r w:rsidR="00155292" w:rsidRPr="00A3633B">
        <w:rPr>
          <w:rFonts w:ascii="Arial" w:hAnsi="Arial" w:cs="Arial"/>
          <w:sz w:val="24"/>
          <w:szCs w:val="24"/>
        </w:rPr>
        <w:t xml:space="preserve">exhibit </w:t>
      </w:r>
      <w:r w:rsidRPr="00A3633B">
        <w:rPr>
          <w:rFonts w:ascii="Arial" w:hAnsi="Arial" w:cs="Arial"/>
          <w:sz w:val="24"/>
          <w:szCs w:val="24"/>
        </w:rPr>
        <w:t>that could be used as evidence in court, should therefore seize the article of evidence and record the details of the object. This comes under Police and Criminal Evidence Act (PACE) 1984, Common Law and Code of Practice for the Police Services.</w:t>
      </w:r>
    </w:p>
    <w:p w14:paraId="692F3232" w14:textId="321F9022" w:rsidR="00536031" w:rsidRPr="00A3633B" w:rsidRDefault="00536031" w:rsidP="008D0E81">
      <w:pPr>
        <w:spacing w:line="480" w:lineRule="auto"/>
        <w:rPr>
          <w:rFonts w:ascii="Arial" w:hAnsi="Arial" w:cs="Arial"/>
          <w:sz w:val="24"/>
          <w:szCs w:val="24"/>
        </w:rPr>
      </w:pPr>
      <w:r w:rsidRPr="00A3633B">
        <w:rPr>
          <w:rFonts w:ascii="Arial" w:hAnsi="Arial" w:cs="Arial"/>
          <w:sz w:val="24"/>
          <w:szCs w:val="24"/>
        </w:rPr>
        <w:t>As Jackson et al (2016) regards that there is a specific structure set out for Crime Scenes in terms of command, where you will have the Senior Investigati</w:t>
      </w:r>
      <w:r w:rsidR="001537CB" w:rsidRPr="00A3633B">
        <w:rPr>
          <w:rFonts w:ascii="Arial" w:hAnsi="Arial" w:cs="Arial"/>
          <w:sz w:val="24"/>
          <w:szCs w:val="24"/>
        </w:rPr>
        <w:t>ng</w:t>
      </w:r>
      <w:r w:rsidRPr="00A3633B">
        <w:rPr>
          <w:rFonts w:ascii="Arial" w:hAnsi="Arial" w:cs="Arial"/>
          <w:sz w:val="24"/>
          <w:szCs w:val="24"/>
        </w:rPr>
        <w:t xml:space="preserve"> officer at the top, your Crime Scene Co-ordinator, Manage</w:t>
      </w:r>
      <w:r w:rsidR="000029EF" w:rsidRPr="00A3633B">
        <w:rPr>
          <w:rFonts w:ascii="Arial" w:hAnsi="Arial" w:cs="Arial"/>
          <w:sz w:val="24"/>
          <w:szCs w:val="24"/>
        </w:rPr>
        <w:t>r</w:t>
      </w:r>
      <w:r w:rsidRPr="00A3633B">
        <w:rPr>
          <w:rFonts w:ascii="Arial" w:hAnsi="Arial" w:cs="Arial"/>
          <w:sz w:val="24"/>
          <w:szCs w:val="24"/>
        </w:rPr>
        <w:t xml:space="preserve"> and staff then below </w:t>
      </w:r>
      <w:r w:rsidR="00912A70" w:rsidRPr="00A3633B">
        <w:rPr>
          <w:rFonts w:ascii="Arial" w:hAnsi="Arial" w:cs="Arial"/>
          <w:sz w:val="24"/>
          <w:szCs w:val="24"/>
        </w:rPr>
        <w:t>(</w:t>
      </w:r>
      <w:r w:rsidRPr="00A3633B">
        <w:rPr>
          <w:rFonts w:ascii="Arial" w:hAnsi="Arial" w:cs="Arial"/>
          <w:sz w:val="24"/>
          <w:szCs w:val="24"/>
        </w:rPr>
        <w:t>in that order</w:t>
      </w:r>
      <w:r w:rsidR="00912A70" w:rsidRPr="00A3633B">
        <w:rPr>
          <w:rFonts w:ascii="Arial" w:hAnsi="Arial" w:cs="Arial"/>
          <w:sz w:val="24"/>
          <w:szCs w:val="24"/>
        </w:rPr>
        <w:t>)</w:t>
      </w:r>
      <w:r w:rsidRPr="00A3633B">
        <w:rPr>
          <w:rFonts w:ascii="Arial" w:hAnsi="Arial" w:cs="Arial"/>
          <w:sz w:val="24"/>
          <w:szCs w:val="24"/>
        </w:rPr>
        <w:t xml:space="preserve">. This structure will be set up for all serious crime investigations and may vary slightly dependent on the Police Service using it. The Crime Scene Manager will be in control the one scene each and may have more than one person as it, dependent on how many scenes the crime has. The more serious crimes tending to have more scenes due to the fact that evidence may have been moved or property related to the victims or suspects. </w:t>
      </w:r>
    </w:p>
    <w:p w14:paraId="71E6E3F3" w14:textId="055C92B5" w:rsidR="00E01AC8" w:rsidRPr="00A3633B" w:rsidRDefault="00E75461" w:rsidP="008D0E81">
      <w:pPr>
        <w:spacing w:line="480" w:lineRule="auto"/>
        <w:rPr>
          <w:rFonts w:ascii="Arial" w:hAnsi="Arial" w:cs="Arial"/>
          <w:sz w:val="24"/>
          <w:szCs w:val="24"/>
        </w:rPr>
      </w:pPr>
      <w:r w:rsidRPr="00A3633B">
        <w:rPr>
          <w:rFonts w:ascii="Arial" w:hAnsi="Arial" w:cs="Arial"/>
          <w:sz w:val="24"/>
          <w:szCs w:val="24"/>
        </w:rPr>
        <w:t>COP (2020) state</w:t>
      </w:r>
      <w:r w:rsidR="00261486" w:rsidRPr="00A3633B">
        <w:rPr>
          <w:rFonts w:ascii="Arial" w:hAnsi="Arial" w:cs="Arial"/>
          <w:sz w:val="24"/>
          <w:szCs w:val="24"/>
        </w:rPr>
        <w:t>s that</w:t>
      </w:r>
      <w:r w:rsidRPr="00A3633B">
        <w:rPr>
          <w:rFonts w:ascii="Arial" w:hAnsi="Arial" w:cs="Arial"/>
          <w:sz w:val="24"/>
          <w:szCs w:val="24"/>
        </w:rPr>
        <w:t xml:space="preserve"> the FSR ensures that Forensic Services are provided all across the criminal justice system and is therefore subject to </w:t>
      </w:r>
      <w:r w:rsidR="00361EAD" w:rsidRPr="00A3633B">
        <w:rPr>
          <w:rFonts w:ascii="Arial" w:hAnsi="Arial" w:cs="Arial"/>
          <w:sz w:val="24"/>
          <w:szCs w:val="24"/>
        </w:rPr>
        <w:t xml:space="preserve">set </w:t>
      </w:r>
      <w:r w:rsidRPr="00A3633B">
        <w:rPr>
          <w:rFonts w:ascii="Arial" w:hAnsi="Arial" w:cs="Arial"/>
          <w:sz w:val="24"/>
          <w:szCs w:val="24"/>
        </w:rPr>
        <w:t>standards of scientific quality. The FSR</w:t>
      </w:r>
      <w:r w:rsidR="0083296F" w:rsidRPr="00A3633B">
        <w:rPr>
          <w:rFonts w:ascii="Arial" w:hAnsi="Arial" w:cs="Arial"/>
          <w:sz w:val="24"/>
          <w:szCs w:val="24"/>
        </w:rPr>
        <w:t xml:space="preserve"> </w:t>
      </w:r>
      <w:r w:rsidRPr="00A3633B">
        <w:rPr>
          <w:rFonts w:ascii="Arial" w:hAnsi="Arial" w:cs="Arial"/>
          <w:sz w:val="24"/>
          <w:szCs w:val="24"/>
        </w:rPr>
        <w:t xml:space="preserve">publishes codes of practice and conduct in order </w:t>
      </w:r>
      <w:r w:rsidR="00A11B86" w:rsidRPr="00A3633B">
        <w:rPr>
          <w:rFonts w:ascii="Arial" w:hAnsi="Arial" w:cs="Arial"/>
          <w:sz w:val="24"/>
          <w:szCs w:val="24"/>
        </w:rPr>
        <w:t>for</w:t>
      </w:r>
      <w:r w:rsidRPr="00A3633B">
        <w:rPr>
          <w:rFonts w:ascii="Arial" w:hAnsi="Arial" w:cs="Arial"/>
          <w:sz w:val="24"/>
          <w:szCs w:val="24"/>
        </w:rPr>
        <w:t xml:space="preserve"> Investigators and Forensic Scientists to follow and use, in order to ensure standards are met and upheld</w:t>
      </w:r>
      <w:r w:rsidR="00770220" w:rsidRPr="00A3633B">
        <w:rPr>
          <w:rFonts w:ascii="Arial" w:hAnsi="Arial" w:cs="Arial"/>
          <w:sz w:val="24"/>
          <w:szCs w:val="24"/>
        </w:rPr>
        <w:t xml:space="preserve"> for the use </w:t>
      </w:r>
      <w:r w:rsidR="00445886" w:rsidRPr="00A3633B">
        <w:rPr>
          <w:rFonts w:ascii="Arial" w:hAnsi="Arial" w:cs="Arial"/>
          <w:sz w:val="24"/>
          <w:szCs w:val="24"/>
        </w:rPr>
        <w:t>within the criminal justice system.</w:t>
      </w:r>
    </w:p>
    <w:p w14:paraId="3F23A9F3" w14:textId="35EA6699" w:rsidR="005B7C83" w:rsidRPr="00A3633B" w:rsidRDefault="005B7C83" w:rsidP="008D0E81">
      <w:pPr>
        <w:spacing w:line="480" w:lineRule="auto"/>
        <w:rPr>
          <w:rFonts w:ascii="Arial" w:hAnsi="Arial" w:cs="Arial"/>
          <w:sz w:val="24"/>
          <w:szCs w:val="24"/>
        </w:rPr>
      </w:pPr>
      <w:r w:rsidRPr="00A3633B">
        <w:rPr>
          <w:rFonts w:ascii="Arial" w:hAnsi="Arial" w:cs="Arial"/>
          <w:sz w:val="24"/>
          <w:szCs w:val="24"/>
        </w:rPr>
        <w:lastRenderedPageBreak/>
        <w:t xml:space="preserve">As the FSR (2020) dictates, that packaging of exhibits should preserve the integrity of the exhibit being packaged and minimise the degradation and contamination of the exhibit that has been packaged. </w:t>
      </w:r>
      <w:r w:rsidR="005438BF">
        <w:rPr>
          <w:rFonts w:ascii="Arial" w:hAnsi="Arial" w:cs="Arial"/>
          <w:sz w:val="24"/>
          <w:szCs w:val="24"/>
        </w:rPr>
        <w:t>That</w:t>
      </w:r>
      <w:r w:rsidRPr="00A3633B">
        <w:rPr>
          <w:rFonts w:ascii="Arial" w:hAnsi="Arial" w:cs="Arial"/>
          <w:sz w:val="24"/>
          <w:szCs w:val="24"/>
        </w:rPr>
        <w:t xml:space="preserve">, in the case of Sarah Payne according to </w:t>
      </w:r>
      <w:r w:rsidR="002F4766" w:rsidRPr="00A3633B">
        <w:rPr>
          <w:rFonts w:ascii="Arial" w:hAnsi="Arial" w:cs="Arial"/>
          <w:sz w:val="24"/>
          <w:szCs w:val="24"/>
        </w:rPr>
        <w:t>the British Broadcasting Company</w:t>
      </w:r>
      <w:r w:rsidR="00AE6751" w:rsidRPr="00A3633B">
        <w:rPr>
          <w:rFonts w:ascii="Arial" w:hAnsi="Arial" w:cs="Arial"/>
          <w:sz w:val="24"/>
          <w:szCs w:val="24"/>
        </w:rPr>
        <w:t xml:space="preserve"> (BBC) (2001)</w:t>
      </w:r>
      <w:r w:rsidR="002F4766" w:rsidRPr="00A3633B">
        <w:rPr>
          <w:rFonts w:ascii="Arial" w:hAnsi="Arial" w:cs="Arial"/>
          <w:sz w:val="24"/>
          <w:szCs w:val="24"/>
        </w:rPr>
        <w:t xml:space="preserve">, the court were told that several hairs had been found on the outside of the forensic bags, stuck to its adhesive sticky edge. </w:t>
      </w:r>
      <w:r w:rsidR="005438BF">
        <w:rPr>
          <w:rFonts w:ascii="Arial" w:hAnsi="Arial" w:cs="Arial"/>
          <w:sz w:val="24"/>
          <w:szCs w:val="24"/>
        </w:rPr>
        <w:t>That</w:t>
      </w:r>
      <w:r w:rsidR="002F4766" w:rsidRPr="00A3633B">
        <w:rPr>
          <w:rFonts w:ascii="Arial" w:hAnsi="Arial" w:cs="Arial"/>
          <w:sz w:val="24"/>
          <w:szCs w:val="24"/>
        </w:rPr>
        <w:t xml:space="preserve"> when questioned</w:t>
      </w:r>
      <w:r w:rsidR="00207ADE">
        <w:rPr>
          <w:rFonts w:ascii="Arial" w:hAnsi="Arial" w:cs="Arial"/>
          <w:sz w:val="24"/>
          <w:szCs w:val="24"/>
        </w:rPr>
        <w:t>,</w:t>
      </w:r>
      <w:r w:rsidR="002F4766" w:rsidRPr="00A3633B">
        <w:rPr>
          <w:rFonts w:ascii="Arial" w:hAnsi="Arial" w:cs="Arial"/>
          <w:sz w:val="24"/>
          <w:szCs w:val="24"/>
        </w:rPr>
        <w:t xml:space="preserve"> the Examiner involved said it could have the potentiality that it is contaminated. </w:t>
      </w:r>
      <w:r w:rsidR="00207ADE">
        <w:rPr>
          <w:rFonts w:ascii="Arial" w:hAnsi="Arial" w:cs="Arial"/>
          <w:sz w:val="24"/>
          <w:szCs w:val="24"/>
        </w:rPr>
        <w:t>This</w:t>
      </w:r>
      <w:r w:rsidR="002F4766" w:rsidRPr="00A3633B">
        <w:rPr>
          <w:rFonts w:ascii="Arial" w:hAnsi="Arial" w:cs="Arial"/>
          <w:sz w:val="24"/>
          <w:szCs w:val="24"/>
        </w:rPr>
        <w:t xml:space="preserve"> is why the FSR (2020) attempt to ensure the integrity of all packages are appropriate and do not contaminate the exhibit itself.</w:t>
      </w:r>
    </w:p>
    <w:p w14:paraId="16251563" w14:textId="77777777" w:rsidR="00E75461" w:rsidRPr="00A3633B" w:rsidRDefault="00E75461" w:rsidP="008D0E81">
      <w:pPr>
        <w:spacing w:line="480" w:lineRule="auto"/>
        <w:rPr>
          <w:rFonts w:ascii="Arial" w:hAnsi="Arial" w:cs="Arial"/>
          <w:sz w:val="24"/>
          <w:szCs w:val="24"/>
        </w:rPr>
      </w:pPr>
    </w:p>
    <w:p w14:paraId="1004BC29" w14:textId="4B1FB6B8" w:rsidR="00E01AC8" w:rsidRPr="00A3633B" w:rsidRDefault="00E01AC8" w:rsidP="008D0E81">
      <w:pPr>
        <w:spacing w:line="480" w:lineRule="auto"/>
        <w:rPr>
          <w:rFonts w:ascii="Arial" w:hAnsi="Arial" w:cs="Arial"/>
          <w:sz w:val="24"/>
          <w:szCs w:val="24"/>
        </w:rPr>
      </w:pPr>
      <w:r w:rsidRPr="00A3633B">
        <w:rPr>
          <w:rFonts w:ascii="Arial" w:hAnsi="Arial" w:cs="Arial"/>
          <w:sz w:val="24"/>
          <w:szCs w:val="24"/>
        </w:rPr>
        <w:t>Bryant and Bryant (2019)</w:t>
      </w:r>
      <w:r w:rsidR="00D91F07" w:rsidRPr="00A3633B">
        <w:rPr>
          <w:rFonts w:ascii="Arial" w:hAnsi="Arial" w:cs="Arial"/>
          <w:sz w:val="24"/>
          <w:szCs w:val="24"/>
        </w:rPr>
        <w:t>, within their handbook,</w:t>
      </w:r>
      <w:r w:rsidRPr="00A3633B">
        <w:rPr>
          <w:rFonts w:ascii="Arial" w:hAnsi="Arial" w:cs="Arial"/>
          <w:sz w:val="24"/>
          <w:szCs w:val="24"/>
        </w:rPr>
        <w:t xml:space="preserve"> </w:t>
      </w:r>
      <w:r w:rsidR="00CF7FEF" w:rsidRPr="00A3633B">
        <w:rPr>
          <w:rFonts w:ascii="Arial" w:hAnsi="Arial" w:cs="Arial"/>
          <w:sz w:val="24"/>
          <w:szCs w:val="24"/>
        </w:rPr>
        <w:t xml:space="preserve">state that any exhibit found at the Crime Scene that is being retained and packaged </w:t>
      </w:r>
      <w:r w:rsidRPr="00A3633B">
        <w:rPr>
          <w:rFonts w:ascii="Arial" w:hAnsi="Arial" w:cs="Arial"/>
          <w:sz w:val="24"/>
          <w:szCs w:val="24"/>
        </w:rPr>
        <w:t>should include the name of the person who had found the exhibit, the number of said exhibit</w:t>
      </w:r>
      <w:r w:rsidR="009522FF" w:rsidRPr="00A3633B">
        <w:rPr>
          <w:rFonts w:ascii="Arial" w:hAnsi="Arial" w:cs="Arial"/>
          <w:sz w:val="24"/>
          <w:szCs w:val="24"/>
        </w:rPr>
        <w:t xml:space="preserve"> (that </w:t>
      </w:r>
      <w:r w:rsidRPr="00A3633B">
        <w:rPr>
          <w:rFonts w:ascii="Arial" w:hAnsi="Arial" w:cs="Arial"/>
          <w:sz w:val="24"/>
          <w:szCs w:val="24"/>
        </w:rPr>
        <w:t>tends to also include the initials of the</w:t>
      </w:r>
      <w:r w:rsidR="00D927E7" w:rsidRPr="00A3633B">
        <w:rPr>
          <w:rFonts w:ascii="Arial" w:hAnsi="Arial" w:cs="Arial"/>
          <w:sz w:val="24"/>
          <w:szCs w:val="24"/>
        </w:rPr>
        <w:t xml:space="preserve"> investigator who had found the exhibit</w:t>
      </w:r>
      <w:r w:rsidR="009522FF" w:rsidRPr="00A3633B">
        <w:rPr>
          <w:rFonts w:ascii="Arial" w:hAnsi="Arial" w:cs="Arial"/>
          <w:sz w:val="24"/>
          <w:szCs w:val="24"/>
        </w:rPr>
        <w:t>)</w:t>
      </w:r>
      <w:r w:rsidRPr="00A3633B">
        <w:rPr>
          <w:rFonts w:ascii="Arial" w:hAnsi="Arial" w:cs="Arial"/>
          <w:sz w:val="24"/>
          <w:szCs w:val="24"/>
        </w:rPr>
        <w:t xml:space="preserve">, </w:t>
      </w:r>
      <w:r w:rsidR="00D927E7" w:rsidRPr="00A3633B">
        <w:rPr>
          <w:rFonts w:ascii="Arial" w:hAnsi="Arial" w:cs="Arial"/>
          <w:sz w:val="24"/>
          <w:szCs w:val="24"/>
        </w:rPr>
        <w:t>the</w:t>
      </w:r>
      <w:r w:rsidRPr="00A3633B">
        <w:rPr>
          <w:rFonts w:ascii="Arial" w:hAnsi="Arial" w:cs="Arial"/>
          <w:sz w:val="24"/>
          <w:szCs w:val="24"/>
        </w:rPr>
        <w:t xml:space="preserve"> date, time and location </w:t>
      </w:r>
      <w:r w:rsidR="001B6A7D" w:rsidRPr="00A3633B">
        <w:rPr>
          <w:rFonts w:ascii="Arial" w:hAnsi="Arial" w:cs="Arial"/>
          <w:sz w:val="24"/>
          <w:szCs w:val="24"/>
        </w:rPr>
        <w:t xml:space="preserve">of </w:t>
      </w:r>
      <w:r w:rsidRPr="00A3633B">
        <w:rPr>
          <w:rFonts w:ascii="Arial" w:hAnsi="Arial" w:cs="Arial"/>
          <w:sz w:val="24"/>
          <w:szCs w:val="24"/>
        </w:rPr>
        <w:t xml:space="preserve">where it was found and a </w:t>
      </w:r>
      <w:r w:rsidR="00D927E7" w:rsidRPr="00A3633B">
        <w:rPr>
          <w:rFonts w:ascii="Arial" w:hAnsi="Arial" w:cs="Arial"/>
          <w:sz w:val="24"/>
          <w:szCs w:val="24"/>
        </w:rPr>
        <w:t xml:space="preserve">relatively </w:t>
      </w:r>
      <w:r w:rsidRPr="00A3633B">
        <w:rPr>
          <w:rFonts w:ascii="Arial" w:hAnsi="Arial" w:cs="Arial"/>
          <w:sz w:val="24"/>
          <w:szCs w:val="24"/>
        </w:rPr>
        <w:t>basic description of the item</w:t>
      </w:r>
      <w:r w:rsidR="00D927E7" w:rsidRPr="00A3633B">
        <w:rPr>
          <w:rFonts w:ascii="Arial" w:hAnsi="Arial" w:cs="Arial"/>
          <w:sz w:val="24"/>
          <w:szCs w:val="24"/>
        </w:rPr>
        <w:t>. The Description then allows people to describe it in a way that everyone understands</w:t>
      </w:r>
      <w:r w:rsidRPr="00A3633B">
        <w:rPr>
          <w:rFonts w:ascii="Arial" w:hAnsi="Arial" w:cs="Arial"/>
          <w:sz w:val="24"/>
          <w:szCs w:val="24"/>
        </w:rPr>
        <w:t xml:space="preserve">. </w:t>
      </w:r>
      <w:r w:rsidR="00643349" w:rsidRPr="00A3633B">
        <w:rPr>
          <w:rFonts w:ascii="Arial" w:hAnsi="Arial" w:cs="Arial"/>
          <w:sz w:val="24"/>
          <w:szCs w:val="24"/>
        </w:rPr>
        <w:t>This</w:t>
      </w:r>
      <w:r w:rsidRPr="00A3633B">
        <w:rPr>
          <w:rFonts w:ascii="Arial" w:hAnsi="Arial" w:cs="Arial"/>
          <w:sz w:val="24"/>
          <w:szCs w:val="24"/>
        </w:rPr>
        <w:t xml:space="preserve"> is how you should formally record an exhibit once found and packaged appropriatel</w:t>
      </w:r>
      <w:r w:rsidR="00643349" w:rsidRPr="00A3633B">
        <w:rPr>
          <w:rFonts w:ascii="Arial" w:hAnsi="Arial" w:cs="Arial"/>
          <w:sz w:val="24"/>
          <w:szCs w:val="24"/>
        </w:rPr>
        <w:t>y</w:t>
      </w:r>
      <w:r w:rsidRPr="00A3633B">
        <w:rPr>
          <w:rFonts w:ascii="Arial" w:hAnsi="Arial" w:cs="Arial"/>
          <w:sz w:val="24"/>
          <w:szCs w:val="24"/>
        </w:rPr>
        <w:t xml:space="preserve">. </w:t>
      </w:r>
      <w:r w:rsidR="007A64C9" w:rsidRPr="00A3633B">
        <w:rPr>
          <w:rFonts w:ascii="Arial" w:hAnsi="Arial" w:cs="Arial"/>
          <w:sz w:val="24"/>
          <w:szCs w:val="24"/>
        </w:rPr>
        <w:t>Bryant also advises</w:t>
      </w:r>
      <w:r w:rsidR="00D927E7" w:rsidRPr="00A3633B">
        <w:rPr>
          <w:rFonts w:ascii="Arial" w:hAnsi="Arial" w:cs="Arial"/>
          <w:sz w:val="24"/>
          <w:szCs w:val="24"/>
        </w:rPr>
        <w:t xml:space="preserve"> that personnel shouldn’t accept an exhibit of evidence from those who are not of the Public, as it contains a risk of cross-contamination.</w:t>
      </w:r>
    </w:p>
    <w:p w14:paraId="4BED85F8" w14:textId="77777777" w:rsidR="00244850" w:rsidRPr="00A3633B" w:rsidRDefault="00FA78A1" w:rsidP="008D0E81">
      <w:pPr>
        <w:spacing w:line="480" w:lineRule="auto"/>
        <w:rPr>
          <w:rFonts w:ascii="Arial" w:hAnsi="Arial" w:cs="Arial"/>
          <w:sz w:val="24"/>
          <w:szCs w:val="24"/>
        </w:rPr>
      </w:pPr>
      <w:r w:rsidRPr="00A3633B">
        <w:rPr>
          <w:rFonts w:ascii="Arial" w:hAnsi="Arial" w:cs="Arial"/>
          <w:sz w:val="24"/>
          <w:szCs w:val="24"/>
        </w:rPr>
        <w:t xml:space="preserve">As Fryer (2012) </w:t>
      </w:r>
      <w:r w:rsidR="00CE44A5" w:rsidRPr="00A3633B">
        <w:rPr>
          <w:rFonts w:ascii="Arial" w:hAnsi="Arial" w:cs="Arial"/>
          <w:sz w:val="24"/>
          <w:szCs w:val="24"/>
        </w:rPr>
        <w:t>states</w:t>
      </w:r>
      <w:r w:rsidRPr="00A3633B">
        <w:rPr>
          <w:rFonts w:ascii="Arial" w:hAnsi="Arial" w:cs="Arial"/>
          <w:sz w:val="24"/>
          <w:szCs w:val="24"/>
        </w:rPr>
        <w:t xml:space="preserve"> the preservation of the scene is paramount and should be considered from first contact</w:t>
      </w:r>
      <w:r w:rsidR="00682B83" w:rsidRPr="00A3633B">
        <w:rPr>
          <w:rFonts w:ascii="Arial" w:hAnsi="Arial" w:cs="Arial"/>
          <w:sz w:val="24"/>
          <w:szCs w:val="24"/>
        </w:rPr>
        <w:t xml:space="preserve"> with the scene</w:t>
      </w:r>
      <w:r w:rsidRPr="00A3633B">
        <w:rPr>
          <w:rFonts w:ascii="Arial" w:hAnsi="Arial" w:cs="Arial"/>
          <w:sz w:val="24"/>
          <w:szCs w:val="24"/>
        </w:rPr>
        <w:t xml:space="preserve">, this is also </w:t>
      </w:r>
      <w:r w:rsidR="001330D9" w:rsidRPr="00A3633B">
        <w:rPr>
          <w:rFonts w:ascii="Arial" w:hAnsi="Arial" w:cs="Arial"/>
          <w:sz w:val="24"/>
          <w:szCs w:val="24"/>
        </w:rPr>
        <w:t xml:space="preserve">part of the advised </w:t>
      </w:r>
      <w:r w:rsidRPr="00A3633B">
        <w:rPr>
          <w:rFonts w:ascii="Arial" w:hAnsi="Arial" w:cs="Arial"/>
          <w:sz w:val="24"/>
          <w:szCs w:val="24"/>
        </w:rPr>
        <w:t>Fast Track</w:t>
      </w:r>
      <w:r w:rsidR="001330D9" w:rsidRPr="00A3633B">
        <w:rPr>
          <w:rFonts w:ascii="Arial" w:hAnsi="Arial" w:cs="Arial"/>
          <w:sz w:val="24"/>
          <w:szCs w:val="24"/>
        </w:rPr>
        <w:t xml:space="preserve"> actions</w:t>
      </w:r>
      <w:r w:rsidRPr="00A3633B">
        <w:rPr>
          <w:rFonts w:ascii="Arial" w:hAnsi="Arial" w:cs="Arial"/>
          <w:sz w:val="24"/>
          <w:szCs w:val="24"/>
        </w:rPr>
        <w:t xml:space="preserve"> by COP (2019) as explained above</w:t>
      </w:r>
      <w:r w:rsidR="00F51413" w:rsidRPr="00A3633B">
        <w:rPr>
          <w:rFonts w:ascii="Arial" w:hAnsi="Arial" w:cs="Arial"/>
          <w:sz w:val="24"/>
          <w:szCs w:val="24"/>
        </w:rPr>
        <w:t xml:space="preserve"> in Part A</w:t>
      </w:r>
      <w:r w:rsidRPr="00A3633B">
        <w:rPr>
          <w:rFonts w:ascii="Arial" w:hAnsi="Arial" w:cs="Arial"/>
          <w:sz w:val="24"/>
          <w:szCs w:val="24"/>
        </w:rPr>
        <w:t xml:space="preserve">. </w:t>
      </w:r>
      <w:r w:rsidR="006B5F23" w:rsidRPr="00A3633B">
        <w:rPr>
          <w:rFonts w:ascii="Arial" w:hAnsi="Arial" w:cs="Arial"/>
          <w:sz w:val="24"/>
          <w:szCs w:val="24"/>
        </w:rPr>
        <w:t>Protective</w:t>
      </w:r>
      <w:r w:rsidRPr="00A3633B">
        <w:rPr>
          <w:rFonts w:ascii="Arial" w:hAnsi="Arial" w:cs="Arial"/>
          <w:sz w:val="24"/>
          <w:szCs w:val="24"/>
        </w:rPr>
        <w:t xml:space="preserve"> measures such as wearing Protective Gear</w:t>
      </w:r>
      <w:r w:rsidR="005D732D" w:rsidRPr="00A3633B">
        <w:rPr>
          <w:rFonts w:ascii="Arial" w:hAnsi="Arial" w:cs="Arial"/>
          <w:sz w:val="24"/>
          <w:szCs w:val="24"/>
        </w:rPr>
        <w:t xml:space="preserve"> should also be considered in </w:t>
      </w:r>
      <w:r w:rsidR="00833AB8" w:rsidRPr="00A3633B">
        <w:rPr>
          <w:rFonts w:ascii="Arial" w:hAnsi="Arial" w:cs="Arial"/>
          <w:sz w:val="24"/>
          <w:szCs w:val="24"/>
        </w:rPr>
        <w:t>regards to the</w:t>
      </w:r>
      <w:r w:rsidR="005D732D" w:rsidRPr="00A3633B">
        <w:rPr>
          <w:rFonts w:ascii="Arial" w:hAnsi="Arial" w:cs="Arial"/>
          <w:sz w:val="24"/>
          <w:szCs w:val="24"/>
        </w:rPr>
        <w:t xml:space="preserve"> temperature and environment</w:t>
      </w:r>
      <w:r w:rsidR="005A3E5D" w:rsidRPr="00A3633B">
        <w:rPr>
          <w:rFonts w:ascii="Arial" w:hAnsi="Arial" w:cs="Arial"/>
          <w:sz w:val="24"/>
          <w:szCs w:val="24"/>
        </w:rPr>
        <w:t>, that FSR (2020</w:t>
      </w:r>
      <w:r w:rsidR="00335CB7" w:rsidRPr="00A3633B">
        <w:rPr>
          <w:rFonts w:ascii="Arial" w:hAnsi="Arial" w:cs="Arial"/>
          <w:sz w:val="24"/>
          <w:szCs w:val="24"/>
        </w:rPr>
        <w:t>)</w:t>
      </w:r>
      <w:r w:rsidR="005A3E5D" w:rsidRPr="00A3633B">
        <w:rPr>
          <w:rFonts w:ascii="Arial" w:hAnsi="Arial" w:cs="Arial"/>
          <w:sz w:val="24"/>
          <w:szCs w:val="24"/>
        </w:rPr>
        <w:t xml:space="preserve"> corroborates. Exhibits should be </w:t>
      </w:r>
      <w:r w:rsidR="005A3E5D" w:rsidRPr="00A3633B">
        <w:rPr>
          <w:rFonts w:ascii="Arial" w:hAnsi="Arial" w:cs="Arial"/>
          <w:sz w:val="24"/>
          <w:szCs w:val="24"/>
        </w:rPr>
        <w:lastRenderedPageBreak/>
        <w:t xml:space="preserve">packaged </w:t>
      </w:r>
      <w:r w:rsidR="00BF333C" w:rsidRPr="00A3633B">
        <w:rPr>
          <w:rFonts w:ascii="Arial" w:hAnsi="Arial" w:cs="Arial"/>
          <w:sz w:val="24"/>
          <w:szCs w:val="24"/>
        </w:rPr>
        <w:t>individually;</w:t>
      </w:r>
      <w:r w:rsidR="00723B25" w:rsidRPr="00A3633B">
        <w:rPr>
          <w:rFonts w:ascii="Arial" w:hAnsi="Arial" w:cs="Arial"/>
          <w:sz w:val="24"/>
          <w:szCs w:val="24"/>
        </w:rPr>
        <w:t xml:space="preserve"> they should then be</w:t>
      </w:r>
      <w:r w:rsidRPr="00A3633B">
        <w:rPr>
          <w:rFonts w:ascii="Arial" w:hAnsi="Arial" w:cs="Arial"/>
          <w:sz w:val="24"/>
          <w:szCs w:val="24"/>
        </w:rPr>
        <w:t xml:space="preserve"> check</w:t>
      </w:r>
      <w:r w:rsidR="00723B25" w:rsidRPr="00A3633B">
        <w:rPr>
          <w:rFonts w:ascii="Arial" w:hAnsi="Arial" w:cs="Arial"/>
          <w:sz w:val="24"/>
          <w:szCs w:val="24"/>
        </w:rPr>
        <w:t>ed to ensure that</w:t>
      </w:r>
      <w:r w:rsidRPr="00A3633B">
        <w:rPr>
          <w:rFonts w:ascii="Arial" w:hAnsi="Arial" w:cs="Arial"/>
          <w:sz w:val="24"/>
          <w:szCs w:val="24"/>
        </w:rPr>
        <w:t xml:space="preserve"> they aren’t being mixed up</w:t>
      </w:r>
      <w:r w:rsidR="004050F2" w:rsidRPr="00A3633B">
        <w:rPr>
          <w:rFonts w:ascii="Arial" w:hAnsi="Arial" w:cs="Arial"/>
          <w:sz w:val="24"/>
          <w:szCs w:val="24"/>
        </w:rPr>
        <w:t xml:space="preserve">. FSR also dictates </w:t>
      </w:r>
      <w:r w:rsidRPr="00A3633B">
        <w:rPr>
          <w:rFonts w:ascii="Arial" w:hAnsi="Arial" w:cs="Arial"/>
          <w:sz w:val="24"/>
          <w:szCs w:val="24"/>
        </w:rPr>
        <w:t>that when an exhibit is collected and packaged, it shouldn’t be reopened until a later date to save from contamination.</w:t>
      </w:r>
      <w:r w:rsidR="001A48A0" w:rsidRPr="00A3633B">
        <w:rPr>
          <w:rFonts w:ascii="Arial" w:hAnsi="Arial" w:cs="Arial"/>
          <w:sz w:val="24"/>
          <w:szCs w:val="24"/>
        </w:rPr>
        <w:t xml:space="preserve"> </w:t>
      </w:r>
    </w:p>
    <w:p w14:paraId="442E4CC9" w14:textId="5A82185D" w:rsidR="00FA78A1" w:rsidRPr="00A3633B" w:rsidRDefault="001A48A0" w:rsidP="008D0E81">
      <w:pPr>
        <w:spacing w:line="480" w:lineRule="auto"/>
        <w:rPr>
          <w:rFonts w:ascii="Arial" w:hAnsi="Arial" w:cs="Arial"/>
          <w:sz w:val="24"/>
          <w:szCs w:val="24"/>
        </w:rPr>
      </w:pPr>
      <w:r w:rsidRPr="00A3633B">
        <w:rPr>
          <w:rFonts w:ascii="Arial" w:hAnsi="Arial" w:cs="Arial"/>
          <w:sz w:val="24"/>
          <w:szCs w:val="24"/>
        </w:rPr>
        <w:t>Yet, as</w:t>
      </w:r>
      <w:r w:rsidR="00FA78A1" w:rsidRPr="00A3633B">
        <w:rPr>
          <w:rFonts w:ascii="Arial" w:hAnsi="Arial" w:cs="Arial"/>
          <w:sz w:val="24"/>
          <w:szCs w:val="24"/>
        </w:rPr>
        <w:t xml:space="preserve"> </w:t>
      </w:r>
      <w:proofErr w:type="spellStart"/>
      <w:r w:rsidRPr="00A3633B">
        <w:rPr>
          <w:rFonts w:ascii="Arial" w:hAnsi="Arial" w:cs="Arial"/>
          <w:sz w:val="24"/>
          <w:szCs w:val="24"/>
        </w:rPr>
        <w:t>Belchior</w:t>
      </w:r>
      <w:proofErr w:type="spellEnd"/>
      <w:r w:rsidRPr="00A3633B">
        <w:rPr>
          <w:rFonts w:ascii="Arial" w:hAnsi="Arial" w:cs="Arial"/>
          <w:sz w:val="24"/>
          <w:szCs w:val="24"/>
        </w:rPr>
        <w:t xml:space="preserve"> and Andrews (2016) detail that in their findings of using nylon bags like we do at Fire-Scenes to package exhibits of evidence such as debris pose a risk of cross contamination. Their findings when tested cross contamination does occur after days up to two weeks of being packaged. </w:t>
      </w:r>
    </w:p>
    <w:p w14:paraId="08C388F6" w14:textId="0277ABAC" w:rsidR="008C5C6B" w:rsidRPr="00A3633B" w:rsidRDefault="008C5C6B" w:rsidP="008D0E81">
      <w:pPr>
        <w:spacing w:line="480" w:lineRule="auto"/>
        <w:rPr>
          <w:rFonts w:ascii="Arial" w:hAnsi="Arial" w:cs="Arial"/>
          <w:sz w:val="24"/>
          <w:szCs w:val="24"/>
        </w:rPr>
      </w:pPr>
      <w:r w:rsidRPr="00A3633B">
        <w:rPr>
          <w:rFonts w:ascii="Arial" w:hAnsi="Arial" w:cs="Arial"/>
          <w:sz w:val="24"/>
          <w:szCs w:val="24"/>
        </w:rPr>
        <w:t xml:space="preserve">In conclusion, packaging an exhibit appropriately is required. However, the technology for packaging may not be there for every form of exhibit at the current moment and is heavily reliant on the brand type as </w:t>
      </w:r>
      <w:proofErr w:type="spellStart"/>
      <w:r w:rsidRPr="00A3633B">
        <w:rPr>
          <w:rFonts w:ascii="Arial" w:hAnsi="Arial" w:cs="Arial"/>
          <w:sz w:val="24"/>
          <w:szCs w:val="24"/>
        </w:rPr>
        <w:t>Belchior</w:t>
      </w:r>
      <w:proofErr w:type="spellEnd"/>
      <w:r w:rsidRPr="00A3633B">
        <w:rPr>
          <w:rFonts w:ascii="Arial" w:hAnsi="Arial" w:cs="Arial"/>
          <w:sz w:val="24"/>
          <w:szCs w:val="24"/>
        </w:rPr>
        <w:t xml:space="preserve"> and Andrews (2016) had only tested it on two brands</w:t>
      </w:r>
      <w:r w:rsidR="00BA1A7C" w:rsidRPr="00A3633B">
        <w:rPr>
          <w:rFonts w:ascii="Arial" w:hAnsi="Arial" w:cs="Arial"/>
          <w:sz w:val="24"/>
          <w:szCs w:val="24"/>
        </w:rPr>
        <w:t xml:space="preserve"> of Nylon Bags</w:t>
      </w:r>
      <w:r w:rsidRPr="00A3633B">
        <w:rPr>
          <w:rFonts w:ascii="Arial" w:hAnsi="Arial" w:cs="Arial"/>
          <w:sz w:val="24"/>
          <w:szCs w:val="24"/>
        </w:rPr>
        <w:t>.</w:t>
      </w:r>
    </w:p>
    <w:p w14:paraId="10C83EFD" w14:textId="56454FC8" w:rsidR="0041329A" w:rsidRPr="00A3633B" w:rsidRDefault="0041329A" w:rsidP="008D0E81">
      <w:pPr>
        <w:spacing w:line="480" w:lineRule="auto"/>
        <w:rPr>
          <w:rFonts w:ascii="Arial" w:hAnsi="Arial" w:cs="Arial"/>
          <w:sz w:val="24"/>
          <w:szCs w:val="24"/>
        </w:rPr>
      </w:pPr>
    </w:p>
    <w:p w14:paraId="3C12A078" w14:textId="080C48C5" w:rsidR="00393FD6" w:rsidRPr="00A3633B" w:rsidRDefault="00393FD6" w:rsidP="008D0E81">
      <w:pPr>
        <w:spacing w:line="480" w:lineRule="auto"/>
        <w:rPr>
          <w:rFonts w:ascii="Arial" w:hAnsi="Arial" w:cs="Arial"/>
          <w:sz w:val="24"/>
          <w:szCs w:val="24"/>
        </w:rPr>
      </w:pPr>
      <w:r w:rsidRPr="00A3633B">
        <w:rPr>
          <w:rFonts w:ascii="Arial" w:hAnsi="Arial" w:cs="Arial"/>
          <w:sz w:val="24"/>
          <w:szCs w:val="24"/>
        </w:rPr>
        <w:t xml:space="preserve">Jackson et al (2016) lists that until recent years, </w:t>
      </w:r>
      <w:r w:rsidR="00FB1B1E" w:rsidRPr="00A3633B">
        <w:rPr>
          <w:rFonts w:ascii="Arial" w:hAnsi="Arial" w:cs="Arial"/>
          <w:sz w:val="24"/>
          <w:szCs w:val="24"/>
        </w:rPr>
        <w:t>sketching</w:t>
      </w:r>
      <w:r w:rsidRPr="00A3633B">
        <w:rPr>
          <w:rFonts w:ascii="Arial" w:hAnsi="Arial" w:cs="Arial"/>
          <w:sz w:val="24"/>
          <w:szCs w:val="24"/>
        </w:rPr>
        <w:t xml:space="preserve"> of crime scenes were made in order to show the locations of evidence and objects </w:t>
      </w:r>
      <w:r w:rsidR="00207ADE">
        <w:rPr>
          <w:rFonts w:ascii="Arial" w:hAnsi="Arial" w:cs="Arial"/>
          <w:sz w:val="24"/>
          <w:szCs w:val="24"/>
        </w:rPr>
        <w:t>that</w:t>
      </w:r>
      <w:r w:rsidRPr="00A3633B">
        <w:rPr>
          <w:rFonts w:ascii="Arial" w:hAnsi="Arial" w:cs="Arial"/>
          <w:sz w:val="24"/>
          <w:szCs w:val="24"/>
        </w:rPr>
        <w:t xml:space="preserve"> were prominent, along with the dimensions and orientations of the room and objects. However, Jackson notes that </w:t>
      </w:r>
      <w:r w:rsidR="00196F19" w:rsidRPr="00A3633B">
        <w:rPr>
          <w:rFonts w:ascii="Arial" w:hAnsi="Arial" w:cs="Arial"/>
          <w:sz w:val="24"/>
          <w:szCs w:val="24"/>
        </w:rPr>
        <w:t>in recent years it has been suspended from</w:t>
      </w:r>
      <w:r w:rsidR="008E31A3" w:rsidRPr="00A3633B">
        <w:rPr>
          <w:rFonts w:ascii="Arial" w:hAnsi="Arial" w:cs="Arial"/>
          <w:sz w:val="24"/>
          <w:szCs w:val="24"/>
        </w:rPr>
        <w:t xml:space="preserve"> required</w:t>
      </w:r>
      <w:r w:rsidR="00196F19" w:rsidRPr="00A3633B">
        <w:rPr>
          <w:rFonts w:ascii="Arial" w:hAnsi="Arial" w:cs="Arial"/>
          <w:sz w:val="24"/>
          <w:szCs w:val="24"/>
        </w:rPr>
        <w:t xml:space="preserve"> use within England and Wales due to the use of images and a computerised version</w:t>
      </w:r>
      <w:r w:rsidR="003C27FD" w:rsidRPr="00A3633B">
        <w:rPr>
          <w:rFonts w:ascii="Arial" w:hAnsi="Arial" w:cs="Arial"/>
          <w:sz w:val="24"/>
          <w:szCs w:val="24"/>
        </w:rPr>
        <w:t>s</w:t>
      </w:r>
      <w:r w:rsidR="00196F19" w:rsidRPr="00A3633B">
        <w:rPr>
          <w:rFonts w:ascii="Arial" w:hAnsi="Arial" w:cs="Arial"/>
          <w:sz w:val="24"/>
          <w:szCs w:val="24"/>
        </w:rPr>
        <w:t xml:space="preserve"> of crime scene</w:t>
      </w:r>
      <w:r w:rsidR="0043144C" w:rsidRPr="00A3633B">
        <w:rPr>
          <w:rFonts w:ascii="Arial" w:hAnsi="Arial" w:cs="Arial"/>
          <w:sz w:val="24"/>
          <w:szCs w:val="24"/>
        </w:rPr>
        <w:t>s</w:t>
      </w:r>
      <w:r w:rsidR="00196F19" w:rsidRPr="00A3633B">
        <w:rPr>
          <w:rFonts w:ascii="Arial" w:hAnsi="Arial" w:cs="Arial"/>
          <w:sz w:val="24"/>
          <w:szCs w:val="24"/>
        </w:rPr>
        <w:t xml:space="preserve"> being </w:t>
      </w:r>
      <w:r w:rsidR="002C3E54" w:rsidRPr="00A3633B">
        <w:rPr>
          <w:rFonts w:ascii="Arial" w:hAnsi="Arial" w:cs="Arial"/>
          <w:sz w:val="24"/>
          <w:szCs w:val="24"/>
        </w:rPr>
        <w:t xml:space="preserve">able to be </w:t>
      </w:r>
      <w:r w:rsidR="00196F19" w:rsidRPr="00A3633B">
        <w:rPr>
          <w:rFonts w:ascii="Arial" w:hAnsi="Arial" w:cs="Arial"/>
          <w:sz w:val="24"/>
          <w:szCs w:val="24"/>
        </w:rPr>
        <w:t>generated for us</w:t>
      </w:r>
      <w:r w:rsidR="002C3E54" w:rsidRPr="00A3633B">
        <w:rPr>
          <w:rFonts w:ascii="Arial" w:hAnsi="Arial" w:cs="Arial"/>
          <w:sz w:val="24"/>
          <w:szCs w:val="24"/>
        </w:rPr>
        <w:t>e</w:t>
      </w:r>
      <w:r w:rsidR="00196F19" w:rsidRPr="00A3633B">
        <w:rPr>
          <w:rFonts w:ascii="Arial" w:hAnsi="Arial" w:cs="Arial"/>
          <w:sz w:val="24"/>
          <w:szCs w:val="24"/>
        </w:rPr>
        <w:t xml:space="preserve">. As they are based on the same items </w:t>
      </w:r>
      <w:r w:rsidR="0041570D" w:rsidRPr="00A3633B">
        <w:rPr>
          <w:rFonts w:ascii="Arial" w:hAnsi="Arial" w:cs="Arial"/>
          <w:sz w:val="24"/>
          <w:szCs w:val="24"/>
        </w:rPr>
        <w:t xml:space="preserve">of detail </w:t>
      </w:r>
      <w:r w:rsidR="00196F19" w:rsidRPr="00A3633B">
        <w:rPr>
          <w:rFonts w:ascii="Arial" w:hAnsi="Arial" w:cs="Arial"/>
          <w:sz w:val="24"/>
          <w:szCs w:val="24"/>
        </w:rPr>
        <w:t>as the sketches</w:t>
      </w:r>
      <w:r w:rsidR="0041570D" w:rsidRPr="00A3633B">
        <w:rPr>
          <w:rFonts w:ascii="Arial" w:hAnsi="Arial" w:cs="Arial"/>
          <w:sz w:val="24"/>
          <w:szCs w:val="24"/>
        </w:rPr>
        <w:t xml:space="preserve"> would be</w:t>
      </w:r>
      <w:r w:rsidR="00196F19" w:rsidRPr="00A3633B">
        <w:rPr>
          <w:rFonts w:ascii="Arial" w:hAnsi="Arial" w:cs="Arial"/>
          <w:sz w:val="24"/>
          <w:szCs w:val="24"/>
        </w:rPr>
        <w:t xml:space="preserve">. </w:t>
      </w:r>
    </w:p>
    <w:p w14:paraId="7B2B3AE0" w14:textId="31E88B21" w:rsidR="00194039" w:rsidRPr="00A3633B" w:rsidRDefault="00196F19" w:rsidP="008D0E81">
      <w:pPr>
        <w:spacing w:line="480" w:lineRule="auto"/>
        <w:rPr>
          <w:rFonts w:ascii="Arial" w:hAnsi="Arial" w:cs="Arial"/>
          <w:sz w:val="24"/>
          <w:szCs w:val="24"/>
        </w:rPr>
      </w:pPr>
      <w:r w:rsidRPr="00A3633B">
        <w:rPr>
          <w:rFonts w:ascii="Arial" w:hAnsi="Arial" w:cs="Arial"/>
          <w:sz w:val="24"/>
          <w:szCs w:val="24"/>
        </w:rPr>
        <w:t>However, Pepp</w:t>
      </w:r>
      <w:r w:rsidR="00133698" w:rsidRPr="00A3633B">
        <w:rPr>
          <w:rFonts w:ascii="Arial" w:hAnsi="Arial" w:cs="Arial"/>
          <w:sz w:val="24"/>
          <w:szCs w:val="24"/>
        </w:rPr>
        <w:t>e</w:t>
      </w:r>
      <w:r w:rsidRPr="00A3633B">
        <w:rPr>
          <w:rFonts w:ascii="Arial" w:hAnsi="Arial" w:cs="Arial"/>
          <w:sz w:val="24"/>
          <w:szCs w:val="24"/>
        </w:rPr>
        <w:t xml:space="preserve">r (2010) states that investigators every-day now, tend to utilise the skills of photography in order to record any exhibits found at a crime scene, no matter the location. </w:t>
      </w:r>
      <w:r w:rsidR="00194039" w:rsidRPr="00A3633B">
        <w:rPr>
          <w:rFonts w:ascii="Arial" w:hAnsi="Arial" w:cs="Arial"/>
          <w:sz w:val="24"/>
          <w:szCs w:val="24"/>
        </w:rPr>
        <w:t xml:space="preserve">However, as Buck et al (2013) records, that photographs of the incident can be inputted into a 3D analysis that uses the parameters of the Camera </w:t>
      </w:r>
      <w:r w:rsidR="00194039" w:rsidRPr="00A3633B">
        <w:rPr>
          <w:rFonts w:ascii="Arial" w:hAnsi="Arial" w:cs="Arial"/>
          <w:sz w:val="24"/>
          <w:szCs w:val="24"/>
        </w:rPr>
        <w:lastRenderedPageBreak/>
        <w:t xml:space="preserve">that was used, in order to dictate volume and measurements and that in return calculates a 3D scene of the incident that can help visualise the scene itself. </w:t>
      </w:r>
    </w:p>
    <w:p w14:paraId="0C489F18" w14:textId="590C255F" w:rsidR="00956873" w:rsidRPr="00A3633B" w:rsidRDefault="00956873" w:rsidP="008D0E81">
      <w:pPr>
        <w:spacing w:line="480" w:lineRule="auto"/>
        <w:rPr>
          <w:rFonts w:ascii="Arial" w:hAnsi="Arial" w:cs="Arial"/>
          <w:sz w:val="24"/>
          <w:szCs w:val="24"/>
        </w:rPr>
      </w:pPr>
      <w:r w:rsidRPr="00A3633B">
        <w:rPr>
          <w:rFonts w:ascii="Arial" w:hAnsi="Arial" w:cs="Arial"/>
          <w:sz w:val="24"/>
          <w:szCs w:val="24"/>
        </w:rPr>
        <w:t>In refutation, Jackson (2016) does mention on the idea of making sketches still, as if an object has to be moved before you are able to take an image of it or that in the case where a Computerised version is impossible or not to be generated, then sketching is still useful and should be used.</w:t>
      </w:r>
    </w:p>
    <w:p w14:paraId="69D0769C" w14:textId="4C545131" w:rsidR="00143BAF" w:rsidRPr="00A3633B" w:rsidRDefault="00B474B6" w:rsidP="008D0E81">
      <w:pPr>
        <w:spacing w:line="480" w:lineRule="auto"/>
        <w:rPr>
          <w:rFonts w:ascii="Arial" w:hAnsi="Arial" w:cs="Arial"/>
          <w:sz w:val="24"/>
          <w:szCs w:val="24"/>
        </w:rPr>
      </w:pPr>
      <w:r w:rsidRPr="00A3633B">
        <w:rPr>
          <w:rFonts w:ascii="Arial" w:hAnsi="Arial" w:cs="Arial"/>
          <w:sz w:val="24"/>
          <w:szCs w:val="24"/>
        </w:rPr>
        <w:t>Overall to sketching</w:t>
      </w:r>
      <w:r w:rsidR="001F2AE4" w:rsidRPr="00A3633B">
        <w:rPr>
          <w:rFonts w:ascii="Arial" w:hAnsi="Arial" w:cs="Arial"/>
          <w:sz w:val="24"/>
          <w:szCs w:val="24"/>
        </w:rPr>
        <w:t xml:space="preserve">, </w:t>
      </w:r>
      <w:r w:rsidR="007D4C32" w:rsidRPr="00A3633B">
        <w:rPr>
          <w:rFonts w:ascii="Arial" w:hAnsi="Arial" w:cs="Arial"/>
          <w:sz w:val="24"/>
          <w:szCs w:val="24"/>
        </w:rPr>
        <w:t>Pepper</w:t>
      </w:r>
      <w:r w:rsidR="00C64CF0" w:rsidRPr="00A3633B">
        <w:rPr>
          <w:rFonts w:ascii="Arial" w:hAnsi="Arial" w:cs="Arial"/>
          <w:sz w:val="24"/>
          <w:szCs w:val="24"/>
        </w:rPr>
        <w:t xml:space="preserve"> (2010)</w:t>
      </w:r>
      <w:r w:rsidR="007D4C32" w:rsidRPr="00A3633B">
        <w:rPr>
          <w:rFonts w:ascii="Arial" w:hAnsi="Arial" w:cs="Arial"/>
          <w:sz w:val="24"/>
          <w:szCs w:val="24"/>
        </w:rPr>
        <w:t xml:space="preserve"> and Jackson</w:t>
      </w:r>
      <w:r w:rsidR="00C64CF0" w:rsidRPr="00A3633B">
        <w:rPr>
          <w:rFonts w:ascii="Arial" w:hAnsi="Arial" w:cs="Arial"/>
          <w:sz w:val="24"/>
          <w:szCs w:val="24"/>
        </w:rPr>
        <w:t xml:space="preserve"> (2016)</w:t>
      </w:r>
      <w:r w:rsidR="007D4C32" w:rsidRPr="00A3633B">
        <w:rPr>
          <w:rFonts w:ascii="Arial" w:hAnsi="Arial" w:cs="Arial"/>
          <w:sz w:val="24"/>
          <w:szCs w:val="24"/>
        </w:rPr>
        <w:t xml:space="preserve"> seemingly are both stating that Sketching is an out-dated function due to the ability to take images and record evidence without having to spend time drawing it</w:t>
      </w:r>
      <w:r w:rsidR="000E132B" w:rsidRPr="00A3633B">
        <w:rPr>
          <w:rFonts w:ascii="Arial" w:hAnsi="Arial" w:cs="Arial"/>
          <w:sz w:val="24"/>
          <w:szCs w:val="24"/>
        </w:rPr>
        <w:t xml:space="preserve"> and that as Buck et al (2013) reports, can be used in a 3D visualisation of the scene</w:t>
      </w:r>
      <w:r w:rsidR="007D4C32" w:rsidRPr="00A3633B">
        <w:rPr>
          <w:rFonts w:ascii="Arial" w:hAnsi="Arial" w:cs="Arial"/>
          <w:sz w:val="24"/>
          <w:szCs w:val="24"/>
        </w:rPr>
        <w:t>.</w:t>
      </w:r>
      <w:r w:rsidR="00196F19" w:rsidRPr="00A3633B">
        <w:rPr>
          <w:rFonts w:ascii="Arial" w:hAnsi="Arial" w:cs="Arial"/>
          <w:sz w:val="24"/>
          <w:szCs w:val="24"/>
        </w:rPr>
        <w:t xml:space="preserve"> </w:t>
      </w:r>
    </w:p>
    <w:p w14:paraId="2ACA5834" w14:textId="77777777" w:rsidR="0082029A" w:rsidRPr="00A3633B" w:rsidRDefault="0082029A" w:rsidP="008D0E81">
      <w:pPr>
        <w:spacing w:line="480" w:lineRule="auto"/>
        <w:rPr>
          <w:rFonts w:ascii="Arial" w:hAnsi="Arial" w:cs="Arial"/>
          <w:sz w:val="24"/>
          <w:szCs w:val="24"/>
        </w:rPr>
      </w:pPr>
    </w:p>
    <w:p w14:paraId="726A44AF" w14:textId="403724FB" w:rsidR="00E10A35" w:rsidRPr="00A3633B" w:rsidRDefault="00615C75" w:rsidP="008D0E81">
      <w:pPr>
        <w:spacing w:line="480" w:lineRule="auto"/>
        <w:rPr>
          <w:rFonts w:ascii="Arial" w:hAnsi="Arial" w:cs="Arial"/>
          <w:sz w:val="24"/>
          <w:szCs w:val="24"/>
        </w:rPr>
      </w:pPr>
      <w:r w:rsidRPr="00A3633B">
        <w:rPr>
          <w:rFonts w:ascii="Arial" w:hAnsi="Arial" w:cs="Arial"/>
          <w:sz w:val="24"/>
          <w:szCs w:val="24"/>
        </w:rPr>
        <w:t>Going back</w:t>
      </w:r>
      <w:r w:rsidR="00143BAF" w:rsidRPr="00A3633B">
        <w:rPr>
          <w:rFonts w:ascii="Arial" w:hAnsi="Arial" w:cs="Arial"/>
          <w:sz w:val="24"/>
          <w:szCs w:val="24"/>
        </w:rPr>
        <w:t xml:space="preserve"> to Jackson (2016</w:t>
      </w:r>
      <w:r w:rsidR="00E10A35" w:rsidRPr="00A3633B">
        <w:rPr>
          <w:rFonts w:ascii="Arial" w:hAnsi="Arial" w:cs="Arial"/>
          <w:sz w:val="24"/>
          <w:szCs w:val="24"/>
        </w:rPr>
        <w:t xml:space="preserve">), </w:t>
      </w:r>
      <w:r w:rsidR="00612132" w:rsidRPr="00A3633B">
        <w:rPr>
          <w:rFonts w:ascii="Arial" w:hAnsi="Arial" w:cs="Arial"/>
          <w:sz w:val="24"/>
          <w:szCs w:val="24"/>
        </w:rPr>
        <w:t xml:space="preserve">Examiners should </w:t>
      </w:r>
      <w:r w:rsidR="00E9040D" w:rsidRPr="00A3633B">
        <w:rPr>
          <w:rFonts w:ascii="Arial" w:hAnsi="Arial" w:cs="Arial"/>
          <w:sz w:val="24"/>
          <w:szCs w:val="24"/>
        </w:rPr>
        <w:t>then</w:t>
      </w:r>
      <w:r w:rsidR="00612132" w:rsidRPr="00A3633B">
        <w:rPr>
          <w:rFonts w:ascii="Arial" w:hAnsi="Arial" w:cs="Arial"/>
          <w:sz w:val="24"/>
          <w:szCs w:val="24"/>
        </w:rPr>
        <w:t xml:space="preserve"> produce </w:t>
      </w:r>
      <w:r w:rsidR="00810EDC" w:rsidRPr="00A3633B">
        <w:rPr>
          <w:rFonts w:ascii="Arial" w:hAnsi="Arial" w:cs="Arial"/>
          <w:sz w:val="24"/>
          <w:szCs w:val="24"/>
        </w:rPr>
        <w:t>a report of the results that is</w:t>
      </w:r>
      <w:r w:rsidR="00612132" w:rsidRPr="00A3633B">
        <w:rPr>
          <w:rFonts w:ascii="Arial" w:hAnsi="Arial" w:cs="Arial"/>
          <w:sz w:val="24"/>
          <w:szCs w:val="24"/>
        </w:rPr>
        <w:t xml:space="preserve"> able to be read and presented in Court. </w:t>
      </w:r>
      <w:r w:rsidR="00F94772" w:rsidRPr="00A3633B">
        <w:rPr>
          <w:rFonts w:ascii="Arial" w:hAnsi="Arial" w:cs="Arial"/>
          <w:sz w:val="24"/>
          <w:szCs w:val="24"/>
        </w:rPr>
        <w:t>Yet, as White et al (2004) details, that when talking to the public about forensics the</w:t>
      </w:r>
      <w:r w:rsidR="00A30E3E" w:rsidRPr="00A3633B">
        <w:rPr>
          <w:rFonts w:ascii="Arial" w:hAnsi="Arial" w:cs="Arial"/>
          <w:sz w:val="24"/>
          <w:szCs w:val="24"/>
        </w:rPr>
        <w:t xml:space="preserve"> public have </w:t>
      </w:r>
      <w:r w:rsidR="00F94772" w:rsidRPr="00A3633B">
        <w:rPr>
          <w:rFonts w:ascii="Arial" w:hAnsi="Arial" w:cs="Arial"/>
          <w:sz w:val="24"/>
          <w:szCs w:val="24"/>
        </w:rPr>
        <w:t xml:space="preserve">limited knowledge of the science and what it does. </w:t>
      </w:r>
      <w:r w:rsidR="002F1B59" w:rsidRPr="00A3633B">
        <w:rPr>
          <w:rFonts w:ascii="Arial" w:hAnsi="Arial" w:cs="Arial"/>
          <w:sz w:val="24"/>
          <w:szCs w:val="24"/>
        </w:rPr>
        <w:t>Therefore,</w:t>
      </w:r>
      <w:r w:rsidR="00F94772" w:rsidRPr="00A3633B">
        <w:rPr>
          <w:rFonts w:ascii="Arial" w:hAnsi="Arial" w:cs="Arial"/>
          <w:sz w:val="24"/>
          <w:szCs w:val="24"/>
        </w:rPr>
        <w:t xml:space="preserve"> they end up having ideas that are miss-guided due to shows</w:t>
      </w:r>
      <w:r w:rsidR="00E10A35" w:rsidRPr="00A3633B">
        <w:rPr>
          <w:rFonts w:ascii="Arial" w:hAnsi="Arial" w:cs="Arial"/>
          <w:sz w:val="24"/>
          <w:szCs w:val="24"/>
        </w:rPr>
        <w:t xml:space="preserve"> and movies</w:t>
      </w:r>
      <w:r w:rsidR="00F94772" w:rsidRPr="00A3633B">
        <w:rPr>
          <w:rFonts w:ascii="Arial" w:hAnsi="Arial" w:cs="Arial"/>
          <w:sz w:val="24"/>
          <w:szCs w:val="24"/>
        </w:rPr>
        <w:t xml:space="preserve"> that they have watched</w:t>
      </w:r>
      <w:r w:rsidR="00E10A35" w:rsidRPr="00A3633B">
        <w:rPr>
          <w:rFonts w:ascii="Arial" w:hAnsi="Arial" w:cs="Arial"/>
          <w:sz w:val="24"/>
          <w:szCs w:val="24"/>
        </w:rPr>
        <w:t xml:space="preserve">. The </w:t>
      </w:r>
      <w:r w:rsidR="00F94772" w:rsidRPr="00A3633B">
        <w:rPr>
          <w:rFonts w:ascii="Arial" w:hAnsi="Arial" w:cs="Arial"/>
          <w:sz w:val="24"/>
          <w:szCs w:val="24"/>
        </w:rPr>
        <w:t xml:space="preserve">examiners before appearing in court should build a report that includes the results of all tests under taken in a fashion that is readable and understandable to those who do not know anything about forensics. </w:t>
      </w:r>
    </w:p>
    <w:p w14:paraId="666AA222" w14:textId="5887F260" w:rsidR="00E56169" w:rsidRPr="00A3633B" w:rsidRDefault="00E10A35" w:rsidP="008D0E81">
      <w:pPr>
        <w:spacing w:line="480" w:lineRule="auto"/>
        <w:rPr>
          <w:rFonts w:ascii="Arial" w:hAnsi="Arial" w:cs="Arial"/>
          <w:sz w:val="24"/>
          <w:szCs w:val="24"/>
        </w:rPr>
      </w:pPr>
      <w:r w:rsidRPr="00A3633B">
        <w:rPr>
          <w:rFonts w:ascii="Arial" w:hAnsi="Arial" w:cs="Arial"/>
          <w:sz w:val="24"/>
          <w:szCs w:val="24"/>
        </w:rPr>
        <w:t>Then as</w:t>
      </w:r>
      <w:r w:rsidR="00E56169" w:rsidRPr="00A3633B">
        <w:rPr>
          <w:rFonts w:ascii="Arial" w:hAnsi="Arial" w:cs="Arial"/>
          <w:sz w:val="24"/>
          <w:szCs w:val="24"/>
        </w:rPr>
        <w:t xml:space="preserve"> Edmond et al (2018) notes that in the year of 2013 Streamlined Forensic Reported (SFR) was introduced that was aimed to avoid the need of long reports and the delays that followed their requirement to be produced for courts. This would minimise the amount of results and information required on the forms for court, in </w:t>
      </w:r>
      <w:r w:rsidR="00E56169" w:rsidRPr="00A3633B">
        <w:rPr>
          <w:rFonts w:ascii="Arial" w:hAnsi="Arial" w:cs="Arial"/>
          <w:sz w:val="24"/>
          <w:szCs w:val="24"/>
        </w:rPr>
        <w:lastRenderedPageBreak/>
        <w:t xml:space="preserve">order to keep the language simple for those involved in the process at court. The SFR only takes a page, whereas </w:t>
      </w:r>
      <w:r w:rsidR="00A831E2" w:rsidRPr="00A3633B">
        <w:rPr>
          <w:rFonts w:ascii="Arial" w:hAnsi="Arial" w:cs="Arial"/>
          <w:sz w:val="24"/>
          <w:szCs w:val="24"/>
        </w:rPr>
        <w:t>beforehand</w:t>
      </w:r>
      <w:r w:rsidR="00E56169" w:rsidRPr="00A3633B">
        <w:rPr>
          <w:rFonts w:ascii="Arial" w:hAnsi="Arial" w:cs="Arial"/>
          <w:sz w:val="24"/>
          <w:szCs w:val="24"/>
        </w:rPr>
        <w:t xml:space="preserve"> you would have had multiple forms.</w:t>
      </w:r>
    </w:p>
    <w:p w14:paraId="4D5F6C64" w14:textId="17BC905D" w:rsidR="009C0EA7" w:rsidRPr="00A3633B" w:rsidRDefault="009F08F1" w:rsidP="008D0E81">
      <w:pPr>
        <w:spacing w:line="480" w:lineRule="auto"/>
        <w:rPr>
          <w:rFonts w:ascii="Arial" w:hAnsi="Arial" w:cs="Arial"/>
          <w:sz w:val="24"/>
          <w:szCs w:val="24"/>
        </w:rPr>
      </w:pPr>
      <w:r w:rsidRPr="00A3633B">
        <w:rPr>
          <w:rFonts w:ascii="Arial" w:hAnsi="Arial" w:cs="Arial"/>
          <w:sz w:val="24"/>
          <w:szCs w:val="24"/>
        </w:rPr>
        <w:t>Yet, as McCartney (2019) details that the SFR aimed to be a shorter and better way of achieving justice whilst complying with the Criminal Procedure Rules of 2005.</w:t>
      </w:r>
      <w:r w:rsidR="00E305C5" w:rsidRPr="00A3633B">
        <w:rPr>
          <w:rFonts w:ascii="Arial" w:hAnsi="Arial" w:cs="Arial"/>
          <w:sz w:val="24"/>
          <w:szCs w:val="24"/>
        </w:rPr>
        <w:t xml:space="preserve"> The format and focus on clear-cut communication within them. In this case, the idea of a one-sided piece of paper, to coherently, clearly and precisely detail the results and findings of the Forensics is flawed, due to the potential of not allowing defendants to mount a defence against something they may not understand due to the limiting nature of the SFR.</w:t>
      </w:r>
    </w:p>
    <w:p w14:paraId="7C99DCF0" w14:textId="77777777" w:rsidR="009C0EA7" w:rsidRPr="00A3633B" w:rsidRDefault="009C0EA7" w:rsidP="008D0E81">
      <w:pPr>
        <w:spacing w:line="480" w:lineRule="auto"/>
        <w:rPr>
          <w:rFonts w:ascii="Arial" w:hAnsi="Arial" w:cs="Arial"/>
          <w:sz w:val="24"/>
          <w:szCs w:val="24"/>
        </w:rPr>
      </w:pPr>
    </w:p>
    <w:p w14:paraId="2554B57E" w14:textId="48485DB3" w:rsidR="00250C8C" w:rsidRPr="00A3633B" w:rsidRDefault="00D65387" w:rsidP="008D0E81">
      <w:pPr>
        <w:spacing w:line="480" w:lineRule="auto"/>
        <w:rPr>
          <w:rFonts w:ascii="Arial" w:hAnsi="Arial" w:cs="Arial"/>
          <w:sz w:val="24"/>
          <w:szCs w:val="24"/>
        </w:rPr>
      </w:pPr>
      <w:r w:rsidRPr="00A3633B">
        <w:rPr>
          <w:rFonts w:ascii="Arial" w:hAnsi="Arial" w:cs="Arial"/>
          <w:sz w:val="24"/>
          <w:szCs w:val="24"/>
        </w:rPr>
        <w:t>According to Gill (2019), Deoxyribonucleic Acid (DNA) since its introduction into forensics, has changed the science in assisting scientists to help shine light on both suspects and wrongful convictions. Gill, gives a case study of 2011 when Adam Scott was convicted for raping a Woman and swabs had revealed trace amounts of sperm that matched. However, a Scientists had inferred that it had taken place, due to the swab even if DNA can’t tell you what fluid it came from. Gill continues on stating, that two months later Scott’s alibi of being over 200 miles away was proven by phone records and that the investigation that was led afterwards, proved that it was down to cross contamination within the laboratory the day before processing the samples of the Victim.</w:t>
      </w:r>
    </w:p>
    <w:p w14:paraId="0DF96180" w14:textId="77777777" w:rsidR="00250C8C" w:rsidRPr="00A3633B" w:rsidRDefault="00250C8C" w:rsidP="008D0E81">
      <w:pPr>
        <w:spacing w:line="480" w:lineRule="auto"/>
        <w:rPr>
          <w:rFonts w:ascii="Arial" w:hAnsi="Arial" w:cs="Arial"/>
          <w:sz w:val="24"/>
          <w:szCs w:val="24"/>
        </w:rPr>
      </w:pPr>
    </w:p>
    <w:p w14:paraId="6F6822A6" w14:textId="1D77E3B2" w:rsidR="007245E3" w:rsidRPr="00A3633B" w:rsidRDefault="00602D21" w:rsidP="008D0E81">
      <w:pPr>
        <w:spacing w:line="480" w:lineRule="auto"/>
        <w:rPr>
          <w:rFonts w:ascii="Arial" w:hAnsi="Arial" w:cs="Arial"/>
          <w:sz w:val="24"/>
          <w:szCs w:val="24"/>
        </w:rPr>
      </w:pPr>
      <w:r w:rsidRPr="00A3633B">
        <w:rPr>
          <w:rFonts w:ascii="Arial" w:hAnsi="Arial" w:cs="Arial"/>
          <w:sz w:val="24"/>
          <w:szCs w:val="24"/>
        </w:rPr>
        <w:t>However</w:t>
      </w:r>
      <w:r w:rsidR="00D57798" w:rsidRPr="00A3633B">
        <w:rPr>
          <w:rFonts w:ascii="Arial" w:hAnsi="Arial" w:cs="Arial"/>
          <w:sz w:val="24"/>
          <w:szCs w:val="24"/>
        </w:rPr>
        <w:t>,</w:t>
      </w:r>
      <w:r w:rsidRPr="00A3633B">
        <w:rPr>
          <w:rFonts w:ascii="Arial" w:hAnsi="Arial" w:cs="Arial"/>
          <w:sz w:val="24"/>
          <w:szCs w:val="24"/>
        </w:rPr>
        <w:t xml:space="preserve"> in return</w:t>
      </w:r>
      <w:r w:rsidR="00D57798" w:rsidRPr="00A3633B">
        <w:rPr>
          <w:rFonts w:ascii="Arial" w:hAnsi="Arial" w:cs="Arial"/>
          <w:sz w:val="24"/>
          <w:szCs w:val="24"/>
        </w:rPr>
        <w:t xml:space="preserve"> </w:t>
      </w:r>
      <w:r w:rsidR="00AC1761" w:rsidRPr="00A3633B">
        <w:rPr>
          <w:rFonts w:ascii="Arial" w:hAnsi="Arial" w:cs="Arial"/>
          <w:sz w:val="24"/>
          <w:szCs w:val="24"/>
        </w:rPr>
        <w:t>legislations and policies like the Forensic Science Regulator</w:t>
      </w:r>
      <w:r w:rsidR="008650EA" w:rsidRPr="00A3633B">
        <w:rPr>
          <w:rFonts w:ascii="Arial" w:hAnsi="Arial" w:cs="Arial"/>
          <w:sz w:val="24"/>
          <w:szCs w:val="24"/>
        </w:rPr>
        <w:t xml:space="preserve"> (2020)</w:t>
      </w:r>
      <w:r w:rsidR="00AC1761" w:rsidRPr="00A3633B">
        <w:rPr>
          <w:rFonts w:ascii="Arial" w:hAnsi="Arial" w:cs="Arial"/>
          <w:sz w:val="24"/>
          <w:szCs w:val="24"/>
        </w:rPr>
        <w:t xml:space="preserve"> and College of Policing</w:t>
      </w:r>
      <w:r w:rsidR="00ED364C" w:rsidRPr="00A3633B">
        <w:rPr>
          <w:rFonts w:ascii="Arial" w:hAnsi="Arial" w:cs="Arial"/>
          <w:sz w:val="24"/>
          <w:szCs w:val="24"/>
        </w:rPr>
        <w:t xml:space="preserve"> Documents</w:t>
      </w:r>
      <w:r w:rsidR="00D57798" w:rsidRPr="00A3633B">
        <w:rPr>
          <w:rFonts w:ascii="Arial" w:hAnsi="Arial" w:cs="Arial"/>
          <w:sz w:val="24"/>
          <w:szCs w:val="24"/>
        </w:rPr>
        <w:t>,</w:t>
      </w:r>
      <w:r w:rsidR="00F87E96" w:rsidRPr="00A3633B">
        <w:rPr>
          <w:rFonts w:ascii="Arial" w:hAnsi="Arial" w:cs="Arial"/>
          <w:sz w:val="24"/>
          <w:szCs w:val="24"/>
        </w:rPr>
        <w:t xml:space="preserve"> do aim to support their abilities to </w:t>
      </w:r>
      <w:r w:rsidR="0015182A" w:rsidRPr="00A3633B">
        <w:rPr>
          <w:rFonts w:ascii="Arial" w:hAnsi="Arial" w:cs="Arial"/>
          <w:sz w:val="24"/>
          <w:szCs w:val="24"/>
        </w:rPr>
        <w:t>recover and examine exhibits to a s</w:t>
      </w:r>
      <w:r w:rsidR="00F87E96" w:rsidRPr="00A3633B">
        <w:rPr>
          <w:rFonts w:ascii="Arial" w:hAnsi="Arial" w:cs="Arial"/>
          <w:sz w:val="24"/>
          <w:szCs w:val="24"/>
        </w:rPr>
        <w:t>tandard that is satisfactory</w:t>
      </w:r>
      <w:r w:rsidR="0015182A" w:rsidRPr="00A3633B">
        <w:rPr>
          <w:rFonts w:ascii="Arial" w:hAnsi="Arial" w:cs="Arial"/>
          <w:sz w:val="24"/>
          <w:szCs w:val="24"/>
        </w:rPr>
        <w:t xml:space="preserve"> for and within the courts</w:t>
      </w:r>
      <w:r w:rsidR="00D5239F" w:rsidRPr="00A3633B">
        <w:rPr>
          <w:rFonts w:ascii="Arial" w:hAnsi="Arial" w:cs="Arial"/>
          <w:sz w:val="24"/>
          <w:szCs w:val="24"/>
        </w:rPr>
        <w:t xml:space="preserve">. </w:t>
      </w:r>
      <w:r w:rsidR="00CE3404" w:rsidRPr="00A3633B">
        <w:rPr>
          <w:rFonts w:ascii="Arial" w:hAnsi="Arial" w:cs="Arial"/>
          <w:sz w:val="24"/>
          <w:szCs w:val="24"/>
        </w:rPr>
        <w:lastRenderedPageBreak/>
        <w:t>Alongside updated equipment allowing them to quickly take images, rather than having to sketch the scene</w:t>
      </w:r>
      <w:r w:rsidR="008D3304" w:rsidRPr="00A3633B">
        <w:rPr>
          <w:rFonts w:ascii="Arial" w:hAnsi="Arial" w:cs="Arial"/>
          <w:sz w:val="24"/>
          <w:szCs w:val="24"/>
        </w:rPr>
        <w:t xml:space="preserve"> as Pepper (2010) had stated</w:t>
      </w:r>
      <w:r w:rsidR="00195270" w:rsidRPr="00A3633B">
        <w:rPr>
          <w:rFonts w:ascii="Arial" w:hAnsi="Arial" w:cs="Arial"/>
          <w:sz w:val="24"/>
          <w:szCs w:val="24"/>
        </w:rPr>
        <w:t>. Yet</w:t>
      </w:r>
      <w:r w:rsidR="008D3304" w:rsidRPr="00A3633B">
        <w:rPr>
          <w:rFonts w:ascii="Arial" w:hAnsi="Arial" w:cs="Arial"/>
          <w:sz w:val="24"/>
          <w:szCs w:val="24"/>
        </w:rPr>
        <w:t xml:space="preserve"> recently</w:t>
      </w:r>
      <w:r w:rsidR="004524F5" w:rsidRPr="00A3633B">
        <w:rPr>
          <w:rFonts w:ascii="Arial" w:hAnsi="Arial" w:cs="Arial"/>
          <w:sz w:val="24"/>
          <w:szCs w:val="24"/>
        </w:rPr>
        <w:t xml:space="preserve"> </w:t>
      </w:r>
      <w:r w:rsidR="00366119" w:rsidRPr="00A3633B">
        <w:rPr>
          <w:rFonts w:ascii="Arial" w:hAnsi="Arial" w:cs="Arial"/>
          <w:sz w:val="24"/>
          <w:szCs w:val="24"/>
        </w:rPr>
        <w:t xml:space="preserve">as </w:t>
      </w:r>
      <w:r w:rsidR="00BC0138" w:rsidRPr="00A3633B">
        <w:rPr>
          <w:rFonts w:ascii="Arial" w:hAnsi="Arial" w:cs="Arial"/>
          <w:sz w:val="24"/>
          <w:szCs w:val="24"/>
        </w:rPr>
        <w:t xml:space="preserve">Buck </w:t>
      </w:r>
      <w:r w:rsidR="00452D9D" w:rsidRPr="00A3633B">
        <w:rPr>
          <w:rFonts w:ascii="Arial" w:hAnsi="Arial" w:cs="Arial"/>
          <w:sz w:val="24"/>
          <w:szCs w:val="24"/>
        </w:rPr>
        <w:t>et al (2013)</w:t>
      </w:r>
      <w:r w:rsidR="00CE3404" w:rsidRPr="00A3633B">
        <w:rPr>
          <w:rFonts w:ascii="Arial" w:hAnsi="Arial" w:cs="Arial"/>
          <w:sz w:val="24"/>
          <w:szCs w:val="24"/>
        </w:rPr>
        <w:t xml:space="preserve"> were on about </w:t>
      </w:r>
      <w:r w:rsidR="008D3304" w:rsidRPr="00A3633B">
        <w:rPr>
          <w:rFonts w:ascii="Arial" w:hAnsi="Arial" w:cs="Arial"/>
          <w:sz w:val="24"/>
          <w:szCs w:val="24"/>
        </w:rPr>
        <w:t>earlier</w:t>
      </w:r>
      <w:r w:rsidR="00A6088F" w:rsidRPr="00A3633B">
        <w:rPr>
          <w:rFonts w:ascii="Arial" w:hAnsi="Arial" w:cs="Arial"/>
          <w:sz w:val="24"/>
          <w:szCs w:val="24"/>
        </w:rPr>
        <w:t>,</w:t>
      </w:r>
      <w:r w:rsidR="008D3304" w:rsidRPr="00A3633B">
        <w:rPr>
          <w:rFonts w:ascii="Arial" w:hAnsi="Arial" w:cs="Arial"/>
          <w:sz w:val="24"/>
          <w:szCs w:val="24"/>
        </w:rPr>
        <w:t xml:space="preserve"> the idea of</w:t>
      </w:r>
      <w:r w:rsidR="00452D9D" w:rsidRPr="00A3633B">
        <w:rPr>
          <w:rFonts w:ascii="Arial" w:hAnsi="Arial" w:cs="Arial"/>
          <w:sz w:val="24"/>
          <w:szCs w:val="24"/>
        </w:rPr>
        <w:t xml:space="preserve"> 3D Visualisation via images taken</w:t>
      </w:r>
      <w:r w:rsidR="00BB0165" w:rsidRPr="00A3633B">
        <w:rPr>
          <w:rFonts w:ascii="Arial" w:hAnsi="Arial" w:cs="Arial"/>
          <w:sz w:val="24"/>
          <w:szCs w:val="24"/>
        </w:rPr>
        <w:t xml:space="preserve"> from a Camera</w:t>
      </w:r>
      <w:r w:rsidR="008D3304" w:rsidRPr="00A3633B">
        <w:rPr>
          <w:rFonts w:ascii="Arial" w:hAnsi="Arial" w:cs="Arial"/>
          <w:sz w:val="24"/>
          <w:szCs w:val="24"/>
        </w:rPr>
        <w:t xml:space="preserve"> of a scene</w:t>
      </w:r>
      <w:r w:rsidR="00CE3404" w:rsidRPr="00A3633B">
        <w:rPr>
          <w:rFonts w:ascii="Arial" w:hAnsi="Arial" w:cs="Arial"/>
          <w:sz w:val="24"/>
          <w:szCs w:val="24"/>
        </w:rPr>
        <w:t>.</w:t>
      </w:r>
      <w:r w:rsidR="005331F5" w:rsidRPr="00A3633B">
        <w:rPr>
          <w:rFonts w:ascii="Arial" w:hAnsi="Arial" w:cs="Arial"/>
          <w:sz w:val="24"/>
          <w:szCs w:val="24"/>
        </w:rPr>
        <w:t xml:space="preserve"> </w:t>
      </w:r>
    </w:p>
    <w:p w14:paraId="5C741546" w14:textId="58FA6EA8" w:rsidR="000E73B2" w:rsidRPr="00A3633B" w:rsidRDefault="005331F5" w:rsidP="008D0E81">
      <w:pPr>
        <w:spacing w:line="480" w:lineRule="auto"/>
        <w:rPr>
          <w:rFonts w:ascii="Arial" w:hAnsi="Arial" w:cs="Arial"/>
          <w:sz w:val="24"/>
          <w:szCs w:val="24"/>
        </w:rPr>
      </w:pPr>
      <w:r w:rsidRPr="00A3633B">
        <w:rPr>
          <w:rFonts w:ascii="Arial" w:hAnsi="Arial" w:cs="Arial"/>
          <w:sz w:val="24"/>
          <w:szCs w:val="24"/>
        </w:rPr>
        <w:t>However</w:t>
      </w:r>
      <w:r w:rsidR="007245E3" w:rsidRPr="00A3633B">
        <w:rPr>
          <w:rFonts w:ascii="Arial" w:hAnsi="Arial" w:cs="Arial"/>
          <w:sz w:val="24"/>
          <w:szCs w:val="24"/>
        </w:rPr>
        <w:t>,</w:t>
      </w:r>
      <w:r w:rsidRPr="00A3633B">
        <w:rPr>
          <w:rFonts w:ascii="Arial" w:hAnsi="Arial" w:cs="Arial"/>
          <w:sz w:val="24"/>
          <w:szCs w:val="24"/>
        </w:rPr>
        <w:t xml:space="preserve"> issues still remain</w:t>
      </w:r>
      <w:r w:rsidR="007245E3" w:rsidRPr="00A3633B">
        <w:rPr>
          <w:rFonts w:ascii="Arial" w:hAnsi="Arial" w:cs="Arial"/>
          <w:sz w:val="24"/>
          <w:szCs w:val="24"/>
        </w:rPr>
        <w:t>.</w:t>
      </w:r>
      <w:r w:rsidRPr="00A3633B">
        <w:rPr>
          <w:rFonts w:ascii="Arial" w:hAnsi="Arial" w:cs="Arial"/>
          <w:sz w:val="24"/>
          <w:szCs w:val="24"/>
        </w:rPr>
        <w:t xml:space="preserve"> </w:t>
      </w:r>
      <w:r w:rsidR="007245E3" w:rsidRPr="00A3633B">
        <w:rPr>
          <w:rFonts w:ascii="Arial" w:hAnsi="Arial" w:cs="Arial"/>
          <w:sz w:val="24"/>
          <w:szCs w:val="24"/>
        </w:rPr>
        <w:t>A</w:t>
      </w:r>
      <w:r w:rsidRPr="00A3633B">
        <w:rPr>
          <w:rFonts w:ascii="Arial" w:hAnsi="Arial" w:cs="Arial"/>
          <w:sz w:val="24"/>
          <w:szCs w:val="24"/>
        </w:rPr>
        <w:t>s</w:t>
      </w:r>
      <w:r w:rsidR="00BB0631" w:rsidRPr="00A3633B">
        <w:rPr>
          <w:rFonts w:ascii="Arial" w:hAnsi="Arial" w:cs="Arial"/>
          <w:sz w:val="24"/>
          <w:szCs w:val="24"/>
        </w:rPr>
        <w:t xml:space="preserve"> McCartney (2019</w:t>
      </w:r>
      <w:r w:rsidRPr="00A3633B">
        <w:rPr>
          <w:rFonts w:ascii="Arial" w:hAnsi="Arial" w:cs="Arial"/>
          <w:sz w:val="24"/>
          <w:szCs w:val="24"/>
        </w:rPr>
        <w:t>) had described with the SFR and having them summarised in such a method that may be unusable by the defence</w:t>
      </w:r>
      <w:r w:rsidR="003056B4" w:rsidRPr="00A3633B">
        <w:rPr>
          <w:rFonts w:ascii="Arial" w:hAnsi="Arial" w:cs="Arial"/>
          <w:sz w:val="24"/>
          <w:szCs w:val="24"/>
        </w:rPr>
        <w:t xml:space="preserve"> and the constant risk of cross contamination as posed by Gill (2019)</w:t>
      </w:r>
      <w:r w:rsidR="00CC1252" w:rsidRPr="00A3633B">
        <w:rPr>
          <w:rFonts w:ascii="Arial" w:hAnsi="Arial" w:cs="Arial"/>
          <w:sz w:val="24"/>
          <w:szCs w:val="24"/>
        </w:rPr>
        <w:t>.</w:t>
      </w:r>
      <w:r w:rsidR="009C0EA7" w:rsidRPr="00A3633B">
        <w:rPr>
          <w:rFonts w:ascii="Arial" w:hAnsi="Arial" w:cs="Arial"/>
          <w:sz w:val="24"/>
          <w:szCs w:val="24"/>
        </w:rPr>
        <w:t xml:space="preserve"> </w:t>
      </w:r>
      <w:r w:rsidR="00CC1252" w:rsidRPr="00A3633B">
        <w:rPr>
          <w:rFonts w:ascii="Arial" w:hAnsi="Arial" w:cs="Arial"/>
          <w:sz w:val="24"/>
          <w:szCs w:val="24"/>
        </w:rPr>
        <w:t>Yet on the flip side,</w:t>
      </w:r>
      <w:r w:rsidR="009C0EA7" w:rsidRPr="00A3633B">
        <w:rPr>
          <w:rFonts w:ascii="Arial" w:hAnsi="Arial" w:cs="Arial"/>
          <w:sz w:val="24"/>
          <w:szCs w:val="24"/>
        </w:rPr>
        <w:t xml:space="preserve"> Gill</w:t>
      </w:r>
      <w:r w:rsidR="00CC1252" w:rsidRPr="00A3633B">
        <w:rPr>
          <w:rFonts w:ascii="Arial" w:hAnsi="Arial" w:cs="Arial"/>
          <w:sz w:val="24"/>
          <w:szCs w:val="24"/>
        </w:rPr>
        <w:t xml:space="preserve"> (2019)</w:t>
      </w:r>
      <w:r w:rsidR="009C0EA7" w:rsidRPr="00A3633B">
        <w:rPr>
          <w:rFonts w:ascii="Arial" w:hAnsi="Arial" w:cs="Arial"/>
          <w:sz w:val="24"/>
          <w:szCs w:val="24"/>
        </w:rPr>
        <w:t xml:space="preserve"> does refer to the factor that there </w:t>
      </w:r>
      <w:r w:rsidR="002C5A04" w:rsidRPr="00A3633B">
        <w:rPr>
          <w:rFonts w:ascii="Arial" w:hAnsi="Arial" w:cs="Arial"/>
          <w:sz w:val="24"/>
          <w:szCs w:val="24"/>
        </w:rPr>
        <w:t>have</w:t>
      </w:r>
      <w:r w:rsidR="009C0EA7" w:rsidRPr="00A3633B">
        <w:rPr>
          <w:rFonts w:ascii="Arial" w:hAnsi="Arial" w:cs="Arial"/>
          <w:sz w:val="24"/>
          <w:szCs w:val="24"/>
        </w:rPr>
        <w:t xml:space="preserve"> been more guidelines drawn up in order to try and effectively battle the issues of the past and current with contamination and miscarriages</w:t>
      </w:r>
      <w:r w:rsidRPr="00A3633B">
        <w:rPr>
          <w:rFonts w:ascii="Arial" w:hAnsi="Arial" w:cs="Arial"/>
          <w:sz w:val="24"/>
          <w:szCs w:val="24"/>
        </w:rPr>
        <w:t>.</w:t>
      </w:r>
      <w:r w:rsidR="008336EF" w:rsidRPr="00A3633B">
        <w:rPr>
          <w:rFonts w:ascii="Arial" w:hAnsi="Arial" w:cs="Arial"/>
          <w:sz w:val="24"/>
          <w:szCs w:val="24"/>
        </w:rPr>
        <w:t xml:space="preserve"> This shows a meaningful attempt to tackle the issues being faced in Forensics</w:t>
      </w:r>
      <w:r w:rsidR="00A51EAC" w:rsidRPr="00A3633B">
        <w:rPr>
          <w:rFonts w:ascii="Arial" w:hAnsi="Arial" w:cs="Arial"/>
          <w:sz w:val="24"/>
          <w:szCs w:val="24"/>
        </w:rPr>
        <w:t xml:space="preserve"> with</w:t>
      </w:r>
      <w:r w:rsidR="008336EF" w:rsidRPr="00A3633B">
        <w:rPr>
          <w:rFonts w:ascii="Arial" w:hAnsi="Arial" w:cs="Arial"/>
          <w:sz w:val="24"/>
          <w:szCs w:val="24"/>
        </w:rPr>
        <w:t xml:space="preserve"> the recovery and examination</w:t>
      </w:r>
      <w:r w:rsidR="00A51EAC" w:rsidRPr="00A3633B">
        <w:rPr>
          <w:rFonts w:ascii="Arial" w:hAnsi="Arial" w:cs="Arial"/>
          <w:sz w:val="24"/>
          <w:szCs w:val="24"/>
        </w:rPr>
        <w:t xml:space="preserve"> of exhibits and whilst technology and abilities are constantly changing and being improved</w:t>
      </w:r>
      <w:r w:rsidR="00577211" w:rsidRPr="00A3633B">
        <w:rPr>
          <w:rFonts w:ascii="Arial" w:hAnsi="Arial" w:cs="Arial"/>
          <w:sz w:val="24"/>
          <w:szCs w:val="24"/>
        </w:rPr>
        <w:t>. As per Buck et al (2013) with 3D Visualisation</w:t>
      </w:r>
      <w:r w:rsidR="008336EF" w:rsidRPr="00A3633B">
        <w:rPr>
          <w:rFonts w:ascii="Arial" w:hAnsi="Arial" w:cs="Arial"/>
          <w:sz w:val="24"/>
          <w:szCs w:val="24"/>
        </w:rPr>
        <w:t>.</w:t>
      </w:r>
      <w:r w:rsidRPr="00A3633B">
        <w:rPr>
          <w:rFonts w:ascii="Arial" w:hAnsi="Arial" w:cs="Arial"/>
          <w:sz w:val="24"/>
          <w:szCs w:val="24"/>
        </w:rPr>
        <w:t xml:space="preserve"> </w:t>
      </w:r>
    </w:p>
    <w:p w14:paraId="687172F0" w14:textId="21244F6E" w:rsidR="00702785" w:rsidRPr="00245DFD" w:rsidRDefault="00702785" w:rsidP="0059352A">
      <w:pPr>
        <w:spacing w:line="480" w:lineRule="auto"/>
        <w:rPr>
          <w:sz w:val="24"/>
          <w:szCs w:val="24"/>
        </w:rPr>
      </w:pPr>
      <w:r w:rsidRPr="00245DFD">
        <w:rPr>
          <w:sz w:val="24"/>
          <w:szCs w:val="24"/>
        </w:rPr>
        <w:br w:type="page"/>
      </w:r>
    </w:p>
    <w:sdt>
      <w:sdtPr>
        <w:rPr>
          <w:rFonts w:ascii="Arial" w:eastAsiaTheme="minorHAnsi" w:hAnsi="Arial" w:cs="Arial"/>
          <w:color w:val="auto"/>
          <w:sz w:val="36"/>
          <w:szCs w:val="36"/>
          <w:lang w:val="en-GB"/>
        </w:rPr>
        <w:id w:val="1367102187"/>
        <w:docPartObj>
          <w:docPartGallery w:val="Bibliographies"/>
          <w:docPartUnique/>
        </w:docPartObj>
      </w:sdtPr>
      <w:sdtEndPr>
        <w:rPr>
          <w:sz w:val="24"/>
          <w:szCs w:val="24"/>
        </w:rPr>
      </w:sdtEndPr>
      <w:sdtContent>
        <w:p w14:paraId="63533FD2" w14:textId="77777777" w:rsidR="00702785" w:rsidRPr="00A3633B" w:rsidRDefault="00702785" w:rsidP="00A3633B">
          <w:pPr>
            <w:pStyle w:val="Heading1"/>
            <w:spacing w:line="480" w:lineRule="auto"/>
            <w:rPr>
              <w:rFonts w:ascii="Arial" w:hAnsi="Arial" w:cs="Arial"/>
              <w:sz w:val="36"/>
              <w:szCs w:val="36"/>
            </w:rPr>
          </w:pPr>
          <w:r w:rsidRPr="00A3633B">
            <w:rPr>
              <w:rFonts w:ascii="Arial" w:hAnsi="Arial" w:cs="Arial"/>
              <w:sz w:val="36"/>
              <w:szCs w:val="36"/>
            </w:rPr>
            <w:t>References</w:t>
          </w:r>
        </w:p>
        <w:sdt>
          <w:sdtPr>
            <w:rPr>
              <w:rFonts w:ascii="Arial" w:hAnsi="Arial" w:cs="Arial"/>
              <w:sz w:val="24"/>
              <w:szCs w:val="24"/>
            </w:rPr>
            <w:id w:val="-573587230"/>
            <w:bibliography/>
          </w:sdtPr>
          <w:sdtEndPr/>
          <w:sdtContent>
            <w:p w14:paraId="5592F12C" w14:textId="77777777" w:rsidR="00D65387" w:rsidRPr="00A3633B" w:rsidRDefault="00702785" w:rsidP="00A3633B">
              <w:pPr>
                <w:pStyle w:val="Bibliography"/>
                <w:spacing w:line="480" w:lineRule="auto"/>
                <w:rPr>
                  <w:rFonts w:ascii="Arial" w:hAnsi="Arial" w:cs="Arial"/>
                  <w:noProof/>
                  <w:sz w:val="24"/>
                  <w:szCs w:val="24"/>
                  <w:lang w:val="en-US"/>
                </w:rPr>
              </w:pPr>
              <w:r w:rsidRPr="00A3633B">
                <w:rPr>
                  <w:rFonts w:ascii="Arial" w:hAnsi="Arial" w:cs="Arial"/>
                  <w:sz w:val="24"/>
                  <w:szCs w:val="24"/>
                </w:rPr>
                <w:fldChar w:fldCharType="begin"/>
              </w:r>
              <w:r w:rsidRPr="00A3633B">
                <w:rPr>
                  <w:rFonts w:ascii="Arial" w:hAnsi="Arial" w:cs="Arial"/>
                  <w:sz w:val="24"/>
                  <w:szCs w:val="24"/>
                </w:rPr>
                <w:instrText xml:space="preserve"> BIBLIOGRAPHY </w:instrText>
              </w:r>
              <w:r w:rsidRPr="00A3633B">
                <w:rPr>
                  <w:rFonts w:ascii="Arial" w:hAnsi="Arial" w:cs="Arial"/>
                  <w:sz w:val="24"/>
                  <w:szCs w:val="24"/>
                </w:rPr>
                <w:fldChar w:fldCharType="separate"/>
              </w:r>
              <w:r w:rsidR="00D65387" w:rsidRPr="00A3633B">
                <w:rPr>
                  <w:rFonts w:ascii="Arial" w:hAnsi="Arial" w:cs="Arial"/>
                  <w:noProof/>
                  <w:sz w:val="24"/>
                  <w:szCs w:val="24"/>
                  <w:lang w:val="en-US"/>
                </w:rPr>
                <w:t>Belchior, F. &amp; Andrews, S. P., 2016. Evaluation of Cross</w:t>
              </w:r>
              <w:r w:rsidR="00D65387" w:rsidRPr="00A3633B">
                <w:rPr>
                  <w:rFonts w:ascii="Cambria Math" w:hAnsi="Cambria Math" w:cs="Cambria Math"/>
                  <w:noProof/>
                  <w:sz w:val="24"/>
                  <w:szCs w:val="24"/>
                  <w:lang w:val="en-US"/>
                </w:rPr>
                <w:t>‐</w:t>
              </w:r>
              <w:r w:rsidR="00D65387" w:rsidRPr="00A3633B">
                <w:rPr>
                  <w:rFonts w:ascii="Arial" w:hAnsi="Arial" w:cs="Arial"/>
                  <w:noProof/>
                  <w:sz w:val="24"/>
                  <w:szCs w:val="24"/>
                  <w:lang w:val="en-US"/>
                </w:rPr>
                <w:t>contamination of Nylon Bags with Heavy</w:t>
              </w:r>
              <w:r w:rsidR="00D65387" w:rsidRPr="00A3633B">
                <w:rPr>
                  <w:rFonts w:ascii="Cambria Math" w:hAnsi="Cambria Math" w:cs="Cambria Math"/>
                  <w:noProof/>
                  <w:sz w:val="24"/>
                  <w:szCs w:val="24"/>
                  <w:lang w:val="en-US"/>
                </w:rPr>
                <w:t>‐</w:t>
              </w:r>
              <w:r w:rsidR="00D65387" w:rsidRPr="00A3633B">
                <w:rPr>
                  <w:rFonts w:ascii="Arial" w:hAnsi="Arial" w:cs="Arial"/>
                  <w:noProof/>
                  <w:sz w:val="24"/>
                  <w:szCs w:val="24"/>
                  <w:lang w:val="en-US"/>
                </w:rPr>
                <w:t xml:space="preserve">loaded Gasoline Fire Debris and with Automotive Paint Thinner. </w:t>
              </w:r>
              <w:r w:rsidR="00D65387" w:rsidRPr="00A3633B">
                <w:rPr>
                  <w:rFonts w:ascii="Arial" w:hAnsi="Arial" w:cs="Arial"/>
                  <w:i/>
                  <w:iCs/>
                  <w:noProof/>
                  <w:sz w:val="24"/>
                  <w:szCs w:val="24"/>
                  <w:lang w:val="en-US"/>
                </w:rPr>
                <w:t xml:space="preserve">Journal of Forensic Sciences, </w:t>
              </w:r>
              <w:r w:rsidR="00D65387" w:rsidRPr="00A3633B">
                <w:rPr>
                  <w:rFonts w:ascii="Arial" w:hAnsi="Arial" w:cs="Arial"/>
                  <w:noProof/>
                  <w:sz w:val="24"/>
                  <w:szCs w:val="24"/>
                  <w:lang w:val="en-US"/>
                </w:rPr>
                <w:t>61(6), pp. 1622-1631.</w:t>
              </w:r>
            </w:p>
            <w:p w14:paraId="013AF71C"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British Broadcasting Company, 2001. </w:t>
              </w:r>
              <w:r w:rsidRPr="00A3633B">
                <w:rPr>
                  <w:rFonts w:ascii="Arial" w:hAnsi="Arial" w:cs="Arial"/>
                  <w:i/>
                  <w:iCs/>
                  <w:noProof/>
                  <w:sz w:val="24"/>
                  <w:szCs w:val="24"/>
                  <w:lang w:val="en-US"/>
                </w:rPr>
                <w:t xml:space="preserve">Sarah evidence 'could be contaminated'. </w:t>
              </w:r>
              <w:r w:rsidRPr="00A3633B">
                <w:rPr>
                  <w:rFonts w:ascii="Arial" w:hAnsi="Arial" w:cs="Arial"/>
                  <w:noProof/>
                  <w:sz w:val="24"/>
                  <w:szCs w:val="24"/>
                  <w:lang w:val="en-US"/>
                </w:rPr>
                <w:t xml:space="preserve">[Online] </w:t>
              </w:r>
              <w:r w:rsidRPr="00A3633B">
                <w:rPr>
                  <w:rFonts w:ascii="Arial" w:hAnsi="Arial" w:cs="Arial"/>
                  <w:noProof/>
                  <w:sz w:val="24"/>
                  <w:szCs w:val="24"/>
                  <w:lang w:val="en-US"/>
                </w:rPr>
                <w:br/>
                <w:t xml:space="preserve">Available at: </w:t>
              </w:r>
              <w:r w:rsidRPr="00A3633B">
                <w:rPr>
                  <w:rFonts w:ascii="Arial" w:hAnsi="Arial" w:cs="Arial"/>
                  <w:noProof/>
                  <w:sz w:val="24"/>
                  <w:szCs w:val="24"/>
                  <w:u w:val="single"/>
                  <w:lang w:val="en-US"/>
                </w:rPr>
                <w:t>http://news.bbc.co.uk/1/hi/england/1682710.stm</w:t>
              </w:r>
              <w:r w:rsidRPr="00A3633B">
                <w:rPr>
                  <w:rFonts w:ascii="Arial" w:hAnsi="Arial" w:cs="Arial"/>
                  <w:noProof/>
                  <w:sz w:val="24"/>
                  <w:szCs w:val="24"/>
                  <w:lang w:val="en-US"/>
                </w:rPr>
                <w:br/>
                <w:t>[Accessed 29 10 2020].</w:t>
              </w:r>
            </w:p>
            <w:p w14:paraId="4E26A3A5"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Bryant, R. &amp; Bryant, S., 2019. </w:t>
              </w:r>
              <w:r w:rsidRPr="00A3633B">
                <w:rPr>
                  <w:rFonts w:ascii="Arial" w:hAnsi="Arial" w:cs="Arial"/>
                  <w:i/>
                  <w:iCs/>
                  <w:noProof/>
                  <w:sz w:val="24"/>
                  <w:szCs w:val="24"/>
                  <w:lang w:val="en-US"/>
                </w:rPr>
                <w:t xml:space="preserve">Blackstone's handbook for policing students. </w:t>
              </w:r>
              <w:r w:rsidRPr="00A3633B">
                <w:rPr>
                  <w:rFonts w:ascii="Arial" w:hAnsi="Arial" w:cs="Arial"/>
                  <w:noProof/>
                  <w:sz w:val="24"/>
                  <w:szCs w:val="24"/>
                  <w:lang w:val="en-US"/>
                </w:rPr>
                <w:t>14 ed. Oxford: Oxford University Press.</w:t>
              </w:r>
            </w:p>
            <w:p w14:paraId="3B60CCCE"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Buck, U. et al., 2013. Accident or homicide – Virtual crime scene reconstruction using 3D methods. </w:t>
              </w:r>
              <w:r w:rsidRPr="00A3633B">
                <w:rPr>
                  <w:rFonts w:ascii="Arial" w:hAnsi="Arial" w:cs="Arial"/>
                  <w:i/>
                  <w:iCs/>
                  <w:noProof/>
                  <w:sz w:val="24"/>
                  <w:szCs w:val="24"/>
                  <w:lang w:val="en-US"/>
                </w:rPr>
                <w:t xml:space="preserve">Forensic Science International, </w:t>
              </w:r>
              <w:r w:rsidRPr="00A3633B">
                <w:rPr>
                  <w:rFonts w:ascii="Arial" w:hAnsi="Arial" w:cs="Arial"/>
                  <w:noProof/>
                  <w:sz w:val="24"/>
                  <w:szCs w:val="24"/>
                  <w:lang w:val="en-US"/>
                </w:rPr>
                <w:t>225(1-3), pp. 75-84.</w:t>
              </w:r>
            </w:p>
            <w:p w14:paraId="0B9DD44E"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College of Policing, 2019. </w:t>
              </w:r>
              <w:r w:rsidRPr="00A3633B">
                <w:rPr>
                  <w:rFonts w:ascii="Arial" w:hAnsi="Arial" w:cs="Arial"/>
                  <w:i/>
                  <w:iCs/>
                  <w:noProof/>
                  <w:sz w:val="24"/>
                  <w:szCs w:val="24"/>
                  <w:lang w:val="en-US"/>
                </w:rPr>
                <w:t xml:space="preserve">Investigation Process. </w:t>
              </w:r>
              <w:r w:rsidRPr="00A3633B">
                <w:rPr>
                  <w:rFonts w:ascii="Arial" w:hAnsi="Arial" w:cs="Arial"/>
                  <w:noProof/>
                  <w:sz w:val="24"/>
                  <w:szCs w:val="24"/>
                  <w:lang w:val="en-US"/>
                </w:rPr>
                <w:t xml:space="preserve">[Online] </w:t>
              </w:r>
              <w:r w:rsidRPr="00A3633B">
                <w:rPr>
                  <w:rFonts w:ascii="Arial" w:hAnsi="Arial" w:cs="Arial"/>
                  <w:noProof/>
                  <w:sz w:val="24"/>
                  <w:szCs w:val="24"/>
                  <w:lang w:val="en-US"/>
                </w:rPr>
                <w:br/>
                <w:t xml:space="preserve">Available at: </w:t>
              </w:r>
              <w:r w:rsidRPr="00A3633B">
                <w:rPr>
                  <w:rFonts w:ascii="Arial" w:hAnsi="Arial" w:cs="Arial"/>
                  <w:noProof/>
                  <w:sz w:val="24"/>
                  <w:szCs w:val="24"/>
                  <w:u w:val="single"/>
                  <w:lang w:val="en-US"/>
                </w:rPr>
                <w:t>https://www.app.college.police.uk/app-content/investigations/investigation-process/</w:t>
              </w:r>
              <w:r w:rsidRPr="00A3633B">
                <w:rPr>
                  <w:rFonts w:ascii="Arial" w:hAnsi="Arial" w:cs="Arial"/>
                  <w:noProof/>
                  <w:sz w:val="24"/>
                  <w:szCs w:val="24"/>
                  <w:lang w:val="en-US"/>
                </w:rPr>
                <w:br/>
                <w:t>[Accessed 29 10 2020].</w:t>
              </w:r>
            </w:p>
            <w:p w14:paraId="40E6632B"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College of Policing, 2020. </w:t>
              </w:r>
              <w:r w:rsidRPr="00A3633B">
                <w:rPr>
                  <w:rFonts w:ascii="Arial" w:hAnsi="Arial" w:cs="Arial"/>
                  <w:i/>
                  <w:iCs/>
                  <w:noProof/>
                  <w:sz w:val="24"/>
                  <w:szCs w:val="24"/>
                  <w:lang w:val="en-US"/>
                </w:rPr>
                <w:t xml:space="preserve">forensics. </w:t>
              </w:r>
              <w:r w:rsidRPr="00A3633B">
                <w:rPr>
                  <w:rFonts w:ascii="Arial" w:hAnsi="Arial" w:cs="Arial"/>
                  <w:noProof/>
                  <w:sz w:val="24"/>
                  <w:szCs w:val="24"/>
                  <w:lang w:val="en-US"/>
                </w:rPr>
                <w:t xml:space="preserve">[Online] </w:t>
              </w:r>
              <w:r w:rsidRPr="00A3633B">
                <w:rPr>
                  <w:rFonts w:ascii="Arial" w:hAnsi="Arial" w:cs="Arial"/>
                  <w:noProof/>
                  <w:sz w:val="24"/>
                  <w:szCs w:val="24"/>
                  <w:lang w:val="en-US"/>
                </w:rPr>
                <w:br/>
                <w:t xml:space="preserve">Available at: </w:t>
              </w:r>
              <w:r w:rsidRPr="00A3633B">
                <w:rPr>
                  <w:rFonts w:ascii="Arial" w:hAnsi="Arial" w:cs="Arial"/>
                  <w:noProof/>
                  <w:sz w:val="24"/>
                  <w:szCs w:val="24"/>
                  <w:u w:val="single"/>
                  <w:lang w:val="en-US"/>
                </w:rPr>
                <w:t>https://www.app.college.police.uk/app-content/investigations/forensics/</w:t>
              </w:r>
              <w:r w:rsidRPr="00A3633B">
                <w:rPr>
                  <w:rFonts w:ascii="Arial" w:hAnsi="Arial" w:cs="Arial"/>
                  <w:noProof/>
                  <w:sz w:val="24"/>
                  <w:szCs w:val="24"/>
                  <w:lang w:val="en-US"/>
                </w:rPr>
                <w:br/>
                <w:t>[Accessed 29 10 2020].</w:t>
              </w:r>
            </w:p>
            <w:p w14:paraId="61773040"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Edmond, G., Carr, S. &amp; Piasecki, E., 2018. Science Friction: Streamlined Forensic Reporting, Reliability and Justice.. </w:t>
              </w:r>
              <w:r w:rsidRPr="00A3633B">
                <w:rPr>
                  <w:rFonts w:ascii="Arial" w:hAnsi="Arial" w:cs="Arial"/>
                  <w:i/>
                  <w:iCs/>
                  <w:noProof/>
                  <w:sz w:val="24"/>
                  <w:szCs w:val="24"/>
                  <w:lang w:val="en-US"/>
                </w:rPr>
                <w:t xml:space="preserve">Oxford Journal of Legal Studies, </w:t>
              </w:r>
              <w:r w:rsidRPr="00A3633B">
                <w:rPr>
                  <w:rFonts w:ascii="Arial" w:hAnsi="Arial" w:cs="Arial"/>
                  <w:noProof/>
                  <w:sz w:val="24"/>
                  <w:szCs w:val="24"/>
                  <w:lang w:val="en-US"/>
                </w:rPr>
                <w:t>38(4), pp. 764-792.</w:t>
              </w:r>
            </w:p>
            <w:p w14:paraId="3482F9F7"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lastRenderedPageBreak/>
                <w:t xml:space="preserve">Forensic Science Regulator, 2020. </w:t>
              </w:r>
              <w:r w:rsidRPr="00A3633B">
                <w:rPr>
                  <w:rFonts w:ascii="Arial" w:hAnsi="Arial" w:cs="Arial"/>
                  <w:i/>
                  <w:iCs/>
                  <w:noProof/>
                  <w:sz w:val="24"/>
                  <w:szCs w:val="24"/>
                  <w:lang w:val="en-US"/>
                </w:rPr>
                <w:t xml:space="preserve">Crime scene DNA: anti-contamination guidance. </w:t>
              </w:r>
              <w:r w:rsidRPr="00A3633B">
                <w:rPr>
                  <w:rFonts w:ascii="Arial" w:hAnsi="Arial" w:cs="Arial"/>
                  <w:noProof/>
                  <w:sz w:val="24"/>
                  <w:szCs w:val="24"/>
                  <w:lang w:val="en-US"/>
                </w:rPr>
                <w:t xml:space="preserve">[Online] </w:t>
              </w:r>
              <w:r w:rsidRPr="00A3633B">
                <w:rPr>
                  <w:rFonts w:ascii="Arial" w:hAnsi="Arial" w:cs="Arial"/>
                  <w:noProof/>
                  <w:sz w:val="24"/>
                  <w:szCs w:val="24"/>
                  <w:lang w:val="en-US"/>
                </w:rPr>
                <w:br/>
                <w:t xml:space="preserve">Available at: </w:t>
              </w:r>
              <w:r w:rsidRPr="00A3633B">
                <w:rPr>
                  <w:rFonts w:ascii="Arial" w:hAnsi="Arial" w:cs="Arial"/>
                  <w:noProof/>
                  <w:sz w:val="24"/>
                  <w:szCs w:val="24"/>
                  <w:u w:val="single"/>
                  <w:lang w:val="en-US"/>
                </w:rPr>
                <w:t>https://www.gov.uk/government/publications/crime-scene-dna-anti-contamination-guidance</w:t>
              </w:r>
              <w:r w:rsidRPr="00A3633B">
                <w:rPr>
                  <w:rFonts w:ascii="Arial" w:hAnsi="Arial" w:cs="Arial"/>
                  <w:noProof/>
                  <w:sz w:val="24"/>
                  <w:szCs w:val="24"/>
                  <w:lang w:val="en-US"/>
                </w:rPr>
                <w:br/>
                <w:t>[Accessed 29 10 2020].</w:t>
              </w:r>
            </w:p>
            <w:p w14:paraId="1FBC5618"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Fryer, K., 2012. </w:t>
              </w:r>
              <w:r w:rsidRPr="00A3633B">
                <w:rPr>
                  <w:rFonts w:ascii="Arial" w:hAnsi="Arial" w:cs="Arial"/>
                  <w:i/>
                  <w:iCs/>
                  <w:noProof/>
                  <w:sz w:val="24"/>
                  <w:szCs w:val="24"/>
                  <w:lang w:val="en-US"/>
                </w:rPr>
                <w:t xml:space="preserve">Scenes of Crime Examination Best Practice Manual. </w:t>
              </w:r>
              <w:r w:rsidRPr="00A3633B">
                <w:rPr>
                  <w:rFonts w:ascii="Arial" w:hAnsi="Arial" w:cs="Arial"/>
                  <w:noProof/>
                  <w:sz w:val="24"/>
                  <w:szCs w:val="24"/>
                  <w:lang w:val="en-US"/>
                </w:rPr>
                <w:t xml:space="preserve">[Online] </w:t>
              </w:r>
              <w:r w:rsidRPr="00A3633B">
                <w:rPr>
                  <w:rFonts w:ascii="Arial" w:hAnsi="Arial" w:cs="Arial"/>
                  <w:noProof/>
                  <w:sz w:val="24"/>
                  <w:szCs w:val="24"/>
                  <w:lang w:val="en-US"/>
                </w:rPr>
                <w:br/>
                <w:t xml:space="preserve">Available at: </w:t>
              </w:r>
              <w:r w:rsidRPr="00A3633B">
                <w:rPr>
                  <w:rFonts w:ascii="Arial" w:hAnsi="Arial" w:cs="Arial"/>
                  <w:noProof/>
                  <w:sz w:val="24"/>
                  <w:szCs w:val="24"/>
                  <w:u w:val="single"/>
                  <w:lang w:val="en-US"/>
                </w:rPr>
                <w:t>https://moodle.uwtsd.ac.uk/pluginfile.php/354373/mod_resource/content/1/ENFSI%20forensic.pdf</w:t>
              </w:r>
              <w:r w:rsidRPr="00A3633B">
                <w:rPr>
                  <w:rFonts w:ascii="Arial" w:hAnsi="Arial" w:cs="Arial"/>
                  <w:noProof/>
                  <w:sz w:val="24"/>
                  <w:szCs w:val="24"/>
                  <w:lang w:val="en-US"/>
                </w:rPr>
                <w:br/>
                <w:t>[Accessed 29 10 2020].</w:t>
              </w:r>
            </w:p>
            <w:p w14:paraId="173F96A3"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Gill, P., 2019. DNA evidence and miscarriages of justice. </w:t>
              </w:r>
              <w:r w:rsidRPr="00A3633B">
                <w:rPr>
                  <w:rFonts w:ascii="Arial" w:hAnsi="Arial" w:cs="Arial"/>
                  <w:i/>
                  <w:iCs/>
                  <w:noProof/>
                  <w:sz w:val="24"/>
                  <w:szCs w:val="24"/>
                  <w:lang w:val="en-US"/>
                </w:rPr>
                <w:t xml:space="preserve">Forensic Science International, </w:t>
              </w:r>
              <w:r w:rsidRPr="00A3633B">
                <w:rPr>
                  <w:rFonts w:ascii="Arial" w:hAnsi="Arial" w:cs="Arial"/>
                  <w:noProof/>
                  <w:sz w:val="24"/>
                  <w:szCs w:val="24"/>
                  <w:lang w:val="en-US"/>
                </w:rPr>
                <w:t>Volume 294, pp. e1-e3.</w:t>
              </w:r>
            </w:p>
            <w:p w14:paraId="7D829C5D"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Jackson, A., Jackson, J., Mountain, H. &amp; Brearley, D., 2016. </w:t>
              </w:r>
              <w:r w:rsidRPr="00A3633B">
                <w:rPr>
                  <w:rFonts w:ascii="Arial" w:hAnsi="Arial" w:cs="Arial"/>
                  <w:i/>
                  <w:iCs/>
                  <w:noProof/>
                  <w:sz w:val="24"/>
                  <w:szCs w:val="24"/>
                  <w:lang w:val="en-US"/>
                </w:rPr>
                <w:t xml:space="preserve">Forensic Science. </w:t>
              </w:r>
              <w:r w:rsidRPr="00A3633B">
                <w:rPr>
                  <w:rFonts w:ascii="Arial" w:hAnsi="Arial" w:cs="Arial"/>
                  <w:noProof/>
                  <w:sz w:val="24"/>
                  <w:szCs w:val="24"/>
                  <w:lang w:val="en-US"/>
                </w:rPr>
                <w:t>4 ed. s.l.:Pearson Education Limited.</w:t>
              </w:r>
            </w:p>
            <w:p w14:paraId="16B5A1FC"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McCartney, C., 2019. Streamlined forensic reporting: Rhetoric and reality. </w:t>
              </w:r>
              <w:r w:rsidRPr="00A3633B">
                <w:rPr>
                  <w:rFonts w:ascii="Arial" w:hAnsi="Arial" w:cs="Arial"/>
                  <w:i/>
                  <w:iCs/>
                  <w:noProof/>
                  <w:sz w:val="24"/>
                  <w:szCs w:val="24"/>
                  <w:lang w:val="en-US"/>
                </w:rPr>
                <w:t xml:space="preserve">Forensic Science International: Synergy, </w:t>
              </w:r>
              <w:r w:rsidRPr="00A3633B">
                <w:rPr>
                  <w:rFonts w:ascii="Arial" w:hAnsi="Arial" w:cs="Arial"/>
                  <w:noProof/>
                  <w:sz w:val="24"/>
                  <w:szCs w:val="24"/>
                  <w:lang w:val="en-US"/>
                </w:rPr>
                <w:t>Volume 1, pp. 83-85.</w:t>
              </w:r>
            </w:p>
            <w:p w14:paraId="5114004F"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National Police Improvement Agency, 2011. </w:t>
              </w:r>
              <w:r w:rsidRPr="00A3633B">
                <w:rPr>
                  <w:rFonts w:ascii="Arial" w:hAnsi="Arial" w:cs="Arial"/>
                  <w:i/>
                  <w:iCs/>
                  <w:noProof/>
                  <w:sz w:val="24"/>
                  <w:szCs w:val="24"/>
                  <w:lang w:val="en-US"/>
                </w:rPr>
                <w:t xml:space="preserve">IPLDP Quick Notes. </w:t>
              </w:r>
              <w:r w:rsidRPr="00A3633B">
                <w:rPr>
                  <w:rFonts w:ascii="Arial" w:hAnsi="Arial" w:cs="Arial"/>
                  <w:noProof/>
                  <w:sz w:val="24"/>
                  <w:szCs w:val="24"/>
                  <w:lang w:val="en-US"/>
                </w:rPr>
                <w:t xml:space="preserve">[Online] </w:t>
              </w:r>
              <w:r w:rsidRPr="00A3633B">
                <w:rPr>
                  <w:rFonts w:ascii="Arial" w:hAnsi="Arial" w:cs="Arial"/>
                  <w:noProof/>
                  <w:sz w:val="24"/>
                  <w:szCs w:val="24"/>
                  <w:lang w:val="en-US"/>
                </w:rPr>
                <w:br/>
                <w:t xml:space="preserve">Available at: </w:t>
              </w:r>
              <w:r w:rsidRPr="00A3633B">
                <w:rPr>
                  <w:rFonts w:ascii="Arial" w:hAnsi="Arial" w:cs="Arial"/>
                  <w:noProof/>
                  <w:sz w:val="24"/>
                  <w:szCs w:val="24"/>
                  <w:u w:val="single"/>
                  <w:lang w:val="en-US"/>
                </w:rPr>
                <w:t>https://www.met.police.uk/msctraining/documents/ipldp_quick_notes_sept2011.pdf</w:t>
              </w:r>
              <w:r w:rsidRPr="00A3633B">
                <w:rPr>
                  <w:rFonts w:ascii="Arial" w:hAnsi="Arial" w:cs="Arial"/>
                  <w:noProof/>
                  <w:sz w:val="24"/>
                  <w:szCs w:val="24"/>
                  <w:lang w:val="en-US"/>
                </w:rPr>
                <w:br/>
                <w:t>[Accessed 29 10 2020].</w:t>
              </w:r>
            </w:p>
            <w:p w14:paraId="075CC6A5"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t xml:space="preserve">Pepper, I., 2010. </w:t>
              </w:r>
              <w:r w:rsidRPr="00A3633B">
                <w:rPr>
                  <w:rFonts w:ascii="Arial" w:hAnsi="Arial" w:cs="Arial"/>
                  <w:i/>
                  <w:iCs/>
                  <w:noProof/>
                  <w:sz w:val="24"/>
                  <w:szCs w:val="24"/>
                  <w:lang w:val="en-US"/>
                </w:rPr>
                <w:t xml:space="preserve">Crime Scene Investigation: Methods and Procedures. </w:t>
              </w:r>
              <w:r w:rsidRPr="00A3633B">
                <w:rPr>
                  <w:rFonts w:ascii="Arial" w:hAnsi="Arial" w:cs="Arial"/>
                  <w:noProof/>
                  <w:sz w:val="24"/>
                  <w:szCs w:val="24"/>
                  <w:lang w:val="en-US"/>
                </w:rPr>
                <w:t>2 ed. s.l.:Open University Press.</w:t>
              </w:r>
            </w:p>
            <w:p w14:paraId="0D3D69A8" w14:textId="77777777" w:rsidR="00D65387" w:rsidRPr="00A3633B" w:rsidRDefault="00D65387" w:rsidP="00A3633B">
              <w:pPr>
                <w:pStyle w:val="Bibliography"/>
                <w:spacing w:line="480" w:lineRule="auto"/>
                <w:rPr>
                  <w:rFonts w:ascii="Arial" w:hAnsi="Arial" w:cs="Arial"/>
                  <w:noProof/>
                  <w:sz w:val="24"/>
                  <w:szCs w:val="24"/>
                  <w:lang w:val="en-US"/>
                </w:rPr>
              </w:pPr>
              <w:r w:rsidRPr="00A3633B">
                <w:rPr>
                  <w:rFonts w:ascii="Arial" w:hAnsi="Arial" w:cs="Arial"/>
                  <w:noProof/>
                  <w:sz w:val="24"/>
                  <w:szCs w:val="24"/>
                  <w:lang w:val="en-US"/>
                </w:rPr>
                <w:lastRenderedPageBreak/>
                <w:t xml:space="preserve">White, P. C. et al., 2004. </w:t>
              </w:r>
              <w:r w:rsidRPr="00A3633B">
                <w:rPr>
                  <w:rFonts w:ascii="Arial" w:hAnsi="Arial" w:cs="Arial"/>
                  <w:i/>
                  <w:iCs/>
                  <w:noProof/>
                  <w:sz w:val="24"/>
                  <w:szCs w:val="24"/>
                  <w:lang w:val="en-US"/>
                </w:rPr>
                <w:t xml:space="preserve">Crime Scene to Court: The Essentials of Forensic Science. </w:t>
              </w:r>
              <w:r w:rsidRPr="00A3633B">
                <w:rPr>
                  <w:rFonts w:ascii="Arial" w:hAnsi="Arial" w:cs="Arial"/>
                  <w:noProof/>
                  <w:sz w:val="24"/>
                  <w:szCs w:val="24"/>
                  <w:lang w:val="en-US"/>
                </w:rPr>
                <w:t>2 ed. s.l.:Royal Society of Chemistry.</w:t>
              </w:r>
            </w:p>
            <w:p w14:paraId="0BC444F1" w14:textId="0D92286E" w:rsidR="00702785" w:rsidRDefault="00702785" w:rsidP="00A3633B">
              <w:pPr>
                <w:spacing w:line="480" w:lineRule="auto"/>
              </w:pPr>
              <w:r w:rsidRPr="00A3633B">
                <w:rPr>
                  <w:rFonts w:ascii="Arial" w:hAnsi="Arial" w:cs="Arial"/>
                  <w:b/>
                  <w:bCs/>
                  <w:noProof/>
                  <w:sz w:val="24"/>
                  <w:szCs w:val="24"/>
                </w:rPr>
                <w:fldChar w:fldCharType="end"/>
              </w:r>
            </w:p>
          </w:sdtContent>
        </w:sdt>
      </w:sdtContent>
    </w:sdt>
    <w:p w14:paraId="03958960" w14:textId="77777777" w:rsidR="000B2BBD" w:rsidRDefault="000B2BBD" w:rsidP="0059352A">
      <w:pPr>
        <w:spacing w:line="480" w:lineRule="auto"/>
      </w:pPr>
    </w:p>
    <w:sectPr w:rsidR="000B2BBD" w:rsidSect="007027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2785"/>
    <w:rsid w:val="00000A58"/>
    <w:rsid w:val="000029EF"/>
    <w:rsid w:val="0003043C"/>
    <w:rsid w:val="000335DF"/>
    <w:rsid w:val="0004033B"/>
    <w:rsid w:val="00040D7E"/>
    <w:rsid w:val="000668AE"/>
    <w:rsid w:val="00090A98"/>
    <w:rsid w:val="0009158C"/>
    <w:rsid w:val="00096759"/>
    <w:rsid w:val="000B2BBD"/>
    <w:rsid w:val="000E132B"/>
    <w:rsid w:val="000E73B2"/>
    <w:rsid w:val="000F368D"/>
    <w:rsid w:val="000F667A"/>
    <w:rsid w:val="00105D2A"/>
    <w:rsid w:val="001118DC"/>
    <w:rsid w:val="001163D6"/>
    <w:rsid w:val="00120C11"/>
    <w:rsid w:val="00122F0B"/>
    <w:rsid w:val="00126481"/>
    <w:rsid w:val="001265EF"/>
    <w:rsid w:val="001330D9"/>
    <w:rsid w:val="00133698"/>
    <w:rsid w:val="001366EE"/>
    <w:rsid w:val="00143BAF"/>
    <w:rsid w:val="00145ED2"/>
    <w:rsid w:val="001462EB"/>
    <w:rsid w:val="001509AF"/>
    <w:rsid w:val="0015182A"/>
    <w:rsid w:val="001537CB"/>
    <w:rsid w:val="00155292"/>
    <w:rsid w:val="001736E1"/>
    <w:rsid w:val="0017442F"/>
    <w:rsid w:val="0017528A"/>
    <w:rsid w:val="00190ABC"/>
    <w:rsid w:val="00192F71"/>
    <w:rsid w:val="00194039"/>
    <w:rsid w:val="00195270"/>
    <w:rsid w:val="00195B19"/>
    <w:rsid w:val="001961A8"/>
    <w:rsid w:val="00196F19"/>
    <w:rsid w:val="0019701F"/>
    <w:rsid w:val="001A48A0"/>
    <w:rsid w:val="001B6A7D"/>
    <w:rsid w:val="001C6C46"/>
    <w:rsid w:val="001D2A73"/>
    <w:rsid w:val="001D6B89"/>
    <w:rsid w:val="001E7C2C"/>
    <w:rsid w:val="001F2AE4"/>
    <w:rsid w:val="001F5EB6"/>
    <w:rsid w:val="001F7F90"/>
    <w:rsid w:val="00207ADE"/>
    <w:rsid w:val="00211D79"/>
    <w:rsid w:val="0021617B"/>
    <w:rsid w:val="00244850"/>
    <w:rsid w:val="00245DFD"/>
    <w:rsid w:val="00250C8C"/>
    <w:rsid w:val="00253091"/>
    <w:rsid w:val="00256561"/>
    <w:rsid w:val="00260CEE"/>
    <w:rsid w:val="00261486"/>
    <w:rsid w:val="00282E39"/>
    <w:rsid w:val="002870E8"/>
    <w:rsid w:val="002A73F6"/>
    <w:rsid w:val="002C0861"/>
    <w:rsid w:val="002C240D"/>
    <w:rsid w:val="002C3E54"/>
    <w:rsid w:val="002C5A04"/>
    <w:rsid w:val="002D233B"/>
    <w:rsid w:val="002E134C"/>
    <w:rsid w:val="002F1B59"/>
    <w:rsid w:val="002F4766"/>
    <w:rsid w:val="00304E98"/>
    <w:rsid w:val="003056B4"/>
    <w:rsid w:val="00315273"/>
    <w:rsid w:val="0031792B"/>
    <w:rsid w:val="00320938"/>
    <w:rsid w:val="0033395C"/>
    <w:rsid w:val="00335CB7"/>
    <w:rsid w:val="0033611D"/>
    <w:rsid w:val="00341085"/>
    <w:rsid w:val="00344904"/>
    <w:rsid w:val="00361EAD"/>
    <w:rsid w:val="003657CE"/>
    <w:rsid w:val="00366119"/>
    <w:rsid w:val="003778FE"/>
    <w:rsid w:val="00385385"/>
    <w:rsid w:val="003901B3"/>
    <w:rsid w:val="00390B3C"/>
    <w:rsid w:val="00393FD6"/>
    <w:rsid w:val="00397595"/>
    <w:rsid w:val="003A0855"/>
    <w:rsid w:val="003B249F"/>
    <w:rsid w:val="003B6717"/>
    <w:rsid w:val="003C148F"/>
    <w:rsid w:val="003C27FD"/>
    <w:rsid w:val="003D470C"/>
    <w:rsid w:val="003E01C0"/>
    <w:rsid w:val="003E1EAD"/>
    <w:rsid w:val="00402F1A"/>
    <w:rsid w:val="004050F2"/>
    <w:rsid w:val="0041329A"/>
    <w:rsid w:val="0041570D"/>
    <w:rsid w:val="00420F23"/>
    <w:rsid w:val="0043144C"/>
    <w:rsid w:val="0043284D"/>
    <w:rsid w:val="00445886"/>
    <w:rsid w:val="00446060"/>
    <w:rsid w:val="004524F5"/>
    <w:rsid w:val="00452D9D"/>
    <w:rsid w:val="00457613"/>
    <w:rsid w:val="004714AF"/>
    <w:rsid w:val="00481052"/>
    <w:rsid w:val="004833FD"/>
    <w:rsid w:val="00484A72"/>
    <w:rsid w:val="00490A38"/>
    <w:rsid w:val="004A272E"/>
    <w:rsid w:val="004A30EC"/>
    <w:rsid w:val="004B719E"/>
    <w:rsid w:val="004C5873"/>
    <w:rsid w:val="004C65CD"/>
    <w:rsid w:val="004C6DF3"/>
    <w:rsid w:val="004C7F8D"/>
    <w:rsid w:val="004D7022"/>
    <w:rsid w:val="004F67BA"/>
    <w:rsid w:val="00517F6B"/>
    <w:rsid w:val="005331F5"/>
    <w:rsid w:val="00536031"/>
    <w:rsid w:val="005438BF"/>
    <w:rsid w:val="00562122"/>
    <w:rsid w:val="00577211"/>
    <w:rsid w:val="0059081C"/>
    <w:rsid w:val="0059352A"/>
    <w:rsid w:val="005A3E5D"/>
    <w:rsid w:val="005B16E3"/>
    <w:rsid w:val="005B7C83"/>
    <w:rsid w:val="005C3D41"/>
    <w:rsid w:val="005D732D"/>
    <w:rsid w:val="005E166B"/>
    <w:rsid w:val="005F5707"/>
    <w:rsid w:val="00602D21"/>
    <w:rsid w:val="00610E5D"/>
    <w:rsid w:val="0061154A"/>
    <w:rsid w:val="00612132"/>
    <w:rsid w:val="00614173"/>
    <w:rsid w:val="00615C75"/>
    <w:rsid w:val="00643349"/>
    <w:rsid w:val="00652E03"/>
    <w:rsid w:val="00672750"/>
    <w:rsid w:val="006820A6"/>
    <w:rsid w:val="00682B83"/>
    <w:rsid w:val="00684D99"/>
    <w:rsid w:val="006873B7"/>
    <w:rsid w:val="0069054A"/>
    <w:rsid w:val="006B5F23"/>
    <w:rsid w:val="006C6EE9"/>
    <w:rsid w:val="006D3116"/>
    <w:rsid w:val="006D6F10"/>
    <w:rsid w:val="006E241B"/>
    <w:rsid w:val="006E263B"/>
    <w:rsid w:val="006E5BA5"/>
    <w:rsid w:val="006E7F68"/>
    <w:rsid w:val="006F0076"/>
    <w:rsid w:val="0070059D"/>
    <w:rsid w:val="00702785"/>
    <w:rsid w:val="00706AEA"/>
    <w:rsid w:val="00711347"/>
    <w:rsid w:val="00723B25"/>
    <w:rsid w:val="007245E3"/>
    <w:rsid w:val="00724DD3"/>
    <w:rsid w:val="00740DFA"/>
    <w:rsid w:val="007532A8"/>
    <w:rsid w:val="00755699"/>
    <w:rsid w:val="00760D08"/>
    <w:rsid w:val="007661BE"/>
    <w:rsid w:val="00770220"/>
    <w:rsid w:val="00786F33"/>
    <w:rsid w:val="00794E6D"/>
    <w:rsid w:val="007A4590"/>
    <w:rsid w:val="007A48A7"/>
    <w:rsid w:val="007A64C9"/>
    <w:rsid w:val="007B6812"/>
    <w:rsid w:val="007B7986"/>
    <w:rsid w:val="007C4400"/>
    <w:rsid w:val="007D4C32"/>
    <w:rsid w:val="007E655E"/>
    <w:rsid w:val="007E7C5C"/>
    <w:rsid w:val="007F067A"/>
    <w:rsid w:val="007F5DF8"/>
    <w:rsid w:val="007F78BF"/>
    <w:rsid w:val="00810EDC"/>
    <w:rsid w:val="00811930"/>
    <w:rsid w:val="008125B7"/>
    <w:rsid w:val="00817BD7"/>
    <w:rsid w:val="0082029A"/>
    <w:rsid w:val="00821992"/>
    <w:rsid w:val="0083296F"/>
    <w:rsid w:val="00832DA0"/>
    <w:rsid w:val="008336EF"/>
    <w:rsid w:val="00833AB8"/>
    <w:rsid w:val="00844B87"/>
    <w:rsid w:val="00854D21"/>
    <w:rsid w:val="008650EA"/>
    <w:rsid w:val="008764D9"/>
    <w:rsid w:val="008814E3"/>
    <w:rsid w:val="00883A46"/>
    <w:rsid w:val="00896378"/>
    <w:rsid w:val="008A6CE5"/>
    <w:rsid w:val="008C1545"/>
    <w:rsid w:val="008C5C6B"/>
    <w:rsid w:val="008C65C8"/>
    <w:rsid w:val="008D0E81"/>
    <w:rsid w:val="008D3304"/>
    <w:rsid w:val="008E31A3"/>
    <w:rsid w:val="008E56A1"/>
    <w:rsid w:val="008F146B"/>
    <w:rsid w:val="008F696D"/>
    <w:rsid w:val="008F6D36"/>
    <w:rsid w:val="00912A70"/>
    <w:rsid w:val="00920638"/>
    <w:rsid w:val="00930264"/>
    <w:rsid w:val="009307AE"/>
    <w:rsid w:val="00931FE2"/>
    <w:rsid w:val="00942C75"/>
    <w:rsid w:val="009522FF"/>
    <w:rsid w:val="00956873"/>
    <w:rsid w:val="00956983"/>
    <w:rsid w:val="00995FD8"/>
    <w:rsid w:val="009C0EA7"/>
    <w:rsid w:val="009D30FB"/>
    <w:rsid w:val="009F08F1"/>
    <w:rsid w:val="009F7FAC"/>
    <w:rsid w:val="00A11B86"/>
    <w:rsid w:val="00A22E26"/>
    <w:rsid w:val="00A22E97"/>
    <w:rsid w:val="00A30E3E"/>
    <w:rsid w:val="00A35A84"/>
    <w:rsid w:val="00A3633B"/>
    <w:rsid w:val="00A51080"/>
    <w:rsid w:val="00A518B9"/>
    <w:rsid w:val="00A51EAC"/>
    <w:rsid w:val="00A520BA"/>
    <w:rsid w:val="00A539AE"/>
    <w:rsid w:val="00A6088F"/>
    <w:rsid w:val="00A64129"/>
    <w:rsid w:val="00A70297"/>
    <w:rsid w:val="00A7482C"/>
    <w:rsid w:val="00A74D14"/>
    <w:rsid w:val="00A82651"/>
    <w:rsid w:val="00A831E2"/>
    <w:rsid w:val="00A9571A"/>
    <w:rsid w:val="00AA5CF0"/>
    <w:rsid w:val="00AB457B"/>
    <w:rsid w:val="00AB5DF7"/>
    <w:rsid w:val="00AC1761"/>
    <w:rsid w:val="00AC636F"/>
    <w:rsid w:val="00AD2DD5"/>
    <w:rsid w:val="00AD4227"/>
    <w:rsid w:val="00AE0769"/>
    <w:rsid w:val="00AE6751"/>
    <w:rsid w:val="00B02341"/>
    <w:rsid w:val="00B05D51"/>
    <w:rsid w:val="00B260C2"/>
    <w:rsid w:val="00B400CD"/>
    <w:rsid w:val="00B474B6"/>
    <w:rsid w:val="00B50194"/>
    <w:rsid w:val="00B53798"/>
    <w:rsid w:val="00B75199"/>
    <w:rsid w:val="00B77A52"/>
    <w:rsid w:val="00B86C64"/>
    <w:rsid w:val="00BA1A7C"/>
    <w:rsid w:val="00BA29E4"/>
    <w:rsid w:val="00BB00FB"/>
    <w:rsid w:val="00BB0165"/>
    <w:rsid w:val="00BB0631"/>
    <w:rsid w:val="00BC0138"/>
    <w:rsid w:val="00BD4483"/>
    <w:rsid w:val="00BD5832"/>
    <w:rsid w:val="00BE73DF"/>
    <w:rsid w:val="00BE7784"/>
    <w:rsid w:val="00BF0446"/>
    <w:rsid w:val="00BF333C"/>
    <w:rsid w:val="00C14AAC"/>
    <w:rsid w:val="00C2501D"/>
    <w:rsid w:val="00C35443"/>
    <w:rsid w:val="00C37652"/>
    <w:rsid w:val="00C456DD"/>
    <w:rsid w:val="00C535D4"/>
    <w:rsid w:val="00C636CC"/>
    <w:rsid w:val="00C64CF0"/>
    <w:rsid w:val="00C77F71"/>
    <w:rsid w:val="00C81757"/>
    <w:rsid w:val="00C86AA3"/>
    <w:rsid w:val="00CA0205"/>
    <w:rsid w:val="00CA7535"/>
    <w:rsid w:val="00CB5517"/>
    <w:rsid w:val="00CC1252"/>
    <w:rsid w:val="00CD0DAB"/>
    <w:rsid w:val="00CD4F0E"/>
    <w:rsid w:val="00CE1F0B"/>
    <w:rsid w:val="00CE3404"/>
    <w:rsid w:val="00CE44A5"/>
    <w:rsid w:val="00CF24D4"/>
    <w:rsid w:val="00CF7FEF"/>
    <w:rsid w:val="00D16689"/>
    <w:rsid w:val="00D16FEE"/>
    <w:rsid w:val="00D256A1"/>
    <w:rsid w:val="00D356F9"/>
    <w:rsid w:val="00D40290"/>
    <w:rsid w:val="00D435FF"/>
    <w:rsid w:val="00D46D60"/>
    <w:rsid w:val="00D5239F"/>
    <w:rsid w:val="00D5727F"/>
    <w:rsid w:val="00D57798"/>
    <w:rsid w:val="00D621A8"/>
    <w:rsid w:val="00D65387"/>
    <w:rsid w:val="00D81726"/>
    <w:rsid w:val="00D91F07"/>
    <w:rsid w:val="00D927E7"/>
    <w:rsid w:val="00DA3249"/>
    <w:rsid w:val="00DA4C8C"/>
    <w:rsid w:val="00DB4B0C"/>
    <w:rsid w:val="00DC6512"/>
    <w:rsid w:val="00DD5CDB"/>
    <w:rsid w:val="00E01AC8"/>
    <w:rsid w:val="00E10A35"/>
    <w:rsid w:val="00E20B41"/>
    <w:rsid w:val="00E22FB0"/>
    <w:rsid w:val="00E2596C"/>
    <w:rsid w:val="00E305C5"/>
    <w:rsid w:val="00E43765"/>
    <w:rsid w:val="00E56169"/>
    <w:rsid w:val="00E6245C"/>
    <w:rsid w:val="00E75461"/>
    <w:rsid w:val="00E9040D"/>
    <w:rsid w:val="00E911BC"/>
    <w:rsid w:val="00E92BB6"/>
    <w:rsid w:val="00EA3F97"/>
    <w:rsid w:val="00EC43D5"/>
    <w:rsid w:val="00ED0DC8"/>
    <w:rsid w:val="00ED364C"/>
    <w:rsid w:val="00F0542F"/>
    <w:rsid w:val="00F1104F"/>
    <w:rsid w:val="00F11061"/>
    <w:rsid w:val="00F15C2C"/>
    <w:rsid w:val="00F35E9B"/>
    <w:rsid w:val="00F44DA1"/>
    <w:rsid w:val="00F4695C"/>
    <w:rsid w:val="00F50F9B"/>
    <w:rsid w:val="00F51413"/>
    <w:rsid w:val="00F53424"/>
    <w:rsid w:val="00F703E4"/>
    <w:rsid w:val="00F846F0"/>
    <w:rsid w:val="00F87E96"/>
    <w:rsid w:val="00F9329C"/>
    <w:rsid w:val="00F9341A"/>
    <w:rsid w:val="00F94772"/>
    <w:rsid w:val="00F97981"/>
    <w:rsid w:val="00FA6ACB"/>
    <w:rsid w:val="00FA78A1"/>
    <w:rsid w:val="00FB1B1E"/>
    <w:rsid w:val="00FB4E8B"/>
    <w:rsid w:val="00FC6E6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E1534"/>
  <w15:chartTrackingRefBased/>
  <w15:docId w15:val="{2349A7F6-0541-4E74-8859-749DA5EB4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78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27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2785"/>
    <w:rPr>
      <w:rFonts w:eastAsiaTheme="minorEastAsia"/>
      <w:lang w:val="en-US"/>
    </w:rPr>
  </w:style>
  <w:style w:type="character" w:customStyle="1" w:styleId="Heading1Char">
    <w:name w:val="Heading 1 Char"/>
    <w:basedOn w:val="DefaultParagraphFont"/>
    <w:link w:val="Heading1"/>
    <w:uiPriority w:val="9"/>
    <w:rsid w:val="0070278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E07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58984">
      <w:bodyDiv w:val="1"/>
      <w:marLeft w:val="0"/>
      <w:marRight w:val="0"/>
      <w:marTop w:val="0"/>
      <w:marBottom w:val="0"/>
      <w:divBdr>
        <w:top w:val="none" w:sz="0" w:space="0" w:color="auto"/>
        <w:left w:val="none" w:sz="0" w:space="0" w:color="auto"/>
        <w:bottom w:val="none" w:sz="0" w:space="0" w:color="auto"/>
        <w:right w:val="none" w:sz="0" w:space="0" w:color="auto"/>
      </w:divBdr>
    </w:div>
    <w:div w:id="60493463">
      <w:bodyDiv w:val="1"/>
      <w:marLeft w:val="0"/>
      <w:marRight w:val="0"/>
      <w:marTop w:val="0"/>
      <w:marBottom w:val="0"/>
      <w:divBdr>
        <w:top w:val="none" w:sz="0" w:space="0" w:color="auto"/>
        <w:left w:val="none" w:sz="0" w:space="0" w:color="auto"/>
        <w:bottom w:val="none" w:sz="0" w:space="0" w:color="auto"/>
        <w:right w:val="none" w:sz="0" w:space="0" w:color="auto"/>
      </w:divBdr>
    </w:div>
    <w:div w:id="72748989">
      <w:bodyDiv w:val="1"/>
      <w:marLeft w:val="0"/>
      <w:marRight w:val="0"/>
      <w:marTop w:val="0"/>
      <w:marBottom w:val="0"/>
      <w:divBdr>
        <w:top w:val="none" w:sz="0" w:space="0" w:color="auto"/>
        <w:left w:val="none" w:sz="0" w:space="0" w:color="auto"/>
        <w:bottom w:val="none" w:sz="0" w:space="0" w:color="auto"/>
        <w:right w:val="none" w:sz="0" w:space="0" w:color="auto"/>
      </w:divBdr>
    </w:div>
    <w:div w:id="105540360">
      <w:bodyDiv w:val="1"/>
      <w:marLeft w:val="0"/>
      <w:marRight w:val="0"/>
      <w:marTop w:val="0"/>
      <w:marBottom w:val="0"/>
      <w:divBdr>
        <w:top w:val="none" w:sz="0" w:space="0" w:color="auto"/>
        <w:left w:val="none" w:sz="0" w:space="0" w:color="auto"/>
        <w:bottom w:val="none" w:sz="0" w:space="0" w:color="auto"/>
        <w:right w:val="none" w:sz="0" w:space="0" w:color="auto"/>
      </w:divBdr>
    </w:div>
    <w:div w:id="208538117">
      <w:bodyDiv w:val="1"/>
      <w:marLeft w:val="0"/>
      <w:marRight w:val="0"/>
      <w:marTop w:val="0"/>
      <w:marBottom w:val="0"/>
      <w:divBdr>
        <w:top w:val="none" w:sz="0" w:space="0" w:color="auto"/>
        <w:left w:val="none" w:sz="0" w:space="0" w:color="auto"/>
        <w:bottom w:val="none" w:sz="0" w:space="0" w:color="auto"/>
        <w:right w:val="none" w:sz="0" w:space="0" w:color="auto"/>
      </w:divBdr>
    </w:div>
    <w:div w:id="369114500">
      <w:bodyDiv w:val="1"/>
      <w:marLeft w:val="0"/>
      <w:marRight w:val="0"/>
      <w:marTop w:val="0"/>
      <w:marBottom w:val="0"/>
      <w:divBdr>
        <w:top w:val="none" w:sz="0" w:space="0" w:color="auto"/>
        <w:left w:val="none" w:sz="0" w:space="0" w:color="auto"/>
        <w:bottom w:val="none" w:sz="0" w:space="0" w:color="auto"/>
        <w:right w:val="none" w:sz="0" w:space="0" w:color="auto"/>
      </w:divBdr>
    </w:div>
    <w:div w:id="465704004">
      <w:bodyDiv w:val="1"/>
      <w:marLeft w:val="0"/>
      <w:marRight w:val="0"/>
      <w:marTop w:val="0"/>
      <w:marBottom w:val="0"/>
      <w:divBdr>
        <w:top w:val="none" w:sz="0" w:space="0" w:color="auto"/>
        <w:left w:val="none" w:sz="0" w:space="0" w:color="auto"/>
        <w:bottom w:val="none" w:sz="0" w:space="0" w:color="auto"/>
        <w:right w:val="none" w:sz="0" w:space="0" w:color="auto"/>
      </w:divBdr>
    </w:div>
    <w:div w:id="483933732">
      <w:bodyDiv w:val="1"/>
      <w:marLeft w:val="0"/>
      <w:marRight w:val="0"/>
      <w:marTop w:val="0"/>
      <w:marBottom w:val="0"/>
      <w:divBdr>
        <w:top w:val="none" w:sz="0" w:space="0" w:color="auto"/>
        <w:left w:val="none" w:sz="0" w:space="0" w:color="auto"/>
        <w:bottom w:val="none" w:sz="0" w:space="0" w:color="auto"/>
        <w:right w:val="none" w:sz="0" w:space="0" w:color="auto"/>
      </w:divBdr>
    </w:div>
    <w:div w:id="486675814">
      <w:bodyDiv w:val="1"/>
      <w:marLeft w:val="0"/>
      <w:marRight w:val="0"/>
      <w:marTop w:val="0"/>
      <w:marBottom w:val="0"/>
      <w:divBdr>
        <w:top w:val="none" w:sz="0" w:space="0" w:color="auto"/>
        <w:left w:val="none" w:sz="0" w:space="0" w:color="auto"/>
        <w:bottom w:val="none" w:sz="0" w:space="0" w:color="auto"/>
        <w:right w:val="none" w:sz="0" w:space="0" w:color="auto"/>
      </w:divBdr>
    </w:div>
    <w:div w:id="493037610">
      <w:bodyDiv w:val="1"/>
      <w:marLeft w:val="0"/>
      <w:marRight w:val="0"/>
      <w:marTop w:val="0"/>
      <w:marBottom w:val="0"/>
      <w:divBdr>
        <w:top w:val="none" w:sz="0" w:space="0" w:color="auto"/>
        <w:left w:val="none" w:sz="0" w:space="0" w:color="auto"/>
        <w:bottom w:val="none" w:sz="0" w:space="0" w:color="auto"/>
        <w:right w:val="none" w:sz="0" w:space="0" w:color="auto"/>
      </w:divBdr>
    </w:div>
    <w:div w:id="510149141">
      <w:bodyDiv w:val="1"/>
      <w:marLeft w:val="0"/>
      <w:marRight w:val="0"/>
      <w:marTop w:val="0"/>
      <w:marBottom w:val="0"/>
      <w:divBdr>
        <w:top w:val="none" w:sz="0" w:space="0" w:color="auto"/>
        <w:left w:val="none" w:sz="0" w:space="0" w:color="auto"/>
        <w:bottom w:val="none" w:sz="0" w:space="0" w:color="auto"/>
        <w:right w:val="none" w:sz="0" w:space="0" w:color="auto"/>
      </w:divBdr>
    </w:div>
    <w:div w:id="522324191">
      <w:bodyDiv w:val="1"/>
      <w:marLeft w:val="0"/>
      <w:marRight w:val="0"/>
      <w:marTop w:val="0"/>
      <w:marBottom w:val="0"/>
      <w:divBdr>
        <w:top w:val="none" w:sz="0" w:space="0" w:color="auto"/>
        <w:left w:val="none" w:sz="0" w:space="0" w:color="auto"/>
        <w:bottom w:val="none" w:sz="0" w:space="0" w:color="auto"/>
        <w:right w:val="none" w:sz="0" w:space="0" w:color="auto"/>
      </w:divBdr>
    </w:div>
    <w:div w:id="523137551">
      <w:bodyDiv w:val="1"/>
      <w:marLeft w:val="0"/>
      <w:marRight w:val="0"/>
      <w:marTop w:val="0"/>
      <w:marBottom w:val="0"/>
      <w:divBdr>
        <w:top w:val="none" w:sz="0" w:space="0" w:color="auto"/>
        <w:left w:val="none" w:sz="0" w:space="0" w:color="auto"/>
        <w:bottom w:val="none" w:sz="0" w:space="0" w:color="auto"/>
        <w:right w:val="none" w:sz="0" w:space="0" w:color="auto"/>
      </w:divBdr>
    </w:div>
    <w:div w:id="571044648">
      <w:bodyDiv w:val="1"/>
      <w:marLeft w:val="0"/>
      <w:marRight w:val="0"/>
      <w:marTop w:val="0"/>
      <w:marBottom w:val="0"/>
      <w:divBdr>
        <w:top w:val="none" w:sz="0" w:space="0" w:color="auto"/>
        <w:left w:val="none" w:sz="0" w:space="0" w:color="auto"/>
        <w:bottom w:val="none" w:sz="0" w:space="0" w:color="auto"/>
        <w:right w:val="none" w:sz="0" w:space="0" w:color="auto"/>
      </w:divBdr>
    </w:div>
    <w:div w:id="604843619">
      <w:bodyDiv w:val="1"/>
      <w:marLeft w:val="0"/>
      <w:marRight w:val="0"/>
      <w:marTop w:val="0"/>
      <w:marBottom w:val="0"/>
      <w:divBdr>
        <w:top w:val="none" w:sz="0" w:space="0" w:color="auto"/>
        <w:left w:val="none" w:sz="0" w:space="0" w:color="auto"/>
        <w:bottom w:val="none" w:sz="0" w:space="0" w:color="auto"/>
        <w:right w:val="none" w:sz="0" w:space="0" w:color="auto"/>
      </w:divBdr>
    </w:div>
    <w:div w:id="608045747">
      <w:bodyDiv w:val="1"/>
      <w:marLeft w:val="0"/>
      <w:marRight w:val="0"/>
      <w:marTop w:val="0"/>
      <w:marBottom w:val="0"/>
      <w:divBdr>
        <w:top w:val="none" w:sz="0" w:space="0" w:color="auto"/>
        <w:left w:val="none" w:sz="0" w:space="0" w:color="auto"/>
        <w:bottom w:val="none" w:sz="0" w:space="0" w:color="auto"/>
        <w:right w:val="none" w:sz="0" w:space="0" w:color="auto"/>
      </w:divBdr>
    </w:div>
    <w:div w:id="645863274">
      <w:bodyDiv w:val="1"/>
      <w:marLeft w:val="0"/>
      <w:marRight w:val="0"/>
      <w:marTop w:val="0"/>
      <w:marBottom w:val="0"/>
      <w:divBdr>
        <w:top w:val="none" w:sz="0" w:space="0" w:color="auto"/>
        <w:left w:val="none" w:sz="0" w:space="0" w:color="auto"/>
        <w:bottom w:val="none" w:sz="0" w:space="0" w:color="auto"/>
        <w:right w:val="none" w:sz="0" w:space="0" w:color="auto"/>
      </w:divBdr>
    </w:div>
    <w:div w:id="702706559">
      <w:bodyDiv w:val="1"/>
      <w:marLeft w:val="0"/>
      <w:marRight w:val="0"/>
      <w:marTop w:val="0"/>
      <w:marBottom w:val="0"/>
      <w:divBdr>
        <w:top w:val="none" w:sz="0" w:space="0" w:color="auto"/>
        <w:left w:val="none" w:sz="0" w:space="0" w:color="auto"/>
        <w:bottom w:val="none" w:sz="0" w:space="0" w:color="auto"/>
        <w:right w:val="none" w:sz="0" w:space="0" w:color="auto"/>
      </w:divBdr>
    </w:div>
    <w:div w:id="719014063">
      <w:bodyDiv w:val="1"/>
      <w:marLeft w:val="0"/>
      <w:marRight w:val="0"/>
      <w:marTop w:val="0"/>
      <w:marBottom w:val="0"/>
      <w:divBdr>
        <w:top w:val="none" w:sz="0" w:space="0" w:color="auto"/>
        <w:left w:val="none" w:sz="0" w:space="0" w:color="auto"/>
        <w:bottom w:val="none" w:sz="0" w:space="0" w:color="auto"/>
        <w:right w:val="none" w:sz="0" w:space="0" w:color="auto"/>
      </w:divBdr>
    </w:div>
    <w:div w:id="719787610">
      <w:bodyDiv w:val="1"/>
      <w:marLeft w:val="0"/>
      <w:marRight w:val="0"/>
      <w:marTop w:val="0"/>
      <w:marBottom w:val="0"/>
      <w:divBdr>
        <w:top w:val="none" w:sz="0" w:space="0" w:color="auto"/>
        <w:left w:val="none" w:sz="0" w:space="0" w:color="auto"/>
        <w:bottom w:val="none" w:sz="0" w:space="0" w:color="auto"/>
        <w:right w:val="none" w:sz="0" w:space="0" w:color="auto"/>
      </w:divBdr>
    </w:div>
    <w:div w:id="724791281">
      <w:bodyDiv w:val="1"/>
      <w:marLeft w:val="0"/>
      <w:marRight w:val="0"/>
      <w:marTop w:val="0"/>
      <w:marBottom w:val="0"/>
      <w:divBdr>
        <w:top w:val="none" w:sz="0" w:space="0" w:color="auto"/>
        <w:left w:val="none" w:sz="0" w:space="0" w:color="auto"/>
        <w:bottom w:val="none" w:sz="0" w:space="0" w:color="auto"/>
        <w:right w:val="none" w:sz="0" w:space="0" w:color="auto"/>
      </w:divBdr>
    </w:div>
    <w:div w:id="746539681">
      <w:bodyDiv w:val="1"/>
      <w:marLeft w:val="0"/>
      <w:marRight w:val="0"/>
      <w:marTop w:val="0"/>
      <w:marBottom w:val="0"/>
      <w:divBdr>
        <w:top w:val="none" w:sz="0" w:space="0" w:color="auto"/>
        <w:left w:val="none" w:sz="0" w:space="0" w:color="auto"/>
        <w:bottom w:val="none" w:sz="0" w:space="0" w:color="auto"/>
        <w:right w:val="none" w:sz="0" w:space="0" w:color="auto"/>
      </w:divBdr>
    </w:div>
    <w:div w:id="825702892">
      <w:bodyDiv w:val="1"/>
      <w:marLeft w:val="0"/>
      <w:marRight w:val="0"/>
      <w:marTop w:val="0"/>
      <w:marBottom w:val="0"/>
      <w:divBdr>
        <w:top w:val="none" w:sz="0" w:space="0" w:color="auto"/>
        <w:left w:val="none" w:sz="0" w:space="0" w:color="auto"/>
        <w:bottom w:val="none" w:sz="0" w:space="0" w:color="auto"/>
        <w:right w:val="none" w:sz="0" w:space="0" w:color="auto"/>
      </w:divBdr>
    </w:div>
    <w:div w:id="900676590">
      <w:bodyDiv w:val="1"/>
      <w:marLeft w:val="0"/>
      <w:marRight w:val="0"/>
      <w:marTop w:val="0"/>
      <w:marBottom w:val="0"/>
      <w:divBdr>
        <w:top w:val="none" w:sz="0" w:space="0" w:color="auto"/>
        <w:left w:val="none" w:sz="0" w:space="0" w:color="auto"/>
        <w:bottom w:val="none" w:sz="0" w:space="0" w:color="auto"/>
        <w:right w:val="none" w:sz="0" w:space="0" w:color="auto"/>
      </w:divBdr>
    </w:div>
    <w:div w:id="969365026">
      <w:bodyDiv w:val="1"/>
      <w:marLeft w:val="0"/>
      <w:marRight w:val="0"/>
      <w:marTop w:val="0"/>
      <w:marBottom w:val="0"/>
      <w:divBdr>
        <w:top w:val="none" w:sz="0" w:space="0" w:color="auto"/>
        <w:left w:val="none" w:sz="0" w:space="0" w:color="auto"/>
        <w:bottom w:val="none" w:sz="0" w:space="0" w:color="auto"/>
        <w:right w:val="none" w:sz="0" w:space="0" w:color="auto"/>
      </w:divBdr>
    </w:div>
    <w:div w:id="1012073787">
      <w:bodyDiv w:val="1"/>
      <w:marLeft w:val="0"/>
      <w:marRight w:val="0"/>
      <w:marTop w:val="0"/>
      <w:marBottom w:val="0"/>
      <w:divBdr>
        <w:top w:val="none" w:sz="0" w:space="0" w:color="auto"/>
        <w:left w:val="none" w:sz="0" w:space="0" w:color="auto"/>
        <w:bottom w:val="none" w:sz="0" w:space="0" w:color="auto"/>
        <w:right w:val="none" w:sz="0" w:space="0" w:color="auto"/>
      </w:divBdr>
    </w:div>
    <w:div w:id="1075085075">
      <w:bodyDiv w:val="1"/>
      <w:marLeft w:val="0"/>
      <w:marRight w:val="0"/>
      <w:marTop w:val="0"/>
      <w:marBottom w:val="0"/>
      <w:divBdr>
        <w:top w:val="none" w:sz="0" w:space="0" w:color="auto"/>
        <w:left w:val="none" w:sz="0" w:space="0" w:color="auto"/>
        <w:bottom w:val="none" w:sz="0" w:space="0" w:color="auto"/>
        <w:right w:val="none" w:sz="0" w:space="0" w:color="auto"/>
      </w:divBdr>
    </w:div>
    <w:div w:id="1149446573">
      <w:bodyDiv w:val="1"/>
      <w:marLeft w:val="0"/>
      <w:marRight w:val="0"/>
      <w:marTop w:val="0"/>
      <w:marBottom w:val="0"/>
      <w:divBdr>
        <w:top w:val="none" w:sz="0" w:space="0" w:color="auto"/>
        <w:left w:val="none" w:sz="0" w:space="0" w:color="auto"/>
        <w:bottom w:val="none" w:sz="0" w:space="0" w:color="auto"/>
        <w:right w:val="none" w:sz="0" w:space="0" w:color="auto"/>
      </w:divBdr>
    </w:div>
    <w:div w:id="1168247312">
      <w:bodyDiv w:val="1"/>
      <w:marLeft w:val="0"/>
      <w:marRight w:val="0"/>
      <w:marTop w:val="0"/>
      <w:marBottom w:val="0"/>
      <w:divBdr>
        <w:top w:val="none" w:sz="0" w:space="0" w:color="auto"/>
        <w:left w:val="none" w:sz="0" w:space="0" w:color="auto"/>
        <w:bottom w:val="none" w:sz="0" w:space="0" w:color="auto"/>
        <w:right w:val="none" w:sz="0" w:space="0" w:color="auto"/>
      </w:divBdr>
    </w:div>
    <w:div w:id="1168863391">
      <w:bodyDiv w:val="1"/>
      <w:marLeft w:val="0"/>
      <w:marRight w:val="0"/>
      <w:marTop w:val="0"/>
      <w:marBottom w:val="0"/>
      <w:divBdr>
        <w:top w:val="none" w:sz="0" w:space="0" w:color="auto"/>
        <w:left w:val="none" w:sz="0" w:space="0" w:color="auto"/>
        <w:bottom w:val="none" w:sz="0" w:space="0" w:color="auto"/>
        <w:right w:val="none" w:sz="0" w:space="0" w:color="auto"/>
      </w:divBdr>
    </w:div>
    <w:div w:id="1222789361">
      <w:bodyDiv w:val="1"/>
      <w:marLeft w:val="0"/>
      <w:marRight w:val="0"/>
      <w:marTop w:val="0"/>
      <w:marBottom w:val="0"/>
      <w:divBdr>
        <w:top w:val="none" w:sz="0" w:space="0" w:color="auto"/>
        <w:left w:val="none" w:sz="0" w:space="0" w:color="auto"/>
        <w:bottom w:val="none" w:sz="0" w:space="0" w:color="auto"/>
        <w:right w:val="none" w:sz="0" w:space="0" w:color="auto"/>
      </w:divBdr>
    </w:div>
    <w:div w:id="1258250540">
      <w:bodyDiv w:val="1"/>
      <w:marLeft w:val="0"/>
      <w:marRight w:val="0"/>
      <w:marTop w:val="0"/>
      <w:marBottom w:val="0"/>
      <w:divBdr>
        <w:top w:val="none" w:sz="0" w:space="0" w:color="auto"/>
        <w:left w:val="none" w:sz="0" w:space="0" w:color="auto"/>
        <w:bottom w:val="none" w:sz="0" w:space="0" w:color="auto"/>
        <w:right w:val="none" w:sz="0" w:space="0" w:color="auto"/>
      </w:divBdr>
    </w:div>
    <w:div w:id="1280646596">
      <w:bodyDiv w:val="1"/>
      <w:marLeft w:val="0"/>
      <w:marRight w:val="0"/>
      <w:marTop w:val="0"/>
      <w:marBottom w:val="0"/>
      <w:divBdr>
        <w:top w:val="none" w:sz="0" w:space="0" w:color="auto"/>
        <w:left w:val="none" w:sz="0" w:space="0" w:color="auto"/>
        <w:bottom w:val="none" w:sz="0" w:space="0" w:color="auto"/>
        <w:right w:val="none" w:sz="0" w:space="0" w:color="auto"/>
      </w:divBdr>
    </w:div>
    <w:div w:id="1378773526">
      <w:bodyDiv w:val="1"/>
      <w:marLeft w:val="0"/>
      <w:marRight w:val="0"/>
      <w:marTop w:val="0"/>
      <w:marBottom w:val="0"/>
      <w:divBdr>
        <w:top w:val="none" w:sz="0" w:space="0" w:color="auto"/>
        <w:left w:val="none" w:sz="0" w:space="0" w:color="auto"/>
        <w:bottom w:val="none" w:sz="0" w:space="0" w:color="auto"/>
        <w:right w:val="none" w:sz="0" w:space="0" w:color="auto"/>
      </w:divBdr>
    </w:div>
    <w:div w:id="1432044795">
      <w:bodyDiv w:val="1"/>
      <w:marLeft w:val="0"/>
      <w:marRight w:val="0"/>
      <w:marTop w:val="0"/>
      <w:marBottom w:val="0"/>
      <w:divBdr>
        <w:top w:val="none" w:sz="0" w:space="0" w:color="auto"/>
        <w:left w:val="none" w:sz="0" w:space="0" w:color="auto"/>
        <w:bottom w:val="none" w:sz="0" w:space="0" w:color="auto"/>
        <w:right w:val="none" w:sz="0" w:space="0" w:color="auto"/>
      </w:divBdr>
    </w:div>
    <w:div w:id="1568105625">
      <w:bodyDiv w:val="1"/>
      <w:marLeft w:val="0"/>
      <w:marRight w:val="0"/>
      <w:marTop w:val="0"/>
      <w:marBottom w:val="0"/>
      <w:divBdr>
        <w:top w:val="none" w:sz="0" w:space="0" w:color="auto"/>
        <w:left w:val="none" w:sz="0" w:space="0" w:color="auto"/>
        <w:bottom w:val="none" w:sz="0" w:space="0" w:color="auto"/>
        <w:right w:val="none" w:sz="0" w:space="0" w:color="auto"/>
      </w:divBdr>
    </w:div>
    <w:div w:id="1581209240">
      <w:bodyDiv w:val="1"/>
      <w:marLeft w:val="0"/>
      <w:marRight w:val="0"/>
      <w:marTop w:val="0"/>
      <w:marBottom w:val="0"/>
      <w:divBdr>
        <w:top w:val="none" w:sz="0" w:space="0" w:color="auto"/>
        <w:left w:val="none" w:sz="0" w:space="0" w:color="auto"/>
        <w:bottom w:val="none" w:sz="0" w:space="0" w:color="auto"/>
        <w:right w:val="none" w:sz="0" w:space="0" w:color="auto"/>
      </w:divBdr>
    </w:div>
    <w:div w:id="1597784725">
      <w:bodyDiv w:val="1"/>
      <w:marLeft w:val="0"/>
      <w:marRight w:val="0"/>
      <w:marTop w:val="0"/>
      <w:marBottom w:val="0"/>
      <w:divBdr>
        <w:top w:val="none" w:sz="0" w:space="0" w:color="auto"/>
        <w:left w:val="none" w:sz="0" w:space="0" w:color="auto"/>
        <w:bottom w:val="none" w:sz="0" w:space="0" w:color="auto"/>
        <w:right w:val="none" w:sz="0" w:space="0" w:color="auto"/>
      </w:divBdr>
    </w:div>
    <w:div w:id="1606428366">
      <w:bodyDiv w:val="1"/>
      <w:marLeft w:val="0"/>
      <w:marRight w:val="0"/>
      <w:marTop w:val="0"/>
      <w:marBottom w:val="0"/>
      <w:divBdr>
        <w:top w:val="none" w:sz="0" w:space="0" w:color="auto"/>
        <w:left w:val="none" w:sz="0" w:space="0" w:color="auto"/>
        <w:bottom w:val="none" w:sz="0" w:space="0" w:color="auto"/>
        <w:right w:val="none" w:sz="0" w:space="0" w:color="auto"/>
      </w:divBdr>
    </w:div>
    <w:div w:id="1650207099">
      <w:bodyDiv w:val="1"/>
      <w:marLeft w:val="0"/>
      <w:marRight w:val="0"/>
      <w:marTop w:val="0"/>
      <w:marBottom w:val="0"/>
      <w:divBdr>
        <w:top w:val="none" w:sz="0" w:space="0" w:color="auto"/>
        <w:left w:val="none" w:sz="0" w:space="0" w:color="auto"/>
        <w:bottom w:val="none" w:sz="0" w:space="0" w:color="auto"/>
        <w:right w:val="none" w:sz="0" w:space="0" w:color="auto"/>
      </w:divBdr>
    </w:div>
    <w:div w:id="1678382803">
      <w:bodyDiv w:val="1"/>
      <w:marLeft w:val="0"/>
      <w:marRight w:val="0"/>
      <w:marTop w:val="0"/>
      <w:marBottom w:val="0"/>
      <w:divBdr>
        <w:top w:val="none" w:sz="0" w:space="0" w:color="auto"/>
        <w:left w:val="none" w:sz="0" w:space="0" w:color="auto"/>
        <w:bottom w:val="none" w:sz="0" w:space="0" w:color="auto"/>
        <w:right w:val="none" w:sz="0" w:space="0" w:color="auto"/>
      </w:divBdr>
    </w:div>
    <w:div w:id="1757290672">
      <w:bodyDiv w:val="1"/>
      <w:marLeft w:val="0"/>
      <w:marRight w:val="0"/>
      <w:marTop w:val="0"/>
      <w:marBottom w:val="0"/>
      <w:divBdr>
        <w:top w:val="none" w:sz="0" w:space="0" w:color="auto"/>
        <w:left w:val="none" w:sz="0" w:space="0" w:color="auto"/>
        <w:bottom w:val="none" w:sz="0" w:space="0" w:color="auto"/>
        <w:right w:val="none" w:sz="0" w:space="0" w:color="auto"/>
      </w:divBdr>
    </w:div>
    <w:div w:id="1899125722">
      <w:bodyDiv w:val="1"/>
      <w:marLeft w:val="0"/>
      <w:marRight w:val="0"/>
      <w:marTop w:val="0"/>
      <w:marBottom w:val="0"/>
      <w:divBdr>
        <w:top w:val="none" w:sz="0" w:space="0" w:color="auto"/>
        <w:left w:val="none" w:sz="0" w:space="0" w:color="auto"/>
        <w:bottom w:val="none" w:sz="0" w:space="0" w:color="auto"/>
        <w:right w:val="none" w:sz="0" w:space="0" w:color="auto"/>
      </w:divBdr>
    </w:div>
    <w:div w:id="1924993317">
      <w:bodyDiv w:val="1"/>
      <w:marLeft w:val="0"/>
      <w:marRight w:val="0"/>
      <w:marTop w:val="0"/>
      <w:marBottom w:val="0"/>
      <w:divBdr>
        <w:top w:val="none" w:sz="0" w:space="0" w:color="auto"/>
        <w:left w:val="none" w:sz="0" w:space="0" w:color="auto"/>
        <w:bottom w:val="none" w:sz="0" w:space="0" w:color="auto"/>
        <w:right w:val="none" w:sz="0" w:space="0" w:color="auto"/>
      </w:divBdr>
    </w:div>
    <w:div w:id="1997761086">
      <w:bodyDiv w:val="1"/>
      <w:marLeft w:val="0"/>
      <w:marRight w:val="0"/>
      <w:marTop w:val="0"/>
      <w:marBottom w:val="0"/>
      <w:divBdr>
        <w:top w:val="none" w:sz="0" w:space="0" w:color="auto"/>
        <w:left w:val="none" w:sz="0" w:space="0" w:color="auto"/>
        <w:bottom w:val="none" w:sz="0" w:space="0" w:color="auto"/>
        <w:right w:val="none" w:sz="0" w:space="0" w:color="auto"/>
      </w:divBdr>
    </w:div>
    <w:div w:id="2002467125">
      <w:bodyDiv w:val="1"/>
      <w:marLeft w:val="0"/>
      <w:marRight w:val="0"/>
      <w:marTop w:val="0"/>
      <w:marBottom w:val="0"/>
      <w:divBdr>
        <w:top w:val="none" w:sz="0" w:space="0" w:color="auto"/>
        <w:left w:val="none" w:sz="0" w:space="0" w:color="auto"/>
        <w:bottom w:val="none" w:sz="0" w:space="0" w:color="auto"/>
        <w:right w:val="none" w:sz="0" w:space="0" w:color="auto"/>
      </w:divBdr>
    </w:div>
    <w:div w:id="2025980862">
      <w:bodyDiv w:val="1"/>
      <w:marLeft w:val="0"/>
      <w:marRight w:val="0"/>
      <w:marTop w:val="0"/>
      <w:marBottom w:val="0"/>
      <w:divBdr>
        <w:top w:val="none" w:sz="0" w:space="0" w:color="auto"/>
        <w:left w:val="none" w:sz="0" w:space="0" w:color="auto"/>
        <w:bottom w:val="none" w:sz="0" w:space="0" w:color="auto"/>
        <w:right w:val="none" w:sz="0" w:space="0" w:color="auto"/>
      </w:divBdr>
    </w:div>
    <w:div w:id="2027048935">
      <w:bodyDiv w:val="1"/>
      <w:marLeft w:val="0"/>
      <w:marRight w:val="0"/>
      <w:marTop w:val="0"/>
      <w:marBottom w:val="0"/>
      <w:divBdr>
        <w:top w:val="none" w:sz="0" w:space="0" w:color="auto"/>
        <w:left w:val="none" w:sz="0" w:space="0" w:color="auto"/>
        <w:bottom w:val="none" w:sz="0" w:space="0" w:color="auto"/>
        <w:right w:val="none" w:sz="0" w:space="0" w:color="auto"/>
      </w:divBdr>
    </w:div>
    <w:div w:id="2031954628">
      <w:bodyDiv w:val="1"/>
      <w:marLeft w:val="0"/>
      <w:marRight w:val="0"/>
      <w:marTop w:val="0"/>
      <w:marBottom w:val="0"/>
      <w:divBdr>
        <w:top w:val="none" w:sz="0" w:space="0" w:color="auto"/>
        <w:left w:val="none" w:sz="0" w:space="0" w:color="auto"/>
        <w:bottom w:val="none" w:sz="0" w:space="0" w:color="auto"/>
        <w:right w:val="none" w:sz="0" w:space="0" w:color="auto"/>
      </w:divBdr>
    </w:div>
    <w:div w:id="2081556841">
      <w:bodyDiv w:val="1"/>
      <w:marLeft w:val="0"/>
      <w:marRight w:val="0"/>
      <w:marTop w:val="0"/>
      <w:marBottom w:val="0"/>
      <w:divBdr>
        <w:top w:val="none" w:sz="0" w:space="0" w:color="auto"/>
        <w:left w:val="none" w:sz="0" w:space="0" w:color="auto"/>
        <w:bottom w:val="none" w:sz="0" w:space="0" w:color="auto"/>
        <w:right w:val="none" w:sz="0" w:space="0" w:color="auto"/>
      </w:divBdr>
    </w:div>
    <w:div w:id="2128961406">
      <w:bodyDiv w:val="1"/>
      <w:marLeft w:val="0"/>
      <w:marRight w:val="0"/>
      <w:marTop w:val="0"/>
      <w:marBottom w:val="0"/>
      <w:divBdr>
        <w:top w:val="none" w:sz="0" w:space="0" w:color="auto"/>
        <w:left w:val="none" w:sz="0" w:space="0" w:color="auto"/>
        <w:bottom w:val="none" w:sz="0" w:space="0" w:color="auto"/>
        <w:right w:val="none" w:sz="0" w:space="0" w:color="auto"/>
      </w:divBdr>
    </w:div>
    <w:div w:id="2145082392">
      <w:bodyDiv w:val="1"/>
      <w:marLeft w:val="0"/>
      <w:marRight w:val="0"/>
      <w:marTop w:val="0"/>
      <w:marBottom w:val="0"/>
      <w:divBdr>
        <w:top w:val="none" w:sz="0" w:space="0" w:color="auto"/>
        <w:left w:val="none" w:sz="0" w:space="0" w:color="auto"/>
        <w:bottom w:val="none" w:sz="0" w:space="0" w:color="auto"/>
        <w:right w:val="none" w:sz="0" w:space="0" w:color="auto"/>
      </w:divBdr>
    </w:div>
    <w:div w:id="2146385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Nat11</b:Tag>
    <b:SourceType>DocumentFromInternetSite</b:SourceType>
    <b:Guid>{2A717D5E-7460-45F1-ADBC-9B4EB0D7F571}</b:Guid>
    <b:Author>
      <b:Author>
        <b:Corporate>National Police Improvement Agency</b:Corporate>
      </b:Author>
    </b:Author>
    <b:Title>IPLDP Quick Notes</b:Title>
    <b:Year>2011</b:Year>
    <b:Month>September</b:Month>
    <b:YearAccessed>2020</b:YearAccessed>
    <b:MonthAccessed>10</b:MonthAccessed>
    <b:DayAccessed>29</b:DayAccessed>
    <b:URL>https://www.met.police.uk/msctraining/documents/ipldp_quick_notes_sept2011.pdf</b:URL>
    <b:RefOrder>3</b:RefOrder>
  </b:Source>
  <b:Source>
    <b:Tag>Col19</b:Tag>
    <b:SourceType>InternetSite</b:SourceType>
    <b:Guid>{91E2974A-90E0-4878-8525-4A77BC4AE98E}</b:Guid>
    <b:Author>
      <b:Author>
        <b:Corporate>College of Policing</b:Corporate>
      </b:Author>
    </b:Author>
    <b:Title>Investigation Process</b:Title>
    <b:Year>2019</b:Year>
    <b:YearAccessed>2020</b:YearAccessed>
    <b:MonthAccessed>10</b:MonthAccessed>
    <b:DayAccessed>29</b:DayAccessed>
    <b:URL>https://www.app.college.police.uk/app-content/investigations/investigation-process/</b:URL>
    <b:RefOrder>2</b:RefOrder>
  </b:Source>
  <b:Source>
    <b:Tag>Fry12</b:Tag>
    <b:SourceType>InternetSite</b:SourceType>
    <b:Guid>{ACDDA857-9FD0-4E3D-8335-4EC345607EAE}</b:Guid>
    <b:Title>Scenes of Crime Examination Best Practice Manual</b:Title>
    <b:Year>2012</b:Year>
    <b:YearAccessed>2020</b:YearAccessed>
    <b:MonthAccessed>10</b:MonthAccessed>
    <b:DayAccessed>29</b:DayAccessed>
    <b:URL>https://moodle.uwtsd.ac.uk/pluginfile.php/354373/mod_resource/content/1/ENFSI%20forensic.pdf</b:URL>
    <b:Author>
      <b:Author>
        <b:NameList>
          <b:Person>
            <b:Last>Fryer</b:Last>
            <b:First>Keith</b:First>
          </b:Person>
        </b:NameList>
      </b:Author>
    </b:Author>
    <b:RefOrder>4</b:RefOrder>
  </b:Source>
  <b:Source>
    <b:Tag>Bry19</b:Tag>
    <b:SourceType>Book</b:SourceType>
    <b:Guid>{1172E76C-CB30-4B88-BA26-20251108CA2E}</b:Guid>
    <b:Title>Blackstone's handbook for policing students</b:Title>
    <b:Year>2019</b:Year>
    <b:URL>https://moodle.uwtsd.ac.uk/pluginfile.php/426333/mod_resource/content/1/Blackstones%20FAO.pdf</b:URL>
    <b:City>Oxford</b:City>
    <b:Publisher>Oxford University Press</b:Publisher>
    <b:Edition>14</b:Edition>
    <b:Author>
      <b:Author>
        <b:NameList>
          <b:Person>
            <b:Last>Bryant</b:Last>
            <b:First>Robin</b:First>
          </b:Person>
          <b:Person>
            <b:Last>Bryant</b:Last>
            <b:First>Sarah</b:First>
          </b:Person>
        </b:NameList>
      </b:Author>
    </b:Author>
    <b:RefOrder>1</b:RefOrder>
  </b:Source>
  <b:Source>
    <b:Tag>Col20</b:Tag>
    <b:SourceType>InternetSite</b:SourceType>
    <b:Guid>{8A313E00-DC89-4BC7-9745-FD04D4A69E54}</b:Guid>
    <b:Title>forensics</b:Title>
    <b:Year>2020</b:Year>
    <b:Author>
      <b:Author>
        <b:Corporate>College of Policing</b:Corporate>
      </b:Author>
    </b:Author>
    <b:YearAccessed>2020</b:YearAccessed>
    <b:MonthAccessed>10</b:MonthAccessed>
    <b:DayAccessed>29</b:DayAccessed>
    <b:URL>https://www.app.college.police.uk/app-content/investigations/forensics/</b:URL>
    <b:RefOrder>5</b:RefOrder>
  </b:Source>
  <b:Source>
    <b:Tag>2010</b:Tag>
    <b:SourceType>DocumentFromInternetSite</b:SourceType>
    <b:Guid>{391D4223-BB43-417D-9C09-9BF4FDB6B1FA}</b:Guid>
    <b:YearAccessed>2020</b:YearAccessed>
    <b:MonthAccessed>10</b:MonthAccessed>
    <b:DayAccessed>29</b:DayAccessed>
    <b:URL>https://www.gov.uk/government/publications/crime-scene-dna-anti-contamination-guidance</b:URL>
    <b:Author>
      <b:Author>
        <b:Corporate>Forensic Science Regulator</b:Corporate>
      </b:Author>
    </b:Author>
    <b:Title>Crime scene DNA: anti-contamination guidance</b:Title>
    <b:Year>2020</b:Year>
    <b:Month>September</b:Month>
    <b:Day>11</b:Day>
    <b:RefOrder>6</b:RefOrder>
  </b:Source>
  <b:Source>
    <b:Tag>Jac16</b:Tag>
    <b:SourceType>Book</b:SourceType>
    <b:Guid>{B123C23E-62E7-4EBC-B27B-157C2A056940}</b:Guid>
    <b:Title>Forensic Science</b:Title>
    <b:Year>2016</b:Year>
    <b:Publisher>Pearson Education Limited</b:Publisher>
    <b:Edition>4</b:Edition>
    <b:Author>
      <b:Author>
        <b:NameList>
          <b:Person>
            <b:Last>Jackson</b:Last>
            <b:First>Andrew</b:First>
          </b:Person>
          <b:Person>
            <b:Last>Jackson</b:Last>
            <b:First>Julie</b:First>
          </b:Person>
          <b:Person>
            <b:Last>Mountain</b:Last>
            <b:First>Harry</b:First>
          </b:Person>
          <b:Person>
            <b:Last>Brearley</b:Last>
            <b:First>Daniel</b:First>
          </b:Person>
        </b:NameList>
      </b:Author>
    </b:Author>
    <b:RefOrder>7</b:RefOrder>
  </b:Source>
  <b:Source>
    <b:Tag>Pep</b:Tag>
    <b:SourceType>Book</b:SourceType>
    <b:Guid>{91AD913D-2C3B-4F74-984C-533A9F44DA42}</b:Guid>
    <b:Title>Crime Scene Investigation: Methods and Procedures</b:Title>
    <b:Author>
      <b:Author>
        <b:NameList>
          <b:Person>
            <b:Last>Pepper</b:Last>
            <b:First>Ian</b:First>
          </b:Person>
        </b:NameList>
      </b:Author>
    </b:Author>
    <b:Year>2010</b:Year>
    <b:Publisher>Open University Press</b:Publisher>
    <b:Edition>2</b:Edition>
    <b:RefOrder>8</b:RefOrder>
  </b:Source>
  <b:Source>
    <b:Tag>Whi04</b:Tag>
    <b:SourceType>Book</b:SourceType>
    <b:Guid>{73426563-3069-495C-A483-4A748EABD33D}</b:Guid>
    <b:Title>Crime Scene to Court: The Essentials of Forensic Science</b:Title>
    <b:Year>2004</b:Year>
    <b:Publisher>Royal Society of Chemistry</b:Publisher>
    <b:Edition>2</b:Edition>
    <b:Author>
      <b:Author>
        <b:NameList>
          <b:Person>
            <b:Last>White</b:Last>
            <b:Middle>C</b:Middle>
            <b:First>Peter</b:First>
          </b:Person>
          <b:Person>
            <b:Last>Gallop</b:Last>
            <b:First>A</b:First>
          </b:Person>
          <b:Person>
            <b:Last>Emes</b:Last>
            <b:First>Adrian</b:First>
          </b:Person>
          <b:Person>
            <b:Last>Giles</b:Last>
            <b:First>Audrey</b:First>
          </b:Person>
          <b:Person>
            <b:Last>Price</b:Last>
            <b:First>Chris</b:First>
          </b:Person>
          <b:Person>
            <b:Last>Wallace</b:Last>
            <b:Middle>S</b:Middle>
            <b:First>J</b:First>
          </b:Person>
          <b:Person>
            <b:Last>Marshall</b:Last>
            <b:First>A</b:First>
          </b:Person>
          <b:Person>
            <b:Last>Watson</b:Last>
            <b:First>N</b:First>
          </b:Person>
          <b:Person>
            <b:Last>T</b:Last>
            <b:First>Norman</b:First>
          </b:Person>
        </b:NameList>
      </b:Author>
    </b:Author>
    <b:RefOrder>9</b:RefOrder>
  </b:Source>
  <b:Source>
    <b:Tag>Bri01</b:Tag>
    <b:SourceType>InternetSite</b:SourceType>
    <b:Guid>{B915751C-EC07-48ED-B286-B0A0E7472D0C}</b:Guid>
    <b:Title>Sarah evidence 'could be contaminated'</b:Title>
    <b:Year>2001</b:Year>
    <b:Author>
      <b:Author>
        <b:Corporate>British Broadcasting Company</b:Corporate>
      </b:Author>
    </b:Author>
    <b:YearAccessed>2020</b:YearAccessed>
    <b:MonthAccessed>10</b:MonthAccessed>
    <b:DayAccessed>29</b:DayAccessed>
    <b:URL>http://news.bbc.co.uk/1/hi/england/1682710.stm</b:URL>
    <b:RefOrder>10</b:RefOrder>
  </b:Source>
  <b:Source>
    <b:Tag>Buc13</b:Tag>
    <b:SourceType>JournalArticle</b:SourceType>
    <b:Guid>{B6FE8F15-1304-4E4C-A56C-3B1B34CBB581}</b:Guid>
    <b:Title>Accident or homicide – Virtual crime scene reconstruction using 3D methods</b:Title>
    <b:Year>2013</b:Year>
    <b:JournalName>Forensic Science International</b:JournalName>
    <b:Pages>75-84</b:Pages>
    <b:Volume>225</b:Volume>
    <b:Issue>1-3</b:Issue>
    <b:Author>
      <b:Author>
        <b:NameList>
          <b:Person>
            <b:Last>Buck</b:Last>
            <b:First>Ursula</b:First>
          </b:Person>
          <b:Person>
            <b:Last>Naether</b:Last>
            <b:First>Silvio</b:First>
          </b:Person>
          <b:Person>
            <b:Last>Rass</b:Last>
            <b:First>Beat</b:First>
          </b:Person>
          <b:Person>
            <b:Last>Jackoswki</b:Last>
            <b:First>Christian</b:First>
          </b:Person>
          <b:Person>
            <b:Last>Thali</b:Last>
            <b:Middle>J</b:Middle>
            <b:First>Michael</b:First>
          </b:Person>
        </b:NameList>
      </b:Author>
    </b:Author>
    <b:RefOrder>11</b:RefOrder>
  </b:Source>
  <b:Source>
    <b:Tag>Edm18</b:Tag>
    <b:SourceType>JournalArticle</b:SourceType>
    <b:Guid>{A2214C94-7D7E-4E3F-86C8-5E2D2BFFDCEA}</b:Guid>
    <b:Title>Science Friction: Streamlined Forensic Reporting, Reliability and Justice.</b:Title>
    <b:JournalName>Oxford Journal of Legal Studies</b:JournalName>
    <b:Year>2018</b:Year>
    <b:Pages>764-792</b:Pages>
    <b:Volume>38</b:Volume>
    <b:Issue>4</b:Issue>
    <b:Author>
      <b:Author>
        <b:NameList>
          <b:Person>
            <b:Last>Edmond</b:Last>
            <b:First>Gary</b:First>
          </b:Person>
          <b:Person>
            <b:Last>Carr</b:Last>
            <b:First>Sophie</b:First>
          </b:Person>
          <b:Person>
            <b:Last>Piasecki</b:Last>
            <b:First>Emma</b:First>
          </b:Person>
        </b:NameList>
      </b:Author>
    </b:Author>
    <b:RefOrder>12</b:RefOrder>
  </b:Source>
  <b:Source>
    <b:Tag>Bel16</b:Tag>
    <b:SourceType>JournalArticle</b:SourceType>
    <b:Guid>{7E866800-3083-4CE9-B657-287C29D471B4}</b:Guid>
    <b:Title>Evaluation of Cross‐contamination of Nylon Bags with Heavy‐loaded Gasoline Fire Debris and with Automotive Paint Thinner</b:Title>
    <b:JournalName>Journal of Forensic Sciences</b:JournalName>
    <b:Year>2016</b:Year>
    <b:Pages>1622-1631</b:Pages>
    <b:Volume>61</b:Volume>
    <b:Issue>6</b:Issue>
    <b:Author>
      <b:Author>
        <b:NameList>
          <b:Person>
            <b:Last>Belchior</b:Last>
            <b:First>Filipa</b:First>
          </b:Person>
          <b:Person>
            <b:Last>Andrews</b:Last>
            <b:Middle>P</b:Middle>
            <b:First>Stephen</b:First>
          </b:Person>
        </b:NameList>
      </b:Author>
    </b:Author>
    <b:RefOrder>13</b:RefOrder>
  </b:Source>
  <b:Source>
    <b:Tag>McC19</b:Tag>
    <b:SourceType>JournalArticle</b:SourceType>
    <b:Guid>{BCA807EF-0F81-4552-83BE-A0E6FE74DD68}</b:Guid>
    <b:Title>Streamlined forensic reporting: Rhetoric and reality</b:Title>
    <b:Year>2019</b:Year>
    <b:Author>
      <b:Author>
        <b:NameList>
          <b:Person>
            <b:Last>McCartney</b:Last>
            <b:First>Carole</b:First>
          </b:Person>
        </b:NameList>
      </b:Author>
    </b:Author>
    <b:Pages>83-85</b:Pages>
    <b:JournalName>Forensic Science International: Synergy</b:JournalName>
    <b:Volume>1</b:Volume>
    <b:RefOrder>14</b:RefOrder>
  </b:Source>
  <b:Source>
    <b:Tag>DNA19</b:Tag>
    <b:SourceType>JournalArticle</b:SourceType>
    <b:Guid>{85408530-B2CA-4855-8B32-AD946ADD14A9}</b:Guid>
    <b:Title>DNA evidence and miscarriages of justice</b:Title>
    <b:JournalName>Forensic Science International</b:JournalName>
    <b:Year>2019</b:Year>
    <b:Pages>e1-e3</b:Pages>
    <b:Volume>294</b:Volume>
    <b:Author>
      <b:Author>
        <b:NameList>
          <b:Person>
            <b:Last>Gill</b:Last>
            <b:First>P</b:First>
          </b:Person>
        </b:NameList>
      </b:Author>
    </b:Author>
    <b:RefOrder>15</b:RefOrder>
  </b:Source>
</b:Sources>
</file>

<file path=customXml/itemProps1.xml><?xml version="1.0" encoding="utf-8"?>
<ds:datastoreItem xmlns:ds="http://schemas.openxmlformats.org/officeDocument/2006/customXml" ds:itemID="{498EAE79-8221-48C8-9C22-D391AAE59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TotalTime>
  <Pages>16</Pages>
  <Words>3267</Words>
  <Characters>18624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Sean Holmes - 1802429</dc:subject>
  <dc:creator>Sean Holmes</dc:creator>
  <cp:keywords/>
  <dc:description/>
  <cp:lastModifiedBy>Sean Holmes</cp:lastModifiedBy>
  <cp:revision>398</cp:revision>
  <dcterms:created xsi:type="dcterms:W3CDTF">2020-10-29T08:49:00Z</dcterms:created>
  <dcterms:modified xsi:type="dcterms:W3CDTF">2020-11-05T22:49:00Z</dcterms:modified>
</cp:coreProperties>
</file>