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C3BD7" w14:textId="0E32349A" w:rsidR="000D3C01" w:rsidRPr="00CA200D" w:rsidRDefault="000D3C01" w:rsidP="000D3C01">
      <w:pPr>
        <w:ind w:left="3600"/>
        <w:rPr>
          <w:rFonts w:ascii="Franklin Gothic Heavy" w:eastAsia="Calibri" w:hAnsi="Franklin Gothic Heavy" w:cs="Times New Roman"/>
          <w:sz w:val="80"/>
          <w:szCs w:val="80"/>
          <w:lang w:val="en-US"/>
        </w:rPr>
      </w:pPr>
      <w:r>
        <w:rPr>
          <w:rFonts w:ascii="Franklin Gothic Heavy" w:eastAsia="Calibri" w:hAnsi="Franklin Gothic Heavy" w:cs="Times New Roman"/>
          <w:sz w:val="80"/>
          <w:szCs w:val="80"/>
          <w:lang w:val="en-US"/>
        </w:rPr>
        <w:t xml:space="preserve">Marketing </w:t>
      </w:r>
      <w:r w:rsidRPr="00CA200D">
        <w:rPr>
          <w:rFonts w:ascii="Franklin Gothic Heavy" w:eastAsia="Calibri" w:hAnsi="Franklin Gothic Heavy" w:cs="Times New Roman"/>
          <w:sz w:val="80"/>
          <w:szCs w:val="80"/>
          <w:lang w:val="en-US"/>
        </w:rPr>
        <w:t>Management</w:t>
      </w:r>
    </w:p>
    <w:p w14:paraId="4D605868" w14:textId="4797E0DE" w:rsidR="000D3C01" w:rsidRPr="00CA200D" w:rsidRDefault="000D3C01" w:rsidP="000D3C01">
      <w:pPr>
        <w:ind w:left="3600"/>
        <w:rPr>
          <w:rFonts w:ascii="Agency FB" w:eastAsia="Calibri" w:hAnsi="Agency FB" w:cs="Times New Roman"/>
          <w:sz w:val="80"/>
          <w:szCs w:val="80"/>
          <w:lang w:val="en-US"/>
        </w:rPr>
      </w:pPr>
      <w:r w:rsidRPr="00CA200D">
        <w:rPr>
          <w:rFonts w:ascii="Agency FB" w:eastAsia="Calibri" w:hAnsi="Agency FB" w:cs="Times New Roman"/>
          <w:sz w:val="80"/>
          <w:szCs w:val="80"/>
          <w:lang w:val="en-US"/>
        </w:rPr>
        <w:t xml:space="preserve">ASSESSMENT </w:t>
      </w:r>
      <w:r>
        <w:rPr>
          <w:rFonts w:ascii="Agency FB" w:eastAsia="Calibri" w:hAnsi="Agency FB" w:cs="Times New Roman"/>
          <w:sz w:val="80"/>
          <w:szCs w:val="80"/>
          <w:lang w:val="en-US"/>
        </w:rPr>
        <w:t>1</w:t>
      </w:r>
    </w:p>
    <w:p w14:paraId="042C7B8E" w14:textId="77777777" w:rsidR="000D3C01" w:rsidRPr="00CA200D" w:rsidRDefault="000D3C01" w:rsidP="000D3C01">
      <w:pPr>
        <w:ind w:left="5760"/>
        <w:rPr>
          <w:rFonts w:ascii="Agency FB" w:eastAsia="Calibri" w:hAnsi="Agency FB" w:cs="Times New Roman"/>
          <w:sz w:val="80"/>
          <w:szCs w:val="80"/>
          <w:lang w:val="en-US"/>
        </w:rPr>
      </w:pPr>
      <w:r w:rsidRPr="00CA200D">
        <w:rPr>
          <w:rFonts w:ascii="Agency FB" w:eastAsia="Calibri" w:hAnsi="Agency FB" w:cs="Times New Roman"/>
          <w:noProof/>
          <w:sz w:val="80"/>
          <w:szCs w:val="80"/>
          <w:lang w:val="en-US"/>
        </w:rPr>
        <w:drawing>
          <wp:inline distT="0" distB="0" distL="0" distR="0" wp14:anchorId="39C2237F" wp14:editId="67D8A0C4">
            <wp:extent cx="3810000" cy="3810000"/>
            <wp:effectExtent l="0" t="0" r="0" b="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398CB97F" w14:textId="77777777" w:rsidR="000D3C01" w:rsidRPr="00CA200D" w:rsidRDefault="000D3C01" w:rsidP="000D3C01">
      <w:pPr>
        <w:rPr>
          <w:rFonts w:ascii="Agency FB" w:eastAsia="Calibri" w:hAnsi="Agency FB" w:cs="Times New Roman"/>
          <w:sz w:val="80"/>
          <w:szCs w:val="80"/>
          <w:lang w:val="en-US"/>
        </w:rPr>
      </w:pPr>
      <w:r w:rsidRPr="00CA200D">
        <w:rPr>
          <w:rFonts w:ascii="Agency FB" w:eastAsia="Calibri" w:hAnsi="Agency FB" w:cs="Times New Roman"/>
          <w:sz w:val="80"/>
          <w:szCs w:val="80"/>
          <w:lang w:val="en-US"/>
        </w:rPr>
        <w:tab/>
      </w:r>
    </w:p>
    <w:p w14:paraId="66B51ED7" w14:textId="77777777" w:rsidR="000D3C01" w:rsidRPr="00CA200D" w:rsidRDefault="000D3C01" w:rsidP="000D3C01">
      <w:pPr>
        <w:ind w:left="3600"/>
        <w:rPr>
          <w:rFonts w:ascii="Calibri" w:eastAsia="Calibri" w:hAnsi="Calibri" w:cs="Calibri"/>
          <w:sz w:val="36"/>
          <w:szCs w:val="36"/>
          <w:lang w:val="en-US"/>
        </w:rPr>
      </w:pPr>
      <w:proofErr w:type="gramStart"/>
      <w:r w:rsidRPr="00CA200D">
        <w:rPr>
          <w:rFonts w:ascii="Arial Black" w:eastAsia="Calibri" w:hAnsi="Arial Black" w:cs="Calibri"/>
          <w:sz w:val="36"/>
          <w:szCs w:val="36"/>
          <w:lang w:val="en-US"/>
        </w:rPr>
        <w:t>NAME :</w:t>
      </w:r>
      <w:proofErr w:type="gramEnd"/>
      <w:r w:rsidRPr="00CA200D">
        <w:rPr>
          <w:rFonts w:ascii="Arial Black" w:eastAsia="Calibri" w:hAnsi="Arial Black" w:cs="Calibri"/>
          <w:sz w:val="36"/>
          <w:szCs w:val="36"/>
          <w:lang w:val="en-US"/>
        </w:rPr>
        <w:t xml:space="preserve"> </w:t>
      </w:r>
      <w:r w:rsidRPr="00CA200D">
        <w:rPr>
          <w:rFonts w:ascii="Calibri" w:eastAsia="Calibri" w:hAnsi="Calibri" w:cs="Calibri"/>
          <w:sz w:val="36"/>
          <w:szCs w:val="36"/>
          <w:lang w:val="en-US"/>
        </w:rPr>
        <w:t xml:space="preserve">HILAL MOHAMMED KUNJU </w:t>
      </w:r>
    </w:p>
    <w:p w14:paraId="4D6D18EA" w14:textId="77777777" w:rsidR="000D3C01" w:rsidRPr="00CA200D" w:rsidRDefault="000D3C01" w:rsidP="000D3C01">
      <w:pPr>
        <w:ind w:left="3600"/>
        <w:rPr>
          <w:rFonts w:ascii="Arial Black" w:eastAsia="Calibri" w:hAnsi="Arial Black" w:cs="Calibri"/>
          <w:sz w:val="36"/>
          <w:szCs w:val="36"/>
          <w:lang w:val="en-US"/>
        </w:rPr>
      </w:pPr>
      <w:r w:rsidRPr="00CA200D">
        <w:rPr>
          <w:rFonts w:ascii="Arial Black" w:eastAsia="Calibri" w:hAnsi="Arial Black" w:cs="Calibri"/>
          <w:sz w:val="36"/>
          <w:szCs w:val="36"/>
          <w:lang w:val="en-US"/>
        </w:rPr>
        <w:t xml:space="preserve">STUDENT </w:t>
      </w:r>
      <w:proofErr w:type="gramStart"/>
      <w:r w:rsidRPr="00CA200D">
        <w:rPr>
          <w:rFonts w:ascii="Arial Black" w:eastAsia="Calibri" w:hAnsi="Arial Black" w:cs="Calibri"/>
          <w:sz w:val="36"/>
          <w:szCs w:val="36"/>
          <w:lang w:val="en-US"/>
        </w:rPr>
        <w:t>ID :</w:t>
      </w:r>
      <w:proofErr w:type="gramEnd"/>
      <w:r w:rsidRPr="00CA200D">
        <w:rPr>
          <w:rFonts w:ascii="Arial Black" w:eastAsia="Calibri" w:hAnsi="Arial Black" w:cs="Calibri"/>
          <w:sz w:val="36"/>
          <w:szCs w:val="36"/>
          <w:lang w:val="en-US"/>
        </w:rPr>
        <w:t xml:space="preserve"> </w:t>
      </w:r>
      <w:r w:rsidRPr="00CA200D">
        <w:rPr>
          <w:rFonts w:ascii="Calibri" w:eastAsia="Calibri" w:hAnsi="Calibri" w:cs="Calibri"/>
          <w:sz w:val="36"/>
          <w:szCs w:val="36"/>
          <w:lang w:val="en-US"/>
        </w:rPr>
        <w:t>2131572</w:t>
      </w:r>
    </w:p>
    <w:p w14:paraId="46A77099" w14:textId="6C7A0B2A" w:rsidR="000D3C01" w:rsidRDefault="000D3C01" w:rsidP="000D3C01">
      <w:pPr>
        <w:ind w:left="3600"/>
        <w:rPr>
          <w:rFonts w:ascii="Arial Black" w:eastAsia="Calibri" w:hAnsi="Arial Black" w:cs="Calibri"/>
          <w:sz w:val="36"/>
          <w:szCs w:val="36"/>
          <w:lang w:val="en-US"/>
        </w:rPr>
      </w:pPr>
      <w:proofErr w:type="gramStart"/>
      <w:r w:rsidRPr="00CA200D">
        <w:rPr>
          <w:rFonts w:ascii="Arial Black" w:eastAsia="Calibri" w:hAnsi="Arial Black" w:cs="Calibri"/>
          <w:sz w:val="36"/>
          <w:szCs w:val="36"/>
          <w:lang w:val="en-US"/>
        </w:rPr>
        <w:t>MODULE :</w:t>
      </w:r>
      <w:proofErr w:type="gramEnd"/>
      <w:r w:rsidRPr="00CA200D">
        <w:rPr>
          <w:rFonts w:ascii="Arial Black" w:eastAsia="Calibri" w:hAnsi="Arial Black" w:cs="Calibri"/>
          <w:sz w:val="36"/>
          <w:szCs w:val="36"/>
          <w:lang w:val="en-US"/>
        </w:rPr>
        <w:t xml:space="preserve"> </w:t>
      </w:r>
      <w:r w:rsidRPr="00CA200D">
        <w:rPr>
          <w:rFonts w:ascii="Calibri" w:eastAsia="Calibri" w:hAnsi="Calibri" w:cs="Calibri"/>
          <w:sz w:val="36"/>
          <w:szCs w:val="36"/>
          <w:lang w:val="en-US"/>
        </w:rPr>
        <w:t>LCMB700</w:t>
      </w:r>
      <w:r>
        <w:rPr>
          <w:rFonts w:ascii="Calibri" w:eastAsia="Calibri" w:hAnsi="Calibri" w:cs="Calibri"/>
          <w:sz w:val="36"/>
          <w:szCs w:val="36"/>
          <w:lang w:val="en-US"/>
        </w:rPr>
        <w:t>1</w:t>
      </w:r>
    </w:p>
    <w:p w14:paraId="5404E3C6" w14:textId="6268DC32" w:rsidR="000D3C01" w:rsidRPr="00CA200D" w:rsidRDefault="000D3C01" w:rsidP="000D3C01">
      <w:pPr>
        <w:ind w:left="3600"/>
        <w:rPr>
          <w:rFonts w:ascii="Arial Black" w:eastAsia="Calibri" w:hAnsi="Arial Black" w:cs="Calibri"/>
          <w:sz w:val="36"/>
          <w:szCs w:val="36"/>
          <w:lang w:val="en-US"/>
        </w:rPr>
      </w:pPr>
      <w:proofErr w:type="gramStart"/>
      <w:r w:rsidRPr="00CA200D">
        <w:rPr>
          <w:rFonts w:ascii="Arial Black" w:eastAsia="Calibri" w:hAnsi="Arial Black" w:cs="Calibri"/>
          <w:sz w:val="36"/>
          <w:szCs w:val="36"/>
          <w:lang w:val="en-US"/>
        </w:rPr>
        <w:t>LECTURER :</w:t>
      </w:r>
      <w:proofErr w:type="gramEnd"/>
      <w:r w:rsidRPr="00CA200D">
        <w:rPr>
          <w:rFonts w:ascii="Arial Black" w:eastAsia="Calibri" w:hAnsi="Arial Black" w:cs="Calibri"/>
          <w:sz w:val="36"/>
          <w:szCs w:val="36"/>
          <w:lang w:val="en-US"/>
        </w:rPr>
        <w:t xml:space="preserve"> </w:t>
      </w:r>
      <w:r>
        <w:rPr>
          <w:rFonts w:ascii="Calibri" w:eastAsia="Calibri" w:hAnsi="Calibri" w:cs="Calibri"/>
          <w:sz w:val="36"/>
          <w:szCs w:val="36"/>
          <w:lang w:val="en-US"/>
        </w:rPr>
        <w:t xml:space="preserve">TUSHARA BALENDRAN </w:t>
      </w:r>
    </w:p>
    <w:p w14:paraId="0D72C432" w14:textId="6BD466EB" w:rsidR="00046327" w:rsidRDefault="000D3C01" w:rsidP="000D3C01">
      <w:pPr>
        <w:ind w:left="3600"/>
        <w:rPr>
          <w:rFonts w:ascii="Calibri" w:eastAsia="Calibri" w:hAnsi="Calibri" w:cs="Calibri"/>
          <w:sz w:val="36"/>
          <w:szCs w:val="36"/>
          <w:lang w:val="en-US"/>
        </w:rPr>
      </w:pPr>
      <w:r w:rsidRPr="00CA200D">
        <w:rPr>
          <w:rFonts w:ascii="Arial Black" w:eastAsia="Calibri" w:hAnsi="Arial Black" w:cs="Calibri"/>
          <w:sz w:val="36"/>
          <w:szCs w:val="36"/>
          <w:lang w:val="en-US"/>
        </w:rPr>
        <w:t xml:space="preserve">WORD </w:t>
      </w:r>
      <w:proofErr w:type="gramStart"/>
      <w:r w:rsidRPr="00CA200D">
        <w:rPr>
          <w:rFonts w:ascii="Arial Black" w:eastAsia="Calibri" w:hAnsi="Arial Black" w:cs="Calibri"/>
          <w:sz w:val="36"/>
          <w:szCs w:val="36"/>
          <w:lang w:val="en-US"/>
        </w:rPr>
        <w:t>COUNT :</w:t>
      </w:r>
      <w:proofErr w:type="gramEnd"/>
      <w:r w:rsidRPr="00CA200D">
        <w:rPr>
          <w:rFonts w:ascii="Arial Black" w:eastAsia="Calibri" w:hAnsi="Arial Black" w:cs="Calibri"/>
          <w:sz w:val="36"/>
          <w:szCs w:val="36"/>
          <w:lang w:val="en-US"/>
        </w:rPr>
        <w:t xml:space="preserve"> </w:t>
      </w:r>
      <w:r>
        <w:rPr>
          <w:rFonts w:ascii="Calibri" w:eastAsia="Calibri" w:hAnsi="Calibri" w:cs="Calibri"/>
          <w:sz w:val="36"/>
          <w:szCs w:val="36"/>
          <w:lang w:val="en-US"/>
        </w:rPr>
        <w:t>3</w:t>
      </w:r>
      <w:r w:rsidRPr="00CA200D">
        <w:rPr>
          <w:rFonts w:ascii="Calibri" w:eastAsia="Calibri" w:hAnsi="Calibri" w:cs="Calibri"/>
          <w:sz w:val="36"/>
          <w:szCs w:val="36"/>
          <w:lang w:val="en-US"/>
        </w:rPr>
        <w:t>500</w:t>
      </w:r>
    </w:p>
    <w:p w14:paraId="4E7D2FC5" w14:textId="339E6FB6" w:rsidR="000D3C01" w:rsidRDefault="000D3C01" w:rsidP="000D3C01">
      <w:pPr>
        <w:ind w:left="3600"/>
      </w:pPr>
    </w:p>
    <w:p w14:paraId="6030561B" w14:textId="39644478" w:rsidR="000D3C01" w:rsidRDefault="000D3C01" w:rsidP="000D3C01">
      <w:pPr>
        <w:ind w:left="3600"/>
      </w:pPr>
    </w:p>
    <w:p w14:paraId="56A37055" w14:textId="57194452" w:rsidR="000D3C01" w:rsidRDefault="000D3C01" w:rsidP="000D3C01">
      <w:pPr>
        <w:ind w:left="3600"/>
      </w:pPr>
    </w:p>
    <w:p w14:paraId="7F5ED6A7" w14:textId="745DAED7" w:rsidR="000D3C01" w:rsidRDefault="000D3C01" w:rsidP="000D3C01"/>
    <w:p w14:paraId="490956C8" w14:textId="0653070F" w:rsidR="000D3C01" w:rsidRDefault="000D3C01" w:rsidP="000D3C01">
      <w:pPr>
        <w:ind w:left="3600"/>
      </w:pPr>
    </w:p>
    <w:sdt>
      <w:sdtPr>
        <w:rPr>
          <w:rFonts w:ascii="Calibri" w:eastAsia="Calibri" w:hAnsi="Calibri" w:cs="Times New Roman"/>
          <w:sz w:val="24"/>
          <w:szCs w:val="24"/>
          <w:lang w:val="en-GB"/>
        </w:rPr>
        <w:id w:val="-932429708"/>
        <w:docPartObj>
          <w:docPartGallery w:val="Table of Contents"/>
          <w:docPartUnique/>
        </w:docPartObj>
      </w:sdtPr>
      <w:sdtEndPr>
        <w:rPr>
          <w:noProof/>
        </w:rPr>
      </w:sdtEndPr>
      <w:sdtContent>
        <w:p w14:paraId="7BA15FE6" w14:textId="77777777" w:rsidR="000D3C01" w:rsidRPr="000D3C01" w:rsidRDefault="000D3C01" w:rsidP="000D3C01">
          <w:pPr>
            <w:keepNext/>
            <w:keepLines/>
            <w:spacing w:before="240" w:after="0" w:line="360" w:lineRule="auto"/>
            <w:jc w:val="both"/>
            <w:rPr>
              <w:rFonts w:ascii="Arial" w:eastAsia="Times New Roman" w:hAnsi="Arial" w:cs="Arial"/>
              <w:b/>
              <w:bCs/>
              <w:sz w:val="40"/>
              <w:szCs w:val="40"/>
              <w:lang w:val="en-US"/>
            </w:rPr>
          </w:pPr>
          <w:r w:rsidRPr="000D3C01">
            <w:rPr>
              <w:rFonts w:ascii="Arial" w:eastAsia="Times New Roman" w:hAnsi="Arial" w:cs="Arial"/>
              <w:b/>
              <w:bCs/>
              <w:sz w:val="40"/>
              <w:szCs w:val="40"/>
              <w:lang w:val="en-US"/>
            </w:rPr>
            <w:t>Contents</w:t>
          </w:r>
        </w:p>
        <w:p w14:paraId="78E8FC54"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r w:rsidRPr="000D3C01">
            <w:rPr>
              <w:rFonts w:ascii="Arial" w:eastAsia="Calibri" w:hAnsi="Arial" w:cs="Arial"/>
              <w:sz w:val="40"/>
              <w:szCs w:val="40"/>
              <w:lang w:val="en-GB"/>
            </w:rPr>
            <w:fldChar w:fldCharType="begin"/>
          </w:r>
          <w:r w:rsidRPr="000D3C01">
            <w:rPr>
              <w:rFonts w:ascii="Arial" w:eastAsia="Calibri" w:hAnsi="Arial" w:cs="Arial"/>
              <w:sz w:val="40"/>
              <w:szCs w:val="40"/>
              <w:lang w:val="en-GB"/>
            </w:rPr>
            <w:instrText xml:space="preserve"> TOC \o "1-3" \h \z \u </w:instrText>
          </w:r>
          <w:r w:rsidRPr="000D3C01">
            <w:rPr>
              <w:rFonts w:ascii="Arial" w:eastAsia="Calibri" w:hAnsi="Arial" w:cs="Arial"/>
              <w:sz w:val="40"/>
              <w:szCs w:val="40"/>
              <w:lang w:val="en-GB"/>
            </w:rPr>
            <w:fldChar w:fldCharType="separate"/>
          </w:r>
          <w:hyperlink w:anchor="_Toc112365269" w:history="1">
            <w:r w:rsidRPr="000D3C01">
              <w:rPr>
                <w:rFonts w:ascii="Calibri" w:eastAsia="Calibri" w:hAnsi="Calibri" w:cs="Times New Roman"/>
                <w:noProof/>
                <w:color w:val="0563C1"/>
                <w:sz w:val="40"/>
                <w:szCs w:val="40"/>
                <w:u w:val="single"/>
                <w:lang w:val="en-GB"/>
              </w:rPr>
              <w:t>1. Introduction</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_Toc112365269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3</w:t>
            </w:r>
            <w:r w:rsidRPr="000D3C01">
              <w:rPr>
                <w:rFonts w:ascii="Calibri" w:eastAsia="Calibri" w:hAnsi="Calibri" w:cs="Times New Roman"/>
                <w:noProof/>
                <w:webHidden/>
                <w:sz w:val="40"/>
                <w:szCs w:val="40"/>
                <w:lang w:val="en-GB"/>
              </w:rPr>
              <w:fldChar w:fldCharType="end"/>
            </w:r>
          </w:hyperlink>
        </w:p>
        <w:p w14:paraId="1D25136F"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0" w:history="1">
            <w:r w:rsidRPr="000D3C01">
              <w:rPr>
                <w:rFonts w:ascii="Calibri" w:eastAsia="Calibri" w:hAnsi="Calibri" w:cs="Times New Roman"/>
                <w:noProof/>
                <w:color w:val="0563C1"/>
                <w:sz w:val="40"/>
                <w:szCs w:val="40"/>
                <w:u w:val="single"/>
                <w:lang w:val="en-GB"/>
              </w:rPr>
              <w:t>2. Company Background</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_Toc112365270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3</w:t>
            </w:r>
            <w:r w:rsidRPr="000D3C01">
              <w:rPr>
                <w:rFonts w:ascii="Calibri" w:eastAsia="Calibri" w:hAnsi="Calibri" w:cs="Times New Roman"/>
                <w:noProof/>
                <w:webHidden/>
                <w:sz w:val="40"/>
                <w:szCs w:val="40"/>
                <w:lang w:val="en-GB"/>
              </w:rPr>
              <w:fldChar w:fldCharType="end"/>
            </w:r>
          </w:hyperlink>
        </w:p>
        <w:p w14:paraId="326758F9"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1" w:history="1">
            <w:r w:rsidRPr="000D3C01">
              <w:rPr>
                <w:rFonts w:ascii="Calibri" w:eastAsia="Arial" w:hAnsi="Calibri" w:cs="Times New Roman"/>
                <w:noProof/>
                <w:color w:val="0563C1"/>
                <w:sz w:val="40"/>
                <w:szCs w:val="40"/>
                <w:u w:val="single"/>
                <w:lang w:val="en-GB"/>
              </w:rPr>
              <w:t>3. Communication</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_Toc112365271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4</w:t>
            </w:r>
            <w:r w:rsidRPr="000D3C01">
              <w:rPr>
                <w:rFonts w:ascii="Calibri" w:eastAsia="Calibri" w:hAnsi="Calibri" w:cs="Times New Roman"/>
                <w:noProof/>
                <w:webHidden/>
                <w:sz w:val="40"/>
                <w:szCs w:val="40"/>
                <w:lang w:val="en-GB"/>
              </w:rPr>
              <w:fldChar w:fldCharType="end"/>
            </w:r>
          </w:hyperlink>
        </w:p>
        <w:p w14:paraId="41CD2585"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2" w:history="1">
            <w:r w:rsidRPr="000D3C01">
              <w:rPr>
                <w:rFonts w:ascii="Calibri" w:eastAsia="Calibri" w:hAnsi="Calibri" w:cs="Times New Roman"/>
                <w:noProof/>
                <w:color w:val="0563C1"/>
                <w:sz w:val="40"/>
                <w:szCs w:val="40"/>
                <w:u w:val="single"/>
                <w:lang w:val="en-GB"/>
              </w:rPr>
              <w:t>4. New promotional strategies</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_Toc112365272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6</w:t>
            </w:r>
            <w:r w:rsidRPr="000D3C01">
              <w:rPr>
                <w:rFonts w:ascii="Calibri" w:eastAsia="Calibri" w:hAnsi="Calibri" w:cs="Times New Roman"/>
                <w:noProof/>
                <w:webHidden/>
                <w:sz w:val="40"/>
                <w:szCs w:val="40"/>
                <w:lang w:val="en-GB"/>
              </w:rPr>
              <w:fldChar w:fldCharType="end"/>
            </w:r>
          </w:hyperlink>
        </w:p>
        <w:p w14:paraId="762529B8"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3" w:history="1">
            <w:r w:rsidRPr="000D3C01">
              <w:rPr>
                <w:rFonts w:ascii="Calibri" w:eastAsia="Arial" w:hAnsi="Calibri" w:cs="Times New Roman"/>
                <w:noProof/>
                <w:color w:val="0563C1"/>
                <w:sz w:val="40"/>
                <w:szCs w:val="40"/>
                <w:u w:val="single"/>
                <w:lang w:val="en-GB"/>
              </w:rPr>
              <w:t>5. Brand and Brand Equity</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_Toc112365273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7</w:t>
            </w:r>
            <w:r w:rsidRPr="000D3C01">
              <w:rPr>
                <w:rFonts w:ascii="Calibri" w:eastAsia="Calibri" w:hAnsi="Calibri" w:cs="Times New Roman"/>
                <w:noProof/>
                <w:webHidden/>
                <w:sz w:val="40"/>
                <w:szCs w:val="40"/>
                <w:lang w:val="en-GB"/>
              </w:rPr>
              <w:fldChar w:fldCharType="end"/>
            </w:r>
          </w:hyperlink>
        </w:p>
        <w:p w14:paraId="0ABE5FD9"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4" w:history="1">
            <w:r w:rsidRPr="000D3C01">
              <w:rPr>
                <w:rFonts w:ascii="Calibri" w:eastAsia="Calibri" w:hAnsi="Calibri" w:cs="Times New Roman"/>
                <w:noProof/>
                <w:color w:val="0563C1"/>
                <w:sz w:val="40"/>
                <w:szCs w:val="40"/>
                <w:u w:val="single"/>
                <w:lang w:val="en-GB"/>
              </w:rPr>
              <w:t>6. Customer journey</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_Toc112365274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11</w:t>
            </w:r>
            <w:r w:rsidRPr="000D3C01">
              <w:rPr>
                <w:rFonts w:ascii="Calibri" w:eastAsia="Calibri" w:hAnsi="Calibri" w:cs="Times New Roman"/>
                <w:noProof/>
                <w:webHidden/>
                <w:sz w:val="40"/>
                <w:szCs w:val="40"/>
                <w:lang w:val="en-GB"/>
              </w:rPr>
              <w:fldChar w:fldCharType="end"/>
            </w:r>
          </w:hyperlink>
        </w:p>
        <w:p w14:paraId="446FBFCE"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5" w:history="1">
            <w:r w:rsidRPr="000D3C01">
              <w:rPr>
                <w:rFonts w:ascii="Calibri" w:eastAsia="Calibri" w:hAnsi="Calibri" w:cs="Times New Roman"/>
                <w:noProof/>
                <w:color w:val="0563C1"/>
                <w:sz w:val="40"/>
                <w:szCs w:val="40"/>
                <w:u w:val="single"/>
                <w:lang w:val="en-GB"/>
              </w:rPr>
              <w:t>7. Customer touch points</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_Toc112365275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13</w:t>
            </w:r>
            <w:r w:rsidRPr="000D3C01">
              <w:rPr>
                <w:rFonts w:ascii="Calibri" w:eastAsia="Calibri" w:hAnsi="Calibri" w:cs="Times New Roman"/>
                <w:noProof/>
                <w:webHidden/>
                <w:sz w:val="40"/>
                <w:szCs w:val="40"/>
                <w:lang w:val="en-GB"/>
              </w:rPr>
              <w:fldChar w:fldCharType="end"/>
            </w:r>
          </w:hyperlink>
        </w:p>
        <w:p w14:paraId="0E1E0F9D"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6" w:history="1">
            <w:r w:rsidRPr="000D3C01">
              <w:rPr>
                <w:rFonts w:ascii="Calibri" w:eastAsia="Calibri" w:hAnsi="Calibri" w:cs="Times New Roman"/>
                <w:noProof/>
                <w:color w:val="0563C1"/>
                <w:sz w:val="40"/>
                <w:szCs w:val="40"/>
                <w:u w:val="single"/>
                <w:lang w:val="en-GB"/>
              </w:rPr>
              <w:t>8. Customer Journey Map</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_Toc112365276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14</w:t>
            </w:r>
            <w:r w:rsidRPr="000D3C01">
              <w:rPr>
                <w:rFonts w:ascii="Calibri" w:eastAsia="Calibri" w:hAnsi="Calibri" w:cs="Times New Roman"/>
                <w:noProof/>
                <w:webHidden/>
                <w:sz w:val="40"/>
                <w:szCs w:val="40"/>
                <w:lang w:val="en-GB"/>
              </w:rPr>
              <w:fldChar w:fldCharType="end"/>
            </w:r>
          </w:hyperlink>
        </w:p>
        <w:p w14:paraId="3249C258"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7" w:history="1">
            <w:r w:rsidRPr="000D3C01">
              <w:rPr>
                <w:rFonts w:ascii="Calibri" w:eastAsia="Arial" w:hAnsi="Calibri" w:cs="Times New Roman"/>
                <w:noProof/>
                <w:color w:val="0563C1"/>
                <w:sz w:val="40"/>
                <w:szCs w:val="40"/>
                <w:u w:val="single"/>
                <w:lang w:val="en-GB"/>
              </w:rPr>
              <w:t>9. Total engagement models</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_Toc112365277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16</w:t>
            </w:r>
            <w:r w:rsidRPr="000D3C01">
              <w:rPr>
                <w:rFonts w:ascii="Calibri" w:eastAsia="Calibri" w:hAnsi="Calibri" w:cs="Times New Roman"/>
                <w:noProof/>
                <w:webHidden/>
                <w:sz w:val="40"/>
                <w:szCs w:val="40"/>
                <w:lang w:val="en-GB"/>
              </w:rPr>
              <w:fldChar w:fldCharType="end"/>
            </w:r>
          </w:hyperlink>
        </w:p>
        <w:p w14:paraId="52B1684F"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8" w:history="1">
            <w:r w:rsidRPr="000D3C01">
              <w:rPr>
                <w:rFonts w:ascii="Calibri" w:eastAsia="Arial" w:hAnsi="Calibri" w:cs="Times New Roman"/>
                <w:noProof/>
                <w:color w:val="0563C1"/>
                <w:sz w:val="40"/>
                <w:szCs w:val="40"/>
                <w:u w:val="single"/>
                <w:lang w:val="en-GB"/>
              </w:rPr>
              <w:t>10. Conclusion</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_Toc112365278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17</w:t>
            </w:r>
            <w:r w:rsidRPr="000D3C01">
              <w:rPr>
                <w:rFonts w:ascii="Calibri" w:eastAsia="Calibri" w:hAnsi="Calibri" w:cs="Times New Roman"/>
                <w:noProof/>
                <w:webHidden/>
                <w:sz w:val="40"/>
                <w:szCs w:val="40"/>
                <w:lang w:val="en-GB"/>
              </w:rPr>
              <w:fldChar w:fldCharType="end"/>
            </w:r>
          </w:hyperlink>
        </w:p>
        <w:p w14:paraId="7AFB7D55" w14:textId="77777777" w:rsidR="000D3C01" w:rsidRPr="000D3C01" w:rsidRDefault="000D3C01" w:rsidP="000D3C01">
          <w:pPr>
            <w:tabs>
              <w:tab w:val="right" w:leader="dot" w:pos="9350"/>
            </w:tabs>
            <w:spacing w:after="100"/>
            <w:rPr>
              <w:rFonts w:ascii="Calibri" w:eastAsia="Times New Roman" w:hAnsi="Calibri" w:cs="Times New Roman"/>
              <w:noProof/>
              <w:sz w:val="40"/>
              <w:szCs w:val="40"/>
              <w:lang w:val="en-US"/>
            </w:rPr>
          </w:pPr>
          <w:hyperlink w:anchor="_Toc112365279" w:history="1">
            <w:r w:rsidRPr="000D3C01">
              <w:rPr>
                <w:rFonts w:ascii="Calibri" w:eastAsia="Calibri" w:hAnsi="Calibri" w:cs="Times New Roman"/>
                <w:noProof/>
                <w:color w:val="0563C1"/>
                <w:sz w:val="40"/>
                <w:szCs w:val="40"/>
                <w:u w:val="single"/>
                <w:lang w:val="en-GB"/>
              </w:rPr>
              <w:t>References</w:t>
            </w:r>
            <w:r w:rsidRPr="000D3C01">
              <w:rPr>
                <w:rFonts w:ascii="Calibri" w:eastAsia="Calibri" w:hAnsi="Calibri" w:cs="Times New Roman"/>
                <w:noProof/>
                <w:webHidden/>
                <w:sz w:val="40"/>
                <w:szCs w:val="40"/>
                <w:lang w:val="en-GB"/>
              </w:rPr>
              <w:tab/>
            </w:r>
            <w:r w:rsidRPr="000D3C01">
              <w:rPr>
                <w:rFonts w:ascii="Calibri" w:eastAsia="Calibri" w:hAnsi="Calibri" w:cs="Times New Roman"/>
                <w:noProof/>
                <w:webHidden/>
                <w:sz w:val="40"/>
                <w:szCs w:val="40"/>
                <w:lang w:val="en-GB"/>
              </w:rPr>
              <w:fldChar w:fldCharType="begin"/>
            </w:r>
            <w:r w:rsidRPr="000D3C01">
              <w:rPr>
                <w:rFonts w:ascii="Calibri" w:eastAsia="Calibri" w:hAnsi="Calibri" w:cs="Times New Roman"/>
                <w:noProof/>
                <w:webHidden/>
                <w:sz w:val="40"/>
                <w:szCs w:val="40"/>
                <w:lang w:val="en-GB"/>
              </w:rPr>
              <w:instrText xml:space="preserve"> PAGEREF _Toc112365279 \h </w:instrText>
            </w:r>
            <w:r w:rsidRPr="000D3C01">
              <w:rPr>
                <w:rFonts w:ascii="Calibri" w:eastAsia="Calibri" w:hAnsi="Calibri" w:cs="Times New Roman"/>
                <w:noProof/>
                <w:webHidden/>
                <w:sz w:val="40"/>
                <w:szCs w:val="40"/>
                <w:lang w:val="en-GB"/>
              </w:rPr>
            </w:r>
            <w:r w:rsidRPr="000D3C01">
              <w:rPr>
                <w:rFonts w:ascii="Calibri" w:eastAsia="Calibri" w:hAnsi="Calibri" w:cs="Times New Roman"/>
                <w:noProof/>
                <w:webHidden/>
                <w:sz w:val="40"/>
                <w:szCs w:val="40"/>
                <w:lang w:val="en-GB"/>
              </w:rPr>
              <w:fldChar w:fldCharType="separate"/>
            </w:r>
            <w:r w:rsidRPr="000D3C01">
              <w:rPr>
                <w:rFonts w:ascii="Calibri" w:eastAsia="Calibri" w:hAnsi="Calibri" w:cs="Times New Roman"/>
                <w:noProof/>
                <w:webHidden/>
                <w:sz w:val="40"/>
                <w:szCs w:val="40"/>
                <w:lang w:val="en-GB"/>
              </w:rPr>
              <w:t>19</w:t>
            </w:r>
            <w:r w:rsidRPr="000D3C01">
              <w:rPr>
                <w:rFonts w:ascii="Calibri" w:eastAsia="Calibri" w:hAnsi="Calibri" w:cs="Times New Roman"/>
                <w:noProof/>
                <w:webHidden/>
                <w:sz w:val="40"/>
                <w:szCs w:val="40"/>
                <w:lang w:val="en-GB"/>
              </w:rPr>
              <w:fldChar w:fldCharType="end"/>
            </w:r>
          </w:hyperlink>
        </w:p>
        <w:p w14:paraId="1D040F88" w14:textId="77777777" w:rsidR="000D3C01" w:rsidRPr="000D3C01" w:rsidRDefault="000D3C01" w:rsidP="000D3C01">
          <w:pPr>
            <w:spacing w:before="240" w:line="360" w:lineRule="auto"/>
            <w:jc w:val="both"/>
            <w:rPr>
              <w:rFonts w:ascii="Arial" w:eastAsia="Calibri" w:hAnsi="Arial" w:cs="Arial"/>
              <w:sz w:val="24"/>
              <w:szCs w:val="24"/>
              <w:lang w:val="en-GB"/>
            </w:rPr>
          </w:pPr>
          <w:r w:rsidRPr="000D3C01">
            <w:rPr>
              <w:rFonts w:ascii="Arial" w:eastAsia="Calibri" w:hAnsi="Arial" w:cs="Arial"/>
              <w:b/>
              <w:bCs/>
              <w:noProof/>
              <w:sz w:val="40"/>
              <w:szCs w:val="40"/>
              <w:lang w:val="en-GB"/>
            </w:rPr>
            <w:fldChar w:fldCharType="end"/>
          </w:r>
        </w:p>
      </w:sdtContent>
    </w:sdt>
    <w:p w14:paraId="3FD48C61" w14:textId="77777777" w:rsidR="000D3C01" w:rsidRPr="000D3C01" w:rsidRDefault="000D3C01" w:rsidP="000D3C01">
      <w:pPr>
        <w:spacing w:before="240" w:line="360" w:lineRule="auto"/>
        <w:jc w:val="both"/>
        <w:rPr>
          <w:rFonts w:ascii="Arial" w:eastAsia="Times New Roman" w:hAnsi="Arial" w:cs="Arial"/>
          <w:b/>
          <w:bCs/>
          <w:spacing w:val="-2"/>
          <w:sz w:val="24"/>
          <w:szCs w:val="24"/>
          <w:highlight w:val="yellow"/>
          <w:lang w:val="en-US"/>
        </w:rPr>
      </w:pPr>
      <w:r w:rsidRPr="000D3C01">
        <w:rPr>
          <w:rFonts w:ascii="Arial" w:eastAsia="Times New Roman" w:hAnsi="Arial" w:cs="Arial"/>
          <w:b/>
          <w:bCs/>
          <w:spacing w:val="-2"/>
          <w:sz w:val="24"/>
          <w:szCs w:val="24"/>
          <w:highlight w:val="yellow"/>
          <w:lang w:val="en-US"/>
        </w:rPr>
        <w:br w:type="page"/>
      </w:r>
    </w:p>
    <w:p w14:paraId="581A3303" w14:textId="77777777" w:rsidR="000D3C01" w:rsidRPr="000D3C01" w:rsidRDefault="000D3C01" w:rsidP="000D3C01">
      <w:pPr>
        <w:spacing w:before="240" w:line="360" w:lineRule="auto"/>
        <w:jc w:val="both"/>
        <w:rPr>
          <w:rFonts w:ascii="Arial" w:eastAsia="Times New Roman" w:hAnsi="Arial" w:cs="Arial"/>
          <w:b/>
          <w:bCs/>
          <w:spacing w:val="-2"/>
          <w:sz w:val="24"/>
          <w:szCs w:val="24"/>
          <w:highlight w:val="yellow"/>
          <w:lang w:val="en-US"/>
        </w:rPr>
      </w:pPr>
    </w:p>
    <w:p w14:paraId="0023E8C3" w14:textId="77777777" w:rsidR="000D3C01" w:rsidRPr="000D3C01" w:rsidRDefault="000D3C01" w:rsidP="000D3C01">
      <w:pPr>
        <w:keepNext/>
        <w:keepLines/>
        <w:spacing w:before="240" w:after="0" w:line="360" w:lineRule="auto"/>
        <w:jc w:val="both"/>
        <w:outlineLvl w:val="0"/>
        <w:rPr>
          <w:rFonts w:ascii="Arial" w:eastAsia="Times New Roman" w:hAnsi="Arial" w:cs="Arial"/>
          <w:b/>
          <w:bCs/>
          <w:sz w:val="24"/>
          <w:szCs w:val="24"/>
          <w:lang w:val="en-GB"/>
        </w:rPr>
      </w:pPr>
      <w:bookmarkStart w:id="0" w:name="_Toc112365269"/>
      <w:r w:rsidRPr="000D3C01">
        <w:rPr>
          <w:rFonts w:ascii="Arial" w:eastAsia="Times New Roman" w:hAnsi="Arial" w:cs="Arial"/>
          <w:b/>
          <w:bCs/>
          <w:sz w:val="24"/>
          <w:szCs w:val="24"/>
          <w:lang w:val="en-GB"/>
        </w:rPr>
        <w:t>1. Introduction</w:t>
      </w:r>
      <w:bookmarkEnd w:id="0"/>
      <w:r w:rsidRPr="000D3C01">
        <w:rPr>
          <w:rFonts w:ascii="Arial" w:eastAsia="Times New Roman" w:hAnsi="Arial" w:cs="Arial"/>
          <w:b/>
          <w:bCs/>
          <w:sz w:val="24"/>
          <w:szCs w:val="24"/>
          <w:lang w:val="en-GB"/>
        </w:rPr>
        <w:t xml:space="preserve">  </w:t>
      </w:r>
    </w:p>
    <w:p w14:paraId="7CA53F2D"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 </w:t>
      </w:r>
    </w:p>
    <w:p w14:paraId="6A75A658"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Marketing is the most significant part of any business operations and activities in the present competitive business world. According to Varley et al. (2018), marketing is a significant business process intended to encourage sales performance and increase </w:t>
      </w:r>
      <w:proofErr w:type="spellStart"/>
      <w:r w:rsidRPr="000D3C01">
        <w:rPr>
          <w:rFonts w:ascii="Arial" w:eastAsia="Times New Roman" w:hAnsi="Arial" w:cs="Arial"/>
          <w:sz w:val="24"/>
          <w:szCs w:val="24"/>
          <w:lang w:val="en-US"/>
        </w:rPr>
        <w:t>organisational</w:t>
      </w:r>
      <w:proofErr w:type="spellEnd"/>
      <w:r w:rsidRPr="000D3C01">
        <w:rPr>
          <w:rFonts w:ascii="Arial" w:eastAsia="Times New Roman" w:hAnsi="Arial" w:cs="Arial"/>
          <w:sz w:val="24"/>
          <w:szCs w:val="24"/>
          <w:lang w:val="en-US"/>
        </w:rPr>
        <w:t xml:space="preserve"> profitability and revenue. Furthermore, effective marketing operations make awareness of the trade and its goods along with offering inputs that make interest the target customers. Besides, it brings in novel customers and creates innovative business opportunities for </w:t>
      </w:r>
      <w:proofErr w:type="spellStart"/>
      <w:r w:rsidRPr="000D3C01">
        <w:rPr>
          <w:rFonts w:ascii="Arial" w:eastAsia="Times New Roman" w:hAnsi="Arial" w:cs="Arial"/>
          <w:sz w:val="24"/>
          <w:szCs w:val="24"/>
          <w:lang w:val="en-US"/>
        </w:rPr>
        <w:t>organisations</w:t>
      </w:r>
      <w:proofErr w:type="spellEnd"/>
      <w:r w:rsidRPr="000D3C01">
        <w:rPr>
          <w:rFonts w:ascii="Arial" w:eastAsia="Times New Roman" w:hAnsi="Arial" w:cs="Arial"/>
          <w:sz w:val="24"/>
          <w:szCs w:val="24"/>
          <w:lang w:val="en-US"/>
        </w:rPr>
        <w:t>. The present report critically analyses how H&amp;M can make innovative marketing tactics and strategies for increasing brand awareness along with evaluating and managing the customer's journey across many communication channels to make sure the future and current stakeholders’ expectations are fulfilled. </w:t>
      </w:r>
    </w:p>
    <w:p w14:paraId="3E7B7614" w14:textId="77777777" w:rsidR="000D3C01" w:rsidRPr="000D3C01" w:rsidRDefault="000D3C01" w:rsidP="000D3C01">
      <w:pPr>
        <w:keepNext/>
        <w:keepLines/>
        <w:spacing w:before="240" w:after="0" w:line="360" w:lineRule="auto"/>
        <w:jc w:val="both"/>
        <w:outlineLvl w:val="0"/>
        <w:rPr>
          <w:rFonts w:ascii="Arial" w:eastAsia="Times New Roman" w:hAnsi="Arial" w:cs="Arial"/>
          <w:b/>
          <w:bCs/>
          <w:sz w:val="24"/>
          <w:szCs w:val="24"/>
          <w:lang w:val="en-GB"/>
        </w:rPr>
      </w:pPr>
      <w:bookmarkStart w:id="1" w:name="_Toc112365270"/>
      <w:r w:rsidRPr="000D3C01">
        <w:rPr>
          <w:rFonts w:ascii="Arial" w:eastAsia="Times New Roman" w:hAnsi="Arial" w:cs="Arial"/>
          <w:b/>
          <w:bCs/>
          <w:sz w:val="24"/>
          <w:szCs w:val="24"/>
          <w:lang w:val="en-GB"/>
        </w:rPr>
        <w:t>2. Company Background</w:t>
      </w:r>
      <w:bookmarkEnd w:id="1"/>
    </w:p>
    <w:p w14:paraId="216DBDA0"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H&amp;M group is a worldwide Swedish retail brand that keeps its finger on the pulse of fashion's pounding heart to find styles and trends that even the most fashionable individuals on a budget can afford. It was established in 1947 by </w:t>
      </w:r>
      <w:proofErr w:type="spellStart"/>
      <w:r w:rsidRPr="000D3C01">
        <w:rPr>
          <w:rFonts w:ascii="Arial" w:eastAsia="Times New Roman" w:hAnsi="Arial" w:cs="Arial"/>
          <w:sz w:val="24"/>
          <w:szCs w:val="24"/>
          <w:lang w:val="en-US"/>
        </w:rPr>
        <w:t>Erling</w:t>
      </w:r>
      <w:proofErr w:type="spellEnd"/>
      <w:r w:rsidRPr="000D3C01">
        <w:rPr>
          <w:rFonts w:ascii="Arial" w:eastAsia="Times New Roman" w:hAnsi="Arial" w:cs="Arial"/>
          <w:sz w:val="24"/>
          <w:szCs w:val="24"/>
          <w:lang w:val="en-US"/>
        </w:rPr>
        <w:t xml:space="preserve"> Persson and H&amp;M launched its first shop in </w:t>
      </w:r>
      <w:proofErr w:type="spellStart"/>
      <w:r w:rsidRPr="000D3C01">
        <w:rPr>
          <w:rFonts w:ascii="Arial" w:eastAsia="Times New Roman" w:hAnsi="Arial" w:cs="Arial"/>
          <w:sz w:val="24"/>
          <w:szCs w:val="24"/>
          <w:lang w:val="en-US"/>
        </w:rPr>
        <w:t>Västerås</w:t>
      </w:r>
      <w:proofErr w:type="spellEnd"/>
      <w:r w:rsidRPr="000D3C01">
        <w:rPr>
          <w:rFonts w:ascii="Arial" w:eastAsia="Times New Roman" w:hAnsi="Arial" w:cs="Arial"/>
          <w:sz w:val="24"/>
          <w:szCs w:val="24"/>
          <w:lang w:val="en-US"/>
        </w:rPr>
        <w:t xml:space="preserve">, Sweden (Bonilla et al., 2019). The brand is known for its simple yet trendy fast clothes, and the H&amp;M group is well-known for its marketing and brand-building initiatives (Madsen et al., 2021). According to </w:t>
      </w:r>
      <w:proofErr w:type="spellStart"/>
      <w:r w:rsidRPr="000D3C01">
        <w:rPr>
          <w:rFonts w:ascii="Arial" w:eastAsia="Times New Roman" w:hAnsi="Arial" w:cs="Arial"/>
          <w:sz w:val="24"/>
          <w:szCs w:val="24"/>
          <w:lang w:val="en-US"/>
        </w:rPr>
        <w:t>Bögel</w:t>
      </w:r>
      <w:proofErr w:type="spellEnd"/>
      <w:r w:rsidRPr="000D3C01">
        <w:rPr>
          <w:rFonts w:ascii="Arial" w:eastAsia="Times New Roman" w:hAnsi="Arial" w:cs="Arial"/>
          <w:sz w:val="24"/>
          <w:szCs w:val="24"/>
          <w:lang w:val="en-US"/>
        </w:rPr>
        <w:t xml:space="preserve"> (2019), the H&amp;M collection range spans all age groups and provides high-quality accessories and apparel for men, women, children, and teenagers. H&amp;M also offers beauty cosmetics and home furnishings to diversify its goods range to customers (Madsen et al., 2021). Li et al. (2014) revealed that H&amp;M has a vast worldwide supply chain and is present in over 74 countries. </w:t>
      </w:r>
      <w:bookmarkStart w:id="2" w:name="_Hlk112363157"/>
      <w:proofErr w:type="spellStart"/>
      <w:r w:rsidRPr="000D3C01">
        <w:rPr>
          <w:rFonts w:ascii="Arial" w:eastAsia="Times New Roman" w:hAnsi="Arial" w:cs="Arial"/>
          <w:sz w:val="24"/>
          <w:szCs w:val="24"/>
          <w:lang w:val="en-US"/>
        </w:rPr>
        <w:t>Norpoth</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Kaltenborn</w:t>
      </w:r>
      <w:proofErr w:type="spellEnd"/>
      <w:r w:rsidRPr="000D3C01">
        <w:rPr>
          <w:rFonts w:ascii="Arial" w:eastAsia="Times New Roman" w:hAnsi="Arial" w:cs="Arial"/>
          <w:sz w:val="24"/>
          <w:szCs w:val="24"/>
          <w:lang w:val="en-US"/>
        </w:rPr>
        <w:t xml:space="preserve"> (2020) </w:t>
      </w:r>
      <w:bookmarkEnd w:id="2"/>
      <w:r w:rsidRPr="000D3C01">
        <w:rPr>
          <w:rFonts w:ascii="Arial" w:eastAsia="Times New Roman" w:hAnsi="Arial" w:cs="Arial"/>
          <w:sz w:val="24"/>
          <w:szCs w:val="24"/>
          <w:lang w:val="en-US"/>
        </w:rPr>
        <w:t>revealed that H&amp;M have more than 550 outlets in 12 European countries. Every year, the Swedish retailer sells around 300 million mainly company-designed accessories and apparel, including cosmetics, for a total of US$3.15 billion.</w:t>
      </w:r>
    </w:p>
    <w:p w14:paraId="0A106D3C" w14:textId="77777777" w:rsidR="000D3C01" w:rsidRPr="000D3C01" w:rsidRDefault="000D3C01" w:rsidP="000D3C01">
      <w:pPr>
        <w:spacing w:before="240" w:after="0" w:line="360" w:lineRule="auto"/>
        <w:jc w:val="both"/>
        <w:rPr>
          <w:rFonts w:ascii="Arial" w:eastAsia="Times New Roman" w:hAnsi="Arial" w:cs="Arial"/>
          <w:sz w:val="24"/>
          <w:szCs w:val="24"/>
          <w:lang w:val="en-US"/>
        </w:rPr>
      </w:pPr>
      <w:bookmarkStart w:id="3" w:name="_Hlk112363242"/>
      <w:r w:rsidRPr="000D3C01">
        <w:rPr>
          <w:rFonts w:ascii="Arial" w:eastAsia="Times New Roman" w:hAnsi="Arial" w:cs="Arial"/>
          <w:sz w:val="24"/>
          <w:szCs w:val="24"/>
          <w:lang w:val="en-US"/>
        </w:rPr>
        <w:t xml:space="preserve">Volkov et al. (2014) </w:t>
      </w:r>
      <w:bookmarkEnd w:id="3"/>
      <w:r w:rsidRPr="000D3C01">
        <w:rPr>
          <w:rFonts w:ascii="Arial" w:eastAsia="Times New Roman" w:hAnsi="Arial" w:cs="Arial"/>
          <w:sz w:val="24"/>
          <w:szCs w:val="24"/>
          <w:lang w:val="en-US"/>
        </w:rPr>
        <w:t xml:space="preserve">mentioned that H&amp;M has been so successful and efficient at exporting its high-quality, low-cost clothing styles that since the mid-1990s, the company has sold more than 80% of its products outside of Sweden. Germany has been H&amp;M's largest single market. H&amp;M has also expanded beyond Sweden through its catalogue sales, known as H&amp;M </w:t>
      </w:r>
      <w:proofErr w:type="spellStart"/>
      <w:r w:rsidRPr="000D3C01">
        <w:rPr>
          <w:rFonts w:ascii="Arial" w:eastAsia="Times New Roman" w:hAnsi="Arial" w:cs="Arial"/>
          <w:sz w:val="24"/>
          <w:szCs w:val="24"/>
          <w:lang w:val="en-US"/>
        </w:rPr>
        <w:t>Rowells</w:t>
      </w:r>
      <w:proofErr w:type="spellEnd"/>
      <w:r w:rsidRPr="000D3C01">
        <w:rPr>
          <w:rFonts w:ascii="Arial" w:eastAsia="Times New Roman" w:hAnsi="Arial" w:cs="Arial"/>
          <w:sz w:val="24"/>
          <w:szCs w:val="24"/>
          <w:lang w:val="en-US"/>
        </w:rPr>
        <w:t>, which, in the 1990s, was confined to the Scandinavian marketplace (Jiang, 2022). Their emphasis on offering economical yet attractive fast fashion has allowed them to build a large international following and position themselves as a prominent player in the current fashion industry. The mission statement of H&amp;M is to invest in communities, people, and creative ideas to enhance living conditions and create long-term positive change (Bonilla et al., 2019).</w:t>
      </w:r>
    </w:p>
    <w:p w14:paraId="333B3C90" w14:textId="77777777" w:rsidR="000D3C01" w:rsidRPr="000D3C01" w:rsidRDefault="000D3C01" w:rsidP="000D3C01">
      <w:pPr>
        <w:keepNext/>
        <w:keepLines/>
        <w:spacing w:before="240" w:after="0" w:line="360" w:lineRule="auto"/>
        <w:jc w:val="both"/>
        <w:outlineLvl w:val="0"/>
        <w:rPr>
          <w:rFonts w:ascii="Arial" w:eastAsia="Times New Roman" w:hAnsi="Arial" w:cs="Arial"/>
          <w:sz w:val="24"/>
          <w:szCs w:val="24"/>
          <w:lang w:val="en-GB"/>
        </w:rPr>
      </w:pPr>
      <w:bookmarkStart w:id="4" w:name="_Toc112365271"/>
      <w:r w:rsidRPr="000D3C01">
        <w:rPr>
          <w:rFonts w:ascii="Arial" w:eastAsia="Arial" w:hAnsi="Arial" w:cs="Arial"/>
          <w:b/>
          <w:bCs/>
          <w:sz w:val="24"/>
          <w:szCs w:val="24"/>
          <w:lang w:val="en-GB"/>
        </w:rPr>
        <w:t>3. Communication</w:t>
      </w:r>
      <w:bookmarkEnd w:id="4"/>
    </w:p>
    <w:p w14:paraId="028F28C6"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Communication is generally the process of generating and sharing facts, information, ideas, views, and feelings from one location, group, or person to another. According to Hari et al. (2016), communication is essential to humans' and </w:t>
      </w:r>
      <w:proofErr w:type="spellStart"/>
      <w:r w:rsidRPr="000D3C01">
        <w:rPr>
          <w:rFonts w:ascii="Arial" w:eastAsia="Times New Roman" w:hAnsi="Arial" w:cs="Arial"/>
          <w:sz w:val="24"/>
          <w:szCs w:val="24"/>
          <w:lang w:val="en-US"/>
        </w:rPr>
        <w:t>organisations'</w:t>
      </w:r>
      <w:proofErr w:type="spellEnd"/>
      <w:r w:rsidRPr="000D3C01">
        <w:rPr>
          <w:rFonts w:ascii="Arial" w:eastAsia="Times New Roman" w:hAnsi="Arial" w:cs="Arial"/>
          <w:sz w:val="24"/>
          <w:szCs w:val="24"/>
          <w:lang w:val="en-US"/>
        </w:rPr>
        <w:t xml:space="preserve"> survival and existence. Ha and </w:t>
      </w:r>
      <w:proofErr w:type="spellStart"/>
      <w:r w:rsidRPr="000D3C01">
        <w:rPr>
          <w:rFonts w:ascii="Arial" w:eastAsia="Times New Roman" w:hAnsi="Arial" w:cs="Arial"/>
          <w:sz w:val="24"/>
          <w:szCs w:val="24"/>
          <w:lang w:val="en-US"/>
        </w:rPr>
        <w:t>Longnecker</w:t>
      </w:r>
      <w:proofErr w:type="spellEnd"/>
      <w:r w:rsidRPr="000D3C01">
        <w:rPr>
          <w:rFonts w:ascii="Arial" w:eastAsia="Times New Roman" w:hAnsi="Arial" w:cs="Arial"/>
          <w:sz w:val="24"/>
          <w:szCs w:val="24"/>
          <w:lang w:val="en-US"/>
        </w:rPr>
        <w:t xml:space="preserve"> (2010) mentioned that communication necessitates a sender, the individual who begins communication, to share their ideas or encode a message. Further, this message is delivered to the receiver, an individual who receives the data, and last, the receiver must then decode or comprehend the message. According to </w:t>
      </w:r>
      <w:proofErr w:type="spellStart"/>
      <w:r w:rsidRPr="000D3C01">
        <w:rPr>
          <w:rFonts w:ascii="Arial" w:eastAsia="Times New Roman" w:hAnsi="Arial" w:cs="Arial"/>
          <w:sz w:val="24"/>
          <w:szCs w:val="24"/>
          <w:lang w:val="en-US"/>
        </w:rPr>
        <w:t>Ratheeswari</w:t>
      </w:r>
      <w:proofErr w:type="spellEnd"/>
      <w:r w:rsidRPr="000D3C01">
        <w:rPr>
          <w:rFonts w:ascii="Arial" w:eastAsia="Times New Roman" w:hAnsi="Arial" w:cs="Arial"/>
          <w:sz w:val="24"/>
          <w:szCs w:val="24"/>
          <w:lang w:val="en-US"/>
        </w:rPr>
        <w:t xml:space="preserve"> (2018), effective communication necessitates using a shared language and a knowledge of basic concepts. It's also crucial to remember that a receiver's interpretation of what the sender sends out may differ from what the sender intended, which is less probable if the two share the same language and culture.</w:t>
      </w:r>
    </w:p>
    <w:p w14:paraId="491BD9D8" w14:textId="77777777" w:rsidR="000D3C01" w:rsidRPr="000D3C01" w:rsidRDefault="000D3C01" w:rsidP="000D3C01">
      <w:pPr>
        <w:spacing w:before="240" w:line="360" w:lineRule="auto"/>
        <w:jc w:val="both"/>
        <w:rPr>
          <w:rFonts w:ascii="Arial" w:eastAsia="Calibri" w:hAnsi="Arial" w:cs="Arial"/>
          <w:sz w:val="24"/>
          <w:szCs w:val="24"/>
          <w:lang w:val="en-GB"/>
        </w:rPr>
      </w:pPr>
      <w:r w:rsidRPr="000D3C01">
        <w:rPr>
          <w:rFonts w:ascii="Arial" w:eastAsia="Arial" w:hAnsi="Arial" w:cs="Arial"/>
          <w:b/>
          <w:bCs/>
          <w:sz w:val="24"/>
          <w:szCs w:val="24"/>
          <w:lang w:val="en-GB"/>
        </w:rPr>
        <w:t>Shannon and Weaver's Communication Model</w:t>
      </w:r>
    </w:p>
    <w:p w14:paraId="4C8109DD"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i/>
          <w:iCs/>
          <w:sz w:val="24"/>
          <w:szCs w:val="24"/>
          <w:lang w:val="en-US"/>
        </w:rPr>
        <w:t>According to </w:t>
      </w:r>
      <w:r w:rsidRPr="000D3C01">
        <w:rPr>
          <w:rFonts w:ascii="Arial" w:eastAsia="Times New Roman" w:hAnsi="Arial" w:cs="Arial"/>
          <w:sz w:val="24"/>
          <w:szCs w:val="24"/>
          <w:lang w:val="en-US"/>
        </w:rPr>
        <w:t>Al-</w:t>
      </w:r>
      <w:proofErr w:type="spellStart"/>
      <w:r w:rsidRPr="000D3C01">
        <w:rPr>
          <w:rFonts w:ascii="Arial" w:eastAsia="Times New Roman" w:hAnsi="Arial" w:cs="Arial"/>
          <w:sz w:val="24"/>
          <w:szCs w:val="24"/>
          <w:lang w:val="en-US"/>
        </w:rPr>
        <w:t>Fedaghi</w:t>
      </w:r>
      <w:proofErr w:type="spellEnd"/>
      <w:r w:rsidRPr="000D3C01">
        <w:rPr>
          <w:rFonts w:ascii="Arial" w:eastAsia="Times New Roman" w:hAnsi="Arial" w:cs="Arial"/>
          <w:sz w:val="24"/>
          <w:szCs w:val="24"/>
          <w:lang w:val="en-US"/>
        </w:rPr>
        <w:t xml:space="preserve"> (2012), Shannon and weaver's communication model is specifically developed to foster effective and successful communication between sender and recipient. They also find noise factors that impact the communication process. Johnson et al. (2011) mentioned that initially, the model was created to enhance technical communication, and later, it became widely used in communication. The sender primarily encodes the message and transmits it to the receiver via a technological channel such as the telegraph or telephone (Weaver and Coleman, 2010). The sender turns the message into machine-readable codes. The message is transmitted in code over a medium. The receiver must decode the message before comprehending and interpreting the message. In some circumstances, the receptor machine can also function as a decoder. The channel may be noisy, and the receiver may be unable to decode it, causing issues in the communication process (Ma, 2011).</w:t>
      </w:r>
    </w:p>
    <w:p w14:paraId="0D643E54" w14:textId="77777777" w:rsidR="000D3C01" w:rsidRPr="000D3C01" w:rsidRDefault="000D3C01" w:rsidP="000D3C01">
      <w:pPr>
        <w:spacing w:before="240" w:line="360" w:lineRule="auto"/>
        <w:jc w:val="both"/>
        <w:rPr>
          <w:rFonts w:ascii="Arial" w:eastAsia="Calibri" w:hAnsi="Arial" w:cs="Arial"/>
          <w:sz w:val="24"/>
          <w:szCs w:val="24"/>
          <w:lang w:val="en-GB"/>
        </w:rPr>
      </w:pPr>
      <w:r w:rsidRPr="000D3C01">
        <w:rPr>
          <w:rFonts w:ascii="Arial" w:eastAsia="Calibri" w:hAnsi="Arial" w:cs="Arial"/>
          <w:noProof/>
          <w:sz w:val="24"/>
          <w:szCs w:val="24"/>
          <w:lang w:val="en-GB" w:eastAsia="en-IN"/>
        </w:rPr>
        <w:drawing>
          <wp:inline distT="0" distB="0" distL="0" distR="0" wp14:anchorId="0727DB2F" wp14:editId="1F105858">
            <wp:extent cx="5731510" cy="2780640"/>
            <wp:effectExtent l="0" t="0" r="2540" b="127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
                    <a:stretch>
                      <a:fillRect/>
                    </a:stretch>
                  </pic:blipFill>
                  <pic:spPr>
                    <a:xfrm>
                      <a:off x="0" y="0"/>
                      <a:ext cx="5731510" cy="2780640"/>
                    </a:xfrm>
                    <a:prstGeom prst="rect">
                      <a:avLst/>
                    </a:prstGeom>
                  </pic:spPr>
                </pic:pic>
              </a:graphicData>
            </a:graphic>
          </wp:inline>
        </w:drawing>
      </w:r>
    </w:p>
    <w:p w14:paraId="59B7C43A" w14:textId="77777777" w:rsidR="000D3C01" w:rsidRPr="000D3C01" w:rsidRDefault="000D3C01" w:rsidP="000D3C01">
      <w:pPr>
        <w:spacing w:before="240" w:line="360" w:lineRule="auto"/>
        <w:jc w:val="center"/>
        <w:rPr>
          <w:rFonts w:ascii="Arial" w:eastAsia="Calibri" w:hAnsi="Arial" w:cs="Arial"/>
          <w:sz w:val="24"/>
          <w:szCs w:val="24"/>
          <w:lang w:val="en-GB"/>
        </w:rPr>
      </w:pPr>
    </w:p>
    <w:p w14:paraId="79EFC93F" w14:textId="77777777" w:rsidR="000D3C01" w:rsidRPr="000D3C01" w:rsidRDefault="000D3C01" w:rsidP="000D3C01">
      <w:pPr>
        <w:spacing w:before="240" w:line="360" w:lineRule="auto"/>
        <w:jc w:val="center"/>
        <w:rPr>
          <w:rFonts w:ascii="Arial" w:eastAsia="Calibri" w:hAnsi="Arial" w:cs="Arial"/>
          <w:i/>
          <w:sz w:val="24"/>
          <w:szCs w:val="24"/>
          <w:lang w:val="en-GB"/>
        </w:rPr>
      </w:pPr>
      <w:r w:rsidRPr="000D3C01">
        <w:rPr>
          <w:rFonts w:ascii="Arial" w:eastAsia="Calibri" w:hAnsi="Arial" w:cs="Arial"/>
          <w:i/>
          <w:sz w:val="24"/>
          <w:szCs w:val="24"/>
          <w:lang w:val="en-GB"/>
        </w:rPr>
        <w:t>Figure 1: Shannon and weaver's communication model</w:t>
      </w:r>
    </w:p>
    <w:p w14:paraId="7F087077" w14:textId="77777777" w:rsidR="000D3C01" w:rsidRPr="000D3C01" w:rsidRDefault="000D3C01" w:rsidP="000D3C01">
      <w:pPr>
        <w:spacing w:before="240" w:line="360" w:lineRule="auto"/>
        <w:jc w:val="center"/>
        <w:rPr>
          <w:rFonts w:ascii="Arial" w:eastAsia="Calibri" w:hAnsi="Arial" w:cs="Arial"/>
          <w:i/>
          <w:sz w:val="24"/>
          <w:szCs w:val="24"/>
          <w:lang w:val="en-GB"/>
        </w:rPr>
      </w:pPr>
      <w:r w:rsidRPr="000D3C01">
        <w:rPr>
          <w:rFonts w:ascii="Arial" w:eastAsia="Calibri" w:hAnsi="Arial" w:cs="Arial"/>
          <w:i/>
          <w:sz w:val="24"/>
          <w:szCs w:val="24"/>
          <w:shd w:val="clear" w:color="auto" w:fill="FFFFFF"/>
          <w:lang w:val="en-GB"/>
        </w:rPr>
        <w:t>Source: Taylor</w:t>
      </w:r>
      <w:r w:rsidRPr="000D3C01">
        <w:rPr>
          <w:rFonts w:ascii="Arial" w:eastAsia="Calibri" w:hAnsi="Arial" w:cs="Arial"/>
          <w:i/>
          <w:sz w:val="24"/>
          <w:szCs w:val="24"/>
          <w:lang w:val="en-GB"/>
        </w:rPr>
        <w:t xml:space="preserve"> </w:t>
      </w:r>
      <w:r w:rsidRPr="000D3C01">
        <w:rPr>
          <w:rFonts w:ascii="Arial" w:eastAsia="Calibri" w:hAnsi="Arial" w:cs="Arial"/>
          <w:i/>
          <w:sz w:val="24"/>
          <w:szCs w:val="24"/>
          <w:shd w:val="clear" w:color="auto" w:fill="FFFFFF"/>
          <w:lang w:val="en-GB"/>
        </w:rPr>
        <w:t>(2017)</w:t>
      </w:r>
    </w:p>
    <w:p w14:paraId="01CF8BBB"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Shannon and weaver's communication model is connected to the marketing process. It is used in this manner: the sender is the marketer or company, and the receiver is the target market or customer. The source of information delivers a message via a channel, including radio, television, internet, newspaper, etc. (Sharp and Weaver, 2015). The receiver accepts and translates the message, and the receiver could then provide </w:t>
      </w:r>
      <w:proofErr w:type="spellStart"/>
      <w:r w:rsidRPr="000D3C01">
        <w:rPr>
          <w:rFonts w:ascii="Arial" w:eastAsia="Times New Roman" w:hAnsi="Arial" w:cs="Arial"/>
          <w:sz w:val="24"/>
          <w:szCs w:val="24"/>
          <w:lang w:val="en-US"/>
        </w:rPr>
        <w:t>favourable</w:t>
      </w:r>
      <w:proofErr w:type="spellEnd"/>
      <w:r w:rsidRPr="000D3C01">
        <w:rPr>
          <w:rFonts w:ascii="Arial" w:eastAsia="Times New Roman" w:hAnsi="Arial" w:cs="Arial"/>
          <w:sz w:val="24"/>
          <w:szCs w:val="24"/>
          <w:lang w:val="en-US"/>
        </w:rPr>
        <w:t xml:space="preserve"> or </w:t>
      </w:r>
      <w:proofErr w:type="spellStart"/>
      <w:r w:rsidRPr="000D3C01">
        <w:rPr>
          <w:rFonts w:ascii="Arial" w:eastAsia="Times New Roman" w:hAnsi="Arial" w:cs="Arial"/>
          <w:sz w:val="24"/>
          <w:szCs w:val="24"/>
          <w:lang w:val="en-US"/>
        </w:rPr>
        <w:t>unfavourable</w:t>
      </w:r>
      <w:proofErr w:type="spellEnd"/>
      <w:r w:rsidRPr="000D3C01">
        <w:rPr>
          <w:rFonts w:ascii="Arial" w:eastAsia="Times New Roman" w:hAnsi="Arial" w:cs="Arial"/>
          <w:sz w:val="24"/>
          <w:szCs w:val="24"/>
          <w:lang w:val="en-US"/>
        </w:rPr>
        <w:t xml:space="preserve"> feedback to the sender (Lippitt et al., 2014). </w:t>
      </w:r>
    </w:p>
    <w:p w14:paraId="12303A36" w14:textId="77777777" w:rsidR="000D3C01" w:rsidRPr="000D3C01" w:rsidRDefault="000D3C01" w:rsidP="000D3C01">
      <w:pPr>
        <w:spacing w:before="240" w:line="360" w:lineRule="auto"/>
        <w:jc w:val="both"/>
        <w:rPr>
          <w:rFonts w:ascii="Arial" w:eastAsia="Arial" w:hAnsi="Arial" w:cs="Arial"/>
          <w:b/>
          <w:bCs/>
          <w:sz w:val="24"/>
          <w:szCs w:val="24"/>
          <w:lang w:val="en-GB"/>
        </w:rPr>
      </w:pPr>
    </w:p>
    <w:p w14:paraId="5F35E2B7" w14:textId="77777777" w:rsidR="000D3C01" w:rsidRPr="000D3C01" w:rsidRDefault="000D3C01" w:rsidP="000D3C01">
      <w:pPr>
        <w:spacing w:before="240" w:line="360" w:lineRule="auto"/>
        <w:jc w:val="both"/>
        <w:rPr>
          <w:rFonts w:ascii="Arial" w:eastAsia="Calibri" w:hAnsi="Arial" w:cs="Arial"/>
          <w:sz w:val="24"/>
          <w:szCs w:val="24"/>
          <w:lang w:val="en-GB"/>
        </w:rPr>
      </w:pPr>
      <w:r w:rsidRPr="000D3C01">
        <w:rPr>
          <w:rFonts w:ascii="Arial" w:eastAsia="Arial" w:hAnsi="Arial" w:cs="Arial"/>
          <w:b/>
          <w:bCs/>
          <w:sz w:val="24"/>
          <w:szCs w:val="24"/>
          <w:lang w:val="en-GB"/>
        </w:rPr>
        <w:t>Integrated marketing communication </w:t>
      </w:r>
    </w:p>
    <w:p w14:paraId="314760B2" w14:textId="77777777" w:rsidR="000D3C01" w:rsidRPr="000D3C01" w:rsidRDefault="000D3C01" w:rsidP="000D3C01">
      <w:pPr>
        <w:spacing w:before="240" w:after="0" w:line="360" w:lineRule="auto"/>
        <w:jc w:val="both"/>
        <w:rPr>
          <w:rFonts w:ascii="Arial" w:eastAsia="Times New Roman" w:hAnsi="Arial" w:cs="Arial"/>
          <w:b/>
          <w:bCs/>
          <w:sz w:val="24"/>
          <w:szCs w:val="24"/>
          <w:lang w:val="en-US"/>
        </w:rPr>
      </w:pPr>
      <w:r w:rsidRPr="000D3C01">
        <w:rPr>
          <w:rFonts w:ascii="Arial" w:eastAsia="Arial" w:hAnsi="Arial" w:cs="Arial"/>
          <w:sz w:val="24"/>
          <w:szCs w:val="24"/>
          <w:lang w:val="en-US"/>
        </w:rPr>
        <w:t>According to </w:t>
      </w:r>
      <w:r w:rsidRPr="000D3C01">
        <w:rPr>
          <w:rFonts w:ascii="Arial" w:eastAsia="Times New Roman" w:hAnsi="Arial" w:cs="Arial"/>
          <w:sz w:val="24"/>
          <w:szCs w:val="24"/>
          <w:lang w:val="en-US"/>
        </w:rPr>
        <w:t>Luxton et al. (2015)</w:t>
      </w:r>
      <w:r w:rsidRPr="000D3C01">
        <w:rPr>
          <w:rFonts w:ascii="Arial" w:eastAsia="Arial" w:hAnsi="Arial" w:cs="Arial"/>
          <w:b/>
          <w:bCs/>
          <w:sz w:val="24"/>
          <w:szCs w:val="24"/>
          <w:lang w:val="en-US"/>
        </w:rPr>
        <w:t>,</w:t>
      </w:r>
      <w:r w:rsidRPr="000D3C01">
        <w:rPr>
          <w:rFonts w:ascii="Arial" w:eastAsia="Arial" w:hAnsi="Arial" w:cs="Arial"/>
          <w:sz w:val="24"/>
          <w:szCs w:val="24"/>
          <w:lang w:val="en-US"/>
        </w:rPr>
        <w:t xml:space="preserve"> integrated marketing is generally a strategy for providing a consistent</w:t>
      </w:r>
      <w:r w:rsidRPr="000D3C01">
        <w:rPr>
          <w:rFonts w:ascii="Arial" w:eastAsia="Times New Roman" w:hAnsi="Arial" w:cs="Arial"/>
          <w:b/>
          <w:bCs/>
          <w:sz w:val="24"/>
          <w:szCs w:val="24"/>
          <w:lang w:val="en-US"/>
        </w:rPr>
        <w:t xml:space="preserve"> </w:t>
      </w:r>
      <w:r w:rsidRPr="000D3C01">
        <w:rPr>
          <w:rFonts w:ascii="Arial" w:eastAsia="Arial" w:hAnsi="Arial" w:cs="Arial"/>
          <w:sz w:val="24"/>
          <w:szCs w:val="24"/>
          <w:lang w:val="en-US"/>
        </w:rPr>
        <w:t>message across all brand's marketing channels. It ensures uniformity wherever</w:t>
      </w:r>
      <w:r w:rsidRPr="000D3C01">
        <w:rPr>
          <w:rFonts w:ascii="Arial" w:eastAsia="Times New Roman" w:hAnsi="Arial" w:cs="Arial"/>
          <w:b/>
          <w:bCs/>
          <w:sz w:val="24"/>
          <w:szCs w:val="24"/>
          <w:lang w:val="en-US"/>
        </w:rPr>
        <w:t xml:space="preserve"> </w:t>
      </w:r>
      <w:r w:rsidRPr="000D3C01">
        <w:rPr>
          <w:rFonts w:ascii="Arial" w:eastAsia="Arial" w:hAnsi="Arial" w:cs="Arial"/>
          <w:sz w:val="24"/>
          <w:szCs w:val="24"/>
          <w:lang w:val="en-US"/>
        </w:rPr>
        <w:t xml:space="preserve">consumers want to interact with an </w:t>
      </w:r>
      <w:proofErr w:type="spellStart"/>
      <w:r w:rsidRPr="000D3C01">
        <w:rPr>
          <w:rFonts w:ascii="Arial" w:eastAsia="Arial" w:hAnsi="Arial" w:cs="Arial"/>
          <w:sz w:val="24"/>
          <w:szCs w:val="24"/>
          <w:lang w:val="en-US"/>
        </w:rPr>
        <w:t>organisation</w:t>
      </w:r>
      <w:proofErr w:type="spellEnd"/>
      <w:r w:rsidRPr="000D3C01">
        <w:rPr>
          <w:rFonts w:ascii="Arial" w:eastAsia="Arial" w:hAnsi="Arial" w:cs="Arial"/>
          <w:sz w:val="24"/>
          <w:szCs w:val="24"/>
          <w:lang w:val="en-US"/>
        </w:rPr>
        <w:t xml:space="preserve"> (</w:t>
      </w:r>
      <w:r w:rsidRPr="000D3C01">
        <w:rPr>
          <w:rFonts w:ascii="Arial" w:eastAsia="Times New Roman" w:hAnsi="Arial" w:cs="Arial"/>
          <w:sz w:val="24"/>
          <w:szCs w:val="24"/>
          <w:lang w:val="en-US"/>
        </w:rPr>
        <w:t xml:space="preserve">Bruhn and </w:t>
      </w:r>
      <w:proofErr w:type="spellStart"/>
      <w:r w:rsidRPr="000D3C01">
        <w:rPr>
          <w:rFonts w:ascii="Arial" w:eastAsia="Times New Roman" w:hAnsi="Arial" w:cs="Arial"/>
          <w:sz w:val="24"/>
          <w:szCs w:val="24"/>
          <w:lang w:val="en-US"/>
        </w:rPr>
        <w:t>Schnebelen</w:t>
      </w:r>
      <w:proofErr w:type="spellEnd"/>
      <w:r w:rsidRPr="000D3C01">
        <w:rPr>
          <w:rFonts w:ascii="Arial" w:eastAsia="Times New Roman" w:hAnsi="Arial" w:cs="Arial"/>
          <w:sz w:val="24"/>
          <w:szCs w:val="24"/>
          <w:lang w:val="en-US"/>
        </w:rPr>
        <w:t>, 2017</w:t>
      </w:r>
      <w:r w:rsidRPr="000D3C01">
        <w:rPr>
          <w:rFonts w:ascii="Arial" w:eastAsia="Arial" w:hAnsi="Arial" w:cs="Arial"/>
          <w:b/>
          <w:bCs/>
          <w:sz w:val="24"/>
          <w:szCs w:val="24"/>
          <w:lang w:val="en-US"/>
        </w:rPr>
        <w:t>).</w:t>
      </w:r>
      <w:r w:rsidRPr="000D3C01">
        <w:rPr>
          <w:rFonts w:ascii="Arial" w:eastAsia="Times New Roman" w:hAnsi="Arial" w:cs="Arial"/>
          <w:sz w:val="24"/>
          <w:szCs w:val="24"/>
          <w:lang w:val="en-US"/>
        </w:rPr>
        <w:t> </w:t>
      </w:r>
      <w:proofErr w:type="spellStart"/>
      <w:r w:rsidRPr="000D3C01">
        <w:rPr>
          <w:rFonts w:ascii="Arial" w:eastAsia="Times New Roman" w:hAnsi="Arial" w:cs="Arial"/>
          <w:sz w:val="24"/>
          <w:szCs w:val="24"/>
          <w:lang w:val="en-US"/>
        </w:rPr>
        <w:t>Mudzanani</w:t>
      </w:r>
      <w:proofErr w:type="spellEnd"/>
      <w:r w:rsidRPr="000D3C01">
        <w:rPr>
          <w:rFonts w:ascii="Arial" w:eastAsia="Times New Roman" w:hAnsi="Arial" w:cs="Arial"/>
          <w:sz w:val="24"/>
          <w:szCs w:val="24"/>
          <w:lang w:val="en-US"/>
        </w:rPr>
        <w:t xml:space="preserve"> (2015)</w:t>
      </w:r>
      <w:r w:rsidRPr="000D3C01">
        <w:rPr>
          <w:rFonts w:ascii="Arial" w:eastAsia="Times New Roman" w:hAnsi="Arial" w:cs="Arial"/>
          <w:b/>
          <w:bCs/>
          <w:sz w:val="24"/>
          <w:szCs w:val="24"/>
          <w:lang w:val="en-US"/>
        </w:rPr>
        <w:t> </w:t>
      </w:r>
      <w:r w:rsidRPr="000D3C01">
        <w:rPr>
          <w:rFonts w:ascii="Arial" w:eastAsia="Arial" w:hAnsi="Arial" w:cs="Arial"/>
          <w:sz w:val="24"/>
          <w:szCs w:val="24"/>
          <w:lang w:val="en-US"/>
        </w:rPr>
        <w:t>mentioned that the company doesn't have an integrated marketing plan, and</w:t>
      </w:r>
      <w:r w:rsidRPr="000D3C01">
        <w:rPr>
          <w:rFonts w:ascii="Arial" w:eastAsia="Times New Roman" w:hAnsi="Arial" w:cs="Arial"/>
          <w:b/>
          <w:bCs/>
          <w:sz w:val="24"/>
          <w:szCs w:val="24"/>
          <w:lang w:val="en-US"/>
        </w:rPr>
        <w:t xml:space="preserve"> </w:t>
      </w:r>
      <w:r w:rsidRPr="000D3C01">
        <w:rPr>
          <w:rFonts w:ascii="Arial" w:eastAsia="Arial" w:hAnsi="Arial" w:cs="Arial"/>
          <w:sz w:val="24"/>
          <w:szCs w:val="24"/>
          <w:lang w:val="en-US"/>
        </w:rPr>
        <w:t>the company risks sending mixed messages or interacting in an independent</w:t>
      </w:r>
      <w:r w:rsidRPr="000D3C01">
        <w:rPr>
          <w:rFonts w:ascii="Arial" w:eastAsia="Times New Roman" w:hAnsi="Arial" w:cs="Arial"/>
          <w:b/>
          <w:bCs/>
          <w:sz w:val="24"/>
          <w:szCs w:val="24"/>
          <w:lang w:val="en-US"/>
        </w:rPr>
        <w:t xml:space="preserve"> </w:t>
      </w:r>
      <w:r w:rsidRPr="000D3C01">
        <w:rPr>
          <w:rFonts w:ascii="Arial" w:eastAsia="Arial" w:hAnsi="Arial" w:cs="Arial"/>
          <w:sz w:val="24"/>
          <w:szCs w:val="24"/>
          <w:lang w:val="en-US"/>
        </w:rPr>
        <w:t xml:space="preserve">voice. Customers may perceive company brands as fragmented and </w:t>
      </w:r>
      <w:proofErr w:type="spellStart"/>
      <w:r w:rsidRPr="000D3C01">
        <w:rPr>
          <w:rFonts w:ascii="Arial" w:eastAsia="Arial" w:hAnsi="Arial" w:cs="Arial"/>
          <w:sz w:val="24"/>
          <w:szCs w:val="24"/>
          <w:lang w:val="en-US"/>
        </w:rPr>
        <w:t>unorganised</w:t>
      </w:r>
      <w:proofErr w:type="spellEnd"/>
      <w:r w:rsidRPr="000D3C01">
        <w:rPr>
          <w:rFonts w:ascii="Arial" w:eastAsia="Arial" w:hAnsi="Arial" w:cs="Arial"/>
          <w:sz w:val="24"/>
          <w:szCs w:val="24"/>
          <w:lang w:val="en-US"/>
        </w:rPr>
        <w:t xml:space="preserve"> (</w:t>
      </w:r>
      <w:r w:rsidRPr="000D3C01">
        <w:rPr>
          <w:rFonts w:ascii="Arial" w:eastAsia="Times New Roman" w:hAnsi="Arial" w:cs="Arial"/>
          <w:sz w:val="24"/>
          <w:szCs w:val="24"/>
          <w:lang w:val="en-US"/>
        </w:rPr>
        <w:t>Laurie and Mortimer, 2019</w:t>
      </w:r>
      <w:r w:rsidRPr="000D3C01">
        <w:rPr>
          <w:rFonts w:ascii="Arial" w:eastAsia="Arial" w:hAnsi="Arial" w:cs="Arial"/>
          <w:sz w:val="24"/>
          <w:szCs w:val="24"/>
          <w:lang w:val="en-US"/>
        </w:rPr>
        <w:t>).</w:t>
      </w:r>
      <w:r w:rsidRPr="000D3C01">
        <w:rPr>
          <w:rFonts w:ascii="Arial" w:eastAsia="Times New Roman" w:hAnsi="Arial" w:cs="Arial"/>
          <w:b/>
          <w:bCs/>
          <w:sz w:val="24"/>
          <w:szCs w:val="24"/>
          <w:lang w:val="en-US"/>
        </w:rPr>
        <w:t xml:space="preserve"> </w:t>
      </w:r>
      <w:r w:rsidRPr="000D3C01">
        <w:rPr>
          <w:rFonts w:ascii="Arial" w:eastAsia="Arial" w:hAnsi="Arial" w:cs="Arial"/>
          <w:sz w:val="24"/>
          <w:szCs w:val="24"/>
          <w:lang w:val="en-US"/>
        </w:rPr>
        <w:t>According to </w:t>
      </w:r>
      <w:bookmarkStart w:id="5" w:name="_Hlk112363265"/>
      <w:proofErr w:type="spellStart"/>
      <w:r w:rsidRPr="000D3C01">
        <w:rPr>
          <w:rFonts w:ascii="Arial" w:eastAsia="Times New Roman" w:hAnsi="Arial" w:cs="Arial"/>
          <w:sz w:val="24"/>
          <w:szCs w:val="24"/>
          <w:lang w:val="en-US"/>
        </w:rPr>
        <w:t>Valos</w:t>
      </w:r>
      <w:proofErr w:type="spellEnd"/>
      <w:r w:rsidRPr="000D3C01">
        <w:rPr>
          <w:rFonts w:ascii="Arial" w:eastAsia="Times New Roman" w:hAnsi="Arial" w:cs="Arial"/>
          <w:sz w:val="24"/>
          <w:szCs w:val="24"/>
          <w:lang w:val="en-US"/>
        </w:rPr>
        <w:t xml:space="preserve"> et al. (2017)</w:t>
      </w:r>
      <w:r w:rsidRPr="000D3C01">
        <w:rPr>
          <w:rFonts w:ascii="Arial" w:eastAsia="Arial" w:hAnsi="Arial" w:cs="Arial"/>
          <w:b/>
          <w:bCs/>
          <w:sz w:val="24"/>
          <w:szCs w:val="24"/>
          <w:lang w:val="en-US"/>
        </w:rPr>
        <w:t>,</w:t>
      </w:r>
      <w:r w:rsidRPr="000D3C01">
        <w:rPr>
          <w:rFonts w:ascii="Arial" w:eastAsia="Arial" w:hAnsi="Arial" w:cs="Arial"/>
          <w:sz w:val="24"/>
          <w:szCs w:val="24"/>
          <w:lang w:val="en-US"/>
        </w:rPr>
        <w:t xml:space="preserve"> </w:t>
      </w:r>
      <w:bookmarkEnd w:id="5"/>
      <w:r w:rsidRPr="000D3C01">
        <w:rPr>
          <w:rFonts w:ascii="Arial" w:eastAsia="Arial" w:hAnsi="Arial" w:cs="Arial"/>
          <w:sz w:val="24"/>
          <w:szCs w:val="24"/>
          <w:lang w:val="en-US"/>
        </w:rPr>
        <w:t>integrated marketing brings together all marketing communication</w:t>
      </w:r>
      <w:r w:rsidRPr="000D3C01">
        <w:rPr>
          <w:rFonts w:ascii="Arial" w:eastAsia="Times New Roman" w:hAnsi="Arial" w:cs="Arial"/>
          <w:b/>
          <w:bCs/>
          <w:sz w:val="24"/>
          <w:szCs w:val="24"/>
          <w:lang w:val="en-US"/>
        </w:rPr>
        <w:t xml:space="preserve"> </w:t>
      </w:r>
      <w:r w:rsidRPr="000D3C01">
        <w:rPr>
          <w:rFonts w:ascii="Arial" w:eastAsia="Arial" w:hAnsi="Arial" w:cs="Arial"/>
          <w:sz w:val="24"/>
          <w:szCs w:val="24"/>
          <w:lang w:val="en-US"/>
        </w:rPr>
        <w:t>components, including public relations, social media, and advertising. They</w:t>
      </w:r>
      <w:r w:rsidRPr="000D3C01">
        <w:rPr>
          <w:rFonts w:ascii="Arial" w:eastAsia="Times New Roman" w:hAnsi="Arial" w:cs="Arial"/>
          <w:b/>
          <w:bCs/>
          <w:sz w:val="24"/>
          <w:szCs w:val="24"/>
          <w:lang w:val="en-US"/>
        </w:rPr>
        <w:t xml:space="preserve"> </w:t>
      </w:r>
      <w:r w:rsidRPr="000D3C01">
        <w:rPr>
          <w:rFonts w:ascii="Arial" w:eastAsia="Arial" w:hAnsi="Arial" w:cs="Arial"/>
          <w:sz w:val="24"/>
          <w:szCs w:val="24"/>
          <w:lang w:val="en-US"/>
        </w:rPr>
        <w:t>were, moreover, employing their respective blend of channels, media, and</w:t>
      </w:r>
      <w:r w:rsidRPr="000D3C01">
        <w:rPr>
          <w:rFonts w:ascii="Arial" w:eastAsia="Times New Roman" w:hAnsi="Arial" w:cs="Arial"/>
          <w:b/>
          <w:bCs/>
          <w:sz w:val="24"/>
          <w:szCs w:val="24"/>
          <w:lang w:val="en-US"/>
        </w:rPr>
        <w:t xml:space="preserve"> </w:t>
      </w:r>
      <w:r w:rsidRPr="000D3C01">
        <w:rPr>
          <w:rFonts w:ascii="Arial" w:eastAsia="Arial" w:hAnsi="Arial" w:cs="Arial"/>
          <w:sz w:val="24"/>
          <w:szCs w:val="24"/>
          <w:lang w:val="en-US"/>
        </w:rPr>
        <w:t>methods to provide a customer-centric and smooth experience (</w:t>
      </w:r>
      <w:proofErr w:type="spellStart"/>
      <w:r w:rsidRPr="000D3C01">
        <w:rPr>
          <w:rFonts w:ascii="Arial" w:eastAsia="Times New Roman" w:hAnsi="Arial" w:cs="Arial"/>
          <w:sz w:val="24"/>
          <w:szCs w:val="24"/>
          <w:lang w:val="en-US"/>
        </w:rPr>
        <w:t>Ekhlassi</w:t>
      </w:r>
      <w:proofErr w:type="spellEnd"/>
      <w:r w:rsidRPr="000D3C01">
        <w:rPr>
          <w:rFonts w:ascii="Arial" w:eastAsia="Times New Roman" w:hAnsi="Arial" w:cs="Arial"/>
          <w:sz w:val="24"/>
          <w:szCs w:val="24"/>
          <w:lang w:val="en-US"/>
        </w:rPr>
        <w:t xml:space="preserve"> et al., 2012</w:t>
      </w:r>
      <w:r w:rsidRPr="000D3C01">
        <w:rPr>
          <w:rFonts w:ascii="Arial" w:eastAsia="Arial" w:hAnsi="Arial" w:cs="Arial"/>
          <w:sz w:val="24"/>
          <w:szCs w:val="24"/>
          <w:lang w:val="en-US"/>
        </w:rPr>
        <w:t>).</w:t>
      </w:r>
    </w:p>
    <w:p w14:paraId="1A555AD1" w14:textId="77777777" w:rsidR="000D3C01" w:rsidRPr="000D3C01" w:rsidRDefault="000D3C01" w:rsidP="000D3C01">
      <w:pPr>
        <w:spacing w:before="240" w:after="0" w:line="360" w:lineRule="auto"/>
        <w:jc w:val="both"/>
        <w:rPr>
          <w:rFonts w:ascii="Arial" w:eastAsia="Times New Roman" w:hAnsi="Arial" w:cs="Arial"/>
          <w:sz w:val="24"/>
          <w:szCs w:val="24"/>
          <w:lang w:val="en-US"/>
        </w:rPr>
      </w:pPr>
    </w:p>
    <w:p w14:paraId="5789C8B5" w14:textId="77777777" w:rsidR="000D3C01" w:rsidRPr="000D3C01" w:rsidRDefault="000D3C01" w:rsidP="000D3C01">
      <w:pPr>
        <w:keepNext/>
        <w:keepLines/>
        <w:spacing w:before="240" w:after="0" w:line="360" w:lineRule="auto"/>
        <w:jc w:val="both"/>
        <w:outlineLvl w:val="0"/>
        <w:rPr>
          <w:rFonts w:ascii="Arial" w:eastAsia="Times New Roman" w:hAnsi="Arial" w:cs="Arial"/>
          <w:lang w:val="en-GB"/>
        </w:rPr>
      </w:pPr>
      <w:bookmarkStart w:id="6" w:name="_Toc112365272"/>
      <w:r w:rsidRPr="000D3C01">
        <w:rPr>
          <w:rFonts w:ascii="Arial" w:eastAsia="Times New Roman" w:hAnsi="Arial" w:cs="Arial"/>
          <w:b/>
          <w:bCs/>
          <w:sz w:val="24"/>
          <w:szCs w:val="24"/>
          <w:lang w:val="en-GB"/>
        </w:rPr>
        <w:t>4. New promotional strategies</w:t>
      </w:r>
      <w:bookmarkEnd w:id="6"/>
      <w:r w:rsidRPr="000D3C01">
        <w:rPr>
          <w:rFonts w:ascii="Arial" w:eastAsia="Times New Roman" w:hAnsi="Arial" w:cs="Arial"/>
          <w:b/>
          <w:bCs/>
          <w:sz w:val="24"/>
          <w:szCs w:val="24"/>
          <w:lang w:val="en-GB"/>
        </w:rPr>
        <w:t>           </w:t>
      </w:r>
    </w:p>
    <w:p w14:paraId="5BE5BE37"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H&amp;M brand is showcasing their buyer through a versatile promotion effort to advance the recent accumulations. Besides, the customers attain SMS coupons and versatile flag promotions set on important gateways and media locales. </w:t>
      </w:r>
      <w:proofErr w:type="gramStart"/>
      <w:r w:rsidRPr="000D3C01">
        <w:rPr>
          <w:rFonts w:ascii="Arial" w:eastAsia="Times New Roman" w:hAnsi="Arial" w:cs="Arial"/>
          <w:sz w:val="24"/>
          <w:szCs w:val="24"/>
          <w:lang w:val="en-US"/>
        </w:rPr>
        <w:t>In order to</w:t>
      </w:r>
      <w:proofErr w:type="gramEnd"/>
      <w:r w:rsidRPr="000D3C01">
        <w:rPr>
          <w:rFonts w:ascii="Arial" w:eastAsia="Times New Roman" w:hAnsi="Arial" w:cs="Arial"/>
          <w:sz w:val="24"/>
          <w:szCs w:val="24"/>
          <w:lang w:val="en-US"/>
        </w:rPr>
        <w:t xml:space="preserve"> develop an effective promotion strategy, the H&amp;M company should </w:t>
      </w:r>
      <w:proofErr w:type="spellStart"/>
      <w:r w:rsidRPr="000D3C01">
        <w:rPr>
          <w:rFonts w:ascii="Arial" w:eastAsia="Times New Roman" w:hAnsi="Arial" w:cs="Arial"/>
          <w:sz w:val="24"/>
          <w:szCs w:val="24"/>
          <w:lang w:val="en-US"/>
        </w:rPr>
        <w:t>analyse</w:t>
      </w:r>
      <w:proofErr w:type="spellEnd"/>
      <w:r w:rsidRPr="000D3C01">
        <w:rPr>
          <w:rFonts w:ascii="Arial" w:eastAsia="Times New Roman" w:hAnsi="Arial" w:cs="Arial"/>
          <w:sz w:val="24"/>
          <w:szCs w:val="24"/>
          <w:lang w:val="en-US"/>
        </w:rPr>
        <w:t xml:space="preserve"> and comprehend the target customers (Pratap, 2018). Furthermore, the H&amp;M brand’s target customers are typically young customers who need more fashion and trendy clothes at a low cost. Thompson and McLarney (2017) mentioned that young customers have plenty of access to data and information. A multi-channel promotion strategy, including internet promotion, advertising, and sales promotion techniques, is used by the H&amp;M brand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these multi-channel tactics enhance the exposure of the company. Besides, McCormick (2014) opines that the products and services of the H&amp;M brand are comparatively low cost and higher fashion products, which is associated with their customer's wants. Further, the promotional activities of the H&amp;M brand </w:t>
      </w:r>
      <w:proofErr w:type="spellStart"/>
      <w:r w:rsidRPr="000D3C01">
        <w:rPr>
          <w:rFonts w:ascii="Arial" w:eastAsia="Times New Roman" w:hAnsi="Arial" w:cs="Arial"/>
          <w:sz w:val="24"/>
          <w:szCs w:val="24"/>
          <w:lang w:val="en-US"/>
        </w:rPr>
        <w:t>emphasise</w:t>
      </w:r>
      <w:proofErr w:type="spellEnd"/>
      <w:r w:rsidRPr="000D3C01">
        <w:rPr>
          <w:rFonts w:ascii="Arial" w:eastAsia="Times New Roman" w:hAnsi="Arial" w:cs="Arial"/>
          <w:sz w:val="24"/>
          <w:szCs w:val="24"/>
          <w:lang w:val="en-US"/>
        </w:rPr>
        <w:t xml:space="preserve"> two major features; it is mainly the laid-back practice to find the posters of the company and is in a fashionable style and with the cost of the products. Further, on the company websites, the cost is placed at an obvious position. Though Gap and Zara, H&amp;M’s major rival companies, placed costs online, they typically provide it small. However, the promotional strategies of H&amp;M have highlighted the low cost of making awareness of their low-cost products. Furthermore, the H&amp;M brand also conducts an eye-catching promotion program which invites the leading fashion designers to design the clothing for the target customers,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this practice only enhances the goods but also improves the brand image to be upper class and fashion. </w:t>
      </w:r>
    </w:p>
    <w:p w14:paraId="17BF247E" w14:textId="77777777" w:rsidR="000D3C01" w:rsidRPr="000D3C01" w:rsidRDefault="000D3C01" w:rsidP="000D3C01">
      <w:pPr>
        <w:keepNext/>
        <w:keepLines/>
        <w:spacing w:before="240" w:after="0" w:line="360" w:lineRule="auto"/>
        <w:jc w:val="both"/>
        <w:outlineLvl w:val="0"/>
        <w:rPr>
          <w:rFonts w:ascii="Arial" w:eastAsia="Times New Roman" w:hAnsi="Arial" w:cs="Arial"/>
          <w:sz w:val="24"/>
          <w:szCs w:val="24"/>
          <w:lang w:val="en-GB"/>
        </w:rPr>
      </w:pPr>
      <w:bookmarkStart w:id="7" w:name="_Toc112365273"/>
      <w:r w:rsidRPr="000D3C01">
        <w:rPr>
          <w:rFonts w:ascii="Arial" w:eastAsia="Arial" w:hAnsi="Arial" w:cs="Arial"/>
          <w:b/>
          <w:bCs/>
          <w:sz w:val="24"/>
          <w:szCs w:val="24"/>
          <w:lang w:val="en-GB"/>
        </w:rPr>
        <w:t>5. Brand and Brand Equity</w:t>
      </w:r>
      <w:bookmarkEnd w:id="7"/>
    </w:p>
    <w:p w14:paraId="1AE7A774"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According to </w:t>
      </w:r>
      <w:proofErr w:type="spellStart"/>
      <w:r w:rsidRPr="000D3C01">
        <w:rPr>
          <w:rFonts w:ascii="Arial" w:eastAsia="Times New Roman" w:hAnsi="Arial" w:cs="Arial"/>
          <w:sz w:val="24"/>
          <w:szCs w:val="24"/>
          <w:lang w:val="en-US"/>
        </w:rPr>
        <w:t>Dolbec</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Chebat</w:t>
      </w:r>
      <w:proofErr w:type="spellEnd"/>
      <w:r w:rsidRPr="000D3C01">
        <w:rPr>
          <w:rFonts w:ascii="Arial" w:eastAsia="Times New Roman" w:hAnsi="Arial" w:cs="Arial"/>
          <w:sz w:val="24"/>
          <w:szCs w:val="24"/>
          <w:lang w:val="en-US"/>
        </w:rPr>
        <w:t xml:space="preserve"> (2013), a brand is the perception of a company, product, or person by those who encounter it. A brand is much more than a logo or a name. It is the identifiable feeling that these assets elicit (Han et al., 2015).</w:t>
      </w:r>
    </w:p>
    <w:p w14:paraId="440FD107"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Arial" w:hAnsi="Arial" w:cs="Arial"/>
          <w:sz w:val="24"/>
          <w:szCs w:val="24"/>
          <w:lang w:val="en-US"/>
        </w:rPr>
        <w:t>According to </w:t>
      </w:r>
      <w:proofErr w:type="spellStart"/>
      <w:r w:rsidRPr="000D3C01">
        <w:rPr>
          <w:rFonts w:ascii="Arial" w:eastAsia="Times New Roman" w:hAnsi="Arial" w:cs="Arial"/>
          <w:sz w:val="24"/>
          <w:szCs w:val="24"/>
          <w:lang w:val="en-US"/>
        </w:rPr>
        <w:t>Hossien</w:t>
      </w:r>
      <w:proofErr w:type="spellEnd"/>
      <w:r w:rsidRPr="000D3C01">
        <w:rPr>
          <w:rFonts w:ascii="Arial" w:eastAsia="Times New Roman" w:hAnsi="Arial" w:cs="Arial"/>
          <w:sz w:val="24"/>
          <w:szCs w:val="24"/>
          <w:lang w:val="en-US"/>
        </w:rPr>
        <w:t xml:space="preserve"> and Mehdi (2012)</w:t>
      </w:r>
      <w:r w:rsidRPr="000D3C01">
        <w:rPr>
          <w:rFonts w:ascii="Arial" w:eastAsia="Arial" w:hAnsi="Arial" w:cs="Arial"/>
          <w:sz w:val="24"/>
          <w:szCs w:val="24"/>
          <w:lang w:val="en-US"/>
        </w:rPr>
        <w:t>, brand equity generally describes the value of a brand and consumer</w:t>
      </w:r>
      <w:r w:rsidRPr="000D3C01">
        <w:rPr>
          <w:rFonts w:ascii="Arial" w:eastAsia="Times New Roman" w:hAnsi="Arial" w:cs="Arial"/>
          <w:sz w:val="24"/>
          <w:szCs w:val="24"/>
          <w:lang w:val="en-US"/>
        </w:rPr>
        <w:t xml:space="preserve"> </w:t>
      </w:r>
      <w:r w:rsidRPr="000D3C01">
        <w:rPr>
          <w:rFonts w:ascii="Arial" w:eastAsia="Arial" w:hAnsi="Arial" w:cs="Arial"/>
          <w:sz w:val="24"/>
          <w:szCs w:val="24"/>
          <w:lang w:val="en-US"/>
        </w:rPr>
        <w:t>experiences and perceptions of the brand determine its value. </w:t>
      </w:r>
      <w:r w:rsidRPr="000D3C01">
        <w:rPr>
          <w:rFonts w:ascii="Arial" w:eastAsia="Times New Roman" w:hAnsi="Arial" w:cs="Arial"/>
          <w:sz w:val="24"/>
          <w:szCs w:val="24"/>
          <w:lang w:val="en-US"/>
        </w:rPr>
        <w:t>Moreira et al. (2017) </w:t>
      </w:r>
      <w:r w:rsidRPr="000D3C01">
        <w:rPr>
          <w:rFonts w:ascii="Arial" w:eastAsia="Arial" w:hAnsi="Arial" w:cs="Arial"/>
          <w:sz w:val="24"/>
          <w:szCs w:val="24"/>
          <w:lang w:val="en-US"/>
        </w:rPr>
        <w:t>mentioned that companies could build brand equity for their goods by</w:t>
      </w:r>
      <w:r w:rsidRPr="000D3C01">
        <w:rPr>
          <w:rFonts w:ascii="Arial" w:eastAsia="Times New Roman" w:hAnsi="Arial" w:cs="Arial"/>
          <w:sz w:val="24"/>
          <w:szCs w:val="24"/>
          <w:lang w:val="en-US"/>
        </w:rPr>
        <w:t xml:space="preserve"> </w:t>
      </w:r>
      <w:r w:rsidRPr="000D3C01">
        <w:rPr>
          <w:rFonts w:ascii="Arial" w:eastAsia="Arial" w:hAnsi="Arial" w:cs="Arial"/>
          <w:sz w:val="24"/>
          <w:szCs w:val="24"/>
          <w:lang w:val="en-US"/>
        </w:rPr>
        <w:t xml:space="preserve">making them easily </w:t>
      </w:r>
      <w:proofErr w:type="spellStart"/>
      <w:r w:rsidRPr="000D3C01">
        <w:rPr>
          <w:rFonts w:ascii="Arial" w:eastAsia="Arial" w:hAnsi="Arial" w:cs="Arial"/>
          <w:sz w:val="24"/>
          <w:szCs w:val="24"/>
          <w:lang w:val="en-US"/>
        </w:rPr>
        <w:t>recognisable</w:t>
      </w:r>
      <w:proofErr w:type="spellEnd"/>
      <w:r w:rsidRPr="000D3C01">
        <w:rPr>
          <w:rFonts w:ascii="Arial" w:eastAsia="Arial" w:hAnsi="Arial" w:cs="Arial"/>
          <w:sz w:val="24"/>
          <w:szCs w:val="24"/>
          <w:lang w:val="en-US"/>
        </w:rPr>
        <w:t>, memorable, and superior in dependability and</w:t>
      </w:r>
      <w:r w:rsidRPr="000D3C01">
        <w:rPr>
          <w:rFonts w:ascii="Arial" w:eastAsia="Times New Roman" w:hAnsi="Arial" w:cs="Arial"/>
          <w:sz w:val="24"/>
          <w:szCs w:val="24"/>
          <w:lang w:val="en-US"/>
        </w:rPr>
        <w:t xml:space="preserve"> </w:t>
      </w:r>
      <w:r w:rsidRPr="000D3C01">
        <w:rPr>
          <w:rFonts w:ascii="Arial" w:eastAsia="Arial" w:hAnsi="Arial" w:cs="Arial"/>
          <w:sz w:val="24"/>
          <w:szCs w:val="24"/>
          <w:lang w:val="en-US"/>
        </w:rPr>
        <w:t>quality. Brand equity can also be built through large marketing campaigns (</w:t>
      </w:r>
      <w:r w:rsidRPr="000D3C01">
        <w:rPr>
          <w:rFonts w:ascii="Arial" w:eastAsia="Times New Roman" w:hAnsi="Arial" w:cs="Arial"/>
          <w:sz w:val="24"/>
          <w:szCs w:val="24"/>
          <w:lang w:val="en-US"/>
        </w:rPr>
        <w:t xml:space="preserve">Christodoulides and De </w:t>
      </w:r>
      <w:proofErr w:type="spellStart"/>
      <w:r w:rsidRPr="000D3C01">
        <w:rPr>
          <w:rFonts w:ascii="Arial" w:eastAsia="Times New Roman" w:hAnsi="Arial" w:cs="Arial"/>
          <w:sz w:val="24"/>
          <w:szCs w:val="24"/>
          <w:lang w:val="en-US"/>
        </w:rPr>
        <w:t>Chernatony</w:t>
      </w:r>
      <w:proofErr w:type="spellEnd"/>
      <w:r w:rsidRPr="000D3C01">
        <w:rPr>
          <w:rFonts w:ascii="Arial" w:eastAsia="Times New Roman" w:hAnsi="Arial" w:cs="Arial"/>
          <w:sz w:val="24"/>
          <w:szCs w:val="24"/>
          <w:lang w:val="en-US"/>
        </w:rPr>
        <w:t>, 2010</w:t>
      </w:r>
      <w:r w:rsidRPr="000D3C01">
        <w:rPr>
          <w:rFonts w:ascii="Arial" w:eastAsia="Arial" w:hAnsi="Arial" w:cs="Arial"/>
          <w:sz w:val="24"/>
          <w:szCs w:val="24"/>
          <w:lang w:val="en-US"/>
        </w:rPr>
        <w:t>).</w:t>
      </w:r>
    </w:p>
    <w:p w14:paraId="2DD2C2C0"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Iglesias et al. (2019) </w:t>
      </w:r>
      <w:r w:rsidRPr="000D3C01">
        <w:rPr>
          <w:rFonts w:ascii="Arial" w:eastAsia="Arial" w:hAnsi="Arial" w:cs="Arial"/>
          <w:sz w:val="24"/>
          <w:szCs w:val="24"/>
          <w:lang w:val="en-US"/>
        </w:rPr>
        <w:t>revealed that customers willingly and happily pay a high price for a</w:t>
      </w:r>
      <w:r w:rsidRPr="000D3C01">
        <w:rPr>
          <w:rFonts w:ascii="Arial" w:eastAsia="Times New Roman" w:hAnsi="Arial" w:cs="Arial"/>
          <w:sz w:val="24"/>
          <w:szCs w:val="24"/>
          <w:lang w:val="en-US"/>
        </w:rPr>
        <w:t xml:space="preserve"> </w:t>
      </w:r>
      <w:r w:rsidRPr="000D3C01">
        <w:rPr>
          <w:rFonts w:ascii="Arial" w:eastAsia="Arial" w:hAnsi="Arial" w:cs="Arial"/>
          <w:sz w:val="24"/>
          <w:szCs w:val="24"/>
          <w:lang w:val="en-US"/>
        </w:rPr>
        <w:t>company's products when it has positive brand equity, even if they could buy</w:t>
      </w:r>
      <w:r w:rsidRPr="000D3C01">
        <w:rPr>
          <w:rFonts w:ascii="Arial" w:eastAsia="Times New Roman" w:hAnsi="Arial" w:cs="Arial"/>
          <w:sz w:val="24"/>
          <w:szCs w:val="24"/>
          <w:lang w:val="en-US"/>
        </w:rPr>
        <w:t xml:space="preserve"> </w:t>
      </w:r>
      <w:r w:rsidRPr="000D3C01">
        <w:rPr>
          <w:rFonts w:ascii="Arial" w:eastAsia="Arial" w:hAnsi="Arial" w:cs="Arial"/>
          <w:sz w:val="24"/>
          <w:szCs w:val="24"/>
          <w:lang w:val="en-US"/>
        </w:rPr>
        <w:t>the same item from a rival for less. The company's brand equity permits it to</w:t>
      </w:r>
      <w:r w:rsidRPr="000D3C01">
        <w:rPr>
          <w:rFonts w:ascii="Arial" w:eastAsia="Times New Roman" w:hAnsi="Arial" w:cs="Arial"/>
          <w:sz w:val="24"/>
          <w:szCs w:val="24"/>
          <w:lang w:val="en-US"/>
        </w:rPr>
        <w:t xml:space="preserve"> </w:t>
      </w:r>
      <w:r w:rsidRPr="000D3C01">
        <w:rPr>
          <w:rFonts w:ascii="Arial" w:eastAsia="Arial" w:hAnsi="Arial" w:cs="Arial"/>
          <w:sz w:val="24"/>
          <w:szCs w:val="24"/>
          <w:lang w:val="en-US"/>
        </w:rPr>
        <w:t>create a higher profit on every sale</w:t>
      </w:r>
      <w:r w:rsidRPr="000D3C01">
        <w:rPr>
          <w:rFonts w:ascii="Arial" w:eastAsia="Arial" w:hAnsi="Arial" w:cs="Arial"/>
          <w:b/>
          <w:bCs/>
          <w:sz w:val="24"/>
          <w:szCs w:val="24"/>
          <w:lang w:val="en-US"/>
        </w:rPr>
        <w:t xml:space="preserve"> (</w:t>
      </w:r>
      <w:r w:rsidRPr="000D3C01">
        <w:rPr>
          <w:rFonts w:ascii="Arial" w:eastAsia="Times New Roman" w:hAnsi="Arial" w:cs="Arial"/>
          <w:sz w:val="24"/>
          <w:szCs w:val="24"/>
          <w:lang w:val="en-US"/>
        </w:rPr>
        <w:t>Vinh, 2016</w:t>
      </w:r>
      <w:r w:rsidRPr="000D3C01">
        <w:rPr>
          <w:rFonts w:ascii="Arial" w:eastAsia="Arial" w:hAnsi="Arial" w:cs="Arial"/>
          <w:b/>
          <w:bCs/>
          <w:sz w:val="24"/>
          <w:szCs w:val="24"/>
          <w:lang w:val="en-US"/>
        </w:rPr>
        <w:t>).</w:t>
      </w:r>
      <w:r w:rsidRPr="000D3C01">
        <w:rPr>
          <w:rFonts w:ascii="Arial" w:eastAsia="Times New Roman" w:hAnsi="Arial" w:cs="Arial"/>
          <w:sz w:val="24"/>
          <w:szCs w:val="24"/>
          <w:lang w:val="en-US"/>
        </w:rPr>
        <w:t xml:space="preserve"> Porsche is a company with significant brand equity in the automotive industry, and maintains its image and dependability by employing unique, high-quality materials (</w:t>
      </w:r>
      <w:proofErr w:type="spellStart"/>
      <w:r w:rsidRPr="000D3C01">
        <w:rPr>
          <w:rFonts w:ascii="Arial" w:eastAsia="Times New Roman" w:hAnsi="Arial" w:cs="Arial"/>
          <w:sz w:val="24"/>
          <w:szCs w:val="24"/>
          <w:lang w:val="en-US"/>
        </w:rPr>
        <w:t>Dolbec</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Chebat</w:t>
      </w:r>
      <w:proofErr w:type="spellEnd"/>
      <w:r w:rsidRPr="000D3C01">
        <w:rPr>
          <w:rFonts w:ascii="Arial" w:eastAsia="Times New Roman" w:hAnsi="Arial" w:cs="Arial"/>
          <w:sz w:val="24"/>
          <w:szCs w:val="24"/>
          <w:lang w:val="en-US"/>
        </w:rPr>
        <w:t>, (2013). Porsche, as a luxury brand, offers its customers not only a product but also an experience. Porsche was the leading luxury brand in 2020 compared to other automobile brands in its category </w:t>
      </w:r>
      <w:r w:rsidRPr="000D3C01">
        <w:rPr>
          <w:rFonts w:ascii="Arial" w:eastAsia="Arial" w:hAnsi="Arial" w:cs="Arial"/>
          <w:b/>
          <w:bCs/>
          <w:sz w:val="24"/>
          <w:szCs w:val="24"/>
          <w:lang w:val="en-US"/>
        </w:rPr>
        <w:t>(</w:t>
      </w:r>
      <w:proofErr w:type="spellStart"/>
      <w:r w:rsidRPr="000D3C01">
        <w:rPr>
          <w:rFonts w:ascii="Arial" w:eastAsia="Times New Roman" w:hAnsi="Arial" w:cs="Arial"/>
          <w:sz w:val="24"/>
          <w:szCs w:val="24"/>
          <w:lang w:val="en-US"/>
        </w:rPr>
        <w:t>Christodoulidesand</w:t>
      </w:r>
      <w:proofErr w:type="spellEnd"/>
      <w:r w:rsidRPr="000D3C01">
        <w:rPr>
          <w:rFonts w:ascii="Arial" w:eastAsia="Times New Roman" w:hAnsi="Arial" w:cs="Arial"/>
          <w:sz w:val="24"/>
          <w:szCs w:val="24"/>
          <w:lang w:val="en-US"/>
        </w:rPr>
        <w:t xml:space="preserve"> De </w:t>
      </w:r>
      <w:proofErr w:type="spellStart"/>
      <w:r w:rsidRPr="000D3C01">
        <w:rPr>
          <w:rFonts w:ascii="Arial" w:eastAsia="Times New Roman" w:hAnsi="Arial" w:cs="Arial"/>
          <w:sz w:val="24"/>
          <w:szCs w:val="24"/>
          <w:lang w:val="en-US"/>
        </w:rPr>
        <w:t>Chernatony</w:t>
      </w:r>
      <w:proofErr w:type="spellEnd"/>
      <w:r w:rsidRPr="000D3C01">
        <w:rPr>
          <w:rFonts w:ascii="Arial" w:eastAsia="Times New Roman" w:hAnsi="Arial" w:cs="Arial"/>
          <w:sz w:val="24"/>
          <w:szCs w:val="24"/>
          <w:lang w:val="en-US"/>
        </w:rPr>
        <w:t>, 2010</w:t>
      </w:r>
      <w:r w:rsidRPr="000D3C01">
        <w:rPr>
          <w:rFonts w:ascii="Arial" w:eastAsia="Arial" w:hAnsi="Arial" w:cs="Arial"/>
          <w:b/>
          <w:bCs/>
          <w:sz w:val="24"/>
          <w:szCs w:val="24"/>
          <w:lang w:val="en-US"/>
        </w:rPr>
        <w:t>).</w:t>
      </w:r>
    </w:p>
    <w:p w14:paraId="098604FD"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Arial" w:hAnsi="Arial" w:cs="Arial"/>
          <w:b/>
          <w:bCs/>
          <w:sz w:val="24"/>
          <w:szCs w:val="24"/>
          <w:lang w:val="en-US"/>
        </w:rPr>
        <w:t>Keller's brand equity model</w:t>
      </w:r>
    </w:p>
    <w:p w14:paraId="757A0B17"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According to </w:t>
      </w:r>
      <w:proofErr w:type="spellStart"/>
      <w:r w:rsidRPr="000D3C01">
        <w:rPr>
          <w:rFonts w:ascii="Arial" w:eastAsia="Times New Roman" w:hAnsi="Arial" w:cs="Arial"/>
          <w:sz w:val="24"/>
          <w:szCs w:val="24"/>
          <w:lang w:val="en-US"/>
        </w:rPr>
        <w:t>Farjam</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Hongyi</w:t>
      </w:r>
      <w:proofErr w:type="spellEnd"/>
      <w:r w:rsidRPr="000D3C01">
        <w:rPr>
          <w:rFonts w:ascii="Arial" w:eastAsia="Times New Roman" w:hAnsi="Arial" w:cs="Arial"/>
          <w:sz w:val="24"/>
          <w:szCs w:val="24"/>
          <w:lang w:val="en-US"/>
        </w:rPr>
        <w:t xml:space="preserve"> (2015), Keller's brand equity model also referred to as the CBBE (Customer-Based Brand Equity) model and was established by marketing professor Richard Keller. </w:t>
      </w:r>
      <w:proofErr w:type="spellStart"/>
      <w:r w:rsidRPr="000D3C01">
        <w:rPr>
          <w:rFonts w:ascii="Arial" w:eastAsia="Times New Roman" w:hAnsi="Arial" w:cs="Arial"/>
          <w:sz w:val="24"/>
          <w:szCs w:val="24"/>
          <w:lang w:val="en-US"/>
        </w:rPr>
        <w:t>Jara</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Cliquet</w:t>
      </w:r>
      <w:proofErr w:type="spellEnd"/>
      <w:r w:rsidRPr="000D3C01">
        <w:rPr>
          <w:rFonts w:ascii="Arial" w:eastAsia="Times New Roman" w:hAnsi="Arial" w:cs="Arial"/>
          <w:sz w:val="24"/>
          <w:szCs w:val="24"/>
          <w:lang w:val="en-US"/>
        </w:rPr>
        <w:t xml:space="preserve"> (2012) mentioned that Keller's brand equity model builds a successful and strong brand; the company must </w:t>
      </w:r>
      <w:proofErr w:type="spellStart"/>
      <w:r w:rsidRPr="000D3C01">
        <w:rPr>
          <w:rFonts w:ascii="Arial" w:eastAsia="Times New Roman" w:hAnsi="Arial" w:cs="Arial"/>
          <w:sz w:val="24"/>
          <w:szCs w:val="24"/>
          <w:lang w:val="en-US"/>
        </w:rPr>
        <w:t>mould</w:t>
      </w:r>
      <w:proofErr w:type="spellEnd"/>
      <w:r w:rsidRPr="000D3C01">
        <w:rPr>
          <w:rFonts w:ascii="Arial" w:eastAsia="Times New Roman" w:hAnsi="Arial" w:cs="Arial"/>
          <w:sz w:val="24"/>
          <w:szCs w:val="24"/>
          <w:lang w:val="en-US"/>
        </w:rPr>
        <w:t xml:space="preserve"> how people feel and think about their goods. The company must create the correct experiences about its brand for consumers to have </w:t>
      </w:r>
      <w:proofErr w:type="gramStart"/>
      <w:r w:rsidRPr="000D3C01">
        <w:rPr>
          <w:rFonts w:ascii="Arial" w:eastAsia="Times New Roman" w:hAnsi="Arial" w:cs="Arial"/>
          <w:sz w:val="24"/>
          <w:szCs w:val="24"/>
          <w:lang w:val="en-US"/>
        </w:rPr>
        <w:t>particular positive</w:t>
      </w:r>
      <w:proofErr w:type="gramEnd"/>
      <w:r w:rsidRPr="000D3C01">
        <w:rPr>
          <w:rFonts w:ascii="Arial" w:eastAsia="Times New Roman" w:hAnsi="Arial" w:cs="Arial"/>
          <w:sz w:val="24"/>
          <w:szCs w:val="24"/>
          <w:lang w:val="en-US"/>
        </w:rPr>
        <w:t xml:space="preserve"> thoughts, beliefs, feelings, perceptions, and attitudes about it. </w:t>
      </w:r>
      <w:proofErr w:type="spellStart"/>
      <w:r w:rsidRPr="000D3C01">
        <w:rPr>
          <w:rFonts w:ascii="Arial" w:eastAsia="Times New Roman" w:hAnsi="Arial" w:cs="Arial"/>
          <w:sz w:val="24"/>
          <w:szCs w:val="24"/>
          <w:lang w:val="en-US"/>
        </w:rPr>
        <w:t>Sandhe</w:t>
      </w:r>
      <w:proofErr w:type="spellEnd"/>
      <w:r w:rsidRPr="000D3C01">
        <w:rPr>
          <w:rFonts w:ascii="Arial" w:eastAsia="Times New Roman" w:hAnsi="Arial" w:cs="Arial"/>
          <w:sz w:val="24"/>
          <w:szCs w:val="24"/>
          <w:lang w:val="en-US"/>
        </w:rPr>
        <w:t xml:space="preserve"> (2016) opines that when a company has substantial and reasonable brand equity, its consumers will buy more from the company, customers recommend the company to others, customers are much more loyal, and companies are slightly likely to lose them to rivals.</w:t>
      </w:r>
    </w:p>
    <w:p w14:paraId="66085F80" w14:textId="77777777" w:rsidR="000D3C01" w:rsidRPr="000D3C01" w:rsidRDefault="000D3C01" w:rsidP="000D3C01">
      <w:pPr>
        <w:spacing w:before="240" w:line="360" w:lineRule="auto"/>
        <w:jc w:val="center"/>
        <w:rPr>
          <w:rFonts w:ascii="Arial" w:eastAsia="Calibri" w:hAnsi="Arial" w:cs="Arial"/>
          <w:i/>
          <w:iCs/>
          <w:sz w:val="24"/>
          <w:szCs w:val="24"/>
          <w:lang w:val="en-GB"/>
        </w:rPr>
      </w:pPr>
      <w:r w:rsidRPr="000D3C01">
        <w:rPr>
          <w:rFonts w:ascii="Arial" w:eastAsia="Calibri" w:hAnsi="Arial" w:cs="Arial"/>
          <w:i/>
          <w:iCs/>
          <w:noProof/>
          <w:sz w:val="24"/>
          <w:szCs w:val="24"/>
          <w:lang w:val="en-GB"/>
        </w:rPr>
        <w:drawing>
          <wp:inline distT="0" distB="0" distL="0" distR="0" wp14:anchorId="5119D945" wp14:editId="67B119D6">
            <wp:extent cx="5600700" cy="4434840"/>
            <wp:effectExtent l="0" t="0" r="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6"/>
                    <a:stretch>
                      <a:fillRect/>
                    </a:stretch>
                  </pic:blipFill>
                  <pic:spPr>
                    <a:xfrm>
                      <a:off x="0" y="0"/>
                      <a:ext cx="5601185" cy="4435224"/>
                    </a:xfrm>
                    <a:prstGeom prst="rect">
                      <a:avLst/>
                    </a:prstGeom>
                  </pic:spPr>
                </pic:pic>
              </a:graphicData>
            </a:graphic>
          </wp:inline>
        </w:drawing>
      </w:r>
    </w:p>
    <w:p w14:paraId="6A448BF0" w14:textId="77777777" w:rsidR="000D3C01" w:rsidRPr="000D3C01" w:rsidRDefault="000D3C01" w:rsidP="000D3C01">
      <w:pPr>
        <w:spacing w:before="240" w:line="360" w:lineRule="auto"/>
        <w:jc w:val="center"/>
        <w:rPr>
          <w:rFonts w:ascii="Arial" w:eastAsia="Calibri" w:hAnsi="Arial" w:cs="Arial"/>
          <w:i/>
          <w:iCs/>
          <w:spacing w:val="-12"/>
          <w:w w:val="110"/>
          <w:sz w:val="24"/>
          <w:szCs w:val="24"/>
          <w:lang w:val="en-GB"/>
        </w:rPr>
      </w:pPr>
      <w:r w:rsidRPr="000D3C01">
        <w:rPr>
          <w:rFonts w:ascii="Arial" w:eastAsia="Calibri" w:hAnsi="Arial" w:cs="Arial"/>
          <w:i/>
          <w:iCs/>
          <w:sz w:val="24"/>
          <w:szCs w:val="24"/>
          <w:lang w:val="en-GB"/>
        </w:rPr>
        <w:t xml:space="preserve">Figure 2: </w:t>
      </w:r>
      <w:r w:rsidRPr="000D3C01">
        <w:rPr>
          <w:rFonts w:ascii="Arial" w:eastAsia="Calibri" w:hAnsi="Arial" w:cs="Arial"/>
          <w:i/>
          <w:iCs/>
          <w:w w:val="110"/>
          <w:sz w:val="24"/>
          <w:szCs w:val="24"/>
          <w:lang w:val="en-GB"/>
        </w:rPr>
        <w:t>The</w:t>
      </w:r>
      <w:r w:rsidRPr="000D3C01">
        <w:rPr>
          <w:rFonts w:ascii="Arial" w:eastAsia="Calibri" w:hAnsi="Arial" w:cs="Arial"/>
          <w:i/>
          <w:iCs/>
          <w:spacing w:val="-12"/>
          <w:w w:val="110"/>
          <w:sz w:val="24"/>
          <w:szCs w:val="24"/>
          <w:lang w:val="en-GB"/>
        </w:rPr>
        <w:t xml:space="preserve"> </w:t>
      </w:r>
      <w:r w:rsidRPr="000D3C01">
        <w:rPr>
          <w:rFonts w:ascii="Arial" w:eastAsia="Calibri" w:hAnsi="Arial" w:cs="Arial"/>
          <w:i/>
          <w:iCs/>
          <w:w w:val="110"/>
          <w:sz w:val="24"/>
          <w:szCs w:val="24"/>
          <w:lang w:val="en-GB"/>
        </w:rPr>
        <w:t>resonance</w:t>
      </w:r>
      <w:r w:rsidRPr="000D3C01">
        <w:rPr>
          <w:rFonts w:ascii="Arial" w:eastAsia="Calibri" w:hAnsi="Arial" w:cs="Arial"/>
          <w:i/>
          <w:iCs/>
          <w:spacing w:val="-11"/>
          <w:w w:val="110"/>
          <w:sz w:val="24"/>
          <w:szCs w:val="24"/>
          <w:lang w:val="en-GB"/>
        </w:rPr>
        <w:t xml:space="preserve"> </w:t>
      </w:r>
      <w:r w:rsidRPr="000D3C01">
        <w:rPr>
          <w:rFonts w:ascii="Arial" w:eastAsia="Calibri" w:hAnsi="Arial" w:cs="Arial"/>
          <w:i/>
          <w:iCs/>
          <w:w w:val="110"/>
          <w:sz w:val="24"/>
          <w:szCs w:val="24"/>
          <w:lang w:val="en-GB"/>
        </w:rPr>
        <w:t>pyramid- H&amp;M</w:t>
      </w:r>
    </w:p>
    <w:p w14:paraId="62B9593E" w14:textId="77777777" w:rsidR="000D3C01" w:rsidRPr="000D3C01" w:rsidRDefault="000D3C01" w:rsidP="000D3C01">
      <w:pPr>
        <w:spacing w:before="240" w:line="360" w:lineRule="auto"/>
        <w:jc w:val="center"/>
        <w:rPr>
          <w:rFonts w:ascii="Arial" w:eastAsia="Calibri" w:hAnsi="Arial" w:cs="Arial"/>
          <w:i/>
          <w:iCs/>
          <w:sz w:val="24"/>
          <w:szCs w:val="24"/>
          <w:lang w:val="en-GB"/>
        </w:rPr>
      </w:pPr>
      <w:r w:rsidRPr="000D3C01">
        <w:rPr>
          <w:rFonts w:ascii="Arial" w:eastAsia="Calibri" w:hAnsi="Arial" w:cs="Arial"/>
          <w:i/>
          <w:iCs/>
          <w:sz w:val="24"/>
          <w:szCs w:val="24"/>
          <w:lang w:val="en-GB"/>
        </w:rPr>
        <w:t xml:space="preserve">Source: </w:t>
      </w:r>
      <w:proofErr w:type="spellStart"/>
      <w:r w:rsidRPr="000D3C01">
        <w:rPr>
          <w:rFonts w:ascii="Arial" w:eastAsia="Calibri" w:hAnsi="Arial" w:cs="Arial"/>
          <w:i/>
          <w:iCs/>
          <w:sz w:val="24"/>
          <w:szCs w:val="24"/>
          <w:lang w:val="en-GB"/>
        </w:rPr>
        <w:t>Sandhe</w:t>
      </w:r>
      <w:proofErr w:type="spellEnd"/>
      <w:r w:rsidRPr="000D3C01">
        <w:rPr>
          <w:rFonts w:ascii="Arial" w:eastAsia="Calibri" w:hAnsi="Arial" w:cs="Arial"/>
          <w:i/>
          <w:iCs/>
          <w:sz w:val="24"/>
          <w:szCs w:val="24"/>
          <w:lang w:val="en-GB"/>
        </w:rPr>
        <w:t xml:space="preserve"> (2016)</w:t>
      </w:r>
    </w:p>
    <w:p w14:paraId="7BA17E4E"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According to </w:t>
      </w:r>
      <w:proofErr w:type="spellStart"/>
      <w:r w:rsidRPr="000D3C01">
        <w:rPr>
          <w:rFonts w:ascii="Arial" w:eastAsia="Times New Roman" w:hAnsi="Arial" w:cs="Arial"/>
          <w:sz w:val="24"/>
          <w:szCs w:val="24"/>
          <w:lang w:val="en-US"/>
        </w:rPr>
        <w:t>Duman</w:t>
      </w:r>
      <w:proofErr w:type="spellEnd"/>
      <w:r w:rsidRPr="000D3C01">
        <w:rPr>
          <w:rFonts w:ascii="Arial" w:eastAsia="Times New Roman" w:hAnsi="Arial" w:cs="Arial"/>
          <w:sz w:val="24"/>
          <w:szCs w:val="24"/>
          <w:lang w:val="en-US"/>
        </w:rPr>
        <w:t xml:space="preserve"> (2018), Keller's pyramid has four levels, and the different levels of the Brand Equity pyramid include identity, meaning, response, and relationships.</w:t>
      </w:r>
    </w:p>
    <w:p w14:paraId="7D776DEB"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Arial" w:hAnsi="Arial" w:cs="Arial"/>
          <w:b/>
          <w:bCs/>
          <w:sz w:val="24"/>
          <w:szCs w:val="24"/>
          <w:lang w:val="en-US"/>
        </w:rPr>
        <w:t>Keller's Brand equity model related to the H&amp;M group</w:t>
      </w:r>
    </w:p>
    <w:p w14:paraId="69C0CCAD"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Arial" w:hAnsi="Arial" w:cs="Arial"/>
          <w:b/>
          <w:bCs/>
          <w:sz w:val="24"/>
          <w:szCs w:val="24"/>
          <w:lang w:val="en-US"/>
        </w:rPr>
        <w:t>Brand salience: Brand salience</w:t>
      </w:r>
      <w:r w:rsidRPr="000D3C01">
        <w:rPr>
          <w:rFonts w:ascii="Arial" w:eastAsia="Times New Roman" w:hAnsi="Arial" w:cs="Arial"/>
          <w:sz w:val="24"/>
          <w:szCs w:val="24"/>
          <w:lang w:val="en-US"/>
        </w:rPr>
        <w:t xml:space="preserve"> is the likelihood that a brand will be </w:t>
      </w:r>
      <w:proofErr w:type="spellStart"/>
      <w:r w:rsidRPr="000D3C01">
        <w:rPr>
          <w:rFonts w:ascii="Arial" w:eastAsia="Times New Roman" w:hAnsi="Arial" w:cs="Arial"/>
          <w:sz w:val="24"/>
          <w:szCs w:val="24"/>
          <w:lang w:val="en-US"/>
        </w:rPr>
        <w:t>recognised</w:t>
      </w:r>
      <w:proofErr w:type="spellEnd"/>
      <w:r w:rsidRPr="000D3C01">
        <w:rPr>
          <w:rFonts w:ascii="Arial" w:eastAsia="Times New Roman" w:hAnsi="Arial" w:cs="Arial"/>
          <w:sz w:val="24"/>
          <w:szCs w:val="24"/>
          <w:lang w:val="en-US"/>
        </w:rPr>
        <w:t xml:space="preserve"> or considered while making a purchase (</w:t>
      </w:r>
      <w:proofErr w:type="spellStart"/>
      <w:r w:rsidRPr="000D3C01">
        <w:rPr>
          <w:rFonts w:ascii="Arial" w:eastAsia="Times New Roman" w:hAnsi="Arial" w:cs="Arial"/>
          <w:sz w:val="24"/>
          <w:szCs w:val="24"/>
          <w:lang w:val="en-US"/>
        </w:rPr>
        <w:t>Anselmsson</w:t>
      </w:r>
      <w:proofErr w:type="spellEnd"/>
      <w:r w:rsidRPr="000D3C01">
        <w:rPr>
          <w:rFonts w:ascii="Arial" w:eastAsia="Times New Roman" w:hAnsi="Arial" w:cs="Arial"/>
          <w:sz w:val="24"/>
          <w:szCs w:val="24"/>
          <w:lang w:val="en-US"/>
        </w:rPr>
        <w:t xml:space="preserve"> et al., 2017). An iconic brand gives people the sense that they are better people, enables a firm to succeed at the most excellent level, and helps it establish a solid reputation (</w:t>
      </w:r>
      <w:proofErr w:type="spellStart"/>
      <w:r w:rsidRPr="000D3C01">
        <w:rPr>
          <w:rFonts w:ascii="Arial" w:eastAsia="Times New Roman" w:hAnsi="Arial" w:cs="Arial"/>
          <w:sz w:val="24"/>
          <w:szCs w:val="24"/>
          <w:lang w:val="en-US"/>
        </w:rPr>
        <w:t>Su</w:t>
      </w:r>
      <w:proofErr w:type="spellEnd"/>
      <w:r w:rsidRPr="000D3C01">
        <w:rPr>
          <w:rFonts w:ascii="Arial" w:eastAsia="Times New Roman" w:hAnsi="Arial" w:cs="Arial"/>
          <w:sz w:val="24"/>
          <w:szCs w:val="24"/>
          <w:lang w:val="en-US"/>
        </w:rPr>
        <w:t>, 2016). H&amp;M group created a logo that, over time, has become identifiable, iconic, and a sign of refinement and luxury. H&amp;M group's brand awareness has grown due to commercials in fashion magazines and television, specifically in recent decades, making it a brand of refinement (</w:t>
      </w:r>
      <w:proofErr w:type="spellStart"/>
      <w:r w:rsidRPr="000D3C01">
        <w:rPr>
          <w:rFonts w:ascii="Arial" w:eastAsia="Times New Roman" w:hAnsi="Arial" w:cs="Arial"/>
          <w:sz w:val="24"/>
          <w:szCs w:val="24"/>
          <w:lang w:val="en-US"/>
        </w:rPr>
        <w:t>Ishaq</w:t>
      </w:r>
      <w:proofErr w:type="spellEnd"/>
      <w:r w:rsidRPr="000D3C01">
        <w:rPr>
          <w:rFonts w:ascii="Arial" w:eastAsia="Times New Roman" w:hAnsi="Arial" w:cs="Arial"/>
          <w:sz w:val="24"/>
          <w:szCs w:val="24"/>
          <w:lang w:val="en-US"/>
        </w:rPr>
        <w:t xml:space="preserve"> and Di Maria 2020).</w:t>
      </w:r>
    </w:p>
    <w:p w14:paraId="2478EFE0"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Arial" w:hAnsi="Arial" w:cs="Arial"/>
          <w:b/>
          <w:bCs/>
          <w:sz w:val="24"/>
          <w:szCs w:val="24"/>
          <w:lang w:val="en-US"/>
        </w:rPr>
        <w:t>Performance/ Imagery: </w:t>
      </w:r>
      <w:r w:rsidRPr="000D3C01">
        <w:rPr>
          <w:rFonts w:ascii="Arial" w:eastAsia="Times New Roman" w:hAnsi="Arial" w:cs="Arial"/>
          <w:sz w:val="24"/>
          <w:szCs w:val="24"/>
          <w:lang w:val="en-US"/>
        </w:rPr>
        <w:t>Brand performance covers the capabilities and real features of products and services H&amp;M products are distinguished by their unique and distinct style and the careful choosing of raw materials (Abril and Rodriguez-</w:t>
      </w:r>
      <w:proofErr w:type="spellStart"/>
      <w:r w:rsidRPr="000D3C01">
        <w:rPr>
          <w:rFonts w:ascii="Arial" w:eastAsia="Times New Roman" w:hAnsi="Arial" w:cs="Arial"/>
          <w:sz w:val="24"/>
          <w:szCs w:val="24"/>
          <w:lang w:val="en-US"/>
        </w:rPr>
        <w:t>Cánovas</w:t>
      </w:r>
      <w:proofErr w:type="spellEnd"/>
      <w:r w:rsidRPr="000D3C01">
        <w:rPr>
          <w:rFonts w:ascii="Arial" w:eastAsia="Times New Roman" w:hAnsi="Arial" w:cs="Arial"/>
          <w:sz w:val="24"/>
          <w:szCs w:val="24"/>
          <w:lang w:val="en-US"/>
        </w:rPr>
        <w:t xml:space="preserve">, 2016), which is done under strict environmental, ethical, and economic principles. H&amp;M has recently </w:t>
      </w:r>
      <w:proofErr w:type="spellStart"/>
      <w:r w:rsidRPr="000D3C01">
        <w:rPr>
          <w:rFonts w:ascii="Arial" w:eastAsia="Times New Roman" w:hAnsi="Arial" w:cs="Arial"/>
          <w:sz w:val="24"/>
          <w:szCs w:val="24"/>
          <w:lang w:val="en-US"/>
        </w:rPr>
        <w:t>prioritised</w:t>
      </w:r>
      <w:proofErr w:type="spellEnd"/>
      <w:r w:rsidRPr="000D3C01">
        <w:rPr>
          <w:rFonts w:ascii="Arial" w:eastAsia="Times New Roman" w:hAnsi="Arial" w:cs="Arial"/>
          <w:sz w:val="24"/>
          <w:szCs w:val="24"/>
          <w:lang w:val="en-US"/>
        </w:rPr>
        <w:t xml:space="preserve"> sustainability and environmental stewardship (</w:t>
      </w:r>
      <w:proofErr w:type="spellStart"/>
      <w:r w:rsidRPr="000D3C01">
        <w:rPr>
          <w:rFonts w:ascii="Arial" w:eastAsia="Times New Roman" w:hAnsi="Arial" w:cs="Arial"/>
          <w:sz w:val="24"/>
          <w:szCs w:val="24"/>
          <w:lang w:val="en-US"/>
        </w:rPr>
        <w:t>Orazi</w:t>
      </w:r>
      <w:proofErr w:type="spellEnd"/>
      <w:r w:rsidRPr="000D3C01">
        <w:rPr>
          <w:rFonts w:ascii="Arial" w:eastAsia="Times New Roman" w:hAnsi="Arial" w:cs="Arial"/>
          <w:sz w:val="24"/>
          <w:szCs w:val="24"/>
          <w:lang w:val="en-US"/>
        </w:rPr>
        <w:t xml:space="preserve"> et al., 2017). Brand imagery is what individuals think when they see the brand. Seeing or touching an H&amp;M product immediately conveys glamour, style, and elegance (Shay and Van Der Horst, 2019). This contributes to meeting the customer's desire for a product that makes them feel special and unique.</w:t>
      </w:r>
    </w:p>
    <w:p w14:paraId="4E9734D9"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Arial" w:hAnsi="Arial" w:cs="Arial"/>
          <w:b/>
          <w:bCs/>
          <w:sz w:val="24"/>
          <w:szCs w:val="24"/>
          <w:lang w:val="en-US"/>
        </w:rPr>
        <w:t>Brand Response: </w:t>
      </w:r>
      <w:r w:rsidRPr="000D3C01">
        <w:rPr>
          <w:rFonts w:ascii="Arial" w:eastAsia="Times New Roman" w:hAnsi="Arial" w:cs="Arial"/>
          <w:sz w:val="24"/>
          <w:szCs w:val="24"/>
          <w:lang w:val="en-US"/>
        </w:rPr>
        <w:t>Brand judgment is individuals' opinions about the brand (</w:t>
      </w:r>
      <w:proofErr w:type="spellStart"/>
      <w:r w:rsidRPr="000D3C01">
        <w:rPr>
          <w:rFonts w:ascii="Arial" w:eastAsia="Times New Roman" w:hAnsi="Arial" w:cs="Arial"/>
          <w:sz w:val="24"/>
          <w:szCs w:val="24"/>
          <w:lang w:val="en-US"/>
        </w:rPr>
        <w:t>Battistoni</w:t>
      </w:r>
      <w:proofErr w:type="spellEnd"/>
      <w:r w:rsidRPr="000D3C01">
        <w:rPr>
          <w:rFonts w:ascii="Arial" w:eastAsia="Times New Roman" w:hAnsi="Arial" w:cs="Arial"/>
          <w:sz w:val="24"/>
          <w:szCs w:val="24"/>
          <w:lang w:val="en-US"/>
        </w:rPr>
        <w:t xml:space="preserve"> et al., 2013). Brand feelings cover how people perceive the brand (</w:t>
      </w:r>
      <w:proofErr w:type="spellStart"/>
      <w:r w:rsidRPr="000D3C01">
        <w:rPr>
          <w:rFonts w:ascii="Arial" w:eastAsia="Times New Roman" w:hAnsi="Arial" w:cs="Arial"/>
          <w:sz w:val="24"/>
          <w:szCs w:val="24"/>
          <w:lang w:val="en-US"/>
        </w:rPr>
        <w:t>Anselmsson</w:t>
      </w:r>
      <w:proofErr w:type="spellEnd"/>
      <w:r w:rsidRPr="000D3C01">
        <w:rPr>
          <w:rFonts w:ascii="Arial" w:eastAsia="Times New Roman" w:hAnsi="Arial" w:cs="Arial"/>
          <w:sz w:val="24"/>
          <w:szCs w:val="24"/>
          <w:lang w:val="en-US"/>
        </w:rPr>
        <w:t xml:space="preserve"> et al., 2016). Investigating H&amp;M group's social media pages and </w:t>
      </w:r>
      <w:proofErr w:type="spellStart"/>
      <w:r w:rsidRPr="000D3C01">
        <w:rPr>
          <w:rFonts w:ascii="Arial" w:eastAsia="Times New Roman" w:hAnsi="Arial" w:cs="Arial"/>
          <w:sz w:val="24"/>
          <w:szCs w:val="24"/>
          <w:lang w:val="en-US"/>
        </w:rPr>
        <w:t>analysing</w:t>
      </w:r>
      <w:proofErr w:type="spellEnd"/>
      <w:r w:rsidRPr="000D3C01">
        <w:rPr>
          <w:rFonts w:ascii="Arial" w:eastAsia="Times New Roman" w:hAnsi="Arial" w:cs="Arial"/>
          <w:sz w:val="24"/>
          <w:szCs w:val="24"/>
          <w:lang w:val="en-US"/>
        </w:rPr>
        <w:t xml:space="preserve"> consumer responses find that the feedback and comments are good, with customers praising the clothing's freshness and appreciating the ability to comprehend a woman's wants in her everyday wearing.</w:t>
      </w:r>
    </w:p>
    <w:p w14:paraId="19D345D2"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Arial" w:hAnsi="Arial" w:cs="Arial"/>
          <w:b/>
          <w:bCs/>
          <w:sz w:val="24"/>
          <w:szCs w:val="24"/>
          <w:lang w:val="en-US"/>
        </w:rPr>
        <w:t>Brand relationship: </w:t>
      </w:r>
      <w:r w:rsidRPr="000D3C01">
        <w:rPr>
          <w:rFonts w:ascii="Arial" w:eastAsia="Times New Roman" w:hAnsi="Arial" w:cs="Arial"/>
          <w:sz w:val="24"/>
          <w:szCs w:val="24"/>
          <w:lang w:val="en-US"/>
        </w:rPr>
        <w:t xml:space="preserve">Brand resonance shows the nature of the customer-brand relationship and the level to which consumers perceive the brand. Brand resonance shows the nature of the customer-brand relationship and the level to which consumers perceive the brand (Lee et al., 2014). Brand resonance shows the nature of the customer-brand relationship </w:t>
      </w:r>
      <w:proofErr w:type="spellStart"/>
      <w:r w:rsidRPr="000D3C01">
        <w:rPr>
          <w:rFonts w:ascii="Arial" w:eastAsia="Times New Roman" w:hAnsi="Arial" w:cs="Arial"/>
          <w:sz w:val="24"/>
          <w:szCs w:val="24"/>
          <w:lang w:val="en-US"/>
        </w:rPr>
        <w:t>andthe</w:t>
      </w:r>
      <w:proofErr w:type="spellEnd"/>
      <w:r w:rsidRPr="000D3C01">
        <w:rPr>
          <w:rFonts w:ascii="Arial" w:eastAsia="Times New Roman" w:hAnsi="Arial" w:cs="Arial"/>
          <w:sz w:val="24"/>
          <w:szCs w:val="24"/>
          <w:lang w:val="en-US"/>
        </w:rPr>
        <w:t xml:space="preserve"> level to which consumers perceive the brand (</w:t>
      </w:r>
      <w:proofErr w:type="spellStart"/>
      <w:r w:rsidRPr="000D3C01">
        <w:rPr>
          <w:rFonts w:ascii="Arial" w:eastAsia="Times New Roman" w:hAnsi="Arial" w:cs="Arial"/>
          <w:sz w:val="24"/>
          <w:szCs w:val="24"/>
          <w:lang w:val="en-US"/>
        </w:rPr>
        <w:t>Moliner</w:t>
      </w:r>
      <w:proofErr w:type="spellEnd"/>
      <w:r w:rsidRPr="000D3C01">
        <w:rPr>
          <w:rFonts w:ascii="Arial" w:eastAsia="Times New Roman" w:hAnsi="Arial" w:cs="Arial"/>
          <w:sz w:val="24"/>
          <w:szCs w:val="24"/>
          <w:lang w:val="en-US"/>
        </w:rPr>
        <w:t xml:space="preserve">-Velázquez et al., 2019). H&amp;M group has developed a devoted customer base by providing an </w:t>
      </w:r>
      <w:proofErr w:type="spellStart"/>
      <w:r w:rsidRPr="000D3C01">
        <w:rPr>
          <w:rFonts w:ascii="Arial" w:eastAsia="Times New Roman" w:hAnsi="Arial" w:cs="Arial"/>
          <w:sz w:val="24"/>
          <w:szCs w:val="24"/>
          <w:lang w:val="en-US"/>
        </w:rPr>
        <w:t>an</w:t>
      </w:r>
      <w:proofErr w:type="spellEnd"/>
      <w:r w:rsidRPr="000D3C01">
        <w:rPr>
          <w:rFonts w:ascii="Arial" w:eastAsia="Times New Roman" w:hAnsi="Arial" w:cs="Arial"/>
          <w:sz w:val="24"/>
          <w:szCs w:val="24"/>
          <w:lang w:val="en-US"/>
        </w:rPr>
        <w:t xml:space="preserve"> exceptional shopping experience in its shops and providing excellent customer service. H&amp;M </w:t>
      </w:r>
      <w:proofErr w:type="spellStart"/>
      <w:r w:rsidRPr="000D3C01">
        <w:rPr>
          <w:rFonts w:ascii="Arial" w:eastAsia="Times New Roman" w:hAnsi="Arial" w:cs="Arial"/>
          <w:sz w:val="24"/>
          <w:szCs w:val="24"/>
          <w:lang w:val="en-US"/>
        </w:rPr>
        <w:t>emphasises</w:t>
      </w:r>
      <w:proofErr w:type="spellEnd"/>
      <w:r w:rsidRPr="000D3C01">
        <w:rPr>
          <w:rFonts w:ascii="Arial" w:eastAsia="Times New Roman" w:hAnsi="Arial" w:cs="Arial"/>
          <w:sz w:val="24"/>
          <w:szCs w:val="24"/>
          <w:lang w:val="en-US"/>
        </w:rPr>
        <w:t xml:space="preserve"> the fashion industry for younger generations, enlisting celebrities such as Lady Gaga to inspire young trends (</w:t>
      </w:r>
      <w:proofErr w:type="gramStart"/>
      <w:r w:rsidRPr="000D3C01">
        <w:rPr>
          <w:rFonts w:ascii="Arial" w:eastAsia="Times New Roman" w:hAnsi="Arial" w:cs="Arial"/>
          <w:sz w:val="24"/>
          <w:szCs w:val="24"/>
          <w:lang w:val="en-US"/>
        </w:rPr>
        <w:t>Blasi  et al.</w:t>
      </w:r>
      <w:proofErr w:type="gramEnd"/>
      <w:r w:rsidRPr="000D3C01">
        <w:rPr>
          <w:rFonts w:ascii="Arial" w:eastAsia="Times New Roman" w:hAnsi="Arial" w:cs="Arial"/>
          <w:sz w:val="24"/>
          <w:szCs w:val="24"/>
          <w:lang w:val="en-US"/>
        </w:rPr>
        <w:t>, 2020).</w:t>
      </w:r>
    </w:p>
    <w:p w14:paraId="592A4CB9"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Arial" w:hAnsi="Arial" w:cs="Arial"/>
          <w:b/>
          <w:bCs/>
          <w:sz w:val="24"/>
          <w:szCs w:val="24"/>
          <w:lang w:val="en-US"/>
        </w:rPr>
        <w:t>Advantageous and disadvantageous Brand equity model</w:t>
      </w:r>
    </w:p>
    <w:p w14:paraId="46CE4154"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According to Liang et al. (2012), Keller's brand equity pyramid is an effective marketing tool for increasing corporate awareness and knowledge and driving revenue to the top. </w:t>
      </w:r>
      <w:r w:rsidRPr="000D3C01">
        <w:rPr>
          <w:rFonts w:ascii="Arial" w:eastAsia="Arial" w:hAnsi="Arial" w:cs="Arial"/>
          <w:sz w:val="24"/>
          <w:szCs w:val="24"/>
          <w:lang w:val="en-US"/>
        </w:rPr>
        <w:t xml:space="preserve">To reap the benefits of using Keller's brand equity model, </w:t>
      </w:r>
      <w:proofErr w:type="spellStart"/>
      <w:r w:rsidRPr="000D3C01">
        <w:rPr>
          <w:rFonts w:ascii="Arial" w:eastAsia="Arial" w:hAnsi="Arial" w:cs="Arial"/>
          <w:sz w:val="24"/>
          <w:szCs w:val="24"/>
          <w:lang w:val="en-US"/>
        </w:rPr>
        <w:t>organisations</w:t>
      </w:r>
      <w:proofErr w:type="spellEnd"/>
      <w:r w:rsidRPr="000D3C01">
        <w:rPr>
          <w:rFonts w:ascii="Arial" w:eastAsia="Arial" w:hAnsi="Arial" w:cs="Arial"/>
          <w:sz w:val="24"/>
          <w:szCs w:val="24"/>
          <w:lang w:val="en-US"/>
        </w:rPr>
        <w:t xml:space="preserve"> must proceed and complete each stage before proceeding on to the next </w:t>
      </w:r>
      <w:r w:rsidRPr="000D3C01">
        <w:rPr>
          <w:rFonts w:ascii="Arial" w:eastAsia="Times New Roman" w:hAnsi="Arial" w:cs="Arial"/>
          <w:b/>
          <w:bCs/>
          <w:sz w:val="24"/>
          <w:szCs w:val="24"/>
          <w:lang w:val="en-US"/>
        </w:rPr>
        <w:t>(</w:t>
      </w:r>
      <w:proofErr w:type="spellStart"/>
      <w:r w:rsidRPr="000D3C01">
        <w:rPr>
          <w:rFonts w:ascii="Arial" w:eastAsia="Times New Roman" w:hAnsi="Arial" w:cs="Arial"/>
          <w:sz w:val="24"/>
          <w:szCs w:val="24"/>
          <w:lang w:val="en-US"/>
        </w:rPr>
        <w:t>Syafarudin</w:t>
      </w:r>
      <w:proofErr w:type="spellEnd"/>
      <w:r w:rsidRPr="000D3C01">
        <w:rPr>
          <w:rFonts w:ascii="Arial" w:eastAsia="Times New Roman" w:hAnsi="Arial" w:cs="Arial"/>
          <w:sz w:val="24"/>
          <w:szCs w:val="24"/>
          <w:lang w:val="en-US"/>
        </w:rPr>
        <w:t>, 2021</w:t>
      </w:r>
      <w:r w:rsidRPr="000D3C01">
        <w:rPr>
          <w:rFonts w:ascii="Arial" w:eastAsia="Times New Roman" w:hAnsi="Arial" w:cs="Arial"/>
          <w:b/>
          <w:bCs/>
          <w:sz w:val="24"/>
          <w:szCs w:val="24"/>
          <w:lang w:val="en-US"/>
        </w:rPr>
        <w:t>)</w:t>
      </w:r>
      <w:r w:rsidRPr="000D3C01">
        <w:rPr>
          <w:rFonts w:ascii="Arial" w:eastAsia="Arial" w:hAnsi="Arial" w:cs="Arial"/>
          <w:sz w:val="24"/>
          <w:szCs w:val="24"/>
          <w:lang w:val="en-US"/>
        </w:rPr>
        <w:t xml:space="preserve">. When a corporation reaches the top of the pyramid, its brand equity becomes </w:t>
      </w:r>
      <w:proofErr w:type="gramStart"/>
      <w:r w:rsidRPr="000D3C01">
        <w:rPr>
          <w:rFonts w:ascii="Arial" w:eastAsia="Arial" w:hAnsi="Arial" w:cs="Arial"/>
          <w:sz w:val="24"/>
          <w:szCs w:val="24"/>
          <w:lang w:val="en-US"/>
        </w:rPr>
        <w:t>a valuable asset</w:t>
      </w:r>
      <w:proofErr w:type="gramEnd"/>
      <w:r w:rsidRPr="000D3C01">
        <w:rPr>
          <w:rFonts w:ascii="Arial" w:eastAsia="Arial" w:hAnsi="Arial" w:cs="Arial"/>
          <w:sz w:val="24"/>
          <w:szCs w:val="24"/>
          <w:lang w:val="en-US"/>
        </w:rPr>
        <w:t xml:space="preserve"> to invest in</w:t>
      </w:r>
      <w:r w:rsidRPr="000D3C01">
        <w:rPr>
          <w:rFonts w:ascii="Arial" w:eastAsia="Arial" w:hAnsi="Arial" w:cs="Arial"/>
          <w:b/>
          <w:bCs/>
          <w:sz w:val="24"/>
          <w:szCs w:val="24"/>
          <w:lang w:val="en-US"/>
        </w:rPr>
        <w:t xml:space="preserve"> (</w:t>
      </w:r>
      <w:proofErr w:type="spellStart"/>
      <w:r w:rsidRPr="000D3C01">
        <w:rPr>
          <w:rFonts w:ascii="Arial" w:eastAsia="Times New Roman" w:hAnsi="Arial" w:cs="Arial"/>
          <w:sz w:val="24"/>
          <w:szCs w:val="24"/>
          <w:lang w:val="en-US"/>
        </w:rPr>
        <w:t>Bentes</w:t>
      </w:r>
      <w:proofErr w:type="spellEnd"/>
      <w:r w:rsidRPr="000D3C01">
        <w:rPr>
          <w:rFonts w:ascii="Arial" w:eastAsia="Times New Roman" w:hAnsi="Arial" w:cs="Arial"/>
          <w:sz w:val="24"/>
          <w:szCs w:val="24"/>
          <w:lang w:val="en-US"/>
        </w:rPr>
        <w:t xml:space="preserve"> et al., 2012</w:t>
      </w:r>
      <w:r w:rsidRPr="000D3C01">
        <w:rPr>
          <w:rFonts w:ascii="Arial" w:eastAsia="Arial" w:hAnsi="Arial" w:cs="Arial"/>
          <w:b/>
          <w:bCs/>
          <w:sz w:val="24"/>
          <w:szCs w:val="24"/>
          <w:lang w:val="en-US"/>
        </w:rPr>
        <w:t>). </w:t>
      </w:r>
      <w:r w:rsidRPr="000D3C01">
        <w:rPr>
          <w:rFonts w:ascii="Arial" w:eastAsia="Times New Roman" w:hAnsi="Arial" w:cs="Arial"/>
          <w:sz w:val="24"/>
          <w:szCs w:val="24"/>
          <w:lang w:val="en-US"/>
        </w:rPr>
        <w:t>A brand that understands how to create its own identity, properly communicate its goals, and maintain a devoted consumer relationship is a dependable and inexpensive brand (</w:t>
      </w:r>
      <w:proofErr w:type="spellStart"/>
      <w:r w:rsidRPr="000D3C01">
        <w:rPr>
          <w:rFonts w:ascii="Arial" w:eastAsia="Times New Roman" w:hAnsi="Arial" w:cs="Arial"/>
          <w:sz w:val="24"/>
          <w:szCs w:val="24"/>
          <w:lang w:val="en-US"/>
        </w:rPr>
        <w:t>Imandoust</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Bolandraftar</w:t>
      </w:r>
      <w:proofErr w:type="spellEnd"/>
      <w:r w:rsidRPr="000D3C01">
        <w:rPr>
          <w:rFonts w:ascii="Arial" w:eastAsia="Times New Roman" w:hAnsi="Arial" w:cs="Arial"/>
          <w:sz w:val="24"/>
          <w:szCs w:val="24"/>
          <w:lang w:val="en-US"/>
        </w:rPr>
        <w:t>, 2013).</w:t>
      </w:r>
    </w:p>
    <w:p w14:paraId="71AD1179"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Today, brand equity is seen as an effective marketing tool as well as a real asset with the potential to generate profit (Ho-</w:t>
      </w:r>
      <w:proofErr w:type="spellStart"/>
      <w:r w:rsidRPr="000D3C01">
        <w:rPr>
          <w:rFonts w:ascii="Arial" w:eastAsia="Times New Roman" w:hAnsi="Arial" w:cs="Arial"/>
          <w:sz w:val="24"/>
          <w:szCs w:val="24"/>
          <w:lang w:val="en-US"/>
        </w:rPr>
        <w:t>Dac</w:t>
      </w:r>
      <w:proofErr w:type="spellEnd"/>
      <w:r w:rsidRPr="000D3C01">
        <w:rPr>
          <w:rFonts w:ascii="Arial" w:eastAsia="Times New Roman" w:hAnsi="Arial" w:cs="Arial"/>
          <w:sz w:val="24"/>
          <w:szCs w:val="24"/>
          <w:lang w:val="en-US"/>
        </w:rPr>
        <w:t xml:space="preserve"> et al., 2013). Torres et al. (2012) mentioned that the resonance pyramid is a method for determining how marketing communications affect brand equity and for developing strong, engaging loyalty ties. According to </w:t>
      </w:r>
      <w:proofErr w:type="spellStart"/>
      <w:r w:rsidRPr="000D3C01">
        <w:rPr>
          <w:rFonts w:ascii="Arial" w:eastAsia="Times New Roman" w:hAnsi="Arial" w:cs="Arial"/>
          <w:sz w:val="24"/>
          <w:szCs w:val="24"/>
          <w:lang w:val="en-US"/>
        </w:rPr>
        <w:t>Talaja</w:t>
      </w:r>
      <w:proofErr w:type="spellEnd"/>
      <w:r w:rsidRPr="000D3C01">
        <w:rPr>
          <w:rFonts w:ascii="Arial" w:eastAsia="Times New Roman" w:hAnsi="Arial" w:cs="Arial"/>
          <w:sz w:val="24"/>
          <w:szCs w:val="24"/>
          <w:lang w:val="en-US"/>
        </w:rPr>
        <w:t xml:space="preserve"> (2012), the pyramid assists </w:t>
      </w:r>
      <w:proofErr w:type="spellStart"/>
      <w:r w:rsidRPr="000D3C01">
        <w:rPr>
          <w:rFonts w:ascii="Arial" w:eastAsia="Times New Roman" w:hAnsi="Arial" w:cs="Arial"/>
          <w:sz w:val="24"/>
          <w:szCs w:val="24"/>
          <w:lang w:val="en-US"/>
        </w:rPr>
        <w:t>organisations</w:t>
      </w:r>
      <w:proofErr w:type="spellEnd"/>
      <w:r w:rsidRPr="000D3C01">
        <w:rPr>
          <w:rFonts w:ascii="Arial" w:eastAsia="Times New Roman" w:hAnsi="Arial" w:cs="Arial"/>
          <w:sz w:val="24"/>
          <w:szCs w:val="24"/>
          <w:lang w:val="en-US"/>
        </w:rPr>
        <w:t xml:space="preserve"> in gradually attaining success. Then once they meet the peak, they receive huge benefits such as higher earnings due to higher prices, which they can retain due to the brand's </w:t>
      </w:r>
      <w:proofErr w:type="spellStart"/>
      <w:r w:rsidRPr="000D3C01">
        <w:rPr>
          <w:rFonts w:ascii="Arial" w:eastAsia="Times New Roman" w:hAnsi="Arial" w:cs="Arial"/>
          <w:sz w:val="24"/>
          <w:szCs w:val="24"/>
          <w:lang w:val="en-US"/>
        </w:rPr>
        <w:t>recognised</w:t>
      </w:r>
      <w:proofErr w:type="spellEnd"/>
      <w:r w:rsidRPr="000D3C01">
        <w:rPr>
          <w:rFonts w:ascii="Arial" w:eastAsia="Times New Roman" w:hAnsi="Arial" w:cs="Arial"/>
          <w:sz w:val="24"/>
          <w:szCs w:val="24"/>
          <w:lang w:val="en-US"/>
        </w:rPr>
        <w:t xml:space="preserve"> perfection and adequate marketing (</w:t>
      </w:r>
      <w:proofErr w:type="spellStart"/>
      <w:r w:rsidRPr="000D3C01">
        <w:rPr>
          <w:rFonts w:ascii="Arial" w:eastAsia="Times New Roman" w:hAnsi="Arial" w:cs="Arial"/>
          <w:sz w:val="24"/>
          <w:szCs w:val="24"/>
          <w:lang w:val="en-US"/>
        </w:rPr>
        <w:t>Syafarudin</w:t>
      </w:r>
      <w:proofErr w:type="spellEnd"/>
      <w:r w:rsidRPr="000D3C01">
        <w:rPr>
          <w:rFonts w:ascii="Arial" w:eastAsia="Times New Roman" w:hAnsi="Arial" w:cs="Arial"/>
          <w:sz w:val="24"/>
          <w:szCs w:val="24"/>
          <w:lang w:val="en-US"/>
        </w:rPr>
        <w:t xml:space="preserve">, 2021). </w:t>
      </w:r>
      <w:proofErr w:type="spellStart"/>
      <w:r w:rsidRPr="000D3C01">
        <w:rPr>
          <w:rFonts w:ascii="Arial" w:eastAsia="Times New Roman" w:hAnsi="Arial" w:cs="Arial"/>
          <w:sz w:val="24"/>
          <w:szCs w:val="24"/>
          <w:lang w:val="en-US"/>
        </w:rPr>
        <w:t>Bentes</w:t>
      </w:r>
      <w:proofErr w:type="spellEnd"/>
      <w:r w:rsidRPr="000D3C01">
        <w:rPr>
          <w:rFonts w:ascii="Arial" w:eastAsia="Times New Roman" w:hAnsi="Arial" w:cs="Arial"/>
          <w:sz w:val="24"/>
          <w:szCs w:val="24"/>
          <w:lang w:val="en-US"/>
        </w:rPr>
        <w:t xml:space="preserve"> et al. (2012) mentioned that the emotional aspect does not play a crucial role in buying certain products, which is one of the weaknesses of Keller's brand equity pyramid (</w:t>
      </w:r>
      <w:proofErr w:type="spellStart"/>
      <w:r w:rsidRPr="000D3C01">
        <w:rPr>
          <w:rFonts w:ascii="Arial" w:eastAsia="Times New Roman" w:hAnsi="Arial" w:cs="Arial"/>
          <w:sz w:val="24"/>
          <w:szCs w:val="24"/>
          <w:lang w:val="en-US"/>
        </w:rPr>
        <w:t>Paharia</w:t>
      </w:r>
      <w:proofErr w:type="spellEnd"/>
      <w:r w:rsidRPr="000D3C01">
        <w:rPr>
          <w:rFonts w:ascii="Arial" w:eastAsia="Times New Roman" w:hAnsi="Arial" w:cs="Arial"/>
          <w:sz w:val="24"/>
          <w:szCs w:val="24"/>
          <w:lang w:val="en-US"/>
        </w:rPr>
        <w:t xml:space="preserve"> et al., 2011).</w:t>
      </w:r>
    </w:p>
    <w:p w14:paraId="1784469F" w14:textId="77777777" w:rsidR="000D3C01" w:rsidRPr="000D3C01" w:rsidRDefault="000D3C01" w:rsidP="000D3C01">
      <w:pPr>
        <w:keepNext/>
        <w:keepLines/>
        <w:spacing w:before="240" w:after="0" w:line="360" w:lineRule="auto"/>
        <w:jc w:val="both"/>
        <w:outlineLvl w:val="0"/>
        <w:rPr>
          <w:rFonts w:ascii="Arial" w:eastAsia="Times New Roman" w:hAnsi="Arial" w:cs="Arial"/>
          <w:sz w:val="24"/>
          <w:szCs w:val="24"/>
          <w:lang w:val="en-GB"/>
        </w:rPr>
      </w:pPr>
      <w:bookmarkStart w:id="8" w:name="_Toc112365274"/>
      <w:r w:rsidRPr="000D3C01">
        <w:rPr>
          <w:rFonts w:ascii="Arial" w:eastAsia="Times New Roman" w:hAnsi="Arial" w:cs="Arial"/>
          <w:b/>
          <w:bCs/>
          <w:sz w:val="24"/>
          <w:szCs w:val="24"/>
          <w:lang w:val="en-GB"/>
        </w:rPr>
        <w:t>6. Customer journey</w:t>
      </w:r>
      <w:bookmarkEnd w:id="8"/>
      <w:r w:rsidRPr="000D3C01">
        <w:rPr>
          <w:rFonts w:ascii="Arial" w:eastAsia="Times New Roman" w:hAnsi="Arial" w:cs="Arial"/>
          <w:b/>
          <w:bCs/>
          <w:sz w:val="24"/>
          <w:szCs w:val="24"/>
          <w:lang w:val="en-GB"/>
        </w:rPr>
        <w:t xml:space="preserve"> </w:t>
      </w:r>
    </w:p>
    <w:p w14:paraId="4895F862"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A customer's journey is defined as the set of interactions and positive experiences that a customer has with a particular brand in purchasing a product or service. It deliberates a full interaction roadmap from brand discovery to buying and beyond (</w:t>
      </w:r>
      <w:proofErr w:type="spellStart"/>
      <w:r w:rsidRPr="000D3C01">
        <w:rPr>
          <w:rFonts w:ascii="Arial" w:eastAsia="Times New Roman" w:hAnsi="Arial" w:cs="Arial"/>
          <w:sz w:val="24"/>
          <w:szCs w:val="24"/>
          <w:lang w:val="en-US"/>
        </w:rPr>
        <w:t>Pookulangara</w:t>
      </w:r>
      <w:proofErr w:type="spellEnd"/>
      <w:r w:rsidRPr="000D3C01">
        <w:rPr>
          <w:rFonts w:ascii="Arial" w:eastAsia="Times New Roman" w:hAnsi="Arial" w:cs="Arial"/>
          <w:sz w:val="24"/>
          <w:szCs w:val="24"/>
          <w:lang w:val="en-US"/>
        </w:rPr>
        <w:t xml:space="preserve"> and Shephard, 2013). According to </w:t>
      </w:r>
      <w:proofErr w:type="spellStart"/>
      <w:r w:rsidRPr="000D3C01">
        <w:rPr>
          <w:rFonts w:ascii="Arial" w:eastAsia="Times New Roman" w:hAnsi="Arial" w:cs="Arial"/>
          <w:sz w:val="24"/>
          <w:szCs w:val="24"/>
          <w:lang w:val="en-US"/>
        </w:rPr>
        <w:t>Ünay</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Zehir</w:t>
      </w:r>
      <w:proofErr w:type="spellEnd"/>
      <w:r w:rsidRPr="000D3C01">
        <w:rPr>
          <w:rFonts w:ascii="Arial" w:eastAsia="Times New Roman" w:hAnsi="Arial" w:cs="Arial"/>
          <w:sz w:val="24"/>
          <w:szCs w:val="24"/>
          <w:lang w:val="en-US"/>
        </w:rPr>
        <w:t xml:space="preserve"> (2012), building a customer’s journey map can give insightful data for all the department levels, from the sales phase, which wants to understand the effective methods to interact with the target customers, to the management authorities searching for insight on which outlets the consumers adopt most. Besides, the customer journey map enables a business </w:t>
      </w:r>
      <w:proofErr w:type="spellStart"/>
      <w:r w:rsidRPr="000D3C01">
        <w:rPr>
          <w:rFonts w:ascii="Arial" w:eastAsia="Times New Roman" w:hAnsi="Arial" w:cs="Arial"/>
          <w:sz w:val="24"/>
          <w:szCs w:val="24"/>
          <w:lang w:val="en-US"/>
        </w:rPr>
        <w:t>organisation</w:t>
      </w:r>
      <w:proofErr w:type="spellEnd"/>
      <w:r w:rsidRPr="000D3C01">
        <w:rPr>
          <w:rFonts w:ascii="Arial" w:eastAsia="Times New Roman" w:hAnsi="Arial" w:cs="Arial"/>
          <w:sz w:val="24"/>
          <w:szCs w:val="24"/>
          <w:lang w:val="en-US"/>
        </w:rPr>
        <w:t xml:space="preserve"> to have seen its processes and products through the eyes of its customers. A customer’s journey map provides valuable information on the key denominators of friction for the design teams, marketing team and business owners, allowing them to enhance the customer's experiences and eventually make sales performance (Shen, 2014). </w:t>
      </w:r>
    </w:p>
    <w:p w14:paraId="3C66B167"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 </w:t>
      </w:r>
    </w:p>
    <w:p w14:paraId="4AB0822D" w14:textId="77777777" w:rsidR="000D3C01" w:rsidRPr="000D3C01" w:rsidRDefault="000D3C01" w:rsidP="000D3C01">
      <w:pPr>
        <w:spacing w:before="240" w:line="360" w:lineRule="auto"/>
        <w:jc w:val="both"/>
        <w:rPr>
          <w:rFonts w:ascii="Arial" w:eastAsia="Calibri" w:hAnsi="Arial" w:cs="Arial"/>
          <w:b/>
          <w:bCs/>
          <w:sz w:val="24"/>
          <w:szCs w:val="24"/>
          <w:shd w:val="clear" w:color="auto" w:fill="FFFF00"/>
          <w:lang w:val="en-GB"/>
        </w:rPr>
      </w:pPr>
    </w:p>
    <w:p w14:paraId="707ED64E" w14:textId="77777777" w:rsidR="000D3C01" w:rsidRPr="000D3C01" w:rsidRDefault="000D3C01" w:rsidP="000D3C01">
      <w:pPr>
        <w:spacing w:before="240" w:line="360" w:lineRule="auto"/>
        <w:jc w:val="center"/>
        <w:rPr>
          <w:rFonts w:ascii="Arial" w:eastAsia="Calibri" w:hAnsi="Arial" w:cs="Arial"/>
          <w:i/>
          <w:iCs/>
          <w:sz w:val="24"/>
          <w:szCs w:val="24"/>
          <w:lang w:val="en-GB"/>
        </w:rPr>
      </w:pPr>
      <w:r w:rsidRPr="000D3C01">
        <w:rPr>
          <w:rFonts w:ascii="Arial" w:eastAsia="Calibri" w:hAnsi="Arial" w:cs="Arial"/>
          <w:i/>
          <w:iCs/>
          <w:noProof/>
          <w:sz w:val="24"/>
          <w:szCs w:val="24"/>
          <w:lang w:val="en-GB"/>
        </w:rPr>
        <w:drawing>
          <wp:inline distT="0" distB="0" distL="0" distR="0" wp14:anchorId="1039048E" wp14:editId="76707EF2">
            <wp:extent cx="5227320" cy="2395855"/>
            <wp:effectExtent l="0" t="0" r="0" b="444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7"/>
                    <a:stretch>
                      <a:fillRect/>
                    </a:stretch>
                  </pic:blipFill>
                  <pic:spPr>
                    <a:xfrm>
                      <a:off x="0" y="0"/>
                      <a:ext cx="5227320" cy="2395855"/>
                    </a:xfrm>
                    <a:prstGeom prst="rect">
                      <a:avLst/>
                    </a:prstGeom>
                  </pic:spPr>
                </pic:pic>
              </a:graphicData>
            </a:graphic>
          </wp:inline>
        </w:drawing>
      </w:r>
    </w:p>
    <w:p w14:paraId="4CF065FF" w14:textId="77777777" w:rsidR="000D3C01" w:rsidRPr="000D3C01" w:rsidRDefault="000D3C01" w:rsidP="000D3C01">
      <w:pPr>
        <w:spacing w:before="240" w:line="360" w:lineRule="auto"/>
        <w:jc w:val="center"/>
        <w:rPr>
          <w:rFonts w:ascii="Arial" w:eastAsia="Calibri" w:hAnsi="Arial" w:cs="Arial"/>
          <w:i/>
          <w:iCs/>
          <w:sz w:val="24"/>
          <w:szCs w:val="24"/>
          <w:lang w:val="en-GB"/>
        </w:rPr>
      </w:pPr>
      <w:r w:rsidRPr="000D3C01">
        <w:rPr>
          <w:rFonts w:ascii="Arial" w:eastAsia="Calibri" w:hAnsi="Arial" w:cs="Arial"/>
          <w:i/>
          <w:iCs/>
          <w:sz w:val="24"/>
          <w:szCs w:val="24"/>
          <w:lang w:val="en-GB"/>
        </w:rPr>
        <w:t>Figure 3: Customers journey map</w:t>
      </w:r>
    </w:p>
    <w:p w14:paraId="3D85C4A0" w14:textId="77777777" w:rsidR="000D3C01" w:rsidRPr="000D3C01" w:rsidRDefault="000D3C01" w:rsidP="000D3C01">
      <w:pPr>
        <w:spacing w:before="240" w:line="360" w:lineRule="auto"/>
        <w:jc w:val="center"/>
        <w:rPr>
          <w:rFonts w:ascii="Arial" w:eastAsia="Calibri" w:hAnsi="Arial" w:cs="Arial"/>
          <w:i/>
          <w:iCs/>
          <w:sz w:val="24"/>
          <w:szCs w:val="24"/>
          <w:lang w:val="en-GB"/>
        </w:rPr>
      </w:pPr>
      <w:r w:rsidRPr="000D3C01">
        <w:rPr>
          <w:rFonts w:ascii="Arial" w:eastAsia="Calibri" w:hAnsi="Arial" w:cs="Arial"/>
          <w:i/>
          <w:iCs/>
          <w:sz w:val="24"/>
          <w:szCs w:val="24"/>
          <w:lang w:val="en-GB"/>
        </w:rPr>
        <w:t>Source:</w:t>
      </w:r>
      <w:r w:rsidRPr="000D3C01">
        <w:rPr>
          <w:rFonts w:ascii="Arial" w:eastAsia="Calibri" w:hAnsi="Arial" w:cs="Arial"/>
          <w:sz w:val="24"/>
          <w:szCs w:val="24"/>
          <w:lang w:val="en-GB"/>
        </w:rPr>
        <w:t xml:space="preserve"> </w:t>
      </w:r>
      <w:proofErr w:type="spellStart"/>
      <w:r w:rsidRPr="000D3C01">
        <w:rPr>
          <w:rFonts w:ascii="Arial" w:eastAsia="Calibri" w:hAnsi="Arial" w:cs="Arial"/>
          <w:i/>
          <w:iCs/>
          <w:sz w:val="24"/>
          <w:szCs w:val="24"/>
          <w:lang w:val="en-GB"/>
        </w:rPr>
        <w:t>Roggeveen</w:t>
      </w:r>
      <w:proofErr w:type="spellEnd"/>
      <w:r w:rsidRPr="000D3C01">
        <w:rPr>
          <w:rFonts w:ascii="Arial" w:eastAsia="Calibri" w:hAnsi="Arial" w:cs="Arial"/>
          <w:i/>
          <w:iCs/>
          <w:sz w:val="24"/>
          <w:szCs w:val="24"/>
          <w:lang w:val="en-GB"/>
        </w:rPr>
        <w:t xml:space="preserve"> and </w:t>
      </w:r>
      <w:proofErr w:type="spellStart"/>
      <w:r w:rsidRPr="000D3C01">
        <w:rPr>
          <w:rFonts w:ascii="Arial" w:eastAsia="Calibri" w:hAnsi="Arial" w:cs="Arial"/>
          <w:i/>
          <w:iCs/>
          <w:sz w:val="24"/>
          <w:szCs w:val="24"/>
          <w:lang w:val="en-GB"/>
        </w:rPr>
        <w:t>Sethuraman</w:t>
      </w:r>
      <w:proofErr w:type="spellEnd"/>
      <w:r w:rsidRPr="000D3C01">
        <w:rPr>
          <w:rFonts w:ascii="Arial" w:eastAsia="Calibri" w:hAnsi="Arial" w:cs="Arial"/>
          <w:i/>
          <w:iCs/>
          <w:sz w:val="24"/>
          <w:szCs w:val="24"/>
          <w:lang w:val="en-GB"/>
        </w:rPr>
        <w:t xml:space="preserve"> (2020)</w:t>
      </w:r>
    </w:p>
    <w:p w14:paraId="4FD4F18F" w14:textId="77777777" w:rsidR="000D3C01" w:rsidRPr="000D3C01" w:rsidRDefault="000D3C01" w:rsidP="000D3C01">
      <w:pPr>
        <w:spacing w:before="240" w:line="360" w:lineRule="auto"/>
        <w:jc w:val="both"/>
        <w:rPr>
          <w:rFonts w:ascii="Arial" w:eastAsia="Calibri" w:hAnsi="Arial" w:cs="Arial"/>
          <w:sz w:val="24"/>
          <w:szCs w:val="24"/>
          <w:lang w:val="en-GB"/>
        </w:rPr>
      </w:pPr>
      <w:r w:rsidRPr="000D3C01">
        <w:rPr>
          <w:rFonts w:ascii="Arial" w:eastAsia="Calibri" w:hAnsi="Arial" w:cs="Arial"/>
          <w:sz w:val="24"/>
          <w:szCs w:val="24"/>
          <w:lang w:val="en-GB"/>
        </w:rPr>
        <w:t xml:space="preserve">The different stages are the backbone of customers journey map. </w:t>
      </w:r>
    </w:p>
    <w:p w14:paraId="3743E712"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Awareness: </w:t>
      </w:r>
      <w:r w:rsidRPr="000D3C01">
        <w:rPr>
          <w:rFonts w:ascii="Arial" w:eastAsia="Times New Roman" w:hAnsi="Arial" w:cs="Arial"/>
          <w:sz w:val="24"/>
          <w:szCs w:val="24"/>
          <w:lang w:val="en-US"/>
        </w:rPr>
        <w:t xml:space="preserve">According to Harris and Dennis (2011) awareness phase includes spreading the general data regarding the services and goods the firm provides to its target customers. In the awareness phase of the customer's journey, the customers mainly search for a solution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encounter various products and brands. Besides, in this phase, the customers are conducting detailed research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this can include online searching methods for solutions to keyword issues, news articles, reading blogs, first meeting companies and browsing online forums.</w:t>
      </w:r>
    </w:p>
    <w:p w14:paraId="43047B80"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Considerations:  </w:t>
      </w:r>
      <w:r w:rsidRPr="000D3C01">
        <w:rPr>
          <w:rFonts w:ascii="Arial" w:eastAsia="Times New Roman" w:hAnsi="Arial" w:cs="Arial"/>
          <w:sz w:val="24"/>
          <w:szCs w:val="24"/>
          <w:lang w:val="en-US"/>
        </w:rPr>
        <w:t xml:space="preserve">In this phase of the journey, the brand </w:t>
      </w:r>
      <w:proofErr w:type="spellStart"/>
      <w:r w:rsidRPr="000D3C01">
        <w:rPr>
          <w:rFonts w:ascii="Arial" w:eastAsia="Times New Roman" w:hAnsi="Arial" w:cs="Arial"/>
          <w:sz w:val="24"/>
          <w:szCs w:val="24"/>
          <w:lang w:val="en-US"/>
        </w:rPr>
        <w:t>emphasises</w:t>
      </w:r>
      <w:proofErr w:type="spellEnd"/>
      <w:r w:rsidRPr="000D3C01">
        <w:rPr>
          <w:rFonts w:ascii="Arial" w:eastAsia="Times New Roman" w:hAnsi="Arial" w:cs="Arial"/>
          <w:sz w:val="24"/>
          <w:szCs w:val="24"/>
          <w:lang w:val="en-US"/>
        </w:rPr>
        <w:t xml:space="preserve"> promotions. Besides, this is mainly where the customers start to search for substitutions for past acquisitions. In this stage, the business attempts to influence target customers to include the brand on the available list of options. Further, the customers consider the various features of the goods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compare the buying of goods to other key solutions. However, the consideration stage changes due to the customers-centric channels can come in diverse forms (</w:t>
      </w:r>
      <w:proofErr w:type="spellStart"/>
      <w:r w:rsidRPr="000D3C01">
        <w:rPr>
          <w:rFonts w:ascii="Arial" w:eastAsia="Times New Roman" w:hAnsi="Arial" w:cs="Arial"/>
          <w:sz w:val="24"/>
          <w:szCs w:val="24"/>
          <w:lang w:val="en-US"/>
        </w:rPr>
        <w:t>Roggeveen</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Sethuraman</w:t>
      </w:r>
      <w:proofErr w:type="spellEnd"/>
      <w:r w:rsidRPr="000D3C01">
        <w:rPr>
          <w:rFonts w:ascii="Arial" w:eastAsia="Times New Roman" w:hAnsi="Arial" w:cs="Arial"/>
          <w:sz w:val="24"/>
          <w:szCs w:val="24"/>
          <w:lang w:val="en-US"/>
        </w:rPr>
        <w:t>, 2020).</w:t>
      </w:r>
    </w:p>
    <w:p w14:paraId="1E02AECD"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Conversion: </w:t>
      </w:r>
      <w:r w:rsidRPr="000D3C01">
        <w:rPr>
          <w:rFonts w:ascii="Arial" w:eastAsia="Times New Roman" w:hAnsi="Arial" w:cs="Arial"/>
          <w:sz w:val="24"/>
          <w:szCs w:val="24"/>
          <w:lang w:val="en-US"/>
        </w:rPr>
        <w:t xml:space="preserve">The conversion stage indorses visitors to take a specific action. Adopting a dedicated call-to-actions, the brand encourages the customer to create a buying decision, subscribe to the mailing list or else sign up for the </w:t>
      </w:r>
      <w:proofErr w:type="gramStart"/>
      <w:r w:rsidRPr="000D3C01">
        <w:rPr>
          <w:rFonts w:ascii="Arial" w:eastAsia="Times New Roman" w:hAnsi="Arial" w:cs="Arial"/>
          <w:sz w:val="24"/>
          <w:szCs w:val="24"/>
          <w:lang w:val="en-US"/>
        </w:rPr>
        <w:t>particular services</w:t>
      </w:r>
      <w:proofErr w:type="gramEnd"/>
      <w:r w:rsidRPr="000D3C01">
        <w:rPr>
          <w:rFonts w:ascii="Arial" w:eastAsia="Times New Roman" w:hAnsi="Arial" w:cs="Arial"/>
          <w:sz w:val="24"/>
          <w:szCs w:val="24"/>
          <w:lang w:val="en-US"/>
        </w:rPr>
        <w:t>. The brand should adopt this stage to sell its goods as the best fit to resolve a visitor’s issues (</w:t>
      </w:r>
      <w:proofErr w:type="spellStart"/>
      <w:r w:rsidRPr="000D3C01">
        <w:rPr>
          <w:rFonts w:ascii="Arial" w:eastAsia="Times New Roman" w:hAnsi="Arial" w:cs="Arial"/>
          <w:sz w:val="24"/>
          <w:szCs w:val="24"/>
          <w:lang w:val="en-US"/>
        </w:rPr>
        <w:t>Roggeveen</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Sethuraman</w:t>
      </w:r>
      <w:proofErr w:type="spellEnd"/>
      <w:r w:rsidRPr="000D3C01">
        <w:rPr>
          <w:rFonts w:ascii="Arial" w:eastAsia="Times New Roman" w:hAnsi="Arial" w:cs="Arial"/>
          <w:sz w:val="24"/>
          <w:szCs w:val="24"/>
          <w:lang w:val="en-US"/>
        </w:rPr>
        <w:t>, 2020). </w:t>
      </w:r>
    </w:p>
    <w:p w14:paraId="67F8A505"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Retention: </w:t>
      </w:r>
      <w:proofErr w:type="spellStart"/>
      <w:r w:rsidRPr="000D3C01">
        <w:rPr>
          <w:rFonts w:ascii="Arial" w:eastAsia="Times New Roman" w:hAnsi="Arial" w:cs="Arial"/>
          <w:sz w:val="24"/>
          <w:szCs w:val="24"/>
          <w:lang w:val="en-US"/>
        </w:rPr>
        <w:t>Norpoth</w:t>
      </w:r>
      <w:proofErr w:type="spellEnd"/>
      <w:r w:rsidRPr="000D3C01">
        <w:rPr>
          <w:rFonts w:ascii="Arial" w:eastAsia="Times New Roman" w:hAnsi="Arial" w:cs="Arial"/>
          <w:sz w:val="24"/>
          <w:szCs w:val="24"/>
          <w:lang w:val="en-US"/>
        </w:rPr>
        <w:t xml:space="preserve"> and </w:t>
      </w:r>
      <w:proofErr w:type="spellStart"/>
      <w:r w:rsidRPr="000D3C01">
        <w:rPr>
          <w:rFonts w:ascii="Arial" w:eastAsia="Times New Roman" w:hAnsi="Arial" w:cs="Arial"/>
          <w:sz w:val="24"/>
          <w:szCs w:val="24"/>
          <w:lang w:val="en-US"/>
        </w:rPr>
        <w:t>Kaltenborn</w:t>
      </w:r>
      <w:proofErr w:type="spellEnd"/>
      <w:r w:rsidRPr="000D3C01">
        <w:rPr>
          <w:rFonts w:ascii="Arial" w:eastAsia="Times New Roman" w:hAnsi="Arial" w:cs="Arial"/>
          <w:sz w:val="24"/>
          <w:szCs w:val="24"/>
          <w:lang w:val="en-US"/>
        </w:rPr>
        <w:t xml:space="preserve"> (2020) mentioned that retention is a significant phase for the </w:t>
      </w:r>
      <w:proofErr w:type="spellStart"/>
      <w:r w:rsidRPr="000D3C01">
        <w:rPr>
          <w:rFonts w:ascii="Arial" w:eastAsia="Times New Roman" w:hAnsi="Arial" w:cs="Arial"/>
          <w:sz w:val="24"/>
          <w:szCs w:val="24"/>
          <w:lang w:val="en-US"/>
        </w:rPr>
        <w:t>organisation</w:t>
      </w:r>
      <w:proofErr w:type="spellEnd"/>
      <w:r w:rsidRPr="000D3C01">
        <w:rPr>
          <w:rFonts w:ascii="Arial" w:eastAsia="Times New Roman" w:hAnsi="Arial" w:cs="Arial"/>
          <w:sz w:val="24"/>
          <w:szCs w:val="24"/>
          <w:lang w:val="en-US"/>
        </w:rPr>
        <w:t xml:space="preserve">,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it</w:t>
      </w:r>
      <w:r w:rsidRPr="000D3C01">
        <w:rPr>
          <w:rFonts w:ascii="Arial" w:eastAsia="Times New Roman" w:hAnsi="Arial" w:cs="Arial"/>
          <w:b/>
          <w:bCs/>
          <w:sz w:val="24"/>
          <w:szCs w:val="24"/>
          <w:lang w:val="en-US"/>
        </w:rPr>
        <w:t> </w:t>
      </w:r>
      <w:r w:rsidRPr="000D3C01">
        <w:rPr>
          <w:rFonts w:ascii="Arial" w:eastAsia="Times New Roman" w:hAnsi="Arial" w:cs="Arial"/>
          <w:sz w:val="24"/>
          <w:szCs w:val="24"/>
          <w:lang w:val="en-US"/>
        </w:rPr>
        <w:t>should effectively maintain the trust of the target customers. The retention phases include keeping consumers pleased with connection customers or management success teammates to stop the clients from leaving and take possible to the next and the last phase, them thus loyal to the brand that they want to advocate for the services or products. </w:t>
      </w:r>
    </w:p>
    <w:p w14:paraId="48DF93A6"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Advocacy:</w:t>
      </w:r>
      <w:r w:rsidRPr="000D3C01">
        <w:rPr>
          <w:rFonts w:ascii="Arial" w:eastAsia="Times New Roman" w:hAnsi="Arial" w:cs="Arial"/>
          <w:sz w:val="24"/>
          <w:szCs w:val="24"/>
          <w:lang w:val="en-US"/>
        </w:rPr>
        <w:t xml:space="preserve"> In the opinion of </w:t>
      </w:r>
      <w:proofErr w:type="spellStart"/>
      <w:r w:rsidRPr="000D3C01">
        <w:rPr>
          <w:rFonts w:ascii="Arial" w:eastAsia="Times New Roman" w:hAnsi="Arial" w:cs="Arial"/>
          <w:sz w:val="24"/>
          <w:szCs w:val="24"/>
          <w:lang w:val="en-US"/>
        </w:rPr>
        <w:t>Syafarudin</w:t>
      </w:r>
      <w:proofErr w:type="spellEnd"/>
      <w:r w:rsidRPr="000D3C01">
        <w:rPr>
          <w:rFonts w:ascii="Arial" w:eastAsia="Times New Roman" w:hAnsi="Arial" w:cs="Arial"/>
          <w:sz w:val="24"/>
          <w:szCs w:val="24"/>
          <w:lang w:val="en-US"/>
        </w:rPr>
        <w:t xml:space="preserve"> (2021), most business </w:t>
      </w:r>
      <w:proofErr w:type="spellStart"/>
      <w:r w:rsidRPr="000D3C01">
        <w:rPr>
          <w:rFonts w:ascii="Arial" w:eastAsia="Times New Roman" w:hAnsi="Arial" w:cs="Arial"/>
          <w:sz w:val="24"/>
          <w:szCs w:val="24"/>
          <w:lang w:val="en-US"/>
        </w:rPr>
        <w:t>organisations</w:t>
      </w:r>
      <w:proofErr w:type="spellEnd"/>
      <w:r w:rsidRPr="000D3C01">
        <w:rPr>
          <w:rFonts w:ascii="Arial" w:eastAsia="Times New Roman" w:hAnsi="Arial" w:cs="Arial"/>
          <w:sz w:val="24"/>
          <w:szCs w:val="24"/>
          <w:lang w:val="en-US"/>
        </w:rPr>
        <w:t xml:space="preserve"> </w:t>
      </w:r>
      <w:proofErr w:type="spellStart"/>
      <w:r w:rsidRPr="000D3C01">
        <w:rPr>
          <w:rFonts w:ascii="Arial" w:eastAsia="Times New Roman" w:hAnsi="Arial" w:cs="Arial"/>
          <w:sz w:val="24"/>
          <w:szCs w:val="24"/>
          <w:lang w:val="en-US"/>
        </w:rPr>
        <w:t>recognise</w:t>
      </w:r>
      <w:proofErr w:type="spellEnd"/>
      <w:r w:rsidRPr="000D3C01">
        <w:rPr>
          <w:rFonts w:ascii="Arial" w:eastAsia="Times New Roman" w:hAnsi="Arial" w:cs="Arial"/>
          <w:sz w:val="24"/>
          <w:szCs w:val="24"/>
          <w:lang w:val="en-US"/>
        </w:rPr>
        <w:t xml:space="preserve"> the advantages of word-of-mouth marketing. Nevertheless, few </w:t>
      </w:r>
      <w:proofErr w:type="spellStart"/>
      <w:r w:rsidRPr="000D3C01">
        <w:rPr>
          <w:rFonts w:ascii="Arial" w:eastAsia="Times New Roman" w:hAnsi="Arial" w:cs="Arial"/>
          <w:sz w:val="24"/>
          <w:szCs w:val="24"/>
          <w:lang w:val="en-US"/>
        </w:rPr>
        <w:t>organisations</w:t>
      </w:r>
      <w:proofErr w:type="spellEnd"/>
      <w:r w:rsidRPr="000D3C01">
        <w:rPr>
          <w:rFonts w:ascii="Arial" w:eastAsia="Times New Roman" w:hAnsi="Arial" w:cs="Arial"/>
          <w:sz w:val="24"/>
          <w:szCs w:val="24"/>
          <w:lang w:val="en-US"/>
        </w:rPr>
        <w:t xml:space="preserve"> commit to a plan for encouraging customer advocacy. Besides, encouraging every customer to share their opinions and views can take money and time. Further, the excited customers are likely to suggest the products and brand to their family and friends, which for numerous, can be contract breakers. </w:t>
      </w:r>
    </w:p>
    <w:p w14:paraId="4430112F" w14:textId="77777777" w:rsidR="000D3C01" w:rsidRPr="000D3C01" w:rsidRDefault="000D3C01" w:rsidP="000D3C01">
      <w:pPr>
        <w:keepNext/>
        <w:keepLines/>
        <w:spacing w:before="240" w:after="0" w:line="360" w:lineRule="auto"/>
        <w:jc w:val="both"/>
        <w:outlineLvl w:val="0"/>
        <w:rPr>
          <w:rFonts w:ascii="Arial" w:eastAsia="Times New Roman" w:hAnsi="Arial" w:cs="Arial"/>
          <w:sz w:val="24"/>
          <w:szCs w:val="24"/>
          <w:lang w:val="en-GB"/>
        </w:rPr>
      </w:pPr>
      <w:bookmarkStart w:id="9" w:name="_Toc112365275"/>
      <w:r w:rsidRPr="000D3C01">
        <w:rPr>
          <w:rFonts w:ascii="Arial" w:eastAsia="Times New Roman" w:hAnsi="Arial" w:cs="Arial"/>
          <w:b/>
          <w:bCs/>
          <w:sz w:val="24"/>
          <w:szCs w:val="24"/>
          <w:lang w:val="en-GB"/>
        </w:rPr>
        <w:t>7. Customer touch points</w:t>
      </w:r>
      <w:bookmarkEnd w:id="9"/>
      <w:r w:rsidRPr="000D3C01">
        <w:rPr>
          <w:rFonts w:ascii="Arial" w:eastAsia="Times New Roman" w:hAnsi="Arial" w:cs="Arial"/>
          <w:b/>
          <w:bCs/>
          <w:sz w:val="24"/>
          <w:szCs w:val="24"/>
          <w:lang w:val="en-GB"/>
        </w:rPr>
        <w:t xml:space="preserve"> </w:t>
      </w:r>
    </w:p>
    <w:p w14:paraId="031015AA" w14:textId="77777777" w:rsidR="000D3C01" w:rsidRPr="000D3C01" w:rsidRDefault="000D3C01" w:rsidP="000D3C01">
      <w:pPr>
        <w:spacing w:before="240" w:after="0" w:line="360" w:lineRule="auto"/>
        <w:jc w:val="both"/>
        <w:rPr>
          <w:rFonts w:ascii="Arial" w:eastAsia="Times New Roman" w:hAnsi="Arial" w:cs="Arial"/>
          <w:sz w:val="24"/>
          <w:szCs w:val="24"/>
          <w:lang w:val="en-US"/>
        </w:rPr>
      </w:pPr>
      <w:proofErr w:type="spellStart"/>
      <w:r w:rsidRPr="000D3C01">
        <w:rPr>
          <w:rFonts w:ascii="Arial" w:eastAsia="Times New Roman" w:hAnsi="Arial" w:cs="Arial"/>
          <w:sz w:val="24"/>
          <w:szCs w:val="24"/>
          <w:lang w:val="en-US"/>
        </w:rPr>
        <w:t>Aichner</w:t>
      </w:r>
      <w:proofErr w:type="spellEnd"/>
      <w:r w:rsidRPr="000D3C01">
        <w:rPr>
          <w:rFonts w:ascii="Arial" w:eastAsia="Times New Roman" w:hAnsi="Arial" w:cs="Arial"/>
          <w:sz w:val="24"/>
          <w:szCs w:val="24"/>
          <w:lang w:val="en-US"/>
        </w:rPr>
        <w:t xml:space="preserve"> and Gruber (2017) mentioned that a customer’s touchpoint is mainly any category of interaction that customers have with the brand, whether that is through a website, employee, </w:t>
      </w:r>
      <w:proofErr w:type="gramStart"/>
      <w:r w:rsidRPr="000D3C01">
        <w:rPr>
          <w:rFonts w:ascii="Arial" w:eastAsia="Times New Roman" w:hAnsi="Arial" w:cs="Arial"/>
          <w:sz w:val="24"/>
          <w:szCs w:val="24"/>
          <w:lang w:val="en-US"/>
        </w:rPr>
        <w:t>app</w:t>
      </w:r>
      <w:proofErr w:type="gramEnd"/>
      <w:r w:rsidRPr="000D3C01">
        <w:rPr>
          <w:rFonts w:ascii="Arial" w:eastAsia="Times New Roman" w:hAnsi="Arial" w:cs="Arial"/>
          <w:sz w:val="24"/>
          <w:szCs w:val="24"/>
          <w:lang w:val="en-US"/>
        </w:rPr>
        <w:t xml:space="preserve"> or an advertisement. Further, the experiences the customers have with those </w:t>
      </w:r>
      <w:proofErr w:type="gramStart"/>
      <w:r w:rsidRPr="000D3C01">
        <w:rPr>
          <w:rFonts w:ascii="Arial" w:eastAsia="Times New Roman" w:hAnsi="Arial" w:cs="Arial"/>
          <w:sz w:val="24"/>
          <w:szCs w:val="24"/>
          <w:lang w:val="en-US"/>
        </w:rPr>
        <w:t>particular touchpoints</w:t>
      </w:r>
      <w:proofErr w:type="gramEnd"/>
      <w:r w:rsidRPr="000D3C01">
        <w:rPr>
          <w:rFonts w:ascii="Arial" w:eastAsia="Times New Roman" w:hAnsi="Arial" w:cs="Arial"/>
          <w:sz w:val="24"/>
          <w:szCs w:val="24"/>
          <w:lang w:val="en-US"/>
        </w:rPr>
        <w:t xml:space="preserve"> can outline how they review the brand. Most </w:t>
      </w:r>
      <w:proofErr w:type="spellStart"/>
      <w:r w:rsidRPr="000D3C01">
        <w:rPr>
          <w:rFonts w:ascii="Arial" w:eastAsia="Times New Roman" w:hAnsi="Arial" w:cs="Arial"/>
          <w:sz w:val="24"/>
          <w:szCs w:val="24"/>
          <w:lang w:val="en-US"/>
        </w:rPr>
        <w:t>organisations</w:t>
      </w:r>
      <w:proofErr w:type="spellEnd"/>
      <w:r w:rsidRPr="000D3C01">
        <w:rPr>
          <w:rFonts w:ascii="Arial" w:eastAsia="Times New Roman" w:hAnsi="Arial" w:cs="Arial"/>
          <w:sz w:val="24"/>
          <w:szCs w:val="24"/>
          <w:lang w:val="en-US"/>
        </w:rPr>
        <w:t xml:space="preserve">, including H&amp;M brands, have tried to communicate with the target customers through diverse types of marketing activities, striving to attain as target customers as possible. Till presently, the main attention of the marketers has been on the traditional marketing operations, </w:t>
      </w:r>
      <w:proofErr w:type="spellStart"/>
      <w:r w:rsidRPr="000D3C01">
        <w:rPr>
          <w:rFonts w:ascii="Arial" w:eastAsia="Times New Roman" w:hAnsi="Arial" w:cs="Arial"/>
          <w:sz w:val="24"/>
          <w:szCs w:val="24"/>
          <w:lang w:val="en-US"/>
        </w:rPr>
        <w:t>emphasising</w:t>
      </w:r>
      <w:proofErr w:type="spellEnd"/>
      <w:r w:rsidRPr="000D3C01">
        <w:rPr>
          <w:rFonts w:ascii="Arial" w:eastAsia="Times New Roman" w:hAnsi="Arial" w:cs="Arial"/>
          <w:sz w:val="24"/>
          <w:szCs w:val="24"/>
          <w:lang w:val="en-US"/>
        </w:rPr>
        <w:t xml:space="preserve"> how the firm would intend to interact with their target customers. Nevertheless, because of the changed </w:t>
      </w:r>
      <w:proofErr w:type="spellStart"/>
      <w:r w:rsidRPr="000D3C01">
        <w:rPr>
          <w:rFonts w:ascii="Arial" w:eastAsia="Times New Roman" w:hAnsi="Arial" w:cs="Arial"/>
          <w:sz w:val="24"/>
          <w:szCs w:val="24"/>
          <w:lang w:val="en-US"/>
        </w:rPr>
        <w:t>behaviour</w:t>
      </w:r>
      <w:proofErr w:type="spellEnd"/>
      <w:r w:rsidRPr="000D3C01">
        <w:rPr>
          <w:rFonts w:ascii="Arial" w:eastAsia="Times New Roman" w:hAnsi="Arial" w:cs="Arial"/>
          <w:sz w:val="24"/>
          <w:szCs w:val="24"/>
          <w:lang w:val="en-US"/>
        </w:rPr>
        <w:t xml:space="preserve"> of customers, a rise in communication practices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a rise in the actors in the marketplace, the times have altered. The touch points into three diverse types connected with the customer's experiences:</w:t>
      </w:r>
    </w:p>
    <w:p w14:paraId="1B1BC937"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Pre-Purchase touchpoints: </w:t>
      </w:r>
      <w:r w:rsidRPr="000D3C01">
        <w:rPr>
          <w:rFonts w:ascii="Arial" w:eastAsia="Times New Roman" w:hAnsi="Arial" w:cs="Arial"/>
          <w:sz w:val="24"/>
          <w:szCs w:val="24"/>
          <w:lang w:val="en-US"/>
        </w:rPr>
        <w:t xml:space="preserve">These purchase touchpoints are of higher significance nonetheless of whether a customer will buy the product in a question or else not, and these include contact points like the internet, </w:t>
      </w:r>
      <w:proofErr w:type="gramStart"/>
      <w:r w:rsidRPr="000D3C01">
        <w:rPr>
          <w:rFonts w:ascii="Arial" w:eastAsia="Times New Roman" w:hAnsi="Arial" w:cs="Arial"/>
          <w:sz w:val="24"/>
          <w:szCs w:val="24"/>
          <w:lang w:val="en-US"/>
        </w:rPr>
        <w:t>word-of-mouth</w:t>
      </w:r>
      <w:proofErr w:type="gramEnd"/>
      <w:r w:rsidRPr="000D3C01">
        <w:rPr>
          <w:rFonts w:ascii="Arial" w:eastAsia="Times New Roman" w:hAnsi="Arial" w:cs="Arial"/>
          <w:sz w:val="24"/>
          <w:szCs w:val="24"/>
          <w:lang w:val="en-US"/>
        </w:rPr>
        <w:t xml:space="preserve"> and advertising (Volkov et al., 2014).</w:t>
      </w:r>
      <w:r w:rsidRPr="000D3C01">
        <w:rPr>
          <w:rFonts w:ascii="Arial" w:eastAsia="Times New Roman" w:hAnsi="Arial" w:cs="Arial"/>
          <w:b/>
          <w:bCs/>
          <w:sz w:val="24"/>
          <w:szCs w:val="24"/>
          <w:lang w:val="en-US"/>
        </w:rPr>
        <w:t>           </w:t>
      </w:r>
    </w:p>
    <w:p w14:paraId="14030E24"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Purchase Touchpoints: </w:t>
      </w:r>
      <w:r w:rsidRPr="000D3C01">
        <w:rPr>
          <w:rFonts w:ascii="Arial" w:eastAsia="Times New Roman" w:hAnsi="Arial" w:cs="Arial"/>
          <w:sz w:val="24"/>
          <w:szCs w:val="24"/>
          <w:lang w:val="en-US"/>
        </w:rPr>
        <w:t xml:space="preserve">In the opinion of </w:t>
      </w:r>
      <w:proofErr w:type="spellStart"/>
      <w:r w:rsidRPr="000D3C01">
        <w:rPr>
          <w:rFonts w:ascii="Arial" w:eastAsia="Times New Roman" w:hAnsi="Arial" w:cs="Arial"/>
          <w:sz w:val="24"/>
          <w:szCs w:val="24"/>
          <w:lang w:val="en-US"/>
        </w:rPr>
        <w:t>Valos</w:t>
      </w:r>
      <w:proofErr w:type="spellEnd"/>
      <w:r w:rsidRPr="000D3C01">
        <w:rPr>
          <w:rFonts w:ascii="Arial" w:eastAsia="Times New Roman" w:hAnsi="Arial" w:cs="Arial"/>
          <w:sz w:val="24"/>
          <w:szCs w:val="24"/>
          <w:lang w:val="en-US"/>
        </w:rPr>
        <w:t xml:space="preserve"> et al. (2017)</w:t>
      </w:r>
      <w:r w:rsidRPr="000D3C01">
        <w:rPr>
          <w:rFonts w:ascii="Arial" w:eastAsia="Times New Roman" w:hAnsi="Arial" w:cs="Arial"/>
          <w:b/>
          <w:bCs/>
          <w:sz w:val="24"/>
          <w:szCs w:val="24"/>
          <w:lang w:val="en-US"/>
        </w:rPr>
        <w:t>, </w:t>
      </w:r>
      <w:r w:rsidRPr="000D3C01">
        <w:rPr>
          <w:rFonts w:ascii="Arial" w:eastAsia="Times New Roman" w:hAnsi="Arial" w:cs="Arial"/>
          <w:sz w:val="24"/>
          <w:szCs w:val="24"/>
          <w:lang w:val="en-US"/>
        </w:rPr>
        <w:t>Touchpoints cause a customer to buy a brand rather than just take it into account. These are touch points like physical stores and customer service.</w:t>
      </w:r>
    </w:p>
    <w:p w14:paraId="54422650"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b/>
          <w:bCs/>
          <w:sz w:val="24"/>
          <w:szCs w:val="24"/>
          <w:lang w:val="en-US"/>
        </w:rPr>
        <w:t>After-Purchase touch Points: </w:t>
      </w:r>
      <w:r w:rsidRPr="000D3C01">
        <w:rPr>
          <w:rFonts w:ascii="Arial" w:eastAsia="Times New Roman" w:hAnsi="Arial" w:cs="Arial"/>
          <w:sz w:val="24"/>
          <w:szCs w:val="24"/>
          <w:lang w:val="en-US"/>
        </w:rPr>
        <w:t>These types of touchpoints, as the name implies, allow customers to start after they purchase something. The product itself, customer service, replacement warranty, and customer satisfaction surveys are good examples (Yun, 2020).</w:t>
      </w:r>
    </w:p>
    <w:p w14:paraId="08C49D7D" w14:textId="77777777" w:rsidR="000D3C01" w:rsidRPr="000D3C01" w:rsidRDefault="000D3C01" w:rsidP="000D3C01">
      <w:pPr>
        <w:keepNext/>
        <w:keepLines/>
        <w:spacing w:before="240" w:after="0" w:line="360" w:lineRule="auto"/>
        <w:jc w:val="both"/>
        <w:outlineLvl w:val="0"/>
        <w:rPr>
          <w:rFonts w:ascii="Arial" w:eastAsia="Times New Roman" w:hAnsi="Arial" w:cs="Arial"/>
          <w:sz w:val="24"/>
          <w:szCs w:val="24"/>
          <w:lang w:val="en-GB"/>
        </w:rPr>
      </w:pPr>
      <w:bookmarkStart w:id="10" w:name="_Toc112365276"/>
      <w:r w:rsidRPr="000D3C01">
        <w:rPr>
          <w:rFonts w:ascii="Arial" w:eastAsia="Times New Roman" w:hAnsi="Arial" w:cs="Arial"/>
          <w:b/>
          <w:bCs/>
          <w:sz w:val="24"/>
          <w:szCs w:val="24"/>
          <w:lang w:val="en-GB"/>
        </w:rPr>
        <w:t>8. Customer Journey Map</w:t>
      </w:r>
      <w:bookmarkEnd w:id="10"/>
      <w:r w:rsidRPr="000D3C01">
        <w:rPr>
          <w:rFonts w:ascii="Arial" w:eastAsia="Times New Roman" w:hAnsi="Arial" w:cs="Arial"/>
          <w:b/>
          <w:bCs/>
          <w:sz w:val="24"/>
          <w:szCs w:val="24"/>
          <w:lang w:val="en-GB"/>
        </w:rPr>
        <w:t xml:space="preserve"> </w:t>
      </w:r>
    </w:p>
    <w:p w14:paraId="79DA7064"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The customer journey map is defined as the visual representations of a consumer’s experiences with the brand,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these visuals deliberate a clear story regarding how a particular customer moves through every phase of experiences and interactions at every stage (</w:t>
      </w:r>
      <w:proofErr w:type="spellStart"/>
      <w:r w:rsidRPr="000D3C01">
        <w:rPr>
          <w:rFonts w:ascii="Arial" w:eastAsia="Times New Roman" w:hAnsi="Arial" w:cs="Arial"/>
          <w:sz w:val="24"/>
          <w:szCs w:val="24"/>
          <w:lang w:val="en-US"/>
        </w:rPr>
        <w:t>Syafarudin</w:t>
      </w:r>
      <w:proofErr w:type="spellEnd"/>
      <w:r w:rsidRPr="000D3C01">
        <w:rPr>
          <w:rFonts w:ascii="Arial" w:eastAsia="Times New Roman" w:hAnsi="Arial" w:cs="Arial"/>
          <w:sz w:val="24"/>
          <w:szCs w:val="24"/>
          <w:lang w:val="en-US"/>
        </w:rPr>
        <w:t xml:space="preserve">, 2021). Besides, the customer's journey map should include various movements and touchpoints of truth, but also potential feelings of the customers, like confusion or frustration,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any activities the brand wants the customers to take (</w:t>
      </w:r>
      <w:proofErr w:type="spellStart"/>
      <w:r w:rsidRPr="000D3C01">
        <w:rPr>
          <w:rFonts w:ascii="Arial" w:eastAsia="Times New Roman" w:hAnsi="Arial" w:cs="Arial"/>
          <w:sz w:val="24"/>
          <w:szCs w:val="24"/>
          <w:lang w:val="en-US"/>
        </w:rPr>
        <w:t>Gra</w:t>
      </w:r>
      <w:proofErr w:type="spellEnd"/>
      <w:r w:rsidRPr="000D3C01">
        <w:rPr>
          <w:rFonts w:ascii="Arial" w:eastAsia="Times New Roman" w:hAnsi="Arial" w:cs="Arial"/>
          <w:sz w:val="24"/>
          <w:szCs w:val="24"/>
          <w:lang w:val="en-US"/>
        </w:rPr>
        <w:t>, 2013).  </w:t>
      </w:r>
    </w:p>
    <w:p w14:paraId="4C169E12"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The customer journey map of H&amp;M company offers a clear comprehension of the concerns and wants of the target customers, which directly encourage or inhibit their activities. Further, this data permits H&amp;M to enhance the customers purchasing experiences leading to a greater conversion rate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enhanced customer retention (ZHOU, 2013). </w:t>
      </w:r>
    </w:p>
    <w:p w14:paraId="1ABAE831"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noProof/>
          <w:sz w:val="24"/>
          <w:szCs w:val="24"/>
          <w:lang w:eastAsia="en-IN"/>
        </w:rPr>
        <w:drawing>
          <wp:inline distT="0" distB="0" distL="0" distR="0" wp14:anchorId="54C2EF11" wp14:editId="555A4168">
            <wp:extent cx="5942965" cy="4945380"/>
            <wp:effectExtent l="0" t="0" r="635" b="762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8"/>
                    <a:stretch>
                      <a:fillRect/>
                    </a:stretch>
                  </pic:blipFill>
                  <pic:spPr>
                    <a:xfrm>
                      <a:off x="0" y="0"/>
                      <a:ext cx="5945600" cy="4947573"/>
                    </a:xfrm>
                    <a:prstGeom prst="rect">
                      <a:avLst/>
                    </a:prstGeom>
                  </pic:spPr>
                </pic:pic>
              </a:graphicData>
            </a:graphic>
          </wp:inline>
        </w:drawing>
      </w:r>
    </w:p>
    <w:p w14:paraId="0F6A5680" w14:textId="77777777" w:rsidR="000D3C01" w:rsidRPr="000D3C01" w:rsidRDefault="000D3C01" w:rsidP="000D3C01">
      <w:pPr>
        <w:spacing w:before="240" w:line="360" w:lineRule="auto"/>
        <w:jc w:val="both"/>
        <w:rPr>
          <w:rFonts w:ascii="Arial" w:eastAsia="Calibri" w:hAnsi="Arial" w:cs="Arial"/>
          <w:b/>
          <w:bCs/>
          <w:spacing w:val="-5"/>
          <w:sz w:val="24"/>
          <w:szCs w:val="24"/>
          <w:shd w:val="clear" w:color="auto" w:fill="FFFF00"/>
          <w:lang w:val="en-GB"/>
        </w:rPr>
      </w:pPr>
    </w:p>
    <w:p w14:paraId="7D8536E6" w14:textId="77777777" w:rsidR="000D3C01" w:rsidRPr="000D3C01" w:rsidRDefault="000D3C01" w:rsidP="000D3C01">
      <w:pPr>
        <w:spacing w:before="240" w:line="360" w:lineRule="auto"/>
        <w:jc w:val="center"/>
        <w:rPr>
          <w:rFonts w:ascii="Arial" w:eastAsia="Calibri" w:hAnsi="Arial" w:cs="Arial"/>
          <w:i/>
          <w:iCs/>
          <w:sz w:val="24"/>
          <w:szCs w:val="24"/>
          <w:lang w:val="en-GB"/>
        </w:rPr>
      </w:pPr>
      <w:r w:rsidRPr="000D3C01">
        <w:rPr>
          <w:rFonts w:ascii="Arial" w:eastAsia="Calibri" w:hAnsi="Arial" w:cs="Arial"/>
          <w:i/>
          <w:iCs/>
          <w:sz w:val="24"/>
          <w:szCs w:val="24"/>
          <w:lang w:val="en-GB"/>
        </w:rPr>
        <w:t>Figure 4: Customers journey map</w:t>
      </w:r>
    </w:p>
    <w:p w14:paraId="7A9823EA" w14:textId="77777777" w:rsidR="000D3C01" w:rsidRPr="000D3C01" w:rsidRDefault="000D3C01" w:rsidP="000D3C01">
      <w:pPr>
        <w:spacing w:before="240" w:line="360" w:lineRule="auto"/>
        <w:jc w:val="center"/>
        <w:rPr>
          <w:rFonts w:ascii="Arial" w:eastAsia="Calibri" w:hAnsi="Arial" w:cs="Arial"/>
          <w:i/>
          <w:iCs/>
          <w:sz w:val="24"/>
          <w:szCs w:val="24"/>
          <w:lang w:val="en-GB"/>
        </w:rPr>
      </w:pPr>
      <w:r w:rsidRPr="000D3C01">
        <w:rPr>
          <w:rFonts w:ascii="Arial" w:eastAsia="Calibri" w:hAnsi="Arial" w:cs="Arial"/>
          <w:i/>
          <w:iCs/>
          <w:sz w:val="24"/>
          <w:szCs w:val="24"/>
          <w:lang w:val="en-GB"/>
        </w:rPr>
        <w:t>Source: Shen (2014)</w:t>
      </w:r>
    </w:p>
    <w:p w14:paraId="39A6CCB5"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H&amp;M provides an improved customer experience by adopting free postage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effective delivery models for orders above £75. H&amp;M promotes the brand using its customer's feedback and suggestions (Arrigo, 2018). The web platforms of H&amp;M encourage the shopping journey as a positive experience. Besides, the target customers are also offered an environment where they </w:t>
      </w:r>
      <w:proofErr w:type="gramStart"/>
      <w:r w:rsidRPr="000D3C01">
        <w:rPr>
          <w:rFonts w:ascii="Arial" w:eastAsia="Times New Roman" w:hAnsi="Arial" w:cs="Arial"/>
          <w:sz w:val="24"/>
          <w:szCs w:val="24"/>
          <w:lang w:val="en-US"/>
        </w:rPr>
        <w:t>are capable of touching</w:t>
      </w:r>
      <w:proofErr w:type="gramEnd"/>
      <w:r w:rsidRPr="000D3C01">
        <w:rPr>
          <w:rFonts w:ascii="Arial" w:eastAsia="Times New Roman" w:hAnsi="Arial" w:cs="Arial"/>
          <w:sz w:val="24"/>
          <w:szCs w:val="24"/>
          <w:lang w:val="en-US"/>
        </w:rPr>
        <w:t xml:space="preserve"> the goods before a buying decision is taken, and it includes the provision of free samples and blind test promotional goods. Further, the customers of H&amp;M attain SMS coupons through their banner ads and mobile phones placed at the top of the </w:t>
      </w:r>
      <w:proofErr w:type="spellStart"/>
      <w:r w:rsidRPr="000D3C01">
        <w:rPr>
          <w:rFonts w:ascii="Arial" w:eastAsia="Times New Roman" w:hAnsi="Arial" w:cs="Arial"/>
          <w:sz w:val="24"/>
          <w:szCs w:val="24"/>
          <w:lang w:val="en-US"/>
        </w:rPr>
        <w:t>organisation’s</w:t>
      </w:r>
      <w:proofErr w:type="spellEnd"/>
      <w:r w:rsidRPr="000D3C01">
        <w:rPr>
          <w:rFonts w:ascii="Arial" w:eastAsia="Times New Roman" w:hAnsi="Arial" w:cs="Arial"/>
          <w:sz w:val="24"/>
          <w:szCs w:val="24"/>
          <w:lang w:val="en-US"/>
        </w:rPr>
        <w:t xml:space="preserve"> website portals. Besides, the variety of the integrated mobile payment options includes the H&amp;M payment activities </w:t>
      </w:r>
      <w:proofErr w:type="gramStart"/>
      <w:r w:rsidRPr="000D3C01">
        <w:rPr>
          <w:rFonts w:ascii="Arial" w:eastAsia="Times New Roman" w:hAnsi="Arial" w:cs="Arial"/>
          <w:sz w:val="24"/>
          <w:szCs w:val="24"/>
          <w:lang w:val="en-US"/>
        </w:rPr>
        <w:t>and also</w:t>
      </w:r>
      <w:proofErr w:type="gramEnd"/>
      <w:r w:rsidRPr="000D3C01">
        <w:rPr>
          <w:rFonts w:ascii="Arial" w:eastAsia="Times New Roman" w:hAnsi="Arial" w:cs="Arial"/>
          <w:sz w:val="24"/>
          <w:szCs w:val="24"/>
          <w:lang w:val="en-US"/>
        </w:rPr>
        <w:t xml:space="preserve"> the post-purchase applications of H&amp;M. Further, these payment options offer streamlined Omni-channel customers experiences across various touch points like online, in-store and mobile payment platforms. In the case of H&amp;M, the customer journey map is the significant practice by which a customer interacts with the firm </w:t>
      </w:r>
      <w:proofErr w:type="gramStart"/>
      <w:r w:rsidRPr="000D3C01">
        <w:rPr>
          <w:rFonts w:ascii="Arial" w:eastAsia="Times New Roman" w:hAnsi="Arial" w:cs="Arial"/>
          <w:sz w:val="24"/>
          <w:szCs w:val="24"/>
          <w:lang w:val="en-US"/>
        </w:rPr>
        <w:t>in order to</w:t>
      </w:r>
      <w:proofErr w:type="gramEnd"/>
      <w:r w:rsidRPr="000D3C01">
        <w:rPr>
          <w:rFonts w:ascii="Arial" w:eastAsia="Times New Roman" w:hAnsi="Arial" w:cs="Arial"/>
          <w:sz w:val="24"/>
          <w:szCs w:val="24"/>
          <w:lang w:val="en-US"/>
        </w:rPr>
        <w:t xml:space="preserve"> attain the targets. The salesforce reported that around 80% of the customers are deliberating their experiences with the firm to be significant as its goods. However, Lea-Greenwood (2013) mentioned that due to the changing customers’ needs and requirements, building a customer’s journey map is always not a simple or easy process for H&amp;M. The weakness of the </w:t>
      </w:r>
      <w:proofErr w:type="spellStart"/>
      <w:r w:rsidRPr="000D3C01">
        <w:rPr>
          <w:rFonts w:ascii="Arial" w:eastAsia="Times New Roman" w:hAnsi="Arial" w:cs="Arial"/>
          <w:sz w:val="24"/>
          <w:szCs w:val="24"/>
          <w:lang w:val="en-US"/>
        </w:rPr>
        <w:t>customer'scustomer's</w:t>
      </w:r>
      <w:proofErr w:type="spellEnd"/>
      <w:r w:rsidRPr="000D3C01">
        <w:rPr>
          <w:rFonts w:ascii="Arial" w:eastAsia="Times New Roman" w:hAnsi="Arial" w:cs="Arial"/>
          <w:sz w:val="24"/>
          <w:szCs w:val="24"/>
          <w:lang w:val="en-US"/>
        </w:rPr>
        <w:t xml:space="preserve"> journey map to make without relying on adequate data to </w:t>
      </w:r>
      <w:proofErr w:type="spellStart"/>
      <w:r w:rsidRPr="000D3C01">
        <w:rPr>
          <w:rFonts w:ascii="Arial" w:eastAsia="Times New Roman" w:hAnsi="Arial" w:cs="Arial"/>
          <w:sz w:val="24"/>
          <w:szCs w:val="24"/>
          <w:lang w:val="en-US"/>
        </w:rPr>
        <w:t>analyse</w:t>
      </w:r>
      <w:proofErr w:type="spellEnd"/>
      <w:r w:rsidRPr="000D3C01">
        <w:rPr>
          <w:rFonts w:ascii="Arial" w:eastAsia="Times New Roman" w:hAnsi="Arial" w:cs="Arial"/>
          <w:sz w:val="24"/>
          <w:szCs w:val="24"/>
          <w:lang w:val="en-US"/>
        </w:rPr>
        <w:t xml:space="preserve"> the </w:t>
      </w:r>
      <w:proofErr w:type="spellStart"/>
      <w:r w:rsidRPr="000D3C01">
        <w:rPr>
          <w:rFonts w:ascii="Arial" w:eastAsia="Times New Roman" w:hAnsi="Arial" w:cs="Arial"/>
          <w:sz w:val="24"/>
          <w:szCs w:val="24"/>
          <w:lang w:val="en-US"/>
        </w:rPr>
        <w:t>behaviour</w:t>
      </w:r>
      <w:proofErr w:type="spellEnd"/>
      <w:r w:rsidRPr="000D3C01">
        <w:rPr>
          <w:rFonts w:ascii="Arial" w:eastAsia="Times New Roman" w:hAnsi="Arial" w:cs="Arial"/>
          <w:sz w:val="24"/>
          <w:szCs w:val="24"/>
          <w:lang w:val="en-US"/>
        </w:rPr>
        <w:t xml:space="preserve"> of customers, level of customers satisfaction, preferred touchpoints in every phase of the customer's journey. H&amp;M can collect the customer's data and information by executing the voice of the customer's activities, deploying the </w:t>
      </w:r>
      <w:proofErr w:type="gramStart"/>
      <w:r w:rsidRPr="000D3C01">
        <w:rPr>
          <w:rFonts w:ascii="Arial" w:eastAsia="Times New Roman" w:hAnsi="Arial" w:cs="Arial"/>
          <w:sz w:val="24"/>
          <w:szCs w:val="24"/>
          <w:lang w:val="en-US"/>
        </w:rPr>
        <w:t>surveys</w:t>
      </w:r>
      <w:proofErr w:type="gramEnd"/>
      <w:r w:rsidRPr="000D3C01">
        <w:rPr>
          <w:rFonts w:ascii="Arial" w:eastAsia="Times New Roman" w:hAnsi="Arial" w:cs="Arial"/>
          <w:sz w:val="24"/>
          <w:szCs w:val="24"/>
          <w:lang w:val="en-US"/>
        </w:rPr>
        <w:t xml:space="preserve"> and encouraging the various social media channels. </w:t>
      </w:r>
    </w:p>
    <w:p w14:paraId="4F08099B" w14:textId="77777777" w:rsidR="000D3C01" w:rsidRPr="000D3C01" w:rsidRDefault="000D3C01" w:rsidP="000D3C01">
      <w:pPr>
        <w:keepNext/>
        <w:keepLines/>
        <w:spacing w:before="240" w:after="0" w:line="360" w:lineRule="auto"/>
        <w:jc w:val="both"/>
        <w:outlineLvl w:val="0"/>
        <w:rPr>
          <w:rFonts w:ascii="Arial" w:eastAsia="Times New Roman" w:hAnsi="Arial" w:cs="Arial"/>
          <w:sz w:val="24"/>
          <w:szCs w:val="24"/>
          <w:lang w:val="en-GB"/>
        </w:rPr>
      </w:pPr>
      <w:bookmarkStart w:id="11" w:name="_Toc112365277"/>
      <w:r w:rsidRPr="000D3C01">
        <w:rPr>
          <w:rFonts w:ascii="Arial" w:eastAsia="Arial" w:hAnsi="Arial" w:cs="Arial"/>
          <w:b/>
          <w:bCs/>
          <w:sz w:val="24"/>
          <w:szCs w:val="24"/>
          <w:lang w:val="en-GB"/>
        </w:rPr>
        <w:t>9. Total engagement models</w:t>
      </w:r>
      <w:bookmarkEnd w:id="11"/>
    </w:p>
    <w:p w14:paraId="02654E96"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According to Grover and Kar (2020), customer engagement is a business communication link established between a consumer and a company via numerous channels of engagement. These channels can be a customer engagement, effect, reaction, or overall experience that occurs offline or online. Customer engagement forges an emotional bond between a brand and a customer (</w:t>
      </w:r>
      <w:proofErr w:type="spellStart"/>
      <w:r w:rsidRPr="000D3C01">
        <w:rPr>
          <w:rFonts w:ascii="Arial" w:eastAsia="Times New Roman" w:hAnsi="Arial" w:cs="Arial"/>
          <w:sz w:val="24"/>
          <w:szCs w:val="24"/>
          <w:lang w:val="en-US"/>
        </w:rPr>
        <w:t>Barello</w:t>
      </w:r>
      <w:proofErr w:type="spellEnd"/>
      <w:r w:rsidRPr="000D3C01">
        <w:rPr>
          <w:rFonts w:ascii="Arial" w:eastAsia="Times New Roman" w:hAnsi="Arial" w:cs="Arial"/>
          <w:sz w:val="24"/>
          <w:szCs w:val="24"/>
          <w:lang w:val="en-US"/>
        </w:rPr>
        <w:t xml:space="preserve"> et al., 2020). Customer success requires proactive consumer engagement. Customer engagement is generally no longer a one-time occurrence but rather an ongoing process. Companies know acquiring new customers is just as crucial as keeping existing ones. Whether the company offers excellent consumer success or not, moreover, it is crucial that proactive customer engagement is managed and controlled by an engagement model (Sunder, 2014). According to </w:t>
      </w:r>
      <w:proofErr w:type="spellStart"/>
      <w:r w:rsidRPr="000D3C01">
        <w:rPr>
          <w:rFonts w:ascii="Arial" w:eastAsia="Times New Roman" w:hAnsi="Arial" w:cs="Arial"/>
          <w:sz w:val="24"/>
          <w:szCs w:val="24"/>
          <w:lang w:val="en-US"/>
        </w:rPr>
        <w:t>Redlinger</w:t>
      </w:r>
      <w:proofErr w:type="spellEnd"/>
      <w:r w:rsidRPr="000D3C01">
        <w:rPr>
          <w:rFonts w:ascii="Cambria Math" w:eastAsia="Times New Roman" w:hAnsi="Cambria Math" w:cs="Cambria Math"/>
          <w:sz w:val="24"/>
          <w:szCs w:val="24"/>
          <w:lang w:val="en-US"/>
        </w:rPr>
        <w:t>‐</w:t>
      </w:r>
      <w:r w:rsidRPr="000D3C01">
        <w:rPr>
          <w:rFonts w:ascii="Arial" w:eastAsia="Times New Roman" w:hAnsi="Arial" w:cs="Arial"/>
          <w:sz w:val="24"/>
          <w:szCs w:val="24"/>
          <w:lang w:val="en-US"/>
        </w:rPr>
        <w:t>Grosse et al. (2017), the total engagement model implies involving the corporation's employees and giving them a sense of belonging to a mission or project. It focuses on the synergy of various elements, including services, advertising, company culture, and products Yun (2020).</w:t>
      </w:r>
    </w:p>
    <w:p w14:paraId="03848AB7" w14:textId="77777777" w:rsidR="000D3C01" w:rsidRPr="000D3C01" w:rsidRDefault="000D3C01" w:rsidP="000D3C01">
      <w:pPr>
        <w:spacing w:before="240" w:line="360" w:lineRule="auto"/>
        <w:jc w:val="both"/>
        <w:rPr>
          <w:rFonts w:ascii="Arial" w:eastAsia="Calibri" w:hAnsi="Arial" w:cs="Arial"/>
          <w:sz w:val="24"/>
          <w:szCs w:val="24"/>
          <w:lang w:val="en-GB"/>
        </w:rPr>
      </w:pPr>
      <w:r w:rsidRPr="000D3C01">
        <w:rPr>
          <w:rFonts w:ascii="Arial" w:eastAsia="Calibri" w:hAnsi="Arial" w:cs="Arial"/>
          <w:noProof/>
          <w:sz w:val="24"/>
          <w:szCs w:val="24"/>
          <w:lang w:val="en-GB" w:eastAsia="en-IN"/>
        </w:rPr>
        <w:t xml:space="preserve">                </w:t>
      </w:r>
      <w:r w:rsidRPr="000D3C01">
        <w:rPr>
          <w:rFonts w:ascii="Arial" w:eastAsia="Calibri" w:hAnsi="Arial" w:cs="Arial"/>
          <w:noProof/>
          <w:sz w:val="24"/>
          <w:szCs w:val="24"/>
          <w:lang w:val="en-GB" w:eastAsia="en-IN"/>
        </w:rPr>
        <w:drawing>
          <wp:inline distT="0" distB="0" distL="0" distR="0" wp14:anchorId="028C11A5" wp14:editId="528D98C5">
            <wp:extent cx="3676650" cy="2609850"/>
            <wp:effectExtent l="0" t="0" r="0" b="0"/>
            <wp:docPr id="4" name="Picture 4"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usinesscard, vector graphics&#10;&#10;Description automatically generated"/>
                    <pic:cNvPicPr/>
                  </pic:nvPicPr>
                  <pic:blipFill>
                    <a:blip r:embed="rId9"/>
                    <a:stretch>
                      <a:fillRect/>
                    </a:stretch>
                  </pic:blipFill>
                  <pic:spPr>
                    <a:xfrm>
                      <a:off x="0" y="0"/>
                      <a:ext cx="3676650" cy="2609850"/>
                    </a:xfrm>
                    <a:prstGeom prst="rect">
                      <a:avLst/>
                    </a:prstGeom>
                  </pic:spPr>
                </pic:pic>
              </a:graphicData>
            </a:graphic>
          </wp:inline>
        </w:drawing>
      </w:r>
    </w:p>
    <w:p w14:paraId="0ECA4722" w14:textId="77777777" w:rsidR="000D3C01" w:rsidRPr="000D3C01" w:rsidRDefault="000D3C01" w:rsidP="000D3C01">
      <w:pPr>
        <w:spacing w:before="240" w:after="0" w:line="360" w:lineRule="auto"/>
        <w:jc w:val="both"/>
        <w:rPr>
          <w:rFonts w:ascii="Arial" w:eastAsia="Arial" w:hAnsi="Arial" w:cs="Arial"/>
          <w:i/>
          <w:sz w:val="24"/>
          <w:szCs w:val="24"/>
          <w:lang w:val="en-US"/>
        </w:rPr>
      </w:pPr>
      <w:r w:rsidRPr="000D3C01">
        <w:rPr>
          <w:rFonts w:ascii="Arial" w:eastAsia="Times New Roman" w:hAnsi="Arial" w:cs="Arial"/>
          <w:sz w:val="24"/>
          <w:szCs w:val="24"/>
          <w:lang w:val="en-US"/>
        </w:rPr>
        <w:t xml:space="preserve">                            </w:t>
      </w:r>
      <w:r w:rsidRPr="000D3C01">
        <w:rPr>
          <w:rFonts w:ascii="Arial" w:eastAsia="Times New Roman" w:hAnsi="Arial" w:cs="Arial"/>
          <w:i/>
          <w:sz w:val="24"/>
          <w:szCs w:val="24"/>
          <w:lang w:val="en-US"/>
        </w:rPr>
        <w:t xml:space="preserve">Figure 5: </w:t>
      </w:r>
      <w:r w:rsidRPr="000D3C01">
        <w:rPr>
          <w:rFonts w:ascii="Arial" w:eastAsia="Arial" w:hAnsi="Arial" w:cs="Arial"/>
          <w:i/>
          <w:sz w:val="24"/>
          <w:szCs w:val="24"/>
          <w:lang w:val="en-US"/>
        </w:rPr>
        <w:t>Total engagement model</w:t>
      </w:r>
    </w:p>
    <w:p w14:paraId="011793C0" w14:textId="77777777" w:rsidR="000D3C01" w:rsidRPr="000D3C01" w:rsidRDefault="000D3C01" w:rsidP="000D3C01">
      <w:pPr>
        <w:spacing w:before="240" w:after="0" w:line="360" w:lineRule="auto"/>
        <w:jc w:val="both"/>
        <w:rPr>
          <w:rFonts w:ascii="Arial" w:eastAsia="Times New Roman" w:hAnsi="Arial" w:cs="Arial"/>
          <w:i/>
          <w:sz w:val="24"/>
          <w:szCs w:val="24"/>
          <w:lang w:val="en-US"/>
        </w:rPr>
      </w:pPr>
      <w:r w:rsidRPr="000D3C01">
        <w:rPr>
          <w:rFonts w:ascii="Arial" w:eastAsia="Arial" w:hAnsi="Arial" w:cs="Arial"/>
          <w:i/>
          <w:sz w:val="24"/>
          <w:szCs w:val="24"/>
          <w:lang w:val="en-US"/>
        </w:rPr>
        <w:t xml:space="preserve">                            Source</w:t>
      </w:r>
      <w:r w:rsidRPr="000D3C01">
        <w:rPr>
          <w:rFonts w:ascii="Arial" w:eastAsia="Arial" w:hAnsi="Arial" w:cs="Arial"/>
          <w:b/>
          <w:bCs/>
          <w:i/>
          <w:sz w:val="24"/>
          <w:szCs w:val="24"/>
          <w:lang w:val="en-US"/>
        </w:rPr>
        <w:t xml:space="preserve">: </w:t>
      </w:r>
      <w:proofErr w:type="spellStart"/>
      <w:r w:rsidRPr="000D3C01">
        <w:rPr>
          <w:rFonts w:ascii="Arial" w:eastAsia="Times New Roman" w:hAnsi="Arial" w:cs="Arial"/>
          <w:i/>
          <w:sz w:val="24"/>
          <w:szCs w:val="24"/>
          <w:lang w:val="en-US"/>
        </w:rPr>
        <w:t>Barello</w:t>
      </w:r>
      <w:proofErr w:type="spellEnd"/>
      <w:r w:rsidRPr="000D3C01">
        <w:rPr>
          <w:rFonts w:ascii="Arial" w:eastAsia="Times New Roman" w:hAnsi="Arial" w:cs="Arial"/>
          <w:i/>
          <w:sz w:val="24"/>
          <w:szCs w:val="24"/>
          <w:lang w:val="en-US"/>
        </w:rPr>
        <w:t xml:space="preserve"> et al. (2020)</w:t>
      </w:r>
    </w:p>
    <w:p w14:paraId="008BDE05"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In the case of the H&amp;M group, the exceptional quality of its goods and the brand's value </w:t>
      </w:r>
      <w:proofErr w:type="spellStart"/>
      <w:r w:rsidRPr="000D3C01">
        <w:rPr>
          <w:rFonts w:ascii="Arial" w:eastAsia="Times New Roman" w:hAnsi="Arial" w:cs="Arial"/>
          <w:sz w:val="24"/>
          <w:szCs w:val="24"/>
          <w:lang w:val="en-US"/>
        </w:rPr>
        <w:t>recognised</w:t>
      </w:r>
      <w:proofErr w:type="spellEnd"/>
      <w:r w:rsidRPr="000D3C01">
        <w:rPr>
          <w:rFonts w:ascii="Arial" w:eastAsia="Times New Roman" w:hAnsi="Arial" w:cs="Arial"/>
          <w:sz w:val="24"/>
          <w:szCs w:val="24"/>
          <w:lang w:val="en-US"/>
        </w:rPr>
        <w:t xml:space="preserve"> globally are the factors that ensure customer loyalty (Pawar, 2018). The in-store shopping experience is still an essential element that must be adopted and regularly improved with gastronomic and musical events, </w:t>
      </w:r>
      <w:proofErr w:type="gramStart"/>
      <w:r w:rsidRPr="000D3C01">
        <w:rPr>
          <w:rFonts w:ascii="Arial" w:eastAsia="Times New Roman" w:hAnsi="Arial" w:cs="Arial"/>
          <w:sz w:val="24"/>
          <w:szCs w:val="24"/>
          <w:lang w:val="en-US"/>
        </w:rPr>
        <w:t>charity</w:t>
      </w:r>
      <w:proofErr w:type="gramEnd"/>
      <w:r w:rsidRPr="000D3C01">
        <w:rPr>
          <w:rFonts w:ascii="Arial" w:eastAsia="Times New Roman" w:hAnsi="Arial" w:cs="Arial"/>
          <w:sz w:val="24"/>
          <w:szCs w:val="24"/>
          <w:lang w:val="en-US"/>
        </w:rPr>
        <w:t xml:space="preserve"> and VIP events, in addition to Premium </w:t>
      </w:r>
      <w:proofErr w:type="spellStart"/>
      <w:r w:rsidRPr="000D3C01">
        <w:rPr>
          <w:rFonts w:ascii="Arial" w:eastAsia="Times New Roman" w:hAnsi="Arial" w:cs="Arial"/>
          <w:sz w:val="24"/>
          <w:szCs w:val="24"/>
          <w:lang w:val="en-US"/>
        </w:rPr>
        <w:t>customisation</w:t>
      </w:r>
      <w:proofErr w:type="spellEnd"/>
      <w:r w:rsidRPr="000D3C01">
        <w:rPr>
          <w:rFonts w:ascii="Arial" w:eastAsia="Times New Roman" w:hAnsi="Arial" w:cs="Arial"/>
          <w:sz w:val="24"/>
          <w:szCs w:val="24"/>
          <w:lang w:val="en-US"/>
        </w:rPr>
        <w:t xml:space="preserve"> to offer customers something unique (</w:t>
      </w:r>
      <w:proofErr w:type="spellStart"/>
      <w:r w:rsidRPr="000D3C01">
        <w:rPr>
          <w:rFonts w:ascii="Arial" w:eastAsia="Times New Roman" w:hAnsi="Arial" w:cs="Arial"/>
          <w:sz w:val="24"/>
          <w:szCs w:val="24"/>
          <w:lang w:val="en-US"/>
        </w:rPr>
        <w:t>Barello</w:t>
      </w:r>
      <w:proofErr w:type="spellEnd"/>
      <w:r w:rsidRPr="000D3C01">
        <w:rPr>
          <w:rFonts w:ascii="Arial" w:eastAsia="Times New Roman" w:hAnsi="Arial" w:cs="Arial"/>
          <w:sz w:val="24"/>
          <w:szCs w:val="24"/>
          <w:lang w:val="en-US"/>
        </w:rPr>
        <w:t xml:space="preserve"> et al., 2020). H&amp;M group, like numerous other luxury brands, has shunned social media for fear of degrading its goods, however online shopping revenues and the millennial period demonstrate that it is vital to concentrate on online promotion methods and explore techniques seeking customer involvement on social media (Dutta and Baruah, 2014).</w:t>
      </w:r>
    </w:p>
    <w:p w14:paraId="10D11690" w14:textId="77777777" w:rsidR="000D3C01" w:rsidRPr="000D3C01" w:rsidRDefault="000D3C01" w:rsidP="000D3C01">
      <w:pPr>
        <w:keepNext/>
        <w:keepLines/>
        <w:spacing w:before="240" w:after="0" w:line="360" w:lineRule="auto"/>
        <w:jc w:val="both"/>
        <w:outlineLvl w:val="0"/>
        <w:rPr>
          <w:rFonts w:ascii="Arial" w:eastAsia="Times New Roman" w:hAnsi="Arial" w:cs="Arial"/>
          <w:sz w:val="24"/>
          <w:szCs w:val="24"/>
          <w:lang w:val="en-GB"/>
        </w:rPr>
      </w:pPr>
      <w:bookmarkStart w:id="12" w:name="_Toc112365278"/>
      <w:r w:rsidRPr="000D3C01">
        <w:rPr>
          <w:rFonts w:ascii="Arial" w:eastAsia="Arial" w:hAnsi="Arial" w:cs="Arial"/>
          <w:b/>
          <w:bCs/>
          <w:sz w:val="24"/>
          <w:szCs w:val="24"/>
          <w:lang w:val="en-GB"/>
        </w:rPr>
        <w:t>10. Conclusion</w:t>
      </w:r>
      <w:bookmarkEnd w:id="12"/>
    </w:p>
    <w:p w14:paraId="405B4423" w14:textId="77777777" w:rsidR="000D3C01" w:rsidRPr="000D3C01" w:rsidRDefault="000D3C01" w:rsidP="000D3C01">
      <w:pPr>
        <w:spacing w:before="240" w:after="0" w:line="360" w:lineRule="auto"/>
        <w:jc w:val="both"/>
        <w:rPr>
          <w:rFonts w:ascii="Arial" w:eastAsia="Times New Roman" w:hAnsi="Arial" w:cs="Arial"/>
          <w:sz w:val="24"/>
          <w:szCs w:val="24"/>
          <w:lang w:val="en-US"/>
        </w:rPr>
      </w:pPr>
      <w:r w:rsidRPr="000D3C01">
        <w:rPr>
          <w:rFonts w:ascii="Arial" w:eastAsia="Times New Roman" w:hAnsi="Arial" w:cs="Arial"/>
          <w:sz w:val="24"/>
          <w:szCs w:val="24"/>
          <w:lang w:val="en-US"/>
        </w:rPr>
        <w:t xml:space="preserve">The current report demonstrates the significance of different marketing tools in improving and meeting customer requirements of an </w:t>
      </w:r>
      <w:proofErr w:type="spellStart"/>
      <w:r w:rsidRPr="000D3C01">
        <w:rPr>
          <w:rFonts w:ascii="Arial" w:eastAsia="Times New Roman" w:hAnsi="Arial" w:cs="Arial"/>
          <w:sz w:val="24"/>
          <w:szCs w:val="24"/>
          <w:lang w:val="en-US"/>
        </w:rPr>
        <w:t>organisation</w:t>
      </w:r>
      <w:proofErr w:type="spellEnd"/>
      <w:r w:rsidRPr="000D3C01">
        <w:rPr>
          <w:rFonts w:ascii="Arial" w:eastAsia="Times New Roman" w:hAnsi="Arial" w:cs="Arial"/>
          <w:sz w:val="24"/>
          <w:szCs w:val="24"/>
          <w:lang w:val="en-US"/>
        </w:rPr>
        <w:t xml:space="preserve">. In this report, the assessment </w:t>
      </w:r>
      <w:proofErr w:type="spellStart"/>
      <w:r w:rsidRPr="000D3C01">
        <w:rPr>
          <w:rFonts w:ascii="Arial" w:eastAsia="Times New Roman" w:hAnsi="Arial" w:cs="Arial"/>
          <w:sz w:val="24"/>
          <w:szCs w:val="24"/>
          <w:lang w:val="en-US"/>
        </w:rPr>
        <w:t>emphasises</w:t>
      </w:r>
      <w:proofErr w:type="spellEnd"/>
      <w:r w:rsidRPr="000D3C01">
        <w:rPr>
          <w:rFonts w:ascii="Arial" w:eastAsia="Times New Roman" w:hAnsi="Arial" w:cs="Arial"/>
          <w:sz w:val="24"/>
          <w:szCs w:val="24"/>
          <w:lang w:val="en-US"/>
        </w:rPr>
        <w:t xml:space="preserve"> the importance of H&amp;M group improving its online marketing strategies </w:t>
      </w:r>
      <w:proofErr w:type="gramStart"/>
      <w:r w:rsidRPr="000D3C01">
        <w:rPr>
          <w:rFonts w:ascii="Arial" w:eastAsia="Times New Roman" w:hAnsi="Arial" w:cs="Arial"/>
          <w:sz w:val="24"/>
          <w:szCs w:val="24"/>
          <w:lang w:val="en-US"/>
        </w:rPr>
        <w:t>in order to</w:t>
      </w:r>
      <w:proofErr w:type="gramEnd"/>
      <w:r w:rsidRPr="000D3C01">
        <w:rPr>
          <w:rFonts w:ascii="Arial" w:eastAsia="Times New Roman" w:hAnsi="Arial" w:cs="Arial"/>
          <w:sz w:val="24"/>
          <w:szCs w:val="24"/>
          <w:lang w:val="en-US"/>
        </w:rPr>
        <w:t xml:space="preserve"> improve its e-commerce profits and accessibility. Offline marketing strategies are quite effective, particularly those involving magazine advertising. The focus should be on understanding consumers' requirements through evaluating the customer journey map and the customer touch points. Monitor a product's challenging purchase route and enhance the map's weaknesses. Generate new and online advertising strategies employing integrated marketing communication. Keller's equity model allows an </w:t>
      </w:r>
      <w:proofErr w:type="spellStart"/>
      <w:r w:rsidRPr="000D3C01">
        <w:rPr>
          <w:rFonts w:ascii="Arial" w:eastAsia="Times New Roman" w:hAnsi="Arial" w:cs="Arial"/>
          <w:sz w:val="24"/>
          <w:szCs w:val="24"/>
          <w:lang w:val="en-US"/>
        </w:rPr>
        <w:t>organisation</w:t>
      </w:r>
      <w:proofErr w:type="spellEnd"/>
      <w:r w:rsidRPr="000D3C01">
        <w:rPr>
          <w:rFonts w:ascii="Arial" w:eastAsia="Times New Roman" w:hAnsi="Arial" w:cs="Arial"/>
          <w:sz w:val="24"/>
          <w:szCs w:val="24"/>
          <w:lang w:val="en-US"/>
        </w:rPr>
        <w:t xml:space="preserve"> to understand the importance of brand value and how to </w:t>
      </w:r>
      <w:proofErr w:type="spellStart"/>
      <w:r w:rsidRPr="000D3C01">
        <w:rPr>
          <w:rFonts w:ascii="Arial" w:eastAsia="Times New Roman" w:hAnsi="Arial" w:cs="Arial"/>
          <w:sz w:val="24"/>
          <w:szCs w:val="24"/>
          <w:lang w:val="en-US"/>
        </w:rPr>
        <w:t>analyse</w:t>
      </w:r>
      <w:proofErr w:type="spellEnd"/>
      <w:r w:rsidRPr="000D3C01">
        <w:rPr>
          <w:rFonts w:ascii="Arial" w:eastAsia="Times New Roman" w:hAnsi="Arial" w:cs="Arial"/>
          <w:sz w:val="24"/>
          <w:szCs w:val="24"/>
          <w:lang w:val="en-US"/>
        </w:rPr>
        <w:t xml:space="preserve"> it.</w:t>
      </w:r>
    </w:p>
    <w:p w14:paraId="0851D3E7" w14:textId="77777777" w:rsidR="000D3C01" w:rsidRPr="000D3C01" w:rsidRDefault="000D3C01" w:rsidP="000D3C01">
      <w:pPr>
        <w:spacing w:before="240" w:line="360" w:lineRule="auto"/>
        <w:jc w:val="both"/>
        <w:rPr>
          <w:rFonts w:ascii="Arial" w:eastAsia="Calibri" w:hAnsi="Arial" w:cs="Arial"/>
          <w:sz w:val="24"/>
          <w:szCs w:val="24"/>
          <w:lang w:val="en-GB"/>
        </w:rPr>
      </w:pPr>
      <w:r w:rsidRPr="000D3C01">
        <w:rPr>
          <w:rFonts w:ascii="Arial" w:eastAsia="Calibri" w:hAnsi="Arial" w:cs="Arial"/>
          <w:sz w:val="24"/>
          <w:szCs w:val="24"/>
          <w:lang w:val="en-GB"/>
        </w:rPr>
        <w:br w:type="page"/>
      </w:r>
    </w:p>
    <w:p w14:paraId="463AE895" w14:textId="77777777" w:rsidR="000D3C01" w:rsidRPr="000D3C01" w:rsidRDefault="000D3C01" w:rsidP="000D3C01">
      <w:pPr>
        <w:spacing w:before="240" w:line="360" w:lineRule="auto"/>
        <w:jc w:val="both"/>
        <w:rPr>
          <w:rFonts w:ascii="Arial" w:eastAsia="Calibri" w:hAnsi="Arial" w:cs="Arial"/>
          <w:sz w:val="24"/>
          <w:szCs w:val="24"/>
          <w:lang w:val="en-GB"/>
        </w:rPr>
      </w:pPr>
    </w:p>
    <w:p w14:paraId="5CF987A6" w14:textId="77777777" w:rsidR="000D3C01" w:rsidRPr="000D3C01" w:rsidRDefault="000D3C01" w:rsidP="000D3C01">
      <w:pPr>
        <w:keepNext/>
        <w:keepLines/>
        <w:spacing w:before="240" w:after="0" w:line="360" w:lineRule="auto"/>
        <w:jc w:val="both"/>
        <w:outlineLvl w:val="0"/>
        <w:rPr>
          <w:rFonts w:ascii="Arial" w:eastAsia="Times New Roman" w:hAnsi="Arial" w:cs="Arial"/>
          <w:b/>
          <w:bCs/>
          <w:sz w:val="24"/>
          <w:szCs w:val="24"/>
          <w:lang w:val="en-GB"/>
        </w:rPr>
      </w:pPr>
      <w:bookmarkStart w:id="13" w:name="_Toc112365279"/>
      <w:r w:rsidRPr="000D3C01">
        <w:rPr>
          <w:rFonts w:ascii="Arial" w:eastAsia="Times New Roman" w:hAnsi="Arial" w:cs="Arial"/>
          <w:b/>
          <w:bCs/>
          <w:sz w:val="24"/>
          <w:szCs w:val="24"/>
          <w:lang w:val="en-GB"/>
        </w:rPr>
        <w:t>References</w:t>
      </w:r>
      <w:bookmarkEnd w:id="13"/>
      <w:r w:rsidRPr="000D3C01">
        <w:rPr>
          <w:rFonts w:ascii="Arial" w:eastAsia="Times New Roman" w:hAnsi="Arial" w:cs="Arial"/>
          <w:b/>
          <w:bCs/>
          <w:sz w:val="24"/>
          <w:szCs w:val="24"/>
          <w:lang w:val="en-GB"/>
        </w:rPr>
        <w:t xml:space="preserve"> </w:t>
      </w:r>
    </w:p>
    <w:p w14:paraId="6BD5DE3E"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Abril, C. and Rodriguez-</w:t>
      </w:r>
      <w:proofErr w:type="spellStart"/>
      <w:r w:rsidRPr="000D3C01">
        <w:rPr>
          <w:rFonts w:ascii="Arial" w:eastAsia="Calibri" w:hAnsi="Arial" w:cs="Arial"/>
          <w:sz w:val="24"/>
          <w:szCs w:val="24"/>
          <w:shd w:val="clear" w:color="auto" w:fill="FFFFFF"/>
          <w:lang w:val="en-GB"/>
        </w:rPr>
        <w:t>Cánovas</w:t>
      </w:r>
      <w:proofErr w:type="spellEnd"/>
      <w:r w:rsidRPr="000D3C01">
        <w:rPr>
          <w:rFonts w:ascii="Arial" w:eastAsia="Calibri" w:hAnsi="Arial" w:cs="Arial"/>
          <w:sz w:val="24"/>
          <w:szCs w:val="24"/>
          <w:shd w:val="clear" w:color="auto" w:fill="FFFFFF"/>
          <w:lang w:val="en-GB"/>
        </w:rPr>
        <w:t>, B. (2016) Marketing mix effects on private labels brand equity. </w:t>
      </w:r>
      <w:r w:rsidRPr="000D3C01">
        <w:rPr>
          <w:rFonts w:ascii="Arial" w:eastAsia="Calibri" w:hAnsi="Arial" w:cs="Arial"/>
          <w:i/>
          <w:iCs/>
          <w:sz w:val="24"/>
          <w:szCs w:val="24"/>
          <w:shd w:val="clear" w:color="auto" w:fill="FFFFFF"/>
          <w:lang w:val="en-GB"/>
        </w:rPr>
        <w:t>European journal of management and business economics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25</w:t>
      </w:r>
      <w:r w:rsidRPr="000D3C01">
        <w:rPr>
          <w:rFonts w:ascii="Arial" w:eastAsia="Calibri" w:hAnsi="Arial" w:cs="Arial"/>
          <w:sz w:val="24"/>
          <w:szCs w:val="24"/>
          <w:shd w:val="clear" w:color="auto" w:fill="FFFFFF"/>
          <w:lang w:val="en-GB"/>
        </w:rPr>
        <w:t>(3), pp.168-175.</w:t>
      </w:r>
    </w:p>
    <w:p w14:paraId="06BBE2CB"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Aichner</w:t>
      </w:r>
      <w:proofErr w:type="spellEnd"/>
      <w:r w:rsidRPr="000D3C01">
        <w:rPr>
          <w:rFonts w:ascii="Arial" w:eastAsia="Calibri" w:hAnsi="Arial" w:cs="Arial"/>
          <w:sz w:val="24"/>
          <w:szCs w:val="24"/>
          <w:shd w:val="clear" w:color="auto" w:fill="FFFFFF"/>
          <w:lang w:val="en-GB"/>
        </w:rPr>
        <w:t>, T. and Gruber, B. (2017) Managing customer touchpoints and customer satisfaction in b2b mass customization: A case study. </w:t>
      </w:r>
      <w:r w:rsidRPr="000D3C01">
        <w:rPr>
          <w:rFonts w:ascii="Arial" w:eastAsia="Calibri" w:hAnsi="Arial" w:cs="Arial"/>
          <w:i/>
          <w:iCs/>
          <w:sz w:val="24"/>
          <w:szCs w:val="24"/>
          <w:shd w:val="clear" w:color="auto" w:fill="FFFFFF"/>
          <w:lang w:val="en-GB"/>
        </w:rPr>
        <w:t>International journal of industrial engineering and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8</w:t>
      </w:r>
      <w:r w:rsidRPr="000D3C01">
        <w:rPr>
          <w:rFonts w:ascii="Arial" w:eastAsia="Calibri" w:hAnsi="Arial" w:cs="Arial"/>
          <w:sz w:val="24"/>
          <w:szCs w:val="24"/>
          <w:shd w:val="clear" w:color="auto" w:fill="FFFFFF"/>
          <w:lang w:val="en-GB"/>
        </w:rPr>
        <w:t>(3), p.131.</w:t>
      </w:r>
    </w:p>
    <w:p w14:paraId="70F8395E"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Al-</w:t>
      </w:r>
      <w:proofErr w:type="spellStart"/>
      <w:r w:rsidRPr="000D3C01">
        <w:rPr>
          <w:rFonts w:ascii="Arial" w:eastAsia="Calibri" w:hAnsi="Arial" w:cs="Arial"/>
          <w:sz w:val="24"/>
          <w:szCs w:val="24"/>
          <w:shd w:val="clear" w:color="auto" w:fill="FFFFFF"/>
          <w:lang w:val="en-GB"/>
        </w:rPr>
        <w:t>Fedaghi</w:t>
      </w:r>
      <w:proofErr w:type="spellEnd"/>
      <w:r w:rsidRPr="000D3C01">
        <w:rPr>
          <w:rFonts w:ascii="Arial" w:eastAsia="Calibri" w:hAnsi="Arial" w:cs="Arial"/>
          <w:sz w:val="24"/>
          <w:szCs w:val="24"/>
          <w:shd w:val="clear" w:color="auto" w:fill="FFFFFF"/>
          <w:lang w:val="en-GB"/>
        </w:rPr>
        <w:t>, S. (2012) A conceptual foundation for the Shannon-Weaver model of communication. </w:t>
      </w:r>
      <w:r w:rsidRPr="000D3C01">
        <w:rPr>
          <w:rFonts w:ascii="Arial" w:eastAsia="Calibri" w:hAnsi="Arial" w:cs="Arial"/>
          <w:i/>
          <w:iCs/>
          <w:sz w:val="24"/>
          <w:szCs w:val="24"/>
          <w:shd w:val="clear" w:color="auto" w:fill="FFFFFF"/>
          <w:lang w:val="en-GB"/>
        </w:rPr>
        <w:t>International journal of soft computing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7</w:t>
      </w:r>
      <w:r w:rsidRPr="000D3C01">
        <w:rPr>
          <w:rFonts w:ascii="Arial" w:eastAsia="Calibri" w:hAnsi="Arial" w:cs="Arial"/>
          <w:sz w:val="24"/>
          <w:szCs w:val="24"/>
          <w:shd w:val="clear" w:color="auto" w:fill="FFFFFF"/>
          <w:lang w:val="en-GB"/>
        </w:rPr>
        <w:t>(1), pp.12-19.</w:t>
      </w:r>
    </w:p>
    <w:p w14:paraId="7DBDD11E"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Anselmsson</w:t>
      </w:r>
      <w:proofErr w:type="spellEnd"/>
      <w:r w:rsidRPr="000D3C01">
        <w:rPr>
          <w:rFonts w:ascii="Arial" w:eastAsia="Calibri" w:hAnsi="Arial" w:cs="Arial"/>
          <w:sz w:val="24"/>
          <w:szCs w:val="24"/>
          <w:shd w:val="clear" w:color="auto" w:fill="FFFFFF"/>
          <w:lang w:val="en-GB"/>
        </w:rPr>
        <w:t xml:space="preserve">, J., </w:t>
      </w:r>
      <w:proofErr w:type="spellStart"/>
      <w:r w:rsidRPr="000D3C01">
        <w:rPr>
          <w:rFonts w:ascii="Arial" w:eastAsia="Calibri" w:hAnsi="Arial" w:cs="Arial"/>
          <w:sz w:val="24"/>
          <w:szCs w:val="24"/>
          <w:shd w:val="clear" w:color="auto" w:fill="FFFFFF"/>
          <w:lang w:val="en-GB"/>
        </w:rPr>
        <w:t>Bondesson</w:t>
      </w:r>
      <w:proofErr w:type="spellEnd"/>
      <w:r w:rsidRPr="000D3C01">
        <w:rPr>
          <w:rFonts w:ascii="Arial" w:eastAsia="Calibri" w:hAnsi="Arial" w:cs="Arial"/>
          <w:sz w:val="24"/>
          <w:szCs w:val="24"/>
          <w:shd w:val="clear" w:color="auto" w:fill="FFFFFF"/>
          <w:lang w:val="en-GB"/>
        </w:rPr>
        <w:t xml:space="preserve">, N. and </w:t>
      </w:r>
      <w:proofErr w:type="spellStart"/>
      <w:r w:rsidRPr="000D3C01">
        <w:rPr>
          <w:rFonts w:ascii="Arial" w:eastAsia="Calibri" w:hAnsi="Arial" w:cs="Arial"/>
          <w:sz w:val="24"/>
          <w:szCs w:val="24"/>
          <w:shd w:val="clear" w:color="auto" w:fill="FFFFFF"/>
          <w:lang w:val="en-GB"/>
        </w:rPr>
        <w:t>Melin</w:t>
      </w:r>
      <w:proofErr w:type="spellEnd"/>
      <w:r w:rsidRPr="000D3C01">
        <w:rPr>
          <w:rFonts w:ascii="Arial" w:eastAsia="Calibri" w:hAnsi="Arial" w:cs="Arial"/>
          <w:sz w:val="24"/>
          <w:szCs w:val="24"/>
          <w:shd w:val="clear" w:color="auto" w:fill="FFFFFF"/>
          <w:lang w:val="en-GB"/>
        </w:rPr>
        <w:t xml:space="preserve">, F. (2016) Customer-based brand equity and human resource management image: Do retail customers really care about HRM and the employer </w:t>
      </w:r>
      <w:proofErr w:type="gramStart"/>
      <w:r w:rsidRPr="000D3C01">
        <w:rPr>
          <w:rFonts w:ascii="Arial" w:eastAsia="Calibri" w:hAnsi="Arial" w:cs="Arial"/>
          <w:sz w:val="24"/>
          <w:szCs w:val="24"/>
          <w:shd w:val="clear" w:color="auto" w:fill="FFFFFF"/>
          <w:lang w:val="en-GB"/>
        </w:rPr>
        <w:t>brand?.</w:t>
      </w:r>
      <w:proofErr w:type="gramEnd"/>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European Journal of Marketing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50</w:t>
      </w:r>
      <w:r w:rsidRPr="000D3C01">
        <w:rPr>
          <w:rFonts w:ascii="Arial" w:eastAsia="Calibri" w:hAnsi="Arial" w:cs="Arial"/>
          <w:sz w:val="24"/>
          <w:szCs w:val="24"/>
          <w:shd w:val="clear" w:color="auto" w:fill="FFFFFF"/>
          <w:lang w:val="en-GB"/>
        </w:rPr>
        <w:t>(7/8), pp.1185-1208.</w:t>
      </w:r>
    </w:p>
    <w:p w14:paraId="760C6368" w14:textId="77777777" w:rsidR="000D3C01" w:rsidRPr="000D3C01" w:rsidRDefault="000D3C01" w:rsidP="000D3C01">
      <w:pPr>
        <w:spacing w:before="240" w:line="360" w:lineRule="auto"/>
        <w:jc w:val="both"/>
        <w:rPr>
          <w:rFonts w:ascii="Arial" w:eastAsia="Calibri" w:hAnsi="Arial" w:cs="Arial"/>
          <w:b/>
          <w:sz w:val="24"/>
          <w:szCs w:val="24"/>
          <w:lang w:val="en-GB"/>
        </w:rPr>
      </w:pPr>
      <w:proofErr w:type="spellStart"/>
      <w:r w:rsidRPr="000D3C01">
        <w:rPr>
          <w:rFonts w:ascii="Arial" w:eastAsia="Calibri" w:hAnsi="Arial" w:cs="Arial"/>
          <w:sz w:val="24"/>
          <w:szCs w:val="24"/>
          <w:shd w:val="clear" w:color="auto" w:fill="FFFFFF"/>
          <w:lang w:val="en-GB"/>
        </w:rPr>
        <w:t>Anselmsson</w:t>
      </w:r>
      <w:proofErr w:type="spellEnd"/>
      <w:r w:rsidRPr="000D3C01">
        <w:rPr>
          <w:rFonts w:ascii="Arial" w:eastAsia="Calibri" w:hAnsi="Arial" w:cs="Arial"/>
          <w:sz w:val="24"/>
          <w:szCs w:val="24"/>
          <w:shd w:val="clear" w:color="auto" w:fill="FFFFFF"/>
          <w:lang w:val="en-GB"/>
        </w:rPr>
        <w:t>, J., Burt, S. and Tunca, B., (2017) An integrated retailer image and brand equity framework: Re-examining, extending, and restructuring retailer brand equity. </w:t>
      </w:r>
      <w:r w:rsidRPr="000D3C01">
        <w:rPr>
          <w:rFonts w:ascii="Arial" w:eastAsia="Calibri" w:hAnsi="Arial" w:cs="Arial"/>
          <w:i/>
          <w:iCs/>
          <w:sz w:val="24"/>
          <w:szCs w:val="24"/>
          <w:shd w:val="clear" w:color="auto" w:fill="FFFFFF"/>
          <w:lang w:val="en-GB"/>
        </w:rPr>
        <w:t>Journal of retailing and consumer services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38</w:t>
      </w:r>
      <w:r w:rsidRPr="000D3C01">
        <w:rPr>
          <w:rFonts w:ascii="Arial" w:eastAsia="Calibri" w:hAnsi="Arial" w:cs="Arial"/>
          <w:sz w:val="24"/>
          <w:szCs w:val="24"/>
          <w:shd w:val="clear" w:color="auto" w:fill="FFFFFF"/>
          <w:lang w:val="en-GB"/>
        </w:rPr>
        <w:t>, pp.194-203.</w:t>
      </w:r>
    </w:p>
    <w:p w14:paraId="544E8231"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Arrigo, E. (2018) The key role of retail stores in fast fashion companies: The H&amp;M case study. In </w:t>
      </w:r>
      <w:r w:rsidRPr="000D3C01">
        <w:rPr>
          <w:rFonts w:ascii="Arial" w:eastAsia="Calibri" w:hAnsi="Arial" w:cs="Arial"/>
          <w:i/>
          <w:iCs/>
          <w:sz w:val="24"/>
          <w:szCs w:val="24"/>
          <w:shd w:val="clear" w:color="auto" w:fill="FFFFFF"/>
          <w:lang w:val="en-GB"/>
        </w:rPr>
        <w:t>Contemporary Case Studies on Fashion Production, Marketing and Operations</w:t>
      </w:r>
      <w:r w:rsidRPr="000D3C01">
        <w:rPr>
          <w:rFonts w:ascii="Arial" w:eastAsia="Calibri" w:hAnsi="Arial" w:cs="Arial"/>
          <w:sz w:val="24"/>
          <w:szCs w:val="24"/>
          <w:shd w:val="clear" w:color="auto" w:fill="FFFFFF"/>
          <w:lang w:val="en-GB"/>
        </w:rPr>
        <w:t> (pp. 121-137). Springer, Singapore.</w:t>
      </w:r>
    </w:p>
    <w:p w14:paraId="62E583EA"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Barello</w:t>
      </w:r>
      <w:proofErr w:type="spellEnd"/>
      <w:r w:rsidRPr="000D3C01">
        <w:rPr>
          <w:rFonts w:ascii="Arial" w:eastAsia="Calibri" w:hAnsi="Arial" w:cs="Arial"/>
          <w:sz w:val="24"/>
          <w:szCs w:val="24"/>
          <w:shd w:val="clear" w:color="auto" w:fill="FFFFFF"/>
          <w:lang w:val="en-GB"/>
        </w:rPr>
        <w:t xml:space="preserve">, S., </w:t>
      </w:r>
      <w:proofErr w:type="spellStart"/>
      <w:r w:rsidRPr="000D3C01">
        <w:rPr>
          <w:rFonts w:ascii="Arial" w:eastAsia="Calibri" w:hAnsi="Arial" w:cs="Arial"/>
          <w:sz w:val="24"/>
          <w:szCs w:val="24"/>
          <w:shd w:val="clear" w:color="auto" w:fill="FFFFFF"/>
          <w:lang w:val="en-GB"/>
        </w:rPr>
        <w:t>Palamenghi</w:t>
      </w:r>
      <w:proofErr w:type="spellEnd"/>
      <w:r w:rsidRPr="000D3C01">
        <w:rPr>
          <w:rFonts w:ascii="Arial" w:eastAsia="Calibri" w:hAnsi="Arial" w:cs="Arial"/>
          <w:sz w:val="24"/>
          <w:szCs w:val="24"/>
          <w:shd w:val="clear" w:color="auto" w:fill="FFFFFF"/>
          <w:lang w:val="en-GB"/>
        </w:rPr>
        <w:t xml:space="preserve">, L. and </w:t>
      </w:r>
      <w:proofErr w:type="spellStart"/>
      <w:r w:rsidRPr="000D3C01">
        <w:rPr>
          <w:rFonts w:ascii="Arial" w:eastAsia="Calibri" w:hAnsi="Arial" w:cs="Arial"/>
          <w:sz w:val="24"/>
          <w:szCs w:val="24"/>
          <w:shd w:val="clear" w:color="auto" w:fill="FFFFFF"/>
          <w:lang w:val="en-GB"/>
        </w:rPr>
        <w:t>Graffigna</w:t>
      </w:r>
      <w:proofErr w:type="spellEnd"/>
      <w:r w:rsidRPr="000D3C01">
        <w:rPr>
          <w:rFonts w:ascii="Arial" w:eastAsia="Calibri" w:hAnsi="Arial" w:cs="Arial"/>
          <w:sz w:val="24"/>
          <w:szCs w:val="24"/>
          <w:shd w:val="clear" w:color="auto" w:fill="FFFFFF"/>
          <w:lang w:val="en-GB"/>
        </w:rPr>
        <w:t>, G. (2020) The mediating role of the patient health engagement model on the relationship between patient perceived autonomy supportive healthcare climate and health literacy skills. </w:t>
      </w:r>
      <w:r w:rsidRPr="000D3C01">
        <w:rPr>
          <w:rFonts w:ascii="Arial" w:eastAsia="Calibri" w:hAnsi="Arial" w:cs="Arial"/>
          <w:i/>
          <w:iCs/>
          <w:sz w:val="24"/>
          <w:szCs w:val="24"/>
          <w:shd w:val="clear" w:color="auto" w:fill="FFFFFF"/>
          <w:lang w:val="en-GB"/>
        </w:rPr>
        <w:t>International journal of environmental research and public health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17</w:t>
      </w:r>
      <w:r w:rsidRPr="000D3C01">
        <w:rPr>
          <w:rFonts w:ascii="Arial" w:eastAsia="Calibri" w:hAnsi="Arial" w:cs="Arial"/>
          <w:sz w:val="24"/>
          <w:szCs w:val="24"/>
          <w:shd w:val="clear" w:color="auto" w:fill="FFFFFF"/>
          <w:lang w:val="en-GB"/>
        </w:rPr>
        <w:t>(5), p.1741.</w:t>
      </w:r>
    </w:p>
    <w:p w14:paraId="1A029A5A"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Battistoni</w:t>
      </w:r>
      <w:proofErr w:type="spellEnd"/>
      <w:r w:rsidRPr="000D3C01">
        <w:rPr>
          <w:rFonts w:ascii="Arial" w:eastAsia="Calibri" w:hAnsi="Arial" w:cs="Arial"/>
          <w:sz w:val="24"/>
          <w:szCs w:val="24"/>
          <w:shd w:val="clear" w:color="auto" w:fill="FFFFFF"/>
          <w:lang w:val="en-GB"/>
        </w:rPr>
        <w:t xml:space="preserve">, E., </w:t>
      </w:r>
      <w:proofErr w:type="spellStart"/>
      <w:r w:rsidRPr="000D3C01">
        <w:rPr>
          <w:rFonts w:ascii="Arial" w:eastAsia="Calibri" w:hAnsi="Arial" w:cs="Arial"/>
          <w:sz w:val="24"/>
          <w:szCs w:val="24"/>
          <w:shd w:val="clear" w:color="auto" w:fill="FFFFFF"/>
          <w:lang w:val="en-GB"/>
        </w:rPr>
        <w:t>Fronzetti</w:t>
      </w:r>
      <w:proofErr w:type="spellEnd"/>
      <w:r w:rsidRPr="000D3C01">
        <w:rPr>
          <w:rFonts w:ascii="Arial" w:eastAsia="Calibri" w:hAnsi="Arial" w:cs="Arial"/>
          <w:sz w:val="24"/>
          <w:szCs w:val="24"/>
          <w:shd w:val="clear" w:color="auto" w:fill="FFFFFF"/>
          <w:lang w:val="en-GB"/>
        </w:rPr>
        <w:t xml:space="preserve"> </w:t>
      </w:r>
      <w:proofErr w:type="spellStart"/>
      <w:r w:rsidRPr="000D3C01">
        <w:rPr>
          <w:rFonts w:ascii="Arial" w:eastAsia="Calibri" w:hAnsi="Arial" w:cs="Arial"/>
          <w:sz w:val="24"/>
          <w:szCs w:val="24"/>
          <w:shd w:val="clear" w:color="auto" w:fill="FFFFFF"/>
          <w:lang w:val="en-GB"/>
        </w:rPr>
        <w:t>Colladon</w:t>
      </w:r>
      <w:proofErr w:type="spellEnd"/>
      <w:r w:rsidRPr="000D3C01">
        <w:rPr>
          <w:rFonts w:ascii="Arial" w:eastAsia="Calibri" w:hAnsi="Arial" w:cs="Arial"/>
          <w:sz w:val="24"/>
          <w:szCs w:val="24"/>
          <w:shd w:val="clear" w:color="auto" w:fill="FFFFFF"/>
          <w:lang w:val="en-GB"/>
        </w:rPr>
        <w:t xml:space="preserve">, A. and </w:t>
      </w:r>
      <w:proofErr w:type="spellStart"/>
      <w:r w:rsidRPr="000D3C01">
        <w:rPr>
          <w:rFonts w:ascii="Arial" w:eastAsia="Calibri" w:hAnsi="Arial" w:cs="Arial"/>
          <w:sz w:val="24"/>
          <w:szCs w:val="24"/>
          <w:shd w:val="clear" w:color="auto" w:fill="FFFFFF"/>
          <w:lang w:val="en-GB"/>
        </w:rPr>
        <w:t>Mercorelli</w:t>
      </w:r>
      <w:proofErr w:type="spellEnd"/>
      <w:r w:rsidRPr="000D3C01">
        <w:rPr>
          <w:rFonts w:ascii="Arial" w:eastAsia="Calibri" w:hAnsi="Arial" w:cs="Arial"/>
          <w:sz w:val="24"/>
          <w:szCs w:val="24"/>
          <w:shd w:val="clear" w:color="auto" w:fill="FFFFFF"/>
          <w:lang w:val="en-GB"/>
        </w:rPr>
        <w:t>, G. (2013) Prominent determinants of consumer-based brand equity. </w:t>
      </w:r>
      <w:r w:rsidRPr="000D3C01">
        <w:rPr>
          <w:rFonts w:ascii="Arial" w:eastAsia="Calibri" w:hAnsi="Arial" w:cs="Arial"/>
          <w:i/>
          <w:iCs/>
          <w:sz w:val="24"/>
          <w:szCs w:val="24"/>
          <w:shd w:val="clear" w:color="auto" w:fill="FFFFFF"/>
          <w:lang w:val="en-GB"/>
        </w:rPr>
        <w:t>International Journal of Engineering Business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5</w:t>
      </w:r>
      <w:r w:rsidRPr="000D3C01">
        <w:rPr>
          <w:rFonts w:ascii="Arial" w:eastAsia="Calibri" w:hAnsi="Arial" w:cs="Arial"/>
          <w:sz w:val="24"/>
          <w:szCs w:val="24"/>
          <w:shd w:val="clear" w:color="auto" w:fill="FFFFFF"/>
          <w:lang w:val="en-GB"/>
        </w:rPr>
        <w:t>(</w:t>
      </w:r>
      <w:proofErr w:type="spellStart"/>
      <w:r w:rsidRPr="000D3C01">
        <w:rPr>
          <w:rFonts w:ascii="Arial" w:eastAsia="Calibri" w:hAnsi="Arial" w:cs="Arial"/>
          <w:sz w:val="24"/>
          <w:szCs w:val="24"/>
          <w:shd w:val="clear" w:color="auto" w:fill="FFFFFF"/>
          <w:lang w:val="en-GB"/>
        </w:rPr>
        <w:t>Godište</w:t>
      </w:r>
      <w:proofErr w:type="spellEnd"/>
      <w:r w:rsidRPr="000D3C01">
        <w:rPr>
          <w:rFonts w:ascii="Arial" w:eastAsia="Calibri" w:hAnsi="Arial" w:cs="Arial"/>
          <w:sz w:val="24"/>
          <w:szCs w:val="24"/>
          <w:shd w:val="clear" w:color="auto" w:fill="FFFFFF"/>
          <w:lang w:val="en-GB"/>
        </w:rPr>
        <w:t xml:space="preserve"> 2013), pp.5-25.</w:t>
      </w:r>
    </w:p>
    <w:p w14:paraId="70E82936"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Bentes</w:t>
      </w:r>
      <w:proofErr w:type="spellEnd"/>
      <w:r w:rsidRPr="000D3C01">
        <w:rPr>
          <w:rFonts w:ascii="Arial" w:eastAsia="Calibri" w:hAnsi="Arial" w:cs="Arial"/>
          <w:sz w:val="24"/>
          <w:szCs w:val="24"/>
          <w:shd w:val="clear" w:color="auto" w:fill="FFFFFF"/>
          <w:lang w:val="en-GB"/>
        </w:rPr>
        <w:t>, A.V., Carneiro, J., da Silva, J.F. and Kimura, H. (2012) Multidimensional assessment of organizational performance: Integrating BSC and AHP. </w:t>
      </w:r>
      <w:r w:rsidRPr="000D3C01">
        <w:rPr>
          <w:rFonts w:ascii="Arial" w:eastAsia="Calibri" w:hAnsi="Arial" w:cs="Arial"/>
          <w:i/>
          <w:iCs/>
          <w:sz w:val="24"/>
          <w:szCs w:val="24"/>
          <w:shd w:val="clear" w:color="auto" w:fill="FFFFFF"/>
          <w:lang w:val="en-GB"/>
        </w:rPr>
        <w:t>Journal of business research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65</w:t>
      </w:r>
      <w:r w:rsidRPr="000D3C01">
        <w:rPr>
          <w:rFonts w:ascii="Arial" w:eastAsia="Calibri" w:hAnsi="Arial" w:cs="Arial"/>
          <w:sz w:val="24"/>
          <w:szCs w:val="24"/>
          <w:shd w:val="clear" w:color="auto" w:fill="FFFFFF"/>
          <w:lang w:val="en-GB"/>
        </w:rPr>
        <w:t>(12), pp.1790-1799.</w:t>
      </w:r>
    </w:p>
    <w:p w14:paraId="1581F781"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Blasi, S., </w:t>
      </w:r>
      <w:proofErr w:type="spellStart"/>
      <w:r w:rsidRPr="000D3C01">
        <w:rPr>
          <w:rFonts w:ascii="Arial" w:eastAsia="Calibri" w:hAnsi="Arial" w:cs="Arial"/>
          <w:sz w:val="24"/>
          <w:szCs w:val="24"/>
          <w:shd w:val="clear" w:color="auto" w:fill="FFFFFF"/>
          <w:lang w:val="en-GB"/>
        </w:rPr>
        <w:t>Brigato</w:t>
      </w:r>
      <w:proofErr w:type="spellEnd"/>
      <w:r w:rsidRPr="000D3C01">
        <w:rPr>
          <w:rFonts w:ascii="Arial" w:eastAsia="Calibri" w:hAnsi="Arial" w:cs="Arial"/>
          <w:sz w:val="24"/>
          <w:szCs w:val="24"/>
          <w:shd w:val="clear" w:color="auto" w:fill="FFFFFF"/>
          <w:lang w:val="en-GB"/>
        </w:rPr>
        <w:t xml:space="preserve">, L. and </w:t>
      </w:r>
      <w:proofErr w:type="spellStart"/>
      <w:r w:rsidRPr="000D3C01">
        <w:rPr>
          <w:rFonts w:ascii="Arial" w:eastAsia="Calibri" w:hAnsi="Arial" w:cs="Arial"/>
          <w:sz w:val="24"/>
          <w:szCs w:val="24"/>
          <w:shd w:val="clear" w:color="auto" w:fill="FFFFFF"/>
          <w:lang w:val="en-GB"/>
        </w:rPr>
        <w:t>Sedita</w:t>
      </w:r>
      <w:proofErr w:type="spellEnd"/>
      <w:r w:rsidRPr="000D3C01">
        <w:rPr>
          <w:rFonts w:ascii="Arial" w:eastAsia="Calibri" w:hAnsi="Arial" w:cs="Arial"/>
          <w:sz w:val="24"/>
          <w:szCs w:val="24"/>
          <w:shd w:val="clear" w:color="auto" w:fill="FFFFFF"/>
          <w:lang w:val="en-GB"/>
        </w:rPr>
        <w:t>, S.R. (2020) Eco-friendliness and fashion perceptual attributes of fashion brands: An analysis of consumers’ perceptions based on twitter data mining. </w:t>
      </w:r>
      <w:r w:rsidRPr="000D3C01">
        <w:rPr>
          <w:rFonts w:ascii="Arial" w:eastAsia="Calibri" w:hAnsi="Arial" w:cs="Arial"/>
          <w:i/>
          <w:iCs/>
          <w:sz w:val="24"/>
          <w:szCs w:val="24"/>
          <w:shd w:val="clear" w:color="auto" w:fill="FFFFFF"/>
          <w:lang w:val="en-GB"/>
        </w:rPr>
        <w:t>Journal of Cleaner Production</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244</w:t>
      </w:r>
      <w:r w:rsidRPr="000D3C01">
        <w:rPr>
          <w:rFonts w:ascii="Arial" w:eastAsia="Calibri" w:hAnsi="Arial" w:cs="Arial"/>
          <w:sz w:val="24"/>
          <w:szCs w:val="24"/>
          <w:shd w:val="clear" w:color="auto" w:fill="FFFFFF"/>
          <w:lang w:val="en-GB"/>
        </w:rPr>
        <w:t>, p.118701.</w:t>
      </w:r>
    </w:p>
    <w:p w14:paraId="3600BF25" w14:textId="77777777" w:rsidR="000D3C01" w:rsidRPr="000D3C01" w:rsidRDefault="000D3C01" w:rsidP="000D3C01">
      <w:pPr>
        <w:widowControl w:val="0"/>
        <w:autoSpaceDE w:val="0"/>
        <w:autoSpaceDN w:val="0"/>
        <w:spacing w:before="240" w:after="0" w:line="360" w:lineRule="auto"/>
        <w:ind w:left="50"/>
        <w:jc w:val="both"/>
        <w:rPr>
          <w:rFonts w:ascii="Arial" w:eastAsia="Arial" w:hAnsi="Arial" w:cs="Arial"/>
          <w:sz w:val="24"/>
          <w:szCs w:val="24"/>
          <w:shd w:val="clear" w:color="auto" w:fill="FFFFFF"/>
          <w:lang w:val="en-US"/>
        </w:rPr>
      </w:pPr>
      <w:proofErr w:type="spellStart"/>
      <w:r w:rsidRPr="000D3C01">
        <w:rPr>
          <w:rFonts w:ascii="Arial" w:eastAsia="Arial" w:hAnsi="Arial" w:cs="Arial"/>
          <w:sz w:val="24"/>
          <w:szCs w:val="24"/>
          <w:shd w:val="clear" w:color="auto" w:fill="FFFFFF"/>
          <w:lang w:val="en-US"/>
        </w:rPr>
        <w:t>Bögel</w:t>
      </w:r>
      <w:proofErr w:type="spellEnd"/>
      <w:r w:rsidRPr="000D3C01">
        <w:rPr>
          <w:rFonts w:ascii="Arial" w:eastAsia="Arial" w:hAnsi="Arial" w:cs="Arial"/>
          <w:sz w:val="24"/>
          <w:szCs w:val="24"/>
          <w:shd w:val="clear" w:color="auto" w:fill="FFFFFF"/>
          <w:lang w:val="en-US"/>
        </w:rPr>
        <w:t>, P.M. (2019) Company reputation and its influence on consumer trust in response to ongoing CSR communication. </w:t>
      </w:r>
      <w:r w:rsidRPr="000D3C01">
        <w:rPr>
          <w:rFonts w:ascii="Arial" w:eastAsia="Arial" w:hAnsi="Arial" w:cs="Arial"/>
          <w:i/>
          <w:iCs/>
          <w:sz w:val="24"/>
          <w:szCs w:val="24"/>
          <w:shd w:val="clear" w:color="auto" w:fill="FFFFFF"/>
          <w:lang w:val="en-US"/>
        </w:rPr>
        <w:t>Journal of Marketing Communications</w:t>
      </w:r>
      <w:r w:rsidRPr="000D3C01">
        <w:rPr>
          <w:rFonts w:ascii="Arial" w:eastAsia="Arial" w:hAnsi="Arial" w:cs="Arial"/>
          <w:sz w:val="24"/>
          <w:szCs w:val="24"/>
          <w:shd w:val="clear" w:color="auto" w:fill="FFFFFF"/>
          <w:lang w:val="en-US"/>
        </w:rPr>
        <w:t>, </w:t>
      </w:r>
      <w:r w:rsidRPr="000D3C01">
        <w:rPr>
          <w:rFonts w:ascii="Arial" w:eastAsia="Arial" w:hAnsi="Arial" w:cs="Arial"/>
          <w:i/>
          <w:iCs/>
          <w:sz w:val="24"/>
          <w:szCs w:val="24"/>
          <w:shd w:val="clear" w:color="auto" w:fill="FFFFFF"/>
          <w:lang w:val="en-US"/>
        </w:rPr>
        <w:t>25</w:t>
      </w:r>
      <w:r w:rsidRPr="000D3C01">
        <w:rPr>
          <w:rFonts w:ascii="Arial" w:eastAsia="Arial" w:hAnsi="Arial" w:cs="Arial"/>
          <w:sz w:val="24"/>
          <w:szCs w:val="24"/>
          <w:shd w:val="clear" w:color="auto" w:fill="FFFFFF"/>
          <w:lang w:val="en-US"/>
        </w:rPr>
        <w:t>(2), pp.115-136.</w:t>
      </w:r>
    </w:p>
    <w:p w14:paraId="55B1B985" w14:textId="77777777" w:rsidR="000D3C01" w:rsidRPr="000D3C01" w:rsidRDefault="000D3C01" w:rsidP="000D3C01">
      <w:pPr>
        <w:widowControl w:val="0"/>
        <w:autoSpaceDE w:val="0"/>
        <w:autoSpaceDN w:val="0"/>
        <w:spacing w:before="240" w:after="0" w:line="360" w:lineRule="auto"/>
        <w:jc w:val="both"/>
        <w:rPr>
          <w:rFonts w:ascii="Arial" w:eastAsia="Arial" w:hAnsi="Arial" w:cs="Arial"/>
          <w:sz w:val="24"/>
          <w:szCs w:val="24"/>
          <w:shd w:val="clear" w:color="auto" w:fill="FFFFFF"/>
          <w:lang w:val="en-US"/>
        </w:rPr>
      </w:pPr>
      <w:r w:rsidRPr="000D3C01">
        <w:rPr>
          <w:rFonts w:ascii="Arial" w:eastAsia="Arial" w:hAnsi="Arial" w:cs="Arial"/>
          <w:sz w:val="24"/>
          <w:szCs w:val="24"/>
          <w:shd w:val="clear" w:color="auto" w:fill="FFFFFF"/>
          <w:lang w:val="en-US"/>
        </w:rPr>
        <w:t xml:space="preserve">Bonilla, M.D.R., del </w:t>
      </w:r>
      <w:proofErr w:type="spellStart"/>
      <w:r w:rsidRPr="000D3C01">
        <w:rPr>
          <w:rFonts w:ascii="Arial" w:eastAsia="Arial" w:hAnsi="Arial" w:cs="Arial"/>
          <w:sz w:val="24"/>
          <w:szCs w:val="24"/>
          <w:shd w:val="clear" w:color="auto" w:fill="FFFFFF"/>
          <w:lang w:val="en-US"/>
        </w:rPr>
        <w:t>Olmo</w:t>
      </w:r>
      <w:proofErr w:type="spellEnd"/>
      <w:r w:rsidRPr="000D3C01">
        <w:rPr>
          <w:rFonts w:ascii="Arial" w:eastAsia="Arial" w:hAnsi="Arial" w:cs="Arial"/>
          <w:sz w:val="24"/>
          <w:szCs w:val="24"/>
          <w:shd w:val="clear" w:color="auto" w:fill="FFFFFF"/>
          <w:lang w:val="en-US"/>
        </w:rPr>
        <w:t xml:space="preserve"> Arriaga, J.L. and Andreu, D. (2019) The interaction of Instagram followers in the fast fashion sector: The case of Hennes and Mauritz (H&amp;M). </w:t>
      </w:r>
      <w:r w:rsidRPr="000D3C01">
        <w:rPr>
          <w:rFonts w:ascii="Arial" w:eastAsia="Arial" w:hAnsi="Arial" w:cs="Arial"/>
          <w:i/>
          <w:iCs/>
          <w:sz w:val="24"/>
          <w:szCs w:val="24"/>
          <w:shd w:val="clear" w:color="auto" w:fill="FFFFFF"/>
          <w:lang w:val="en-US"/>
        </w:rPr>
        <w:t>Journal of Global Fashion Marketing</w:t>
      </w:r>
      <w:r w:rsidRPr="000D3C01">
        <w:rPr>
          <w:rFonts w:ascii="Arial" w:eastAsia="Arial" w:hAnsi="Arial" w:cs="Arial"/>
          <w:sz w:val="24"/>
          <w:szCs w:val="24"/>
          <w:shd w:val="clear" w:color="auto" w:fill="FFFFFF"/>
          <w:lang w:val="en-US"/>
        </w:rPr>
        <w:t>, </w:t>
      </w:r>
      <w:r w:rsidRPr="000D3C01">
        <w:rPr>
          <w:rFonts w:ascii="Arial" w:eastAsia="Arial" w:hAnsi="Arial" w:cs="Arial"/>
          <w:i/>
          <w:iCs/>
          <w:sz w:val="24"/>
          <w:szCs w:val="24"/>
          <w:shd w:val="clear" w:color="auto" w:fill="FFFFFF"/>
          <w:lang w:val="en-US"/>
        </w:rPr>
        <w:t>10</w:t>
      </w:r>
      <w:r w:rsidRPr="000D3C01">
        <w:rPr>
          <w:rFonts w:ascii="Arial" w:eastAsia="Arial" w:hAnsi="Arial" w:cs="Arial"/>
          <w:sz w:val="24"/>
          <w:szCs w:val="24"/>
          <w:shd w:val="clear" w:color="auto" w:fill="FFFFFF"/>
          <w:lang w:val="en-US"/>
        </w:rPr>
        <w:t>(4), pp.342-357.</w:t>
      </w:r>
    </w:p>
    <w:p w14:paraId="1E26FD4F"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Bruhn, M. and </w:t>
      </w:r>
      <w:proofErr w:type="spellStart"/>
      <w:r w:rsidRPr="000D3C01">
        <w:rPr>
          <w:rFonts w:ascii="Arial" w:eastAsia="Calibri" w:hAnsi="Arial" w:cs="Arial"/>
          <w:sz w:val="24"/>
          <w:szCs w:val="24"/>
          <w:shd w:val="clear" w:color="auto" w:fill="FFFFFF"/>
          <w:lang w:val="en-GB"/>
        </w:rPr>
        <w:t>Schnebelen</w:t>
      </w:r>
      <w:proofErr w:type="spellEnd"/>
      <w:r w:rsidRPr="000D3C01">
        <w:rPr>
          <w:rFonts w:ascii="Arial" w:eastAsia="Calibri" w:hAnsi="Arial" w:cs="Arial"/>
          <w:sz w:val="24"/>
          <w:szCs w:val="24"/>
          <w:shd w:val="clear" w:color="auto" w:fill="FFFFFF"/>
          <w:lang w:val="en-GB"/>
        </w:rPr>
        <w:t>, S. (2017) Integrated marketing communication–from an instrumental to a customer-centric perspective. </w:t>
      </w:r>
      <w:r w:rsidRPr="000D3C01">
        <w:rPr>
          <w:rFonts w:ascii="Arial" w:eastAsia="Calibri" w:hAnsi="Arial" w:cs="Arial"/>
          <w:i/>
          <w:iCs/>
          <w:sz w:val="24"/>
          <w:szCs w:val="24"/>
          <w:shd w:val="clear" w:color="auto" w:fill="FFFFFF"/>
          <w:lang w:val="en-GB"/>
        </w:rPr>
        <w:t>European journal of marketing</w:t>
      </w:r>
      <w:r w:rsidRPr="000D3C01">
        <w:rPr>
          <w:rFonts w:ascii="Arial" w:eastAsia="Calibri" w:hAnsi="Arial" w:cs="Arial"/>
          <w:sz w:val="24"/>
          <w:szCs w:val="24"/>
          <w:shd w:val="clear" w:color="auto" w:fill="FFFFFF"/>
          <w:lang w:val="en-GB"/>
        </w:rPr>
        <w:t>.</w:t>
      </w:r>
    </w:p>
    <w:p w14:paraId="58D078F1"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Christodoulides, G. and De </w:t>
      </w:r>
      <w:proofErr w:type="spellStart"/>
      <w:r w:rsidRPr="000D3C01">
        <w:rPr>
          <w:rFonts w:ascii="Arial" w:eastAsia="Calibri" w:hAnsi="Arial" w:cs="Arial"/>
          <w:sz w:val="24"/>
          <w:szCs w:val="24"/>
          <w:shd w:val="clear" w:color="auto" w:fill="FFFFFF"/>
          <w:lang w:val="en-GB"/>
        </w:rPr>
        <w:t>Chernatony</w:t>
      </w:r>
      <w:proofErr w:type="spellEnd"/>
      <w:r w:rsidRPr="000D3C01">
        <w:rPr>
          <w:rFonts w:ascii="Arial" w:eastAsia="Calibri" w:hAnsi="Arial" w:cs="Arial"/>
          <w:sz w:val="24"/>
          <w:szCs w:val="24"/>
          <w:shd w:val="clear" w:color="auto" w:fill="FFFFFF"/>
          <w:lang w:val="en-GB"/>
        </w:rPr>
        <w:t>, L. (2010) Consumer-based brand equity conceptualisation and measurement: a literature review. </w:t>
      </w:r>
      <w:r w:rsidRPr="000D3C01">
        <w:rPr>
          <w:rFonts w:ascii="Arial" w:eastAsia="Calibri" w:hAnsi="Arial" w:cs="Arial"/>
          <w:i/>
          <w:iCs/>
          <w:sz w:val="24"/>
          <w:szCs w:val="24"/>
          <w:shd w:val="clear" w:color="auto" w:fill="FFFFFF"/>
          <w:lang w:val="en-GB"/>
        </w:rPr>
        <w:t>International journal of market research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52</w:t>
      </w:r>
      <w:r w:rsidRPr="000D3C01">
        <w:rPr>
          <w:rFonts w:ascii="Arial" w:eastAsia="Calibri" w:hAnsi="Arial" w:cs="Arial"/>
          <w:sz w:val="24"/>
          <w:szCs w:val="24"/>
          <w:shd w:val="clear" w:color="auto" w:fill="FFFFFF"/>
          <w:lang w:val="en-GB"/>
        </w:rPr>
        <w:t>(1), pp.43-66.</w:t>
      </w:r>
    </w:p>
    <w:p w14:paraId="50BCAD10"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Dolbec</w:t>
      </w:r>
      <w:proofErr w:type="spellEnd"/>
      <w:r w:rsidRPr="000D3C01">
        <w:rPr>
          <w:rFonts w:ascii="Arial" w:eastAsia="Calibri" w:hAnsi="Arial" w:cs="Arial"/>
          <w:sz w:val="24"/>
          <w:szCs w:val="24"/>
          <w:shd w:val="clear" w:color="auto" w:fill="FFFFFF"/>
          <w:lang w:val="en-GB"/>
        </w:rPr>
        <w:t xml:space="preserve">, P.Y. and </w:t>
      </w:r>
      <w:proofErr w:type="spellStart"/>
      <w:r w:rsidRPr="000D3C01">
        <w:rPr>
          <w:rFonts w:ascii="Arial" w:eastAsia="Calibri" w:hAnsi="Arial" w:cs="Arial"/>
          <w:sz w:val="24"/>
          <w:szCs w:val="24"/>
          <w:shd w:val="clear" w:color="auto" w:fill="FFFFFF"/>
          <w:lang w:val="en-GB"/>
        </w:rPr>
        <w:t>Chebat</w:t>
      </w:r>
      <w:proofErr w:type="spellEnd"/>
      <w:r w:rsidRPr="000D3C01">
        <w:rPr>
          <w:rFonts w:ascii="Arial" w:eastAsia="Calibri" w:hAnsi="Arial" w:cs="Arial"/>
          <w:sz w:val="24"/>
          <w:szCs w:val="24"/>
          <w:shd w:val="clear" w:color="auto" w:fill="FFFFFF"/>
          <w:lang w:val="en-GB"/>
        </w:rPr>
        <w:t>, J.C. (2013) The impact of a flagship vs. a brand store on brand attitude, brand attachment and brand equity. </w:t>
      </w:r>
      <w:r w:rsidRPr="000D3C01">
        <w:rPr>
          <w:rFonts w:ascii="Arial" w:eastAsia="Calibri" w:hAnsi="Arial" w:cs="Arial"/>
          <w:i/>
          <w:iCs/>
          <w:sz w:val="24"/>
          <w:szCs w:val="24"/>
          <w:shd w:val="clear" w:color="auto" w:fill="FFFFFF"/>
          <w:lang w:val="en-GB"/>
        </w:rPr>
        <w:t>Journal of Retailing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89</w:t>
      </w:r>
      <w:r w:rsidRPr="000D3C01">
        <w:rPr>
          <w:rFonts w:ascii="Arial" w:eastAsia="Calibri" w:hAnsi="Arial" w:cs="Arial"/>
          <w:sz w:val="24"/>
          <w:szCs w:val="24"/>
          <w:shd w:val="clear" w:color="auto" w:fill="FFFFFF"/>
          <w:lang w:val="en-GB"/>
        </w:rPr>
        <w:t>(4), pp.460-466.</w:t>
      </w:r>
    </w:p>
    <w:p w14:paraId="71480DC9"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Duman</w:t>
      </w:r>
      <w:proofErr w:type="spellEnd"/>
      <w:r w:rsidRPr="000D3C01">
        <w:rPr>
          <w:rFonts w:ascii="Arial" w:eastAsia="Calibri" w:hAnsi="Arial" w:cs="Arial"/>
          <w:sz w:val="24"/>
          <w:szCs w:val="24"/>
          <w:shd w:val="clear" w:color="auto" w:fill="FFFFFF"/>
          <w:lang w:val="en-GB"/>
        </w:rPr>
        <w:t xml:space="preserve">, T., </w:t>
      </w:r>
      <w:proofErr w:type="spellStart"/>
      <w:r w:rsidRPr="000D3C01">
        <w:rPr>
          <w:rFonts w:ascii="Arial" w:eastAsia="Calibri" w:hAnsi="Arial" w:cs="Arial"/>
          <w:sz w:val="24"/>
          <w:szCs w:val="24"/>
          <w:shd w:val="clear" w:color="auto" w:fill="FFFFFF"/>
          <w:lang w:val="en-GB"/>
        </w:rPr>
        <w:t>Ozbal</w:t>
      </w:r>
      <w:proofErr w:type="spellEnd"/>
      <w:r w:rsidRPr="000D3C01">
        <w:rPr>
          <w:rFonts w:ascii="Arial" w:eastAsia="Calibri" w:hAnsi="Arial" w:cs="Arial"/>
          <w:sz w:val="24"/>
          <w:szCs w:val="24"/>
          <w:shd w:val="clear" w:color="auto" w:fill="FFFFFF"/>
          <w:lang w:val="en-GB"/>
        </w:rPr>
        <w:t>, O. and Duerod, M. (2018) The role of affective factors on brand resonance: Measuring customer</w:t>
      </w:r>
      <w:r w:rsidRPr="000D3C01">
        <w:rPr>
          <w:rFonts w:ascii="Cambria Math" w:eastAsia="Calibri" w:hAnsi="Cambria Math" w:cs="Cambria Math"/>
          <w:sz w:val="24"/>
          <w:szCs w:val="24"/>
          <w:shd w:val="clear" w:color="auto" w:fill="FFFFFF"/>
          <w:lang w:val="en-GB"/>
        </w:rPr>
        <w:t>‐</w:t>
      </w:r>
      <w:r w:rsidRPr="000D3C01">
        <w:rPr>
          <w:rFonts w:ascii="Arial" w:eastAsia="Calibri" w:hAnsi="Arial" w:cs="Arial"/>
          <w:sz w:val="24"/>
          <w:szCs w:val="24"/>
          <w:shd w:val="clear" w:color="auto" w:fill="FFFFFF"/>
          <w:lang w:val="en-GB"/>
        </w:rPr>
        <w:t>based brand equity for the Sarajevo brand. </w:t>
      </w:r>
      <w:r w:rsidRPr="000D3C01">
        <w:rPr>
          <w:rFonts w:ascii="Arial" w:eastAsia="Calibri" w:hAnsi="Arial" w:cs="Arial"/>
          <w:i/>
          <w:iCs/>
          <w:sz w:val="24"/>
          <w:szCs w:val="24"/>
          <w:shd w:val="clear" w:color="auto" w:fill="FFFFFF"/>
          <w:lang w:val="en-GB"/>
        </w:rPr>
        <w:t>Journal of destination marketing &amp;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8</w:t>
      </w:r>
      <w:r w:rsidRPr="000D3C01">
        <w:rPr>
          <w:rFonts w:ascii="Arial" w:eastAsia="Calibri" w:hAnsi="Arial" w:cs="Arial"/>
          <w:sz w:val="24"/>
          <w:szCs w:val="24"/>
          <w:shd w:val="clear" w:color="auto" w:fill="FFFFFF"/>
          <w:lang w:val="en-GB"/>
        </w:rPr>
        <w:t>, pp.359-372.</w:t>
      </w:r>
    </w:p>
    <w:p w14:paraId="7445C317"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Dutta, T. and Baruah, L. (2014) Engagement model of dry friction clutch with diaphragm spring. </w:t>
      </w:r>
      <w:r w:rsidRPr="000D3C01">
        <w:rPr>
          <w:rFonts w:ascii="Arial" w:eastAsia="Calibri" w:hAnsi="Arial" w:cs="Arial"/>
          <w:i/>
          <w:iCs/>
          <w:sz w:val="24"/>
          <w:szCs w:val="24"/>
          <w:shd w:val="clear" w:color="auto" w:fill="FFFFFF"/>
          <w:lang w:val="en-GB"/>
        </w:rPr>
        <w:t>International Journal of Engineering Research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w:t>
      </w:r>
      <w:r w:rsidRPr="000D3C01">
        <w:rPr>
          <w:rFonts w:ascii="Arial" w:eastAsia="Calibri" w:hAnsi="Arial" w:cs="Arial"/>
          <w:sz w:val="24"/>
          <w:szCs w:val="24"/>
          <w:shd w:val="clear" w:color="auto" w:fill="FFFFFF"/>
          <w:lang w:val="en-GB"/>
        </w:rPr>
        <w:t>(11), pp.704-710.</w:t>
      </w:r>
    </w:p>
    <w:p w14:paraId="335A38ED"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Ekhlassi</w:t>
      </w:r>
      <w:proofErr w:type="spellEnd"/>
      <w:r w:rsidRPr="000D3C01">
        <w:rPr>
          <w:rFonts w:ascii="Arial" w:eastAsia="Calibri" w:hAnsi="Arial" w:cs="Arial"/>
          <w:sz w:val="24"/>
          <w:szCs w:val="24"/>
          <w:shd w:val="clear" w:color="auto" w:fill="FFFFFF"/>
          <w:lang w:val="en-GB"/>
        </w:rPr>
        <w:t xml:space="preserve">, A., </w:t>
      </w:r>
      <w:proofErr w:type="spellStart"/>
      <w:r w:rsidRPr="000D3C01">
        <w:rPr>
          <w:rFonts w:ascii="Arial" w:eastAsia="Calibri" w:hAnsi="Arial" w:cs="Arial"/>
          <w:sz w:val="24"/>
          <w:szCs w:val="24"/>
          <w:shd w:val="clear" w:color="auto" w:fill="FFFFFF"/>
          <w:lang w:val="en-GB"/>
        </w:rPr>
        <w:t>Maghsoodi</w:t>
      </w:r>
      <w:proofErr w:type="spellEnd"/>
      <w:r w:rsidRPr="000D3C01">
        <w:rPr>
          <w:rFonts w:ascii="Arial" w:eastAsia="Calibri" w:hAnsi="Arial" w:cs="Arial"/>
          <w:sz w:val="24"/>
          <w:szCs w:val="24"/>
          <w:shd w:val="clear" w:color="auto" w:fill="FFFFFF"/>
          <w:lang w:val="en-GB"/>
        </w:rPr>
        <w:t xml:space="preserve">, V. and </w:t>
      </w:r>
      <w:proofErr w:type="spellStart"/>
      <w:r w:rsidRPr="000D3C01">
        <w:rPr>
          <w:rFonts w:ascii="Arial" w:eastAsia="Calibri" w:hAnsi="Arial" w:cs="Arial"/>
          <w:sz w:val="24"/>
          <w:szCs w:val="24"/>
          <w:shd w:val="clear" w:color="auto" w:fill="FFFFFF"/>
          <w:lang w:val="en-GB"/>
        </w:rPr>
        <w:t>Mehrmanesh</w:t>
      </w:r>
      <w:proofErr w:type="spellEnd"/>
      <w:r w:rsidRPr="000D3C01">
        <w:rPr>
          <w:rFonts w:ascii="Arial" w:eastAsia="Calibri" w:hAnsi="Arial" w:cs="Arial"/>
          <w:sz w:val="24"/>
          <w:szCs w:val="24"/>
          <w:shd w:val="clear" w:color="auto" w:fill="FFFFFF"/>
          <w:lang w:val="en-GB"/>
        </w:rPr>
        <w:t>, S. (2012) Determining the integrated marketing communication tools for different stages of customer relationship in digital era. </w:t>
      </w:r>
      <w:r w:rsidRPr="000D3C01">
        <w:rPr>
          <w:rFonts w:ascii="Arial" w:eastAsia="Calibri" w:hAnsi="Arial" w:cs="Arial"/>
          <w:i/>
          <w:iCs/>
          <w:sz w:val="24"/>
          <w:szCs w:val="24"/>
          <w:shd w:val="clear" w:color="auto" w:fill="FFFFFF"/>
          <w:lang w:val="en-GB"/>
        </w:rPr>
        <w:t>International Journal of Information and Electronics Engineering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w:t>
      </w:r>
      <w:r w:rsidRPr="000D3C01">
        <w:rPr>
          <w:rFonts w:ascii="Arial" w:eastAsia="Calibri" w:hAnsi="Arial" w:cs="Arial"/>
          <w:sz w:val="24"/>
          <w:szCs w:val="24"/>
          <w:shd w:val="clear" w:color="auto" w:fill="FFFFFF"/>
          <w:lang w:val="en-GB"/>
        </w:rPr>
        <w:t>(5), pp.761-765.</w:t>
      </w:r>
    </w:p>
    <w:p w14:paraId="2746A168"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Farjam</w:t>
      </w:r>
      <w:proofErr w:type="spellEnd"/>
      <w:r w:rsidRPr="000D3C01">
        <w:rPr>
          <w:rFonts w:ascii="Arial" w:eastAsia="Calibri" w:hAnsi="Arial" w:cs="Arial"/>
          <w:sz w:val="24"/>
          <w:szCs w:val="24"/>
          <w:shd w:val="clear" w:color="auto" w:fill="FFFFFF"/>
          <w:lang w:val="en-GB"/>
        </w:rPr>
        <w:t xml:space="preserve">, S. and </w:t>
      </w:r>
      <w:proofErr w:type="spellStart"/>
      <w:r w:rsidRPr="000D3C01">
        <w:rPr>
          <w:rFonts w:ascii="Arial" w:eastAsia="Calibri" w:hAnsi="Arial" w:cs="Arial"/>
          <w:sz w:val="24"/>
          <w:szCs w:val="24"/>
          <w:shd w:val="clear" w:color="auto" w:fill="FFFFFF"/>
          <w:lang w:val="en-GB"/>
        </w:rPr>
        <w:t>Hongyi</w:t>
      </w:r>
      <w:proofErr w:type="spellEnd"/>
      <w:r w:rsidRPr="000D3C01">
        <w:rPr>
          <w:rFonts w:ascii="Arial" w:eastAsia="Calibri" w:hAnsi="Arial" w:cs="Arial"/>
          <w:sz w:val="24"/>
          <w:szCs w:val="24"/>
          <w:shd w:val="clear" w:color="auto" w:fill="FFFFFF"/>
          <w:lang w:val="en-GB"/>
        </w:rPr>
        <w:t>, X. (2015) Reviewing the concept of brand equity and evaluating consumer-based brand equity (CBBE) models. </w:t>
      </w:r>
      <w:r w:rsidRPr="000D3C01">
        <w:rPr>
          <w:rFonts w:ascii="Arial" w:eastAsia="Calibri" w:hAnsi="Arial" w:cs="Arial"/>
          <w:i/>
          <w:iCs/>
          <w:sz w:val="24"/>
          <w:szCs w:val="24"/>
          <w:shd w:val="clear" w:color="auto" w:fill="FFFFFF"/>
          <w:lang w:val="en-GB"/>
        </w:rPr>
        <w:t>International Journal of Management Science and Business Administration</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w:t>
      </w:r>
      <w:r w:rsidRPr="000D3C01">
        <w:rPr>
          <w:rFonts w:ascii="Arial" w:eastAsia="Calibri" w:hAnsi="Arial" w:cs="Arial"/>
          <w:sz w:val="24"/>
          <w:szCs w:val="24"/>
          <w:shd w:val="clear" w:color="auto" w:fill="FFFFFF"/>
          <w:lang w:val="en-GB"/>
        </w:rPr>
        <w:t>(8), pp.14-29.</w:t>
      </w:r>
    </w:p>
    <w:p w14:paraId="5BAAED4B"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Gra</w:t>
      </w:r>
      <w:proofErr w:type="spellEnd"/>
      <w:r w:rsidRPr="000D3C01">
        <w:rPr>
          <w:rFonts w:ascii="Arial" w:eastAsia="Calibri" w:hAnsi="Arial" w:cs="Arial"/>
          <w:sz w:val="24"/>
          <w:szCs w:val="24"/>
          <w:shd w:val="clear" w:color="auto" w:fill="FFFFFF"/>
          <w:lang w:val="en-GB"/>
        </w:rPr>
        <w:t xml:space="preserve">, T. (2013) H&amp;M–a role model for organic cotton use in textile </w:t>
      </w:r>
      <w:proofErr w:type="gramStart"/>
      <w:r w:rsidRPr="000D3C01">
        <w:rPr>
          <w:rFonts w:ascii="Arial" w:eastAsia="Calibri" w:hAnsi="Arial" w:cs="Arial"/>
          <w:sz w:val="24"/>
          <w:szCs w:val="24"/>
          <w:shd w:val="clear" w:color="auto" w:fill="FFFFFF"/>
          <w:lang w:val="en-GB"/>
        </w:rPr>
        <w:t>processing?.</w:t>
      </w:r>
      <w:proofErr w:type="gramEnd"/>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Journal of European Management &amp; Public Affairs Studies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w:t>
      </w:r>
      <w:r w:rsidRPr="000D3C01">
        <w:rPr>
          <w:rFonts w:ascii="Arial" w:eastAsia="Calibri" w:hAnsi="Arial" w:cs="Arial"/>
          <w:sz w:val="24"/>
          <w:szCs w:val="24"/>
          <w:shd w:val="clear" w:color="auto" w:fill="FFFFFF"/>
          <w:lang w:val="en-GB"/>
        </w:rPr>
        <w:t>(1), pp.23-26.</w:t>
      </w:r>
    </w:p>
    <w:p w14:paraId="475E4045"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Grover, </w:t>
      </w:r>
      <w:proofErr w:type="gramStart"/>
      <w:r w:rsidRPr="000D3C01">
        <w:rPr>
          <w:rFonts w:ascii="Arial" w:eastAsia="Calibri" w:hAnsi="Arial" w:cs="Arial"/>
          <w:sz w:val="24"/>
          <w:szCs w:val="24"/>
          <w:shd w:val="clear" w:color="auto" w:fill="FFFFFF"/>
          <w:lang w:val="en-GB"/>
        </w:rPr>
        <w:t>P.</w:t>
      </w:r>
      <w:proofErr w:type="gramEnd"/>
      <w:r w:rsidRPr="000D3C01">
        <w:rPr>
          <w:rFonts w:ascii="Arial" w:eastAsia="Calibri" w:hAnsi="Arial" w:cs="Arial"/>
          <w:sz w:val="24"/>
          <w:szCs w:val="24"/>
          <w:shd w:val="clear" w:color="auto" w:fill="FFFFFF"/>
          <w:lang w:val="en-GB"/>
        </w:rPr>
        <w:t xml:space="preserve"> and Kar, A.K. (2020) User engagement for mobile payment service providers–introducing the social media engagement model. </w:t>
      </w:r>
      <w:r w:rsidRPr="000D3C01">
        <w:rPr>
          <w:rFonts w:ascii="Arial" w:eastAsia="Calibri" w:hAnsi="Arial" w:cs="Arial"/>
          <w:i/>
          <w:iCs/>
          <w:sz w:val="24"/>
          <w:szCs w:val="24"/>
          <w:shd w:val="clear" w:color="auto" w:fill="FFFFFF"/>
          <w:lang w:val="en-GB"/>
        </w:rPr>
        <w:t>Journal of Retailing and Consumer Services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53</w:t>
      </w:r>
      <w:r w:rsidRPr="000D3C01">
        <w:rPr>
          <w:rFonts w:ascii="Arial" w:eastAsia="Calibri" w:hAnsi="Arial" w:cs="Arial"/>
          <w:sz w:val="24"/>
          <w:szCs w:val="24"/>
          <w:shd w:val="clear" w:color="auto" w:fill="FFFFFF"/>
          <w:lang w:val="en-GB"/>
        </w:rPr>
        <w:t>, p.101718.</w:t>
      </w:r>
    </w:p>
    <w:p w14:paraId="05D471BC"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Ha, J.F. and </w:t>
      </w:r>
      <w:proofErr w:type="spellStart"/>
      <w:r w:rsidRPr="000D3C01">
        <w:rPr>
          <w:rFonts w:ascii="Arial" w:eastAsia="Calibri" w:hAnsi="Arial" w:cs="Arial"/>
          <w:sz w:val="24"/>
          <w:szCs w:val="24"/>
          <w:shd w:val="clear" w:color="auto" w:fill="FFFFFF"/>
          <w:lang w:val="en-GB"/>
        </w:rPr>
        <w:t>Longnecker</w:t>
      </w:r>
      <w:proofErr w:type="spellEnd"/>
      <w:r w:rsidRPr="000D3C01">
        <w:rPr>
          <w:rFonts w:ascii="Arial" w:eastAsia="Calibri" w:hAnsi="Arial" w:cs="Arial"/>
          <w:sz w:val="24"/>
          <w:szCs w:val="24"/>
          <w:shd w:val="clear" w:color="auto" w:fill="FFFFFF"/>
          <w:lang w:val="en-GB"/>
        </w:rPr>
        <w:t>, N. (2010) Doctor-patient communication: a review. </w:t>
      </w:r>
      <w:r w:rsidRPr="000D3C01">
        <w:rPr>
          <w:rFonts w:ascii="Arial" w:eastAsia="Calibri" w:hAnsi="Arial" w:cs="Arial"/>
          <w:i/>
          <w:iCs/>
          <w:sz w:val="24"/>
          <w:szCs w:val="24"/>
          <w:shd w:val="clear" w:color="auto" w:fill="FFFFFF"/>
          <w:lang w:val="en-GB"/>
        </w:rPr>
        <w:t>Ochsner Journal</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10</w:t>
      </w:r>
      <w:r w:rsidRPr="000D3C01">
        <w:rPr>
          <w:rFonts w:ascii="Arial" w:eastAsia="Calibri" w:hAnsi="Arial" w:cs="Arial"/>
          <w:sz w:val="24"/>
          <w:szCs w:val="24"/>
          <w:shd w:val="clear" w:color="auto" w:fill="FFFFFF"/>
          <w:lang w:val="en-GB"/>
        </w:rPr>
        <w:t>(1), pp.38-43.</w:t>
      </w:r>
    </w:p>
    <w:p w14:paraId="421BE488"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Han, S.H., Nguyen, B. and Lee, T.J. (2015) Consumer-based chain restaurant brand equity, brand reputation, and brand trust. </w:t>
      </w:r>
      <w:r w:rsidRPr="000D3C01">
        <w:rPr>
          <w:rFonts w:ascii="Arial" w:eastAsia="Calibri" w:hAnsi="Arial" w:cs="Arial"/>
          <w:i/>
          <w:iCs/>
          <w:sz w:val="24"/>
          <w:szCs w:val="24"/>
          <w:shd w:val="clear" w:color="auto" w:fill="FFFFFF"/>
          <w:lang w:val="en-GB"/>
        </w:rPr>
        <w:t>International Journal of Hospitality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50</w:t>
      </w:r>
      <w:r w:rsidRPr="000D3C01">
        <w:rPr>
          <w:rFonts w:ascii="Arial" w:eastAsia="Calibri" w:hAnsi="Arial" w:cs="Arial"/>
          <w:sz w:val="24"/>
          <w:szCs w:val="24"/>
          <w:shd w:val="clear" w:color="auto" w:fill="FFFFFF"/>
          <w:lang w:val="en-GB"/>
        </w:rPr>
        <w:t>, pp.84-93.</w:t>
      </w:r>
    </w:p>
    <w:p w14:paraId="431B07D4"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Hari, S., </w:t>
      </w:r>
      <w:proofErr w:type="spellStart"/>
      <w:r w:rsidRPr="000D3C01">
        <w:rPr>
          <w:rFonts w:ascii="Arial" w:eastAsia="Calibri" w:hAnsi="Arial" w:cs="Arial"/>
          <w:sz w:val="24"/>
          <w:szCs w:val="24"/>
          <w:shd w:val="clear" w:color="auto" w:fill="FFFFFF"/>
          <w:lang w:val="en-GB"/>
        </w:rPr>
        <w:t>Yousefi</w:t>
      </w:r>
      <w:proofErr w:type="spellEnd"/>
      <w:r w:rsidRPr="000D3C01">
        <w:rPr>
          <w:rFonts w:ascii="Arial" w:eastAsia="Calibri" w:hAnsi="Arial" w:cs="Arial"/>
          <w:sz w:val="24"/>
          <w:szCs w:val="24"/>
          <w:shd w:val="clear" w:color="auto" w:fill="FFFFFF"/>
          <w:lang w:val="en-GB"/>
        </w:rPr>
        <w:t xml:space="preserve">, M.I. and </w:t>
      </w:r>
      <w:proofErr w:type="spellStart"/>
      <w:r w:rsidRPr="000D3C01">
        <w:rPr>
          <w:rFonts w:ascii="Arial" w:eastAsia="Calibri" w:hAnsi="Arial" w:cs="Arial"/>
          <w:sz w:val="24"/>
          <w:szCs w:val="24"/>
          <w:shd w:val="clear" w:color="auto" w:fill="FFFFFF"/>
          <w:lang w:val="en-GB"/>
        </w:rPr>
        <w:t>Kschischang</w:t>
      </w:r>
      <w:proofErr w:type="spellEnd"/>
      <w:r w:rsidRPr="000D3C01">
        <w:rPr>
          <w:rFonts w:ascii="Arial" w:eastAsia="Calibri" w:hAnsi="Arial" w:cs="Arial"/>
          <w:sz w:val="24"/>
          <w:szCs w:val="24"/>
          <w:shd w:val="clear" w:color="auto" w:fill="FFFFFF"/>
          <w:lang w:val="en-GB"/>
        </w:rPr>
        <w:t xml:space="preserve">, F.R. (2016) </w:t>
      </w:r>
      <w:proofErr w:type="spellStart"/>
      <w:r w:rsidRPr="000D3C01">
        <w:rPr>
          <w:rFonts w:ascii="Arial" w:eastAsia="Calibri" w:hAnsi="Arial" w:cs="Arial"/>
          <w:sz w:val="24"/>
          <w:szCs w:val="24"/>
          <w:shd w:val="clear" w:color="auto" w:fill="FFFFFF"/>
          <w:lang w:val="en-GB"/>
        </w:rPr>
        <w:t>Multieigenvalue</w:t>
      </w:r>
      <w:proofErr w:type="spellEnd"/>
      <w:r w:rsidRPr="000D3C01">
        <w:rPr>
          <w:rFonts w:ascii="Arial" w:eastAsia="Calibri" w:hAnsi="Arial" w:cs="Arial"/>
          <w:sz w:val="24"/>
          <w:szCs w:val="24"/>
          <w:shd w:val="clear" w:color="auto" w:fill="FFFFFF"/>
          <w:lang w:val="en-GB"/>
        </w:rPr>
        <w:t xml:space="preserve"> communication. </w:t>
      </w:r>
      <w:r w:rsidRPr="000D3C01">
        <w:rPr>
          <w:rFonts w:ascii="Arial" w:eastAsia="Calibri" w:hAnsi="Arial" w:cs="Arial"/>
          <w:i/>
          <w:iCs/>
          <w:sz w:val="24"/>
          <w:szCs w:val="24"/>
          <w:shd w:val="clear" w:color="auto" w:fill="FFFFFF"/>
          <w:lang w:val="en-GB"/>
        </w:rPr>
        <w:t>Journal of Lightwave Technology</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34</w:t>
      </w:r>
      <w:r w:rsidRPr="000D3C01">
        <w:rPr>
          <w:rFonts w:ascii="Arial" w:eastAsia="Calibri" w:hAnsi="Arial" w:cs="Arial"/>
          <w:sz w:val="24"/>
          <w:szCs w:val="24"/>
          <w:shd w:val="clear" w:color="auto" w:fill="FFFFFF"/>
          <w:lang w:val="en-GB"/>
        </w:rPr>
        <w:t>(13), pp.3110-3117.</w:t>
      </w:r>
    </w:p>
    <w:p w14:paraId="7F08225C"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Harris, L. and Dennis, C. (2011) Engaging customers on Facebook: Challenges for e</w:t>
      </w:r>
      <w:r w:rsidRPr="000D3C01">
        <w:rPr>
          <w:rFonts w:ascii="Cambria Math" w:eastAsia="Calibri" w:hAnsi="Cambria Math" w:cs="Cambria Math"/>
          <w:sz w:val="24"/>
          <w:szCs w:val="24"/>
          <w:shd w:val="clear" w:color="auto" w:fill="FFFFFF"/>
          <w:lang w:val="en-GB"/>
        </w:rPr>
        <w:t>‐</w:t>
      </w:r>
      <w:r w:rsidRPr="000D3C01">
        <w:rPr>
          <w:rFonts w:ascii="Arial" w:eastAsia="Calibri" w:hAnsi="Arial" w:cs="Arial"/>
          <w:sz w:val="24"/>
          <w:szCs w:val="24"/>
          <w:shd w:val="clear" w:color="auto" w:fill="FFFFFF"/>
          <w:lang w:val="en-GB"/>
        </w:rPr>
        <w:t>retailers. </w:t>
      </w:r>
      <w:r w:rsidRPr="000D3C01">
        <w:rPr>
          <w:rFonts w:ascii="Arial" w:eastAsia="Calibri" w:hAnsi="Arial" w:cs="Arial"/>
          <w:i/>
          <w:iCs/>
          <w:sz w:val="24"/>
          <w:szCs w:val="24"/>
          <w:shd w:val="clear" w:color="auto" w:fill="FFFFFF"/>
          <w:lang w:val="en-GB"/>
        </w:rPr>
        <w:t>Journal of Consumer Behaviour</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10</w:t>
      </w:r>
      <w:r w:rsidRPr="000D3C01">
        <w:rPr>
          <w:rFonts w:ascii="Arial" w:eastAsia="Calibri" w:hAnsi="Arial" w:cs="Arial"/>
          <w:sz w:val="24"/>
          <w:szCs w:val="24"/>
          <w:shd w:val="clear" w:color="auto" w:fill="FFFFFF"/>
          <w:lang w:val="en-GB"/>
        </w:rPr>
        <w:t>(6), pp.338-346.</w:t>
      </w:r>
    </w:p>
    <w:p w14:paraId="761B1529"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Ho-</w:t>
      </w:r>
      <w:proofErr w:type="spellStart"/>
      <w:r w:rsidRPr="000D3C01">
        <w:rPr>
          <w:rFonts w:ascii="Arial" w:eastAsia="Calibri" w:hAnsi="Arial" w:cs="Arial"/>
          <w:sz w:val="24"/>
          <w:szCs w:val="24"/>
          <w:shd w:val="clear" w:color="auto" w:fill="FFFFFF"/>
          <w:lang w:val="en-GB"/>
        </w:rPr>
        <w:t>Dac</w:t>
      </w:r>
      <w:proofErr w:type="spellEnd"/>
      <w:r w:rsidRPr="000D3C01">
        <w:rPr>
          <w:rFonts w:ascii="Arial" w:eastAsia="Calibri" w:hAnsi="Arial" w:cs="Arial"/>
          <w:sz w:val="24"/>
          <w:szCs w:val="24"/>
          <w:shd w:val="clear" w:color="auto" w:fill="FFFFFF"/>
          <w:lang w:val="en-GB"/>
        </w:rPr>
        <w:t xml:space="preserve">, N.N., Carson, S.J. and Moore, W.L. (2013) The effects of positive and negative online customer reviews: do brand strength and category maturity </w:t>
      </w:r>
      <w:proofErr w:type="gramStart"/>
      <w:r w:rsidRPr="000D3C01">
        <w:rPr>
          <w:rFonts w:ascii="Arial" w:eastAsia="Calibri" w:hAnsi="Arial" w:cs="Arial"/>
          <w:sz w:val="24"/>
          <w:szCs w:val="24"/>
          <w:shd w:val="clear" w:color="auto" w:fill="FFFFFF"/>
          <w:lang w:val="en-GB"/>
        </w:rPr>
        <w:t>matter?.</w:t>
      </w:r>
      <w:proofErr w:type="gramEnd"/>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Journal of marketing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77</w:t>
      </w:r>
      <w:r w:rsidRPr="000D3C01">
        <w:rPr>
          <w:rFonts w:ascii="Arial" w:eastAsia="Calibri" w:hAnsi="Arial" w:cs="Arial"/>
          <w:sz w:val="24"/>
          <w:szCs w:val="24"/>
          <w:shd w:val="clear" w:color="auto" w:fill="FFFFFF"/>
          <w:lang w:val="en-GB"/>
        </w:rPr>
        <w:t>(6), pp.37-53.</w:t>
      </w:r>
    </w:p>
    <w:p w14:paraId="0807BBE9"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Hossien</w:t>
      </w:r>
      <w:proofErr w:type="spellEnd"/>
      <w:r w:rsidRPr="000D3C01">
        <w:rPr>
          <w:rFonts w:ascii="Arial" w:eastAsia="Calibri" w:hAnsi="Arial" w:cs="Arial"/>
          <w:sz w:val="24"/>
          <w:szCs w:val="24"/>
          <w:shd w:val="clear" w:color="auto" w:fill="FFFFFF"/>
          <w:lang w:val="en-GB"/>
        </w:rPr>
        <w:t>, E., Ali, J. and Mehdi, M. (2012) The mediatory impact of brand loyalty and brand image on brand equity. </w:t>
      </w:r>
      <w:r w:rsidRPr="000D3C01">
        <w:rPr>
          <w:rFonts w:ascii="Arial" w:eastAsia="Calibri" w:hAnsi="Arial" w:cs="Arial"/>
          <w:i/>
          <w:iCs/>
          <w:sz w:val="24"/>
          <w:szCs w:val="24"/>
          <w:shd w:val="clear" w:color="auto" w:fill="FFFFFF"/>
          <w:lang w:val="en-GB"/>
        </w:rPr>
        <w:t>African Journal of Business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6</w:t>
      </w:r>
      <w:r w:rsidRPr="000D3C01">
        <w:rPr>
          <w:rFonts w:ascii="Arial" w:eastAsia="Calibri" w:hAnsi="Arial" w:cs="Arial"/>
          <w:sz w:val="24"/>
          <w:szCs w:val="24"/>
          <w:shd w:val="clear" w:color="auto" w:fill="FFFFFF"/>
          <w:lang w:val="en-GB"/>
        </w:rPr>
        <w:t>(17), pp.5692-5701.</w:t>
      </w:r>
    </w:p>
    <w:p w14:paraId="2BC0906B"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Iglesias, O., Markovic, S., Singh, J.J. and Sierra, V. (2019) Do customer perceptions of corporate services brand ethicality improve brand equity? Considering the roles of brand heritage, brand image, and recognition benefits. </w:t>
      </w:r>
      <w:r w:rsidRPr="000D3C01">
        <w:rPr>
          <w:rFonts w:ascii="Arial" w:eastAsia="Calibri" w:hAnsi="Arial" w:cs="Arial"/>
          <w:i/>
          <w:iCs/>
          <w:sz w:val="24"/>
          <w:szCs w:val="24"/>
          <w:shd w:val="clear" w:color="auto" w:fill="FFFFFF"/>
          <w:lang w:val="en-GB"/>
        </w:rPr>
        <w:t>Journal of business ethics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154</w:t>
      </w:r>
      <w:r w:rsidRPr="000D3C01">
        <w:rPr>
          <w:rFonts w:ascii="Arial" w:eastAsia="Calibri" w:hAnsi="Arial" w:cs="Arial"/>
          <w:sz w:val="24"/>
          <w:szCs w:val="24"/>
          <w:shd w:val="clear" w:color="auto" w:fill="FFFFFF"/>
          <w:lang w:val="en-GB"/>
        </w:rPr>
        <w:t>(2), pp.441-459.</w:t>
      </w:r>
    </w:p>
    <w:p w14:paraId="15712A3F" w14:textId="77777777" w:rsidR="000D3C01" w:rsidRPr="000D3C01" w:rsidRDefault="000D3C01" w:rsidP="000D3C01">
      <w:pPr>
        <w:spacing w:before="240" w:line="360" w:lineRule="auto"/>
        <w:jc w:val="both"/>
        <w:rPr>
          <w:rFonts w:ascii="Arial" w:eastAsia="Calibri" w:hAnsi="Arial" w:cs="Arial"/>
          <w:b/>
          <w:sz w:val="24"/>
          <w:szCs w:val="24"/>
          <w:lang w:val="en-GB"/>
        </w:rPr>
      </w:pPr>
      <w:proofErr w:type="spellStart"/>
      <w:r w:rsidRPr="000D3C01">
        <w:rPr>
          <w:rFonts w:ascii="Arial" w:eastAsia="Calibri" w:hAnsi="Arial" w:cs="Arial"/>
          <w:sz w:val="24"/>
          <w:szCs w:val="24"/>
          <w:shd w:val="clear" w:color="auto" w:fill="FFFFFF"/>
          <w:lang w:val="en-GB"/>
        </w:rPr>
        <w:t>Imandoust</w:t>
      </w:r>
      <w:proofErr w:type="spellEnd"/>
      <w:r w:rsidRPr="000D3C01">
        <w:rPr>
          <w:rFonts w:ascii="Arial" w:eastAsia="Calibri" w:hAnsi="Arial" w:cs="Arial"/>
          <w:sz w:val="24"/>
          <w:szCs w:val="24"/>
          <w:shd w:val="clear" w:color="auto" w:fill="FFFFFF"/>
          <w:lang w:val="en-GB"/>
        </w:rPr>
        <w:t xml:space="preserve">, S.B. and </w:t>
      </w:r>
      <w:proofErr w:type="spellStart"/>
      <w:r w:rsidRPr="000D3C01">
        <w:rPr>
          <w:rFonts w:ascii="Arial" w:eastAsia="Calibri" w:hAnsi="Arial" w:cs="Arial"/>
          <w:sz w:val="24"/>
          <w:szCs w:val="24"/>
          <w:shd w:val="clear" w:color="auto" w:fill="FFFFFF"/>
          <w:lang w:val="en-GB"/>
        </w:rPr>
        <w:t>Bolandraftar</w:t>
      </w:r>
      <w:proofErr w:type="spellEnd"/>
      <w:r w:rsidRPr="000D3C01">
        <w:rPr>
          <w:rFonts w:ascii="Arial" w:eastAsia="Calibri" w:hAnsi="Arial" w:cs="Arial"/>
          <w:sz w:val="24"/>
          <w:szCs w:val="24"/>
          <w:shd w:val="clear" w:color="auto" w:fill="FFFFFF"/>
          <w:lang w:val="en-GB"/>
        </w:rPr>
        <w:t xml:space="preserve">, M. (2013) Application of k-nearest </w:t>
      </w:r>
      <w:proofErr w:type="spellStart"/>
      <w:r w:rsidRPr="000D3C01">
        <w:rPr>
          <w:rFonts w:ascii="Arial" w:eastAsia="Calibri" w:hAnsi="Arial" w:cs="Arial"/>
          <w:sz w:val="24"/>
          <w:szCs w:val="24"/>
          <w:shd w:val="clear" w:color="auto" w:fill="FFFFFF"/>
          <w:lang w:val="en-GB"/>
        </w:rPr>
        <w:t>neighbor</w:t>
      </w:r>
      <w:proofErr w:type="spellEnd"/>
      <w:r w:rsidRPr="000D3C01">
        <w:rPr>
          <w:rFonts w:ascii="Arial" w:eastAsia="Calibri" w:hAnsi="Arial" w:cs="Arial"/>
          <w:sz w:val="24"/>
          <w:szCs w:val="24"/>
          <w:shd w:val="clear" w:color="auto" w:fill="FFFFFF"/>
          <w:lang w:val="en-GB"/>
        </w:rPr>
        <w:t xml:space="preserve"> (</w:t>
      </w:r>
      <w:proofErr w:type="spellStart"/>
      <w:r w:rsidRPr="000D3C01">
        <w:rPr>
          <w:rFonts w:ascii="Arial" w:eastAsia="Calibri" w:hAnsi="Arial" w:cs="Arial"/>
          <w:sz w:val="24"/>
          <w:szCs w:val="24"/>
          <w:shd w:val="clear" w:color="auto" w:fill="FFFFFF"/>
          <w:lang w:val="en-GB"/>
        </w:rPr>
        <w:t>knn</w:t>
      </w:r>
      <w:proofErr w:type="spellEnd"/>
      <w:r w:rsidRPr="000D3C01">
        <w:rPr>
          <w:rFonts w:ascii="Arial" w:eastAsia="Calibri" w:hAnsi="Arial" w:cs="Arial"/>
          <w:sz w:val="24"/>
          <w:szCs w:val="24"/>
          <w:shd w:val="clear" w:color="auto" w:fill="FFFFFF"/>
          <w:lang w:val="en-GB"/>
        </w:rPr>
        <w:t>) approach for predicting economic events: Theoretical background. </w:t>
      </w:r>
      <w:r w:rsidRPr="000D3C01">
        <w:rPr>
          <w:rFonts w:ascii="Arial" w:eastAsia="Calibri" w:hAnsi="Arial" w:cs="Arial"/>
          <w:i/>
          <w:iCs/>
          <w:sz w:val="24"/>
          <w:szCs w:val="24"/>
          <w:shd w:val="clear" w:color="auto" w:fill="FFFFFF"/>
          <w:lang w:val="en-GB"/>
        </w:rPr>
        <w:t>International journal of engineering research and applications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w:t>
      </w:r>
      <w:r w:rsidRPr="000D3C01">
        <w:rPr>
          <w:rFonts w:ascii="Arial" w:eastAsia="Calibri" w:hAnsi="Arial" w:cs="Arial"/>
          <w:sz w:val="24"/>
          <w:szCs w:val="24"/>
          <w:shd w:val="clear" w:color="auto" w:fill="FFFFFF"/>
          <w:lang w:val="en-GB"/>
        </w:rPr>
        <w:t>(5), pp.605-610.</w:t>
      </w:r>
    </w:p>
    <w:p w14:paraId="316E7067"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Ishaq</w:t>
      </w:r>
      <w:proofErr w:type="spellEnd"/>
      <w:r w:rsidRPr="000D3C01">
        <w:rPr>
          <w:rFonts w:ascii="Arial" w:eastAsia="Calibri" w:hAnsi="Arial" w:cs="Arial"/>
          <w:sz w:val="24"/>
          <w:szCs w:val="24"/>
          <w:shd w:val="clear" w:color="auto" w:fill="FFFFFF"/>
          <w:lang w:val="en-GB"/>
        </w:rPr>
        <w:t>, M.I. and Di Maria, E. (2020) Sustainability countenance in brand equity: A critical review and future research directions. </w:t>
      </w:r>
      <w:r w:rsidRPr="000D3C01">
        <w:rPr>
          <w:rFonts w:ascii="Arial" w:eastAsia="Calibri" w:hAnsi="Arial" w:cs="Arial"/>
          <w:i/>
          <w:iCs/>
          <w:sz w:val="24"/>
          <w:szCs w:val="24"/>
          <w:shd w:val="clear" w:color="auto" w:fill="FFFFFF"/>
          <w:lang w:val="en-GB"/>
        </w:rPr>
        <w:t>Journal of Brand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27</w:t>
      </w:r>
      <w:r w:rsidRPr="000D3C01">
        <w:rPr>
          <w:rFonts w:ascii="Arial" w:eastAsia="Calibri" w:hAnsi="Arial" w:cs="Arial"/>
          <w:sz w:val="24"/>
          <w:szCs w:val="24"/>
          <w:shd w:val="clear" w:color="auto" w:fill="FFFFFF"/>
          <w:lang w:val="en-GB"/>
        </w:rPr>
        <w:t>(1), pp.15-34.</w:t>
      </w:r>
    </w:p>
    <w:p w14:paraId="74DAFE20"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Jara</w:t>
      </w:r>
      <w:proofErr w:type="spellEnd"/>
      <w:r w:rsidRPr="000D3C01">
        <w:rPr>
          <w:rFonts w:ascii="Arial" w:eastAsia="Calibri" w:hAnsi="Arial" w:cs="Arial"/>
          <w:sz w:val="24"/>
          <w:szCs w:val="24"/>
          <w:shd w:val="clear" w:color="auto" w:fill="FFFFFF"/>
          <w:lang w:val="en-GB"/>
        </w:rPr>
        <w:t xml:space="preserve">, M. and </w:t>
      </w:r>
      <w:proofErr w:type="spellStart"/>
      <w:r w:rsidRPr="000D3C01">
        <w:rPr>
          <w:rFonts w:ascii="Arial" w:eastAsia="Calibri" w:hAnsi="Arial" w:cs="Arial"/>
          <w:sz w:val="24"/>
          <w:szCs w:val="24"/>
          <w:shd w:val="clear" w:color="auto" w:fill="FFFFFF"/>
          <w:lang w:val="en-GB"/>
        </w:rPr>
        <w:t>Cliquet</w:t>
      </w:r>
      <w:proofErr w:type="spellEnd"/>
      <w:r w:rsidRPr="000D3C01">
        <w:rPr>
          <w:rFonts w:ascii="Arial" w:eastAsia="Calibri" w:hAnsi="Arial" w:cs="Arial"/>
          <w:sz w:val="24"/>
          <w:szCs w:val="24"/>
          <w:shd w:val="clear" w:color="auto" w:fill="FFFFFF"/>
          <w:lang w:val="en-GB"/>
        </w:rPr>
        <w:t>, G. (2012) Retail brand equity: conceptualization and measurement. </w:t>
      </w:r>
      <w:r w:rsidRPr="000D3C01">
        <w:rPr>
          <w:rFonts w:ascii="Arial" w:eastAsia="Calibri" w:hAnsi="Arial" w:cs="Arial"/>
          <w:i/>
          <w:iCs/>
          <w:sz w:val="24"/>
          <w:szCs w:val="24"/>
          <w:shd w:val="clear" w:color="auto" w:fill="FFFFFF"/>
          <w:lang w:val="en-GB"/>
        </w:rPr>
        <w:t>Journal of Retailing and Consumer Services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19</w:t>
      </w:r>
      <w:r w:rsidRPr="000D3C01">
        <w:rPr>
          <w:rFonts w:ascii="Arial" w:eastAsia="Calibri" w:hAnsi="Arial" w:cs="Arial"/>
          <w:sz w:val="24"/>
          <w:szCs w:val="24"/>
          <w:shd w:val="clear" w:color="auto" w:fill="FFFFFF"/>
          <w:lang w:val="en-GB"/>
        </w:rPr>
        <w:t>(1), pp.140-149.</w:t>
      </w:r>
    </w:p>
    <w:p w14:paraId="1054023F"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Jiang, B. (2022) How Consumers’ Response on CSR Affects Brand Competitiveness in the Fast Fashion Industry——Case Study of Zara (Inditex) and H&amp;M. </w:t>
      </w:r>
      <w:r w:rsidRPr="000D3C01">
        <w:rPr>
          <w:rFonts w:ascii="Arial" w:eastAsia="Calibri" w:hAnsi="Arial" w:cs="Arial"/>
          <w:i/>
          <w:iCs/>
          <w:sz w:val="24"/>
          <w:szCs w:val="24"/>
          <w:shd w:val="clear" w:color="auto" w:fill="FFFFFF"/>
          <w:lang w:val="en-GB"/>
        </w:rPr>
        <w:t>Academic Journal of Business &amp;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4</w:t>
      </w:r>
      <w:r w:rsidRPr="000D3C01">
        <w:rPr>
          <w:rFonts w:ascii="Arial" w:eastAsia="Calibri" w:hAnsi="Arial" w:cs="Arial"/>
          <w:sz w:val="24"/>
          <w:szCs w:val="24"/>
          <w:shd w:val="clear" w:color="auto" w:fill="FFFFFF"/>
          <w:lang w:val="en-GB"/>
        </w:rPr>
        <w:t>(1).</w:t>
      </w:r>
    </w:p>
    <w:p w14:paraId="01E6DEAB"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Johnson, S.K., Goldman, J.A., </w:t>
      </w:r>
      <w:proofErr w:type="spellStart"/>
      <w:r w:rsidRPr="000D3C01">
        <w:rPr>
          <w:rFonts w:ascii="Arial" w:eastAsia="Calibri" w:hAnsi="Arial" w:cs="Arial"/>
          <w:sz w:val="24"/>
          <w:szCs w:val="24"/>
          <w:shd w:val="clear" w:color="auto" w:fill="FFFFFF"/>
          <w:lang w:val="en-GB"/>
        </w:rPr>
        <w:t>Garey</w:t>
      </w:r>
      <w:proofErr w:type="spellEnd"/>
      <w:r w:rsidRPr="000D3C01">
        <w:rPr>
          <w:rFonts w:ascii="Arial" w:eastAsia="Calibri" w:hAnsi="Arial" w:cs="Arial"/>
          <w:sz w:val="24"/>
          <w:szCs w:val="24"/>
          <w:shd w:val="clear" w:color="auto" w:fill="FFFFFF"/>
          <w:lang w:val="en-GB"/>
        </w:rPr>
        <w:t xml:space="preserve">, A.I., </w:t>
      </w:r>
      <w:proofErr w:type="spellStart"/>
      <w:r w:rsidRPr="000D3C01">
        <w:rPr>
          <w:rFonts w:ascii="Arial" w:eastAsia="Calibri" w:hAnsi="Arial" w:cs="Arial"/>
          <w:sz w:val="24"/>
          <w:szCs w:val="24"/>
          <w:shd w:val="clear" w:color="auto" w:fill="FFFFFF"/>
          <w:lang w:val="en-GB"/>
        </w:rPr>
        <w:t>Britner</w:t>
      </w:r>
      <w:proofErr w:type="spellEnd"/>
      <w:r w:rsidRPr="000D3C01">
        <w:rPr>
          <w:rFonts w:ascii="Arial" w:eastAsia="Calibri" w:hAnsi="Arial" w:cs="Arial"/>
          <w:sz w:val="24"/>
          <w:szCs w:val="24"/>
          <w:shd w:val="clear" w:color="auto" w:fill="FFFFFF"/>
          <w:lang w:val="en-GB"/>
        </w:rPr>
        <w:t>, P.A. and Weaver, S.E. (2011) Emerging adults’ identity exploration: Illustrations from inside the “camp bubble”. </w:t>
      </w:r>
      <w:r w:rsidRPr="000D3C01">
        <w:rPr>
          <w:rFonts w:ascii="Arial" w:eastAsia="Calibri" w:hAnsi="Arial" w:cs="Arial"/>
          <w:i/>
          <w:iCs/>
          <w:sz w:val="24"/>
          <w:szCs w:val="24"/>
          <w:shd w:val="clear" w:color="auto" w:fill="FFFFFF"/>
          <w:lang w:val="en-GB"/>
        </w:rPr>
        <w:t>Journal of Adolescent Research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26</w:t>
      </w:r>
      <w:r w:rsidRPr="000D3C01">
        <w:rPr>
          <w:rFonts w:ascii="Arial" w:eastAsia="Calibri" w:hAnsi="Arial" w:cs="Arial"/>
          <w:sz w:val="24"/>
          <w:szCs w:val="24"/>
          <w:shd w:val="clear" w:color="auto" w:fill="FFFFFF"/>
          <w:lang w:val="en-GB"/>
        </w:rPr>
        <w:t>(2), pp.258-295.</w:t>
      </w:r>
    </w:p>
    <w:p w14:paraId="10F8E6F1"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Laurie, S. and Mortimer, K. (2019) How to achieve true integration: the impact of integrated marketing communication on the client/agency relationship. </w:t>
      </w:r>
      <w:r w:rsidRPr="000D3C01">
        <w:rPr>
          <w:rFonts w:ascii="Arial" w:eastAsia="Calibri" w:hAnsi="Arial" w:cs="Arial"/>
          <w:i/>
          <w:iCs/>
          <w:sz w:val="24"/>
          <w:szCs w:val="24"/>
          <w:shd w:val="clear" w:color="auto" w:fill="FFFFFF"/>
          <w:lang w:val="en-GB"/>
        </w:rPr>
        <w:t>Journal of Marketing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35</w:t>
      </w:r>
      <w:r w:rsidRPr="000D3C01">
        <w:rPr>
          <w:rFonts w:ascii="Arial" w:eastAsia="Calibri" w:hAnsi="Arial" w:cs="Arial"/>
          <w:sz w:val="24"/>
          <w:szCs w:val="24"/>
          <w:shd w:val="clear" w:color="auto" w:fill="FFFFFF"/>
          <w:lang w:val="en-GB"/>
        </w:rPr>
        <w:t>(3-4), pp.231-252.</w:t>
      </w:r>
    </w:p>
    <w:p w14:paraId="37C07476"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Lea-Greenwood, G. (2013) </w:t>
      </w:r>
      <w:r w:rsidRPr="000D3C01">
        <w:rPr>
          <w:rFonts w:ascii="Arial" w:eastAsia="Calibri" w:hAnsi="Arial" w:cs="Arial"/>
          <w:i/>
          <w:iCs/>
          <w:sz w:val="24"/>
          <w:szCs w:val="24"/>
          <w:shd w:val="clear" w:color="auto" w:fill="FFFFFF"/>
          <w:lang w:val="en-GB"/>
        </w:rPr>
        <w:t>Fashion marketing communications</w:t>
      </w:r>
      <w:r w:rsidRPr="000D3C01">
        <w:rPr>
          <w:rFonts w:ascii="Arial" w:eastAsia="Calibri" w:hAnsi="Arial" w:cs="Arial"/>
          <w:sz w:val="24"/>
          <w:szCs w:val="24"/>
          <w:shd w:val="clear" w:color="auto" w:fill="FFFFFF"/>
          <w:lang w:val="en-GB"/>
        </w:rPr>
        <w:t>. New Jersey: John Wiley &amp; Sons.</w:t>
      </w:r>
    </w:p>
    <w:p w14:paraId="6D40933A"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Lee, C.H., Ko, E., </w:t>
      </w:r>
      <w:proofErr w:type="spellStart"/>
      <w:r w:rsidRPr="000D3C01">
        <w:rPr>
          <w:rFonts w:ascii="Arial" w:eastAsia="Calibri" w:hAnsi="Arial" w:cs="Arial"/>
          <w:sz w:val="24"/>
          <w:szCs w:val="24"/>
          <w:shd w:val="clear" w:color="auto" w:fill="FFFFFF"/>
          <w:lang w:val="en-GB"/>
        </w:rPr>
        <w:t>Tikkanen</w:t>
      </w:r>
      <w:proofErr w:type="spellEnd"/>
      <w:r w:rsidRPr="000D3C01">
        <w:rPr>
          <w:rFonts w:ascii="Arial" w:eastAsia="Calibri" w:hAnsi="Arial" w:cs="Arial"/>
          <w:sz w:val="24"/>
          <w:szCs w:val="24"/>
          <w:shd w:val="clear" w:color="auto" w:fill="FFFFFF"/>
          <w:lang w:val="en-GB"/>
        </w:rPr>
        <w:t xml:space="preserve">, H., Phan, M.C.T., Aiello, G., </w:t>
      </w:r>
      <w:proofErr w:type="spellStart"/>
      <w:r w:rsidRPr="000D3C01">
        <w:rPr>
          <w:rFonts w:ascii="Arial" w:eastAsia="Calibri" w:hAnsi="Arial" w:cs="Arial"/>
          <w:sz w:val="24"/>
          <w:szCs w:val="24"/>
          <w:shd w:val="clear" w:color="auto" w:fill="FFFFFF"/>
          <w:lang w:val="en-GB"/>
        </w:rPr>
        <w:t>Donvito</w:t>
      </w:r>
      <w:proofErr w:type="spellEnd"/>
      <w:r w:rsidRPr="000D3C01">
        <w:rPr>
          <w:rFonts w:ascii="Arial" w:eastAsia="Calibri" w:hAnsi="Arial" w:cs="Arial"/>
          <w:sz w:val="24"/>
          <w:szCs w:val="24"/>
          <w:shd w:val="clear" w:color="auto" w:fill="FFFFFF"/>
          <w:lang w:val="en-GB"/>
        </w:rPr>
        <w:t xml:space="preserve">, R. and </w:t>
      </w:r>
      <w:proofErr w:type="spellStart"/>
      <w:r w:rsidRPr="000D3C01">
        <w:rPr>
          <w:rFonts w:ascii="Arial" w:eastAsia="Calibri" w:hAnsi="Arial" w:cs="Arial"/>
          <w:sz w:val="24"/>
          <w:szCs w:val="24"/>
          <w:shd w:val="clear" w:color="auto" w:fill="FFFFFF"/>
          <w:lang w:val="en-GB"/>
        </w:rPr>
        <w:t>Raithel</w:t>
      </w:r>
      <w:proofErr w:type="spellEnd"/>
      <w:r w:rsidRPr="000D3C01">
        <w:rPr>
          <w:rFonts w:ascii="Arial" w:eastAsia="Calibri" w:hAnsi="Arial" w:cs="Arial"/>
          <w:sz w:val="24"/>
          <w:szCs w:val="24"/>
          <w:shd w:val="clear" w:color="auto" w:fill="FFFFFF"/>
          <w:lang w:val="en-GB"/>
        </w:rPr>
        <w:t>, S. (2014</w:t>
      </w:r>
      <w:proofErr w:type="gramStart"/>
      <w:r w:rsidRPr="000D3C01">
        <w:rPr>
          <w:rFonts w:ascii="Arial" w:eastAsia="Calibri" w:hAnsi="Arial" w:cs="Arial"/>
          <w:sz w:val="24"/>
          <w:szCs w:val="24"/>
          <w:shd w:val="clear" w:color="auto" w:fill="FFFFFF"/>
          <w:lang w:val="en-GB"/>
        </w:rPr>
        <w:t>)  Marketing</w:t>
      </w:r>
      <w:proofErr w:type="gramEnd"/>
      <w:r w:rsidRPr="000D3C01">
        <w:rPr>
          <w:rFonts w:ascii="Arial" w:eastAsia="Calibri" w:hAnsi="Arial" w:cs="Arial"/>
          <w:sz w:val="24"/>
          <w:szCs w:val="24"/>
          <w:shd w:val="clear" w:color="auto" w:fill="FFFFFF"/>
          <w:lang w:val="en-GB"/>
        </w:rPr>
        <w:t xml:space="preserve"> mix and customer equity of SPA brands: Cross-cultural perspectives. </w:t>
      </w:r>
      <w:r w:rsidRPr="000D3C01">
        <w:rPr>
          <w:rFonts w:ascii="Arial" w:eastAsia="Calibri" w:hAnsi="Arial" w:cs="Arial"/>
          <w:i/>
          <w:iCs/>
          <w:sz w:val="24"/>
          <w:szCs w:val="24"/>
          <w:shd w:val="clear" w:color="auto" w:fill="FFFFFF"/>
          <w:lang w:val="en-GB"/>
        </w:rPr>
        <w:t>Journal of Business Research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67</w:t>
      </w:r>
      <w:r w:rsidRPr="000D3C01">
        <w:rPr>
          <w:rFonts w:ascii="Arial" w:eastAsia="Calibri" w:hAnsi="Arial" w:cs="Arial"/>
          <w:sz w:val="24"/>
          <w:szCs w:val="24"/>
          <w:shd w:val="clear" w:color="auto" w:fill="FFFFFF"/>
          <w:lang w:val="en-GB"/>
        </w:rPr>
        <w:t>(10), pp.2155-2163.</w:t>
      </w:r>
    </w:p>
    <w:p w14:paraId="615D1965" w14:textId="77777777" w:rsidR="000D3C01" w:rsidRPr="000D3C01" w:rsidRDefault="000D3C01" w:rsidP="000D3C01">
      <w:pPr>
        <w:widowControl w:val="0"/>
        <w:autoSpaceDE w:val="0"/>
        <w:autoSpaceDN w:val="0"/>
        <w:spacing w:before="240" w:after="0" w:line="360" w:lineRule="auto"/>
        <w:ind w:left="50"/>
        <w:jc w:val="both"/>
        <w:rPr>
          <w:rFonts w:ascii="Arial" w:eastAsia="Arial" w:hAnsi="Arial" w:cs="Arial"/>
          <w:sz w:val="24"/>
          <w:szCs w:val="24"/>
          <w:shd w:val="clear" w:color="auto" w:fill="FFFFFF"/>
          <w:lang w:val="en-US"/>
        </w:rPr>
      </w:pPr>
      <w:r w:rsidRPr="000D3C01">
        <w:rPr>
          <w:rFonts w:ascii="Arial" w:eastAsia="Arial" w:hAnsi="Arial" w:cs="Arial"/>
          <w:sz w:val="24"/>
          <w:szCs w:val="24"/>
          <w:shd w:val="clear" w:color="auto" w:fill="FFFFFF"/>
          <w:lang w:val="en-US"/>
        </w:rPr>
        <w:t>Li, Y., Zhao, X., Shi, D. and Li, X. (2014) Governance of sustainable supply chains in the fast fashion industry. </w:t>
      </w:r>
      <w:r w:rsidRPr="000D3C01">
        <w:rPr>
          <w:rFonts w:ascii="Arial" w:eastAsia="Arial" w:hAnsi="Arial" w:cs="Arial"/>
          <w:i/>
          <w:iCs/>
          <w:sz w:val="24"/>
          <w:szCs w:val="24"/>
          <w:shd w:val="clear" w:color="auto" w:fill="FFFFFF"/>
          <w:lang w:val="en-US"/>
        </w:rPr>
        <w:t>European Management Journal</w:t>
      </w:r>
      <w:r w:rsidRPr="000D3C01">
        <w:rPr>
          <w:rFonts w:ascii="Arial" w:eastAsia="Arial" w:hAnsi="Arial" w:cs="Arial"/>
          <w:sz w:val="24"/>
          <w:szCs w:val="24"/>
          <w:shd w:val="clear" w:color="auto" w:fill="FFFFFF"/>
          <w:lang w:val="en-US"/>
        </w:rPr>
        <w:t>, </w:t>
      </w:r>
      <w:r w:rsidRPr="000D3C01">
        <w:rPr>
          <w:rFonts w:ascii="Arial" w:eastAsia="Arial" w:hAnsi="Arial" w:cs="Arial"/>
          <w:i/>
          <w:iCs/>
          <w:sz w:val="24"/>
          <w:szCs w:val="24"/>
          <w:shd w:val="clear" w:color="auto" w:fill="FFFFFF"/>
          <w:lang w:val="en-US"/>
        </w:rPr>
        <w:t>32</w:t>
      </w:r>
      <w:r w:rsidRPr="000D3C01">
        <w:rPr>
          <w:rFonts w:ascii="Arial" w:eastAsia="Arial" w:hAnsi="Arial" w:cs="Arial"/>
          <w:sz w:val="24"/>
          <w:szCs w:val="24"/>
          <w:shd w:val="clear" w:color="auto" w:fill="FFFFFF"/>
          <w:lang w:val="en-US"/>
        </w:rPr>
        <w:t>(5), pp.823-836.</w:t>
      </w:r>
    </w:p>
    <w:p w14:paraId="4BA42550"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Liang, X., Lu, X. and Wang, L. (2012) Outward internationalization of private enterprises in China: The effect of competitive advantages and disadvantages compared to home market rivals. </w:t>
      </w:r>
      <w:r w:rsidRPr="000D3C01">
        <w:rPr>
          <w:rFonts w:ascii="Arial" w:eastAsia="Calibri" w:hAnsi="Arial" w:cs="Arial"/>
          <w:i/>
          <w:iCs/>
          <w:sz w:val="24"/>
          <w:szCs w:val="24"/>
          <w:shd w:val="clear" w:color="auto" w:fill="FFFFFF"/>
          <w:lang w:val="en-GB"/>
        </w:rPr>
        <w:t>Journal of World Business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47</w:t>
      </w:r>
      <w:r w:rsidRPr="000D3C01">
        <w:rPr>
          <w:rFonts w:ascii="Arial" w:eastAsia="Calibri" w:hAnsi="Arial" w:cs="Arial"/>
          <w:sz w:val="24"/>
          <w:szCs w:val="24"/>
          <w:shd w:val="clear" w:color="auto" w:fill="FFFFFF"/>
          <w:lang w:val="en-GB"/>
        </w:rPr>
        <w:t>(1), pp.134-144.</w:t>
      </w:r>
    </w:p>
    <w:p w14:paraId="73383DEF"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Lippitt, C.D., Stow, </w:t>
      </w:r>
      <w:proofErr w:type="gramStart"/>
      <w:r w:rsidRPr="000D3C01">
        <w:rPr>
          <w:rFonts w:ascii="Arial" w:eastAsia="Calibri" w:hAnsi="Arial" w:cs="Arial"/>
          <w:sz w:val="24"/>
          <w:szCs w:val="24"/>
          <w:shd w:val="clear" w:color="auto" w:fill="FFFFFF"/>
          <w:lang w:val="en-GB"/>
        </w:rPr>
        <w:t>D.A.</w:t>
      </w:r>
      <w:proofErr w:type="gramEnd"/>
      <w:r w:rsidRPr="000D3C01">
        <w:rPr>
          <w:rFonts w:ascii="Arial" w:eastAsia="Calibri" w:hAnsi="Arial" w:cs="Arial"/>
          <w:sz w:val="24"/>
          <w:szCs w:val="24"/>
          <w:shd w:val="clear" w:color="auto" w:fill="FFFFFF"/>
          <w:lang w:val="en-GB"/>
        </w:rPr>
        <w:t xml:space="preserve"> and Clarke, K.C. (2014) On the nature of models for time-sensitive remote sensing. </w:t>
      </w:r>
      <w:r w:rsidRPr="000D3C01">
        <w:rPr>
          <w:rFonts w:ascii="Arial" w:eastAsia="Calibri" w:hAnsi="Arial" w:cs="Arial"/>
          <w:i/>
          <w:iCs/>
          <w:sz w:val="24"/>
          <w:szCs w:val="24"/>
          <w:shd w:val="clear" w:color="auto" w:fill="FFFFFF"/>
          <w:lang w:val="en-GB"/>
        </w:rPr>
        <w:t>International journal of remote sensing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35</w:t>
      </w:r>
      <w:r w:rsidRPr="000D3C01">
        <w:rPr>
          <w:rFonts w:ascii="Arial" w:eastAsia="Calibri" w:hAnsi="Arial" w:cs="Arial"/>
          <w:sz w:val="24"/>
          <w:szCs w:val="24"/>
          <w:shd w:val="clear" w:color="auto" w:fill="FFFFFF"/>
          <w:lang w:val="en-GB"/>
        </w:rPr>
        <w:t>(18), pp.6815-6841.</w:t>
      </w:r>
    </w:p>
    <w:p w14:paraId="4FACEBCA"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Luxton, S., Reid, M. and </w:t>
      </w:r>
      <w:proofErr w:type="spellStart"/>
      <w:r w:rsidRPr="000D3C01">
        <w:rPr>
          <w:rFonts w:ascii="Arial" w:eastAsia="Calibri" w:hAnsi="Arial" w:cs="Arial"/>
          <w:sz w:val="24"/>
          <w:szCs w:val="24"/>
          <w:shd w:val="clear" w:color="auto" w:fill="FFFFFF"/>
          <w:lang w:val="en-GB"/>
        </w:rPr>
        <w:t>Mavondo</w:t>
      </w:r>
      <w:proofErr w:type="spellEnd"/>
      <w:r w:rsidRPr="000D3C01">
        <w:rPr>
          <w:rFonts w:ascii="Arial" w:eastAsia="Calibri" w:hAnsi="Arial" w:cs="Arial"/>
          <w:sz w:val="24"/>
          <w:szCs w:val="24"/>
          <w:shd w:val="clear" w:color="auto" w:fill="FFFFFF"/>
          <w:lang w:val="en-GB"/>
        </w:rPr>
        <w:t>, F. (2015) Integrated marketing communication capability and brand performance. </w:t>
      </w:r>
      <w:r w:rsidRPr="000D3C01">
        <w:rPr>
          <w:rFonts w:ascii="Arial" w:eastAsia="Calibri" w:hAnsi="Arial" w:cs="Arial"/>
          <w:i/>
          <w:iCs/>
          <w:sz w:val="24"/>
          <w:szCs w:val="24"/>
          <w:shd w:val="clear" w:color="auto" w:fill="FFFFFF"/>
          <w:lang w:val="en-GB"/>
        </w:rPr>
        <w:t>Journal of Advertising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44</w:t>
      </w:r>
      <w:r w:rsidRPr="000D3C01">
        <w:rPr>
          <w:rFonts w:ascii="Arial" w:eastAsia="Calibri" w:hAnsi="Arial" w:cs="Arial"/>
          <w:sz w:val="24"/>
          <w:szCs w:val="24"/>
          <w:shd w:val="clear" w:color="auto" w:fill="FFFFFF"/>
          <w:lang w:val="en-GB"/>
        </w:rPr>
        <w:t>(1), pp.37-46.</w:t>
      </w:r>
    </w:p>
    <w:p w14:paraId="37DE88DD" w14:textId="77777777" w:rsidR="000D3C01" w:rsidRPr="000D3C01" w:rsidRDefault="000D3C01" w:rsidP="000D3C01">
      <w:pPr>
        <w:spacing w:before="240" w:line="360" w:lineRule="auto"/>
        <w:jc w:val="both"/>
        <w:rPr>
          <w:rFonts w:ascii="Arial" w:eastAsia="Calibri" w:hAnsi="Arial" w:cs="Arial"/>
          <w:b/>
          <w:sz w:val="24"/>
          <w:szCs w:val="24"/>
          <w:lang w:val="en-GB"/>
        </w:rPr>
      </w:pPr>
      <w:r w:rsidRPr="000D3C01">
        <w:rPr>
          <w:rFonts w:ascii="Arial" w:eastAsia="Calibri" w:hAnsi="Arial" w:cs="Arial"/>
          <w:sz w:val="24"/>
          <w:szCs w:val="24"/>
          <w:shd w:val="clear" w:color="auto" w:fill="FFFFFF"/>
          <w:lang w:val="en-GB"/>
        </w:rPr>
        <w:t>Ma, L. (2012) Meanings of information: The assumptions and research consequences of three foundational LIS theories. </w:t>
      </w:r>
      <w:r w:rsidRPr="000D3C01">
        <w:rPr>
          <w:rFonts w:ascii="Arial" w:eastAsia="Calibri" w:hAnsi="Arial" w:cs="Arial"/>
          <w:i/>
          <w:iCs/>
          <w:sz w:val="24"/>
          <w:szCs w:val="24"/>
          <w:shd w:val="clear" w:color="auto" w:fill="FFFFFF"/>
          <w:lang w:val="en-GB"/>
        </w:rPr>
        <w:t>Journal of the American Society for Information Science and Technology</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63</w:t>
      </w:r>
      <w:r w:rsidRPr="000D3C01">
        <w:rPr>
          <w:rFonts w:ascii="Arial" w:eastAsia="Calibri" w:hAnsi="Arial" w:cs="Arial"/>
          <w:sz w:val="24"/>
          <w:szCs w:val="24"/>
          <w:shd w:val="clear" w:color="auto" w:fill="FFFFFF"/>
          <w:lang w:val="en-GB"/>
        </w:rPr>
        <w:t>(4), pp.716-723.</w:t>
      </w:r>
    </w:p>
    <w:p w14:paraId="6F355003" w14:textId="77777777" w:rsidR="000D3C01" w:rsidRPr="000D3C01" w:rsidRDefault="000D3C01" w:rsidP="000D3C01">
      <w:pPr>
        <w:widowControl w:val="0"/>
        <w:autoSpaceDE w:val="0"/>
        <w:autoSpaceDN w:val="0"/>
        <w:spacing w:before="240" w:after="0" w:line="360" w:lineRule="auto"/>
        <w:ind w:left="50"/>
        <w:jc w:val="both"/>
        <w:rPr>
          <w:rFonts w:ascii="Arial" w:eastAsia="Arial" w:hAnsi="Arial" w:cs="Arial"/>
          <w:sz w:val="24"/>
          <w:szCs w:val="24"/>
          <w:shd w:val="clear" w:color="auto" w:fill="FFFFFF"/>
          <w:lang w:val="en-US"/>
        </w:rPr>
      </w:pPr>
      <w:r w:rsidRPr="000D3C01">
        <w:rPr>
          <w:rFonts w:ascii="Arial" w:eastAsia="Arial" w:hAnsi="Arial" w:cs="Arial"/>
          <w:sz w:val="24"/>
          <w:szCs w:val="24"/>
          <w:shd w:val="clear" w:color="auto" w:fill="FFFFFF"/>
          <w:lang w:val="en-US"/>
        </w:rPr>
        <w:t xml:space="preserve">Madsen, D.Ø., Silva, E.S. and </w:t>
      </w:r>
      <w:proofErr w:type="spellStart"/>
      <w:r w:rsidRPr="000D3C01">
        <w:rPr>
          <w:rFonts w:ascii="Arial" w:eastAsia="Arial" w:hAnsi="Arial" w:cs="Arial"/>
          <w:sz w:val="24"/>
          <w:szCs w:val="24"/>
          <w:shd w:val="clear" w:color="auto" w:fill="FFFFFF"/>
          <w:lang w:val="en-US"/>
        </w:rPr>
        <w:t>Hassani</w:t>
      </w:r>
      <w:proofErr w:type="spellEnd"/>
      <w:r w:rsidRPr="000D3C01">
        <w:rPr>
          <w:rFonts w:ascii="Arial" w:eastAsia="Arial" w:hAnsi="Arial" w:cs="Arial"/>
          <w:sz w:val="24"/>
          <w:szCs w:val="24"/>
          <w:shd w:val="clear" w:color="auto" w:fill="FFFFFF"/>
          <w:lang w:val="en-US"/>
        </w:rPr>
        <w:t>, H. (2021) The application of big data in fashion retailing: a narrative review. </w:t>
      </w:r>
      <w:r w:rsidRPr="000D3C01">
        <w:rPr>
          <w:rFonts w:ascii="Arial" w:eastAsia="Arial" w:hAnsi="Arial" w:cs="Arial"/>
          <w:i/>
          <w:iCs/>
          <w:sz w:val="24"/>
          <w:szCs w:val="24"/>
          <w:shd w:val="clear" w:color="auto" w:fill="FFFFFF"/>
          <w:lang w:val="en-US"/>
        </w:rPr>
        <w:t>International Journal of Management Concepts and Philosophy</w:t>
      </w:r>
      <w:r w:rsidRPr="000D3C01">
        <w:rPr>
          <w:rFonts w:ascii="Arial" w:eastAsia="Arial" w:hAnsi="Arial" w:cs="Arial"/>
          <w:sz w:val="24"/>
          <w:szCs w:val="24"/>
          <w:shd w:val="clear" w:color="auto" w:fill="FFFFFF"/>
          <w:lang w:val="en-US"/>
        </w:rPr>
        <w:t>, </w:t>
      </w:r>
      <w:r w:rsidRPr="000D3C01">
        <w:rPr>
          <w:rFonts w:ascii="Arial" w:eastAsia="Arial" w:hAnsi="Arial" w:cs="Arial"/>
          <w:i/>
          <w:iCs/>
          <w:sz w:val="24"/>
          <w:szCs w:val="24"/>
          <w:shd w:val="clear" w:color="auto" w:fill="FFFFFF"/>
          <w:lang w:val="en-US"/>
        </w:rPr>
        <w:t>13</w:t>
      </w:r>
      <w:r w:rsidRPr="000D3C01">
        <w:rPr>
          <w:rFonts w:ascii="Arial" w:eastAsia="Arial" w:hAnsi="Arial" w:cs="Arial"/>
          <w:sz w:val="24"/>
          <w:szCs w:val="24"/>
          <w:shd w:val="clear" w:color="auto" w:fill="FFFFFF"/>
          <w:lang w:val="en-US"/>
        </w:rPr>
        <w:t>(4), pp.247-274.</w:t>
      </w:r>
    </w:p>
    <w:p w14:paraId="6B4B7919"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McCormick, H., Cartwright, J., Perry, P., Barnes, L., Lynch, S. and Ball, G. (2014) Fashion retailing–past, </w:t>
      </w:r>
      <w:proofErr w:type="gramStart"/>
      <w:r w:rsidRPr="000D3C01">
        <w:rPr>
          <w:rFonts w:ascii="Arial" w:eastAsia="Calibri" w:hAnsi="Arial" w:cs="Arial"/>
          <w:sz w:val="24"/>
          <w:szCs w:val="24"/>
          <w:shd w:val="clear" w:color="auto" w:fill="FFFFFF"/>
          <w:lang w:val="en-GB"/>
        </w:rPr>
        <w:t>present</w:t>
      </w:r>
      <w:proofErr w:type="gramEnd"/>
      <w:r w:rsidRPr="000D3C01">
        <w:rPr>
          <w:rFonts w:ascii="Arial" w:eastAsia="Calibri" w:hAnsi="Arial" w:cs="Arial"/>
          <w:sz w:val="24"/>
          <w:szCs w:val="24"/>
          <w:shd w:val="clear" w:color="auto" w:fill="FFFFFF"/>
          <w:lang w:val="en-GB"/>
        </w:rPr>
        <w:t xml:space="preserve"> and future. </w:t>
      </w:r>
      <w:r w:rsidRPr="000D3C01">
        <w:rPr>
          <w:rFonts w:ascii="Arial" w:eastAsia="Calibri" w:hAnsi="Arial" w:cs="Arial"/>
          <w:i/>
          <w:iCs/>
          <w:sz w:val="24"/>
          <w:szCs w:val="24"/>
          <w:shd w:val="clear" w:color="auto" w:fill="FFFFFF"/>
          <w:lang w:val="en-GB"/>
        </w:rPr>
        <w:t>Textile Progress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46</w:t>
      </w:r>
      <w:r w:rsidRPr="000D3C01">
        <w:rPr>
          <w:rFonts w:ascii="Arial" w:eastAsia="Calibri" w:hAnsi="Arial" w:cs="Arial"/>
          <w:sz w:val="24"/>
          <w:szCs w:val="24"/>
          <w:shd w:val="clear" w:color="auto" w:fill="FFFFFF"/>
          <w:lang w:val="en-GB"/>
        </w:rPr>
        <w:t>(3), pp.227-321.</w:t>
      </w:r>
    </w:p>
    <w:p w14:paraId="4971B795"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Moliner</w:t>
      </w:r>
      <w:proofErr w:type="spellEnd"/>
      <w:r w:rsidRPr="000D3C01">
        <w:rPr>
          <w:rFonts w:ascii="Arial" w:eastAsia="Calibri" w:hAnsi="Arial" w:cs="Arial"/>
          <w:sz w:val="24"/>
          <w:szCs w:val="24"/>
          <w:shd w:val="clear" w:color="auto" w:fill="FFFFFF"/>
          <w:lang w:val="en-GB"/>
        </w:rPr>
        <w:t>-Velázquez, B., Fuentes-</w:t>
      </w:r>
      <w:proofErr w:type="spellStart"/>
      <w:r w:rsidRPr="000D3C01">
        <w:rPr>
          <w:rFonts w:ascii="Arial" w:eastAsia="Calibri" w:hAnsi="Arial" w:cs="Arial"/>
          <w:sz w:val="24"/>
          <w:szCs w:val="24"/>
          <w:shd w:val="clear" w:color="auto" w:fill="FFFFFF"/>
          <w:lang w:val="en-GB"/>
        </w:rPr>
        <w:t>Blasco</w:t>
      </w:r>
      <w:proofErr w:type="spellEnd"/>
      <w:r w:rsidRPr="000D3C01">
        <w:rPr>
          <w:rFonts w:ascii="Arial" w:eastAsia="Calibri" w:hAnsi="Arial" w:cs="Arial"/>
          <w:sz w:val="24"/>
          <w:szCs w:val="24"/>
          <w:shd w:val="clear" w:color="auto" w:fill="FFFFFF"/>
          <w:lang w:val="en-GB"/>
        </w:rPr>
        <w:t>, M. and Gil-</w:t>
      </w:r>
      <w:proofErr w:type="spellStart"/>
      <w:r w:rsidRPr="000D3C01">
        <w:rPr>
          <w:rFonts w:ascii="Arial" w:eastAsia="Calibri" w:hAnsi="Arial" w:cs="Arial"/>
          <w:sz w:val="24"/>
          <w:szCs w:val="24"/>
          <w:shd w:val="clear" w:color="auto" w:fill="FFFFFF"/>
          <w:lang w:val="en-GB"/>
        </w:rPr>
        <w:t>Saura</w:t>
      </w:r>
      <w:proofErr w:type="spellEnd"/>
      <w:r w:rsidRPr="000D3C01">
        <w:rPr>
          <w:rFonts w:ascii="Arial" w:eastAsia="Calibri" w:hAnsi="Arial" w:cs="Arial"/>
          <w:sz w:val="24"/>
          <w:szCs w:val="24"/>
          <w:shd w:val="clear" w:color="auto" w:fill="FFFFFF"/>
          <w:lang w:val="en-GB"/>
        </w:rPr>
        <w:t>, I. (2019) Effects of value and innovation on brand equity in retailing. </w:t>
      </w:r>
      <w:r w:rsidRPr="000D3C01">
        <w:rPr>
          <w:rFonts w:ascii="Arial" w:eastAsia="Calibri" w:hAnsi="Arial" w:cs="Arial"/>
          <w:i/>
          <w:iCs/>
          <w:sz w:val="24"/>
          <w:szCs w:val="24"/>
          <w:shd w:val="clear" w:color="auto" w:fill="FFFFFF"/>
          <w:lang w:val="en-GB"/>
        </w:rPr>
        <w:t>Journal of Brand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26</w:t>
      </w:r>
      <w:r w:rsidRPr="000D3C01">
        <w:rPr>
          <w:rFonts w:ascii="Arial" w:eastAsia="Calibri" w:hAnsi="Arial" w:cs="Arial"/>
          <w:sz w:val="24"/>
          <w:szCs w:val="24"/>
          <w:shd w:val="clear" w:color="auto" w:fill="FFFFFF"/>
          <w:lang w:val="en-GB"/>
        </w:rPr>
        <w:t>(6), pp.658-674.</w:t>
      </w:r>
    </w:p>
    <w:p w14:paraId="2A9CA094"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Moreira, A.C., Fortes, N. and Santiago, R. (2017) Influence of sensory stimuli on brand experience, brand equity and purchase intention. </w:t>
      </w:r>
      <w:r w:rsidRPr="000D3C01">
        <w:rPr>
          <w:rFonts w:ascii="Arial" w:eastAsia="Calibri" w:hAnsi="Arial" w:cs="Arial"/>
          <w:i/>
          <w:iCs/>
          <w:sz w:val="24"/>
          <w:szCs w:val="24"/>
          <w:shd w:val="clear" w:color="auto" w:fill="FFFFFF"/>
          <w:lang w:val="en-GB"/>
        </w:rPr>
        <w:t>Journal of Business Economics and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18</w:t>
      </w:r>
      <w:r w:rsidRPr="000D3C01">
        <w:rPr>
          <w:rFonts w:ascii="Arial" w:eastAsia="Calibri" w:hAnsi="Arial" w:cs="Arial"/>
          <w:sz w:val="24"/>
          <w:szCs w:val="24"/>
          <w:shd w:val="clear" w:color="auto" w:fill="FFFFFF"/>
          <w:lang w:val="en-GB"/>
        </w:rPr>
        <w:t>(1), pp.68-83.</w:t>
      </w:r>
    </w:p>
    <w:p w14:paraId="55C91240"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Mudzanani</w:t>
      </w:r>
      <w:proofErr w:type="spellEnd"/>
      <w:r w:rsidRPr="000D3C01">
        <w:rPr>
          <w:rFonts w:ascii="Arial" w:eastAsia="Calibri" w:hAnsi="Arial" w:cs="Arial"/>
          <w:sz w:val="24"/>
          <w:szCs w:val="24"/>
          <w:shd w:val="clear" w:color="auto" w:fill="FFFFFF"/>
          <w:lang w:val="en-GB"/>
        </w:rPr>
        <w:t>, T. (2015) A review and analysis of the role of integrated marketing communication message typology in the development of communication strategies. </w:t>
      </w:r>
      <w:r w:rsidRPr="000D3C01">
        <w:rPr>
          <w:rFonts w:ascii="Arial" w:eastAsia="Calibri" w:hAnsi="Arial" w:cs="Arial"/>
          <w:i/>
          <w:iCs/>
          <w:sz w:val="24"/>
          <w:szCs w:val="24"/>
          <w:shd w:val="clear" w:color="auto" w:fill="FFFFFF"/>
          <w:lang w:val="en-GB"/>
        </w:rPr>
        <w:t>African Journal of Marketing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7</w:t>
      </w:r>
      <w:r w:rsidRPr="000D3C01">
        <w:rPr>
          <w:rFonts w:ascii="Arial" w:eastAsia="Calibri" w:hAnsi="Arial" w:cs="Arial"/>
          <w:sz w:val="24"/>
          <w:szCs w:val="24"/>
          <w:shd w:val="clear" w:color="auto" w:fill="FFFFFF"/>
          <w:lang w:val="en-GB"/>
        </w:rPr>
        <w:t>(8), pp.90-97.</w:t>
      </w:r>
    </w:p>
    <w:p w14:paraId="1DCDFBD7"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Naeem, M. and </w:t>
      </w:r>
      <w:proofErr w:type="spellStart"/>
      <w:r w:rsidRPr="000D3C01">
        <w:rPr>
          <w:rFonts w:ascii="Arial" w:eastAsia="Calibri" w:hAnsi="Arial" w:cs="Arial"/>
          <w:sz w:val="24"/>
          <w:szCs w:val="24"/>
          <w:shd w:val="clear" w:color="auto" w:fill="FFFFFF"/>
          <w:lang w:val="en-GB"/>
        </w:rPr>
        <w:t>Ozuem</w:t>
      </w:r>
      <w:proofErr w:type="spellEnd"/>
      <w:r w:rsidRPr="000D3C01">
        <w:rPr>
          <w:rFonts w:ascii="Arial" w:eastAsia="Calibri" w:hAnsi="Arial" w:cs="Arial"/>
          <w:sz w:val="24"/>
          <w:szCs w:val="24"/>
          <w:shd w:val="clear" w:color="auto" w:fill="FFFFFF"/>
          <w:lang w:val="en-GB"/>
        </w:rPr>
        <w:t>, W. (2021) Developing UGC social brand engagement model: Insights from diverse consumers. </w:t>
      </w:r>
      <w:r w:rsidRPr="000D3C01">
        <w:rPr>
          <w:rFonts w:ascii="Arial" w:eastAsia="Calibri" w:hAnsi="Arial" w:cs="Arial"/>
          <w:i/>
          <w:iCs/>
          <w:sz w:val="24"/>
          <w:szCs w:val="24"/>
          <w:shd w:val="clear" w:color="auto" w:fill="FFFFFF"/>
          <w:lang w:val="en-GB"/>
        </w:rPr>
        <w:t>Journal of Consumer Behaviour</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20</w:t>
      </w:r>
      <w:r w:rsidRPr="000D3C01">
        <w:rPr>
          <w:rFonts w:ascii="Arial" w:eastAsia="Calibri" w:hAnsi="Arial" w:cs="Arial"/>
          <w:sz w:val="24"/>
          <w:szCs w:val="24"/>
          <w:shd w:val="clear" w:color="auto" w:fill="FFFFFF"/>
          <w:lang w:val="en-GB"/>
        </w:rPr>
        <w:t>(2), pp.426-439.</w:t>
      </w:r>
    </w:p>
    <w:p w14:paraId="024331BD" w14:textId="77777777" w:rsidR="000D3C01" w:rsidRPr="000D3C01" w:rsidRDefault="000D3C01" w:rsidP="000D3C01">
      <w:pPr>
        <w:widowControl w:val="0"/>
        <w:autoSpaceDE w:val="0"/>
        <w:autoSpaceDN w:val="0"/>
        <w:spacing w:before="240" w:after="0" w:line="360" w:lineRule="auto"/>
        <w:ind w:left="50"/>
        <w:jc w:val="both"/>
        <w:rPr>
          <w:rFonts w:ascii="Arial" w:eastAsia="Arial" w:hAnsi="Arial" w:cs="Arial"/>
          <w:sz w:val="24"/>
          <w:szCs w:val="24"/>
          <w:shd w:val="clear" w:color="auto" w:fill="FFFFFF"/>
          <w:lang w:val="en-US"/>
        </w:rPr>
      </w:pPr>
      <w:proofErr w:type="spellStart"/>
      <w:r w:rsidRPr="000D3C01">
        <w:rPr>
          <w:rFonts w:ascii="Arial" w:eastAsia="Arial" w:hAnsi="Arial" w:cs="Arial"/>
          <w:sz w:val="24"/>
          <w:szCs w:val="24"/>
          <w:shd w:val="clear" w:color="auto" w:fill="FFFFFF"/>
          <w:lang w:val="en-US"/>
        </w:rPr>
        <w:t>Norpoth</w:t>
      </w:r>
      <w:proofErr w:type="spellEnd"/>
      <w:r w:rsidRPr="000D3C01">
        <w:rPr>
          <w:rFonts w:ascii="Arial" w:eastAsia="Arial" w:hAnsi="Arial" w:cs="Arial"/>
          <w:sz w:val="24"/>
          <w:szCs w:val="24"/>
          <w:shd w:val="clear" w:color="auto" w:fill="FFFFFF"/>
          <w:lang w:val="en-US"/>
        </w:rPr>
        <w:t xml:space="preserve">, J. and </w:t>
      </w:r>
      <w:proofErr w:type="spellStart"/>
      <w:r w:rsidRPr="000D3C01">
        <w:rPr>
          <w:rFonts w:ascii="Arial" w:eastAsia="Arial" w:hAnsi="Arial" w:cs="Arial"/>
          <w:sz w:val="24"/>
          <w:szCs w:val="24"/>
          <w:shd w:val="clear" w:color="auto" w:fill="FFFFFF"/>
          <w:lang w:val="en-US"/>
        </w:rPr>
        <w:t>Kaltenborn</w:t>
      </w:r>
      <w:proofErr w:type="spellEnd"/>
      <w:r w:rsidRPr="000D3C01">
        <w:rPr>
          <w:rFonts w:ascii="Arial" w:eastAsia="Arial" w:hAnsi="Arial" w:cs="Arial"/>
          <w:sz w:val="24"/>
          <w:szCs w:val="24"/>
          <w:shd w:val="clear" w:color="auto" w:fill="FFFFFF"/>
          <w:lang w:val="en-US"/>
        </w:rPr>
        <w:t xml:space="preserve">, M. (2020) Implementation of the H&amp;M Global Framework Agreement in Cambodia: Producing Outcomes for Industrial Democracy Despite a Challenging </w:t>
      </w:r>
      <w:proofErr w:type="gramStart"/>
      <w:r w:rsidRPr="000D3C01">
        <w:rPr>
          <w:rFonts w:ascii="Arial" w:eastAsia="Arial" w:hAnsi="Arial" w:cs="Arial"/>
          <w:sz w:val="24"/>
          <w:szCs w:val="24"/>
          <w:shd w:val="clear" w:color="auto" w:fill="FFFFFF"/>
          <w:lang w:val="en-US"/>
        </w:rPr>
        <w:t>Context?.</w:t>
      </w:r>
      <w:proofErr w:type="gramEnd"/>
      <w:r w:rsidRPr="000D3C01">
        <w:rPr>
          <w:rFonts w:ascii="Arial" w:eastAsia="Arial" w:hAnsi="Arial" w:cs="Arial"/>
          <w:sz w:val="24"/>
          <w:szCs w:val="24"/>
          <w:shd w:val="clear" w:color="auto" w:fill="FFFFFF"/>
          <w:lang w:val="en-US"/>
        </w:rPr>
        <w:t> </w:t>
      </w:r>
      <w:r w:rsidRPr="000D3C01">
        <w:rPr>
          <w:rFonts w:ascii="Arial" w:eastAsia="Arial" w:hAnsi="Arial" w:cs="Arial"/>
          <w:i/>
          <w:iCs/>
          <w:sz w:val="24"/>
          <w:szCs w:val="24"/>
          <w:shd w:val="clear" w:color="auto" w:fill="FFFFFF"/>
          <w:lang w:val="en-US"/>
        </w:rPr>
        <w:t xml:space="preserve">International Journal of Comparative </w:t>
      </w:r>
      <w:proofErr w:type="spellStart"/>
      <w:r w:rsidRPr="000D3C01">
        <w:rPr>
          <w:rFonts w:ascii="Arial" w:eastAsia="Arial" w:hAnsi="Arial" w:cs="Arial"/>
          <w:i/>
          <w:iCs/>
          <w:sz w:val="24"/>
          <w:szCs w:val="24"/>
          <w:shd w:val="clear" w:color="auto" w:fill="FFFFFF"/>
          <w:lang w:val="en-US"/>
        </w:rPr>
        <w:t>Labour</w:t>
      </w:r>
      <w:proofErr w:type="spellEnd"/>
      <w:r w:rsidRPr="000D3C01">
        <w:rPr>
          <w:rFonts w:ascii="Arial" w:eastAsia="Arial" w:hAnsi="Arial" w:cs="Arial"/>
          <w:i/>
          <w:iCs/>
          <w:sz w:val="24"/>
          <w:szCs w:val="24"/>
          <w:shd w:val="clear" w:color="auto" w:fill="FFFFFF"/>
          <w:lang w:val="en-US"/>
        </w:rPr>
        <w:t xml:space="preserve"> Law and Industrial Relations</w:t>
      </w:r>
      <w:r w:rsidRPr="000D3C01">
        <w:rPr>
          <w:rFonts w:ascii="Arial" w:eastAsia="Arial" w:hAnsi="Arial" w:cs="Arial"/>
          <w:sz w:val="24"/>
          <w:szCs w:val="24"/>
          <w:shd w:val="clear" w:color="auto" w:fill="FFFFFF"/>
          <w:lang w:val="en-US"/>
        </w:rPr>
        <w:t>, </w:t>
      </w:r>
      <w:r w:rsidRPr="000D3C01">
        <w:rPr>
          <w:rFonts w:ascii="Arial" w:eastAsia="Arial" w:hAnsi="Arial" w:cs="Arial"/>
          <w:i/>
          <w:iCs/>
          <w:sz w:val="24"/>
          <w:szCs w:val="24"/>
          <w:shd w:val="clear" w:color="auto" w:fill="FFFFFF"/>
          <w:lang w:val="en-US"/>
        </w:rPr>
        <w:t>36</w:t>
      </w:r>
      <w:r w:rsidRPr="000D3C01">
        <w:rPr>
          <w:rFonts w:ascii="Arial" w:eastAsia="Arial" w:hAnsi="Arial" w:cs="Arial"/>
          <w:sz w:val="24"/>
          <w:szCs w:val="24"/>
          <w:shd w:val="clear" w:color="auto" w:fill="FFFFFF"/>
          <w:lang w:val="en-US"/>
        </w:rPr>
        <w:t>(2).</w:t>
      </w:r>
    </w:p>
    <w:p w14:paraId="66D7CFD6"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Orazi</w:t>
      </w:r>
      <w:proofErr w:type="spellEnd"/>
      <w:r w:rsidRPr="000D3C01">
        <w:rPr>
          <w:rFonts w:ascii="Arial" w:eastAsia="Calibri" w:hAnsi="Arial" w:cs="Arial"/>
          <w:sz w:val="24"/>
          <w:szCs w:val="24"/>
          <w:shd w:val="clear" w:color="auto" w:fill="FFFFFF"/>
          <w:lang w:val="en-GB"/>
        </w:rPr>
        <w:t xml:space="preserve">, D.C., Spry, A., </w:t>
      </w:r>
      <w:proofErr w:type="spellStart"/>
      <w:r w:rsidRPr="000D3C01">
        <w:rPr>
          <w:rFonts w:ascii="Arial" w:eastAsia="Calibri" w:hAnsi="Arial" w:cs="Arial"/>
          <w:sz w:val="24"/>
          <w:szCs w:val="24"/>
          <w:shd w:val="clear" w:color="auto" w:fill="FFFFFF"/>
          <w:lang w:val="en-GB"/>
        </w:rPr>
        <w:t>Theilacker</w:t>
      </w:r>
      <w:proofErr w:type="spellEnd"/>
      <w:r w:rsidRPr="000D3C01">
        <w:rPr>
          <w:rFonts w:ascii="Arial" w:eastAsia="Calibri" w:hAnsi="Arial" w:cs="Arial"/>
          <w:sz w:val="24"/>
          <w:szCs w:val="24"/>
          <w:shd w:val="clear" w:color="auto" w:fill="FFFFFF"/>
          <w:lang w:val="en-GB"/>
        </w:rPr>
        <w:t>, M.N. and Vredenburg, J. (2017) A multi-stakeholder IMC framework for networked brand identity. </w:t>
      </w:r>
      <w:r w:rsidRPr="000D3C01">
        <w:rPr>
          <w:rFonts w:ascii="Arial" w:eastAsia="Calibri" w:hAnsi="Arial" w:cs="Arial"/>
          <w:i/>
          <w:iCs/>
          <w:sz w:val="24"/>
          <w:szCs w:val="24"/>
          <w:shd w:val="clear" w:color="auto" w:fill="FFFFFF"/>
          <w:lang w:val="en-GB"/>
        </w:rPr>
        <w:t>European Journal of Marketing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51</w:t>
      </w:r>
      <w:r w:rsidRPr="000D3C01">
        <w:rPr>
          <w:rFonts w:ascii="Arial" w:eastAsia="Calibri" w:hAnsi="Arial" w:cs="Arial"/>
          <w:sz w:val="24"/>
          <w:szCs w:val="24"/>
          <w:shd w:val="clear" w:color="auto" w:fill="FFFFFF"/>
          <w:lang w:val="en-GB"/>
        </w:rPr>
        <w:t>(3), pp.551-571.</w:t>
      </w:r>
    </w:p>
    <w:p w14:paraId="004D3D15"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Paharia</w:t>
      </w:r>
      <w:proofErr w:type="spellEnd"/>
      <w:r w:rsidRPr="000D3C01">
        <w:rPr>
          <w:rFonts w:ascii="Arial" w:eastAsia="Calibri" w:hAnsi="Arial" w:cs="Arial"/>
          <w:sz w:val="24"/>
          <w:szCs w:val="24"/>
          <w:shd w:val="clear" w:color="auto" w:fill="FFFFFF"/>
          <w:lang w:val="en-GB"/>
        </w:rPr>
        <w:t xml:space="preserve">, N., </w:t>
      </w:r>
      <w:proofErr w:type="spellStart"/>
      <w:r w:rsidRPr="000D3C01">
        <w:rPr>
          <w:rFonts w:ascii="Arial" w:eastAsia="Calibri" w:hAnsi="Arial" w:cs="Arial"/>
          <w:sz w:val="24"/>
          <w:szCs w:val="24"/>
          <w:shd w:val="clear" w:color="auto" w:fill="FFFFFF"/>
          <w:lang w:val="en-GB"/>
        </w:rPr>
        <w:t>Keinan</w:t>
      </w:r>
      <w:proofErr w:type="spellEnd"/>
      <w:r w:rsidRPr="000D3C01">
        <w:rPr>
          <w:rFonts w:ascii="Arial" w:eastAsia="Calibri" w:hAnsi="Arial" w:cs="Arial"/>
          <w:sz w:val="24"/>
          <w:szCs w:val="24"/>
          <w:shd w:val="clear" w:color="auto" w:fill="FFFFFF"/>
          <w:lang w:val="en-GB"/>
        </w:rPr>
        <w:t>, A., Avery, J. and Schor, J.B. (2011</w:t>
      </w:r>
      <w:proofErr w:type="gramStart"/>
      <w:r w:rsidRPr="000D3C01">
        <w:rPr>
          <w:rFonts w:ascii="Arial" w:eastAsia="Calibri" w:hAnsi="Arial" w:cs="Arial"/>
          <w:sz w:val="24"/>
          <w:szCs w:val="24"/>
          <w:shd w:val="clear" w:color="auto" w:fill="FFFFFF"/>
          <w:lang w:val="en-GB"/>
        </w:rPr>
        <w:t>)  The</w:t>
      </w:r>
      <w:proofErr w:type="gramEnd"/>
      <w:r w:rsidRPr="000D3C01">
        <w:rPr>
          <w:rFonts w:ascii="Arial" w:eastAsia="Calibri" w:hAnsi="Arial" w:cs="Arial"/>
          <w:sz w:val="24"/>
          <w:szCs w:val="24"/>
          <w:shd w:val="clear" w:color="auto" w:fill="FFFFFF"/>
          <w:lang w:val="en-GB"/>
        </w:rPr>
        <w:t xml:space="preserve"> underdog effect: The marketing of disadvantage and determination through brand biography. </w:t>
      </w:r>
      <w:r w:rsidRPr="000D3C01">
        <w:rPr>
          <w:rFonts w:ascii="Arial" w:eastAsia="Calibri" w:hAnsi="Arial" w:cs="Arial"/>
          <w:i/>
          <w:iCs/>
          <w:sz w:val="24"/>
          <w:szCs w:val="24"/>
          <w:shd w:val="clear" w:color="auto" w:fill="FFFFFF"/>
          <w:lang w:val="en-GB"/>
        </w:rPr>
        <w:t>Journal of Consumer Research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37</w:t>
      </w:r>
      <w:r w:rsidRPr="000D3C01">
        <w:rPr>
          <w:rFonts w:ascii="Arial" w:eastAsia="Calibri" w:hAnsi="Arial" w:cs="Arial"/>
          <w:sz w:val="24"/>
          <w:szCs w:val="24"/>
          <w:shd w:val="clear" w:color="auto" w:fill="FFFFFF"/>
          <w:lang w:val="en-GB"/>
        </w:rPr>
        <w:t>(5), pp.775-790.</w:t>
      </w:r>
    </w:p>
    <w:p w14:paraId="2E2D0E2B"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Pawar, A. (2018) A study on analysis of supportable employee engagement model in McDonald. </w:t>
      </w:r>
      <w:r w:rsidRPr="000D3C01">
        <w:rPr>
          <w:rFonts w:ascii="Arial" w:eastAsia="Calibri" w:hAnsi="Arial" w:cs="Arial"/>
          <w:i/>
          <w:iCs/>
          <w:sz w:val="24"/>
          <w:szCs w:val="24"/>
          <w:shd w:val="clear" w:color="auto" w:fill="FFFFFF"/>
          <w:lang w:val="en-GB"/>
        </w:rPr>
        <w:t>International Journal of Information, Business and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10</w:t>
      </w:r>
      <w:r w:rsidRPr="000D3C01">
        <w:rPr>
          <w:rFonts w:ascii="Arial" w:eastAsia="Calibri" w:hAnsi="Arial" w:cs="Arial"/>
          <w:sz w:val="24"/>
          <w:szCs w:val="24"/>
          <w:shd w:val="clear" w:color="auto" w:fill="FFFFFF"/>
          <w:lang w:val="en-GB"/>
        </w:rPr>
        <w:t>(1), pp.172-181.</w:t>
      </w:r>
    </w:p>
    <w:p w14:paraId="118562AA"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Pookulangara</w:t>
      </w:r>
      <w:proofErr w:type="spellEnd"/>
      <w:r w:rsidRPr="000D3C01">
        <w:rPr>
          <w:rFonts w:ascii="Arial" w:eastAsia="Calibri" w:hAnsi="Arial" w:cs="Arial"/>
          <w:sz w:val="24"/>
          <w:szCs w:val="24"/>
          <w:shd w:val="clear" w:color="auto" w:fill="FFFFFF"/>
          <w:lang w:val="en-GB"/>
        </w:rPr>
        <w:t xml:space="preserve">, S. and Shephard, A </w:t>
      </w:r>
      <w:proofErr w:type="gramStart"/>
      <w:r w:rsidRPr="000D3C01">
        <w:rPr>
          <w:rFonts w:ascii="Arial" w:eastAsia="Calibri" w:hAnsi="Arial" w:cs="Arial"/>
          <w:sz w:val="24"/>
          <w:szCs w:val="24"/>
          <w:shd w:val="clear" w:color="auto" w:fill="FFFFFF"/>
          <w:lang w:val="en-GB"/>
        </w:rPr>
        <w:t>( 2013</w:t>
      </w:r>
      <w:proofErr w:type="gramEnd"/>
      <w:r w:rsidRPr="000D3C01">
        <w:rPr>
          <w:rFonts w:ascii="Arial" w:eastAsia="Calibri" w:hAnsi="Arial" w:cs="Arial"/>
          <w:sz w:val="24"/>
          <w:szCs w:val="24"/>
          <w:shd w:val="clear" w:color="auto" w:fill="FFFFFF"/>
          <w:lang w:val="en-GB"/>
        </w:rPr>
        <w:t>) Slow fashion movement: Understanding consumer perceptions—An exploratory study. </w:t>
      </w:r>
      <w:r w:rsidRPr="000D3C01">
        <w:rPr>
          <w:rFonts w:ascii="Arial" w:eastAsia="Calibri" w:hAnsi="Arial" w:cs="Arial"/>
          <w:i/>
          <w:iCs/>
          <w:sz w:val="24"/>
          <w:szCs w:val="24"/>
          <w:shd w:val="clear" w:color="auto" w:fill="FFFFFF"/>
          <w:lang w:val="en-GB"/>
        </w:rPr>
        <w:t>Journal of retailing and consumer services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20</w:t>
      </w:r>
      <w:r w:rsidRPr="000D3C01">
        <w:rPr>
          <w:rFonts w:ascii="Arial" w:eastAsia="Calibri" w:hAnsi="Arial" w:cs="Arial"/>
          <w:sz w:val="24"/>
          <w:szCs w:val="24"/>
          <w:shd w:val="clear" w:color="auto" w:fill="FFFFFF"/>
          <w:lang w:val="en-GB"/>
        </w:rPr>
        <w:t>(2), pp.200-206.</w:t>
      </w:r>
    </w:p>
    <w:p w14:paraId="4526C9DB" w14:textId="77777777" w:rsidR="000D3C01" w:rsidRPr="000D3C01" w:rsidRDefault="000D3C01" w:rsidP="000D3C01">
      <w:pPr>
        <w:spacing w:before="240" w:line="360" w:lineRule="auto"/>
        <w:jc w:val="both"/>
        <w:rPr>
          <w:rFonts w:ascii="Arial" w:eastAsia="Calibri" w:hAnsi="Arial" w:cs="Arial"/>
          <w:sz w:val="24"/>
          <w:szCs w:val="24"/>
          <w:lang w:val="en-GB"/>
        </w:rPr>
      </w:pPr>
      <w:r w:rsidRPr="000D3C01">
        <w:rPr>
          <w:rFonts w:ascii="Arial" w:eastAsia="Calibri" w:hAnsi="Arial" w:cs="Arial"/>
          <w:sz w:val="24"/>
          <w:szCs w:val="24"/>
          <w:lang w:val="en-GB"/>
        </w:rPr>
        <w:t xml:space="preserve">Pratap, A (2018) </w:t>
      </w:r>
      <w:r w:rsidRPr="000D3C01">
        <w:rPr>
          <w:rFonts w:ascii="Arial" w:eastAsia="Calibri" w:hAnsi="Arial" w:cs="Arial"/>
          <w:i/>
          <w:sz w:val="24"/>
          <w:szCs w:val="24"/>
          <w:lang w:val="en-GB"/>
        </w:rPr>
        <w:t xml:space="preserve">PESTEL/PESTLE ANALYSIS OF THE FASHION RETAIL INDUSTRY. </w:t>
      </w:r>
      <w:r w:rsidRPr="000D3C01">
        <w:rPr>
          <w:rFonts w:ascii="Arial" w:eastAsia="Calibri" w:hAnsi="Arial" w:cs="Arial"/>
          <w:sz w:val="24"/>
          <w:szCs w:val="24"/>
          <w:lang w:val="en-GB"/>
        </w:rPr>
        <w:t>Available at: https://notesmatic.com/2017/09/pestelpestle-analysis-of-the-fashion-retail-industry/ (Accessed: 24 August 2022).</w:t>
      </w:r>
    </w:p>
    <w:p w14:paraId="7C1AB5F0"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Ratheeswari</w:t>
      </w:r>
      <w:proofErr w:type="spellEnd"/>
      <w:r w:rsidRPr="000D3C01">
        <w:rPr>
          <w:rFonts w:ascii="Arial" w:eastAsia="Calibri" w:hAnsi="Arial" w:cs="Arial"/>
          <w:sz w:val="24"/>
          <w:szCs w:val="24"/>
          <w:shd w:val="clear" w:color="auto" w:fill="FFFFFF"/>
          <w:lang w:val="en-GB"/>
        </w:rPr>
        <w:t>, K. (2018) Information communication technology in education. </w:t>
      </w:r>
      <w:r w:rsidRPr="000D3C01">
        <w:rPr>
          <w:rFonts w:ascii="Arial" w:eastAsia="Calibri" w:hAnsi="Arial" w:cs="Arial"/>
          <w:i/>
          <w:iCs/>
          <w:sz w:val="24"/>
          <w:szCs w:val="24"/>
          <w:shd w:val="clear" w:color="auto" w:fill="FFFFFF"/>
          <w:lang w:val="en-GB"/>
        </w:rPr>
        <w:t>Journal of Applied and Advanced research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w:t>
      </w:r>
      <w:r w:rsidRPr="000D3C01">
        <w:rPr>
          <w:rFonts w:ascii="Arial" w:eastAsia="Calibri" w:hAnsi="Arial" w:cs="Arial"/>
          <w:sz w:val="24"/>
          <w:szCs w:val="24"/>
          <w:shd w:val="clear" w:color="auto" w:fill="FFFFFF"/>
          <w:lang w:val="en-GB"/>
        </w:rPr>
        <w:t>(1), pp.45-47.</w:t>
      </w:r>
    </w:p>
    <w:p w14:paraId="27C2C129"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Redlinger</w:t>
      </w:r>
      <w:proofErr w:type="spellEnd"/>
      <w:r w:rsidRPr="000D3C01">
        <w:rPr>
          <w:rFonts w:ascii="Cambria Math" w:eastAsia="Calibri" w:hAnsi="Cambria Math" w:cs="Cambria Math"/>
          <w:sz w:val="24"/>
          <w:szCs w:val="24"/>
          <w:shd w:val="clear" w:color="auto" w:fill="FFFFFF"/>
          <w:lang w:val="en-GB"/>
        </w:rPr>
        <w:t>‐</w:t>
      </w:r>
      <w:r w:rsidRPr="000D3C01">
        <w:rPr>
          <w:rFonts w:ascii="Arial" w:eastAsia="Calibri" w:hAnsi="Arial" w:cs="Arial"/>
          <w:sz w:val="24"/>
          <w:szCs w:val="24"/>
          <w:shd w:val="clear" w:color="auto" w:fill="FFFFFF"/>
          <w:lang w:val="en-GB"/>
        </w:rPr>
        <w:t xml:space="preserve">Grosse, K., </w:t>
      </w:r>
      <w:proofErr w:type="spellStart"/>
      <w:r w:rsidRPr="000D3C01">
        <w:rPr>
          <w:rFonts w:ascii="Arial" w:eastAsia="Calibri" w:hAnsi="Arial" w:cs="Arial"/>
          <w:sz w:val="24"/>
          <w:szCs w:val="24"/>
          <w:shd w:val="clear" w:color="auto" w:fill="FFFFFF"/>
          <w:lang w:val="en-GB"/>
        </w:rPr>
        <w:t>Veach</w:t>
      </w:r>
      <w:proofErr w:type="spellEnd"/>
      <w:r w:rsidRPr="000D3C01">
        <w:rPr>
          <w:rFonts w:ascii="Arial" w:eastAsia="Calibri" w:hAnsi="Arial" w:cs="Arial"/>
          <w:sz w:val="24"/>
          <w:szCs w:val="24"/>
          <w:shd w:val="clear" w:color="auto" w:fill="FFFFFF"/>
          <w:lang w:val="en-GB"/>
        </w:rPr>
        <w:t xml:space="preserve">, P.M., LeRoy, B.S. and </w:t>
      </w:r>
      <w:proofErr w:type="spellStart"/>
      <w:r w:rsidRPr="000D3C01">
        <w:rPr>
          <w:rFonts w:ascii="Arial" w:eastAsia="Calibri" w:hAnsi="Arial" w:cs="Arial"/>
          <w:sz w:val="24"/>
          <w:szCs w:val="24"/>
          <w:shd w:val="clear" w:color="auto" w:fill="FFFFFF"/>
          <w:lang w:val="en-GB"/>
        </w:rPr>
        <w:t>Zierhut</w:t>
      </w:r>
      <w:proofErr w:type="spellEnd"/>
      <w:r w:rsidRPr="000D3C01">
        <w:rPr>
          <w:rFonts w:ascii="Arial" w:eastAsia="Calibri" w:hAnsi="Arial" w:cs="Arial"/>
          <w:sz w:val="24"/>
          <w:szCs w:val="24"/>
          <w:shd w:val="clear" w:color="auto" w:fill="FFFFFF"/>
          <w:lang w:val="en-GB"/>
        </w:rPr>
        <w:t>, H.  (2017) Elaboration of the reciprocal</w:t>
      </w:r>
      <w:r w:rsidRPr="000D3C01">
        <w:rPr>
          <w:rFonts w:ascii="Cambria Math" w:eastAsia="Calibri" w:hAnsi="Cambria Math" w:cs="Cambria Math"/>
          <w:sz w:val="24"/>
          <w:szCs w:val="24"/>
          <w:shd w:val="clear" w:color="auto" w:fill="FFFFFF"/>
          <w:lang w:val="en-GB"/>
        </w:rPr>
        <w:t>‐</w:t>
      </w:r>
      <w:r w:rsidRPr="000D3C01">
        <w:rPr>
          <w:rFonts w:ascii="Arial" w:eastAsia="Calibri" w:hAnsi="Arial" w:cs="Arial"/>
          <w:sz w:val="24"/>
          <w:szCs w:val="24"/>
          <w:shd w:val="clear" w:color="auto" w:fill="FFFFFF"/>
          <w:lang w:val="en-GB"/>
        </w:rPr>
        <w:t xml:space="preserve">engagement model of genetic </w:t>
      </w:r>
      <w:proofErr w:type="spellStart"/>
      <w:r w:rsidRPr="000D3C01">
        <w:rPr>
          <w:rFonts w:ascii="Arial" w:eastAsia="Calibri" w:hAnsi="Arial" w:cs="Arial"/>
          <w:sz w:val="24"/>
          <w:szCs w:val="24"/>
          <w:shd w:val="clear" w:color="auto" w:fill="FFFFFF"/>
          <w:lang w:val="en-GB"/>
        </w:rPr>
        <w:t>counseling</w:t>
      </w:r>
      <w:proofErr w:type="spellEnd"/>
      <w:r w:rsidRPr="000D3C01">
        <w:rPr>
          <w:rFonts w:ascii="Arial" w:eastAsia="Calibri" w:hAnsi="Arial" w:cs="Arial"/>
          <w:sz w:val="24"/>
          <w:szCs w:val="24"/>
          <w:shd w:val="clear" w:color="auto" w:fill="FFFFFF"/>
          <w:lang w:val="en-GB"/>
        </w:rPr>
        <w:t xml:space="preserve"> practice: A qualitative investigation of goals and strategies. </w:t>
      </w:r>
      <w:r w:rsidRPr="000D3C01">
        <w:rPr>
          <w:rFonts w:ascii="Arial" w:eastAsia="Calibri" w:hAnsi="Arial" w:cs="Arial"/>
          <w:i/>
          <w:iCs/>
          <w:sz w:val="24"/>
          <w:szCs w:val="24"/>
          <w:shd w:val="clear" w:color="auto" w:fill="FFFFFF"/>
          <w:lang w:val="en-GB"/>
        </w:rPr>
        <w:t xml:space="preserve">Journal of Genetic </w:t>
      </w:r>
      <w:proofErr w:type="spellStart"/>
      <w:r w:rsidRPr="000D3C01">
        <w:rPr>
          <w:rFonts w:ascii="Arial" w:eastAsia="Calibri" w:hAnsi="Arial" w:cs="Arial"/>
          <w:i/>
          <w:iCs/>
          <w:sz w:val="24"/>
          <w:szCs w:val="24"/>
          <w:shd w:val="clear" w:color="auto" w:fill="FFFFFF"/>
          <w:lang w:val="en-GB"/>
        </w:rPr>
        <w:t>Counseling</w:t>
      </w:r>
      <w:proofErr w:type="spellEnd"/>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26</w:t>
      </w:r>
      <w:r w:rsidRPr="000D3C01">
        <w:rPr>
          <w:rFonts w:ascii="Arial" w:eastAsia="Calibri" w:hAnsi="Arial" w:cs="Arial"/>
          <w:sz w:val="24"/>
          <w:szCs w:val="24"/>
          <w:shd w:val="clear" w:color="auto" w:fill="FFFFFF"/>
          <w:lang w:val="en-GB"/>
        </w:rPr>
        <w:t>(6), pp.1372-1387.</w:t>
      </w:r>
    </w:p>
    <w:p w14:paraId="7578F6DE" w14:textId="77777777" w:rsidR="000D3C01" w:rsidRPr="000D3C01" w:rsidRDefault="000D3C01" w:rsidP="000D3C01">
      <w:pPr>
        <w:spacing w:before="240" w:line="360" w:lineRule="auto"/>
        <w:jc w:val="both"/>
        <w:rPr>
          <w:rFonts w:ascii="Arial" w:eastAsia="Calibri" w:hAnsi="Arial" w:cs="Arial"/>
          <w:b/>
          <w:bCs/>
          <w:sz w:val="24"/>
          <w:szCs w:val="24"/>
          <w:lang w:val="en-GB"/>
        </w:rPr>
      </w:pPr>
      <w:proofErr w:type="spellStart"/>
      <w:r w:rsidRPr="000D3C01">
        <w:rPr>
          <w:rFonts w:ascii="Arial" w:eastAsia="Calibri" w:hAnsi="Arial" w:cs="Arial"/>
          <w:sz w:val="24"/>
          <w:szCs w:val="24"/>
          <w:shd w:val="clear" w:color="auto" w:fill="FFFFFF"/>
          <w:lang w:val="en-GB"/>
        </w:rPr>
        <w:t>Roggeveen</w:t>
      </w:r>
      <w:proofErr w:type="spellEnd"/>
      <w:r w:rsidRPr="000D3C01">
        <w:rPr>
          <w:rFonts w:ascii="Arial" w:eastAsia="Calibri" w:hAnsi="Arial" w:cs="Arial"/>
          <w:sz w:val="24"/>
          <w:szCs w:val="24"/>
          <w:shd w:val="clear" w:color="auto" w:fill="FFFFFF"/>
          <w:lang w:val="en-GB"/>
        </w:rPr>
        <w:t xml:space="preserve">, A.L. and </w:t>
      </w:r>
      <w:proofErr w:type="spellStart"/>
      <w:r w:rsidRPr="000D3C01">
        <w:rPr>
          <w:rFonts w:ascii="Arial" w:eastAsia="Calibri" w:hAnsi="Arial" w:cs="Arial"/>
          <w:sz w:val="24"/>
          <w:szCs w:val="24"/>
          <w:shd w:val="clear" w:color="auto" w:fill="FFFFFF"/>
          <w:lang w:val="en-GB"/>
        </w:rPr>
        <w:t>Sethuraman</w:t>
      </w:r>
      <w:proofErr w:type="spellEnd"/>
      <w:r w:rsidRPr="000D3C01">
        <w:rPr>
          <w:rFonts w:ascii="Arial" w:eastAsia="Calibri" w:hAnsi="Arial" w:cs="Arial"/>
          <w:sz w:val="24"/>
          <w:szCs w:val="24"/>
          <w:shd w:val="clear" w:color="auto" w:fill="FFFFFF"/>
          <w:lang w:val="en-GB"/>
        </w:rPr>
        <w:t>, R. (2020) Customer-interfacing retail technologies in 2020 &amp; beyond: An integrative framework and research directions. </w:t>
      </w:r>
      <w:r w:rsidRPr="000D3C01">
        <w:rPr>
          <w:rFonts w:ascii="Arial" w:eastAsia="Calibri" w:hAnsi="Arial" w:cs="Arial"/>
          <w:i/>
          <w:iCs/>
          <w:sz w:val="24"/>
          <w:szCs w:val="24"/>
          <w:shd w:val="clear" w:color="auto" w:fill="FFFFFF"/>
          <w:lang w:val="en-GB"/>
        </w:rPr>
        <w:t>Journal of Retailing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96</w:t>
      </w:r>
      <w:r w:rsidRPr="000D3C01">
        <w:rPr>
          <w:rFonts w:ascii="Arial" w:eastAsia="Calibri" w:hAnsi="Arial" w:cs="Arial"/>
          <w:sz w:val="24"/>
          <w:szCs w:val="24"/>
          <w:shd w:val="clear" w:color="auto" w:fill="FFFFFF"/>
          <w:lang w:val="en-GB"/>
        </w:rPr>
        <w:t>(3), pp.299-309.</w:t>
      </w:r>
    </w:p>
    <w:p w14:paraId="3CA38C99"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Sandhe</w:t>
      </w:r>
      <w:proofErr w:type="spellEnd"/>
      <w:r w:rsidRPr="000D3C01">
        <w:rPr>
          <w:rFonts w:ascii="Arial" w:eastAsia="Calibri" w:hAnsi="Arial" w:cs="Arial"/>
          <w:sz w:val="24"/>
          <w:szCs w:val="24"/>
          <w:shd w:val="clear" w:color="auto" w:fill="FFFFFF"/>
          <w:lang w:val="en-GB"/>
        </w:rPr>
        <w:t>, A. (2016) An exploratory study of brand equity of a commercial bank in Vadodara, India. </w:t>
      </w:r>
      <w:r w:rsidRPr="000D3C01">
        <w:rPr>
          <w:rFonts w:ascii="Arial" w:eastAsia="Calibri" w:hAnsi="Arial" w:cs="Arial"/>
          <w:i/>
          <w:iCs/>
          <w:sz w:val="24"/>
          <w:szCs w:val="24"/>
          <w:shd w:val="clear" w:color="auto" w:fill="FFFFFF"/>
          <w:lang w:val="en-GB"/>
        </w:rPr>
        <w:t>Independent Journal of Management &amp; Production</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7</w:t>
      </w:r>
      <w:r w:rsidRPr="000D3C01">
        <w:rPr>
          <w:rFonts w:ascii="Arial" w:eastAsia="Calibri" w:hAnsi="Arial" w:cs="Arial"/>
          <w:sz w:val="24"/>
          <w:szCs w:val="24"/>
          <w:shd w:val="clear" w:color="auto" w:fill="FFFFFF"/>
          <w:lang w:val="en-GB"/>
        </w:rPr>
        <w:t>(2), pp.289-302.</w:t>
      </w:r>
    </w:p>
    <w:p w14:paraId="69559D6D"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Sharp, E.A. and Weaver, S.E. (2015) Feeling like feminist frauds: Theorizing feminist accountability in feminist family studies research in a neoliberal, postfeminist context. </w:t>
      </w:r>
      <w:r w:rsidRPr="000D3C01">
        <w:rPr>
          <w:rFonts w:ascii="Arial" w:eastAsia="Calibri" w:hAnsi="Arial" w:cs="Arial"/>
          <w:i/>
          <w:iCs/>
          <w:sz w:val="24"/>
          <w:szCs w:val="24"/>
          <w:shd w:val="clear" w:color="auto" w:fill="FFFFFF"/>
          <w:lang w:val="en-GB"/>
        </w:rPr>
        <w:t>Journal of Family Theory &amp; Review</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7</w:t>
      </w:r>
      <w:r w:rsidRPr="000D3C01">
        <w:rPr>
          <w:rFonts w:ascii="Arial" w:eastAsia="Calibri" w:hAnsi="Arial" w:cs="Arial"/>
          <w:sz w:val="24"/>
          <w:szCs w:val="24"/>
          <w:shd w:val="clear" w:color="auto" w:fill="FFFFFF"/>
          <w:lang w:val="en-GB"/>
        </w:rPr>
        <w:t>(3), pp.299-320.</w:t>
      </w:r>
    </w:p>
    <w:p w14:paraId="14854241"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Shay, R. and Van Der Horst, M. (2019) Using brand equity to model ROI for social media marketing. </w:t>
      </w:r>
      <w:r w:rsidRPr="000D3C01">
        <w:rPr>
          <w:rFonts w:ascii="Arial" w:eastAsia="Calibri" w:hAnsi="Arial" w:cs="Arial"/>
          <w:i/>
          <w:iCs/>
          <w:sz w:val="24"/>
          <w:szCs w:val="24"/>
          <w:shd w:val="clear" w:color="auto" w:fill="FFFFFF"/>
          <w:lang w:val="en-GB"/>
        </w:rPr>
        <w:t>International Journal on Media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21</w:t>
      </w:r>
      <w:r w:rsidRPr="000D3C01">
        <w:rPr>
          <w:rFonts w:ascii="Arial" w:eastAsia="Calibri" w:hAnsi="Arial" w:cs="Arial"/>
          <w:sz w:val="24"/>
          <w:szCs w:val="24"/>
          <w:shd w:val="clear" w:color="auto" w:fill="FFFFFF"/>
          <w:lang w:val="en-GB"/>
        </w:rPr>
        <w:t>(1), pp.24-44.</w:t>
      </w:r>
    </w:p>
    <w:p w14:paraId="574B816B"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Shen, B. (2014) Sustainable fashion supply chain: Lessons from H&amp;M. </w:t>
      </w:r>
      <w:r w:rsidRPr="000D3C01">
        <w:rPr>
          <w:rFonts w:ascii="Arial" w:eastAsia="Calibri" w:hAnsi="Arial" w:cs="Arial"/>
          <w:i/>
          <w:iCs/>
          <w:sz w:val="24"/>
          <w:szCs w:val="24"/>
          <w:shd w:val="clear" w:color="auto" w:fill="FFFFFF"/>
          <w:lang w:val="en-GB"/>
        </w:rPr>
        <w:t>Sustainability</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6</w:t>
      </w:r>
      <w:r w:rsidRPr="000D3C01">
        <w:rPr>
          <w:rFonts w:ascii="Arial" w:eastAsia="Calibri" w:hAnsi="Arial" w:cs="Arial"/>
          <w:sz w:val="24"/>
          <w:szCs w:val="24"/>
          <w:shd w:val="clear" w:color="auto" w:fill="FFFFFF"/>
          <w:lang w:val="en-GB"/>
        </w:rPr>
        <w:t>(9), pp.6236-6249.</w:t>
      </w:r>
    </w:p>
    <w:p w14:paraId="06B0BC7E"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Su</w:t>
      </w:r>
      <w:proofErr w:type="spellEnd"/>
      <w:r w:rsidRPr="000D3C01">
        <w:rPr>
          <w:rFonts w:ascii="Arial" w:eastAsia="Calibri" w:hAnsi="Arial" w:cs="Arial"/>
          <w:sz w:val="24"/>
          <w:szCs w:val="24"/>
          <w:shd w:val="clear" w:color="auto" w:fill="FFFFFF"/>
          <w:lang w:val="en-GB"/>
        </w:rPr>
        <w:t>, J. (2016) Examining the relationships among the brand equity dimensions: empirical evidence from fast fashion. </w:t>
      </w:r>
      <w:r w:rsidRPr="000D3C01">
        <w:rPr>
          <w:rFonts w:ascii="Arial" w:eastAsia="Calibri" w:hAnsi="Arial" w:cs="Arial"/>
          <w:i/>
          <w:iCs/>
          <w:sz w:val="24"/>
          <w:szCs w:val="24"/>
          <w:shd w:val="clear" w:color="auto" w:fill="FFFFFF"/>
          <w:lang w:val="en-GB"/>
        </w:rPr>
        <w:t>Asia Pacific Journal of Marketing and Logistics</w:t>
      </w:r>
      <w:r w:rsidRPr="000D3C01">
        <w:rPr>
          <w:rFonts w:ascii="Arial" w:eastAsia="Calibri" w:hAnsi="Arial" w:cs="Arial"/>
          <w:sz w:val="24"/>
          <w:szCs w:val="24"/>
          <w:shd w:val="clear" w:color="auto" w:fill="FFFFFF"/>
          <w:lang w:val="en-GB"/>
        </w:rPr>
        <w:t>.</w:t>
      </w:r>
    </w:p>
    <w:p w14:paraId="453BE05A"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Sunder, M.V. (2014) Quality excellence in higher education system through Six Sigma: student team engagement model. </w:t>
      </w:r>
      <w:r w:rsidRPr="000D3C01">
        <w:rPr>
          <w:rFonts w:ascii="Arial" w:eastAsia="Calibri" w:hAnsi="Arial" w:cs="Arial"/>
          <w:i/>
          <w:iCs/>
          <w:sz w:val="24"/>
          <w:szCs w:val="24"/>
          <w:shd w:val="clear" w:color="auto" w:fill="FFFFFF"/>
          <w:lang w:val="en-GB"/>
        </w:rPr>
        <w:t>International Journal of Six Sigma and Competitive Advantage</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8</w:t>
      </w:r>
      <w:r w:rsidRPr="000D3C01">
        <w:rPr>
          <w:rFonts w:ascii="Arial" w:eastAsia="Calibri" w:hAnsi="Arial" w:cs="Arial"/>
          <w:sz w:val="24"/>
          <w:szCs w:val="24"/>
          <w:shd w:val="clear" w:color="auto" w:fill="FFFFFF"/>
          <w:lang w:val="en-GB"/>
        </w:rPr>
        <w:t>(3-4), pp.247-256.</w:t>
      </w:r>
    </w:p>
    <w:p w14:paraId="251AA77A"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Syafarudin</w:t>
      </w:r>
      <w:proofErr w:type="spellEnd"/>
      <w:r w:rsidRPr="000D3C01">
        <w:rPr>
          <w:rFonts w:ascii="Arial" w:eastAsia="Calibri" w:hAnsi="Arial" w:cs="Arial"/>
          <w:sz w:val="24"/>
          <w:szCs w:val="24"/>
          <w:shd w:val="clear" w:color="auto" w:fill="FFFFFF"/>
          <w:lang w:val="en-GB"/>
        </w:rPr>
        <w:t>, A. (2021) The effect of product quality on customer satisfaction implications on customer loyalty in the era Covid-19. </w:t>
      </w:r>
      <w:proofErr w:type="spellStart"/>
      <w:r w:rsidRPr="000D3C01">
        <w:rPr>
          <w:rFonts w:ascii="Arial" w:eastAsia="Calibri" w:hAnsi="Arial" w:cs="Arial"/>
          <w:i/>
          <w:iCs/>
          <w:sz w:val="24"/>
          <w:szCs w:val="24"/>
          <w:shd w:val="clear" w:color="auto" w:fill="FFFFFF"/>
          <w:lang w:val="en-GB"/>
        </w:rPr>
        <w:t>Ilomata</w:t>
      </w:r>
      <w:proofErr w:type="spellEnd"/>
      <w:r w:rsidRPr="000D3C01">
        <w:rPr>
          <w:rFonts w:ascii="Arial" w:eastAsia="Calibri" w:hAnsi="Arial" w:cs="Arial"/>
          <w:i/>
          <w:iCs/>
          <w:sz w:val="24"/>
          <w:szCs w:val="24"/>
          <w:shd w:val="clear" w:color="auto" w:fill="FFFFFF"/>
          <w:lang w:val="en-GB"/>
        </w:rPr>
        <w:t xml:space="preserve"> International Journal of Tax and Accounting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w:t>
      </w:r>
      <w:r w:rsidRPr="000D3C01">
        <w:rPr>
          <w:rFonts w:ascii="Arial" w:eastAsia="Calibri" w:hAnsi="Arial" w:cs="Arial"/>
          <w:sz w:val="24"/>
          <w:szCs w:val="24"/>
          <w:shd w:val="clear" w:color="auto" w:fill="FFFFFF"/>
          <w:lang w:val="en-GB"/>
        </w:rPr>
        <w:t>(1), pp.71-83.</w:t>
      </w:r>
    </w:p>
    <w:p w14:paraId="0A97B171" w14:textId="77777777" w:rsidR="000D3C01" w:rsidRPr="000D3C01" w:rsidRDefault="000D3C01" w:rsidP="000D3C01">
      <w:pPr>
        <w:spacing w:before="240" w:line="360" w:lineRule="auto"/>
        <w:jc w:val="both"/>
        <w:rPr>
          <w:rFonts w:ascii="Arial" w:eastAsia="Calibri" w:hAnsi="Arial" w:cs="Arial"/>
          <w:i/>
          <w:iCs/>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Talaja</w:t>
      </w:r>
      <w:proofErr w:type="spellEnd"/>
      <w:r w:rsidRPr="000D3C01">
        <w:rPr>
          <w:rFonts w:ascii="Arial" w:eastAsia="Calibri" w:hAnsi="Arial" w:cs="Arial"/>
          <w:sz w:val="24"/>
          <w:szCs w:val="24"/>
          <w:shd w:val="clear" w:color="auto" w:fill="FFFFFF"/>
          <w:lang w:val="en-GB"/>
        </w:rPr>
        <w:t>, A. (2012) Testing VRIN framework: Resource value and rareness as sources of competitive advantage and above average performance. </w:t>
      </w:r>
      <w:r w:rsidRPr="000D3C01">
        <w:rPr>
          <w:rFonts w:ascii="Arial" w:eastAsia="Calibri" w:hAnsi="Arial" w:cs="Arial"/>
          <w:i/>
          <w:iCs/>
          <w:sz w:val="24"/>
          <w:szCs w:val="24"/>
          <w:shd w:val="clear" w:color="auto" w:fill="FFFFFF"/>
          <w:lang w:val="en-GB"/>
        </w:rPr>
        <w:t xml:space="preserve">Management: journal of contemporary </w:t>
      </w:r>
      <w:proofErr w:type="spellStart"/>
      <w:r w:rsidRPr="000D3C01">
        <w:rPr>
          <w:rFonts w:ascii="Arial" w:eastAsia="Calibri" w:hAnsi="Arial" w:cs="Arial"/>
          <w:i/>
          <w:iCs/>
          <w:sz w:val="24"/>
          <w:szCs w:val="24"/>
          <w:shd w:val="clear" w:color="auto" w:fill="FFFFFF"/>
          <w:lang w:val="en-GB"/>
        </w:rPr>
        <w:t>managemen</w:t>
      </w:r>
      <w:proofErr w:type="spellEnd"/>
    </w:p>
    <w:p w14:paraId="787EDF6A"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Taylor, C.R. (2017) How to avoid marketing disasters: Back to the basic communications model, but with some updates illustrating the importance of e-word-of-mouth research. </w:t>
      </w:r>
      <w:r w:rsidRPr="000D3C01">
        <w:rPr>
          <w:rFonts w:ascii="Arial" w:eastAsia="Calibri" w:hAnsi="Arial" w:cs="Arial"/>
          <w:i/>
          <w:iCs/>
          <w:sz w:val="24"/>
          <w:szCs w:val="24"/>
          <w:shd w:val="clear" w:color="auto" w:fill="FFFFFF"/>
          <w:lang w:val="en-GB"/>
        </w:rPr>
        <w:t>International Journal of Advertising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36</w:t>
      </w:r>
      <w:r w:rsidRPr="000D3C01">
        <w:rPr>
          <w:rFonts w:ascii="Arial" w:eastAsia="Calibri" w:hAnsi="Arial" w:cs="Arial"/>
          <w:sz w:val="24"/>
          <w:szCs w:val="24"/>
          <w:shd w:val="clear" w:color="auto" w:fill="FFFFFF"/>
          <w:lang w:val="en-GB"/>
        </w:rPr>
        <w:t>(4), pp.515-519.</w:t>
      </w:r>
    </w:p>
    <w:p w14:paraId="364DDB85"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Thompson, J. and McLarney, C. (2017) What effects will the strategy changes undertaken by next Plc have on themselves and their competition in the UK Clothing Retail </w:t>
      </w:r>
      <w:proofErr w:type="gramStart"/>
      <w:r w:rsidRPr="000D3C01">
        <w:rPr>
          <w:rFonts w:ascii="Arial" w:eastAsia="Calibri" w:hAnsi="Arial" w:cs="Arial"/>
          <w:sz w:val="24"/>
          <w:szCs w:val="24"/>
          <w:shd w:val="clear" w:color="auto" w:fill="FFFFFF"/>
          <w:lang w:val="en-GB"/>
        </w:rPr>
        <w:t>Market?.</w:t>
      </w:r>
      <w:proofErr w:type="gramEnd"/>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Journal of Commerce and Management Thought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8</w:t>
      </w:r>
      <w:r w:rsidRPr="000D3C01">
        <w:rPr>
          <w:rFonts w:ascii="Arial" w:eastAsia="Calibri" w:hAnsi="Arial" w:cs="Arial"/>
          <w:sz w:val="24"/>
          <w:szCs w:val="24"/>
          <w:shd w:val="clear" w:color="auto" w:fill="FFFFFF"/>
          <w:lang w:val="en-GB"/>
        </w:rPr>
        <w:t>(2), pp.234-264.</w:t>
      </w:r>
    </w:p>
    <w:p w14:paraId="63EB5A73"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Torres, A., </w:t>
      </w:r>
      <w:proofErr w:type="spellStart"/>
      <w:r w:rsidRPr="000D3C01">
        <w:rPr>
          <w:rFonts w:ascii="Arial" w:eastAsia="Calibri" w:hAnsi="Arial" w:cs="Arial"/>
          <w:sz w:val="24"/>
          <w:szCs w:val="24"/>
          <w:shd w:val="clear" w:color="auto" w:fill="FFFFFF"/>
          <w:lang w:val="en-GB"/>
        </w:rPr>
        <w:t>Bijmolt</w:t>
      </w:r>
      <w:proofErr w:type="spellEnd"/>
      <w:r w:rsidRPr="000D3C01">
        <w:rPr>
          <w:rFonts w:ascii="Arial" w:eastAsia="Calibri" w:hAnsi="Arial" w:cs="Arial"/>
          <w:sz w:val="24"/>
          <w:szCs w:val="24"/>
          <w:shd w:val="clear" w:color="auto" w:fill="FFFFFF"/>
          <w:lang w:val="en-GB"/>
        </w:rPr>
        <w:t xml:space="preserve">, T.H., </w:t>
      </w:r>
      <w:proofErr w:type="spellStart"/>
      <w:r w:rsidRPr="000D3C01">
        <w:rPr>
          <w:rFonts w:ascii="Arial" w:eastAsia="Calibri" w:hAnsi="Arial" w:cs="Arial"/>
          <w:sz w:val="24"/>
          <w:szCs w:val="24"/>
          <w:shd w:val="clear" w:color="auto" w:fill="FFFFFF"/>
          <w:lang w:val="en-GB"/>
        </w:rPr>
        <w:t>Tribó</w:t>
      </w:r>
      <w:proofErr w:type="spellEnd"/>
      <w:r w:rsidRPr="000D3C01">
        <w:rPr>
          <w:rFonts w:ascii="Arial" w:eastAsia="Calibri" w:hAnsi="Arial" w:cs="Arial"/>
          <w:sz w:val="24"/>
          <w:szCs w:val="24"/>
          <w:shd w:val="clear" w:color="auto" w:fill="FFFFFF"/>
          <w:lang w:val="en-GB"/>
        </w:rPr>
        <w:t>, J.A. and Verhoef, P. (2012</w:t>
      </w:r>
      <w:proofErr w:type="gramStart"/>
      <w:r w:rsidRPr="000D3C01">
        <w:rPr>
          <w:rFonts w:ascii="Arial" w:eastAsia="Calibri" w:hAnsi="Arial" w:cs="Arial"/>
          <w:sz w:val="24"/>
          <w:szCs w:val="24"/>
          <w:shd w:val="clear" w:color="auto" w:fill="FFFFFF"/>
          <w:lang w:val="en-GB"/>
        </w:rPr>
        <w:t>)  Generating</w:t>
      </w:r>
      <w:proofErr w:type="gramEnd"/>
      <w:r w:rsidRPr="000D3C01">
        <w:rPr>
          <w:rFonts w:ascii="Arial" w:eastAsia="Calibri" w:hAnsi="Arial" w:cs="Arial"/>
          <w:sz w:val="24"/>
          <w:szCs w:val="24"/>
          <w:shd w:val="clear" w:color="auto" w:fill="FFFFFF"/>
          <w:lang w:val="en-GB"/>
        </w:rPr>
        <w:t xml:space="preserve"> global brand equity through corporate social responsibility to key stakeholders. </w:t>
      </w:r>
      <w:r w:rsidRPr="000D3C01">
        <w:rPr>
          <w:rFonts w:ascii="Arial" w:eastAsia="Calibri" w:hAnsi="Arial" w:cs="Arial"/>
          <w:i/>
          <w:iCs/>
          <w:sz w:val="24"/>
          <w:szCs w:val="24"/>
          <w:shd w:val="clear" w:color="auto" w:fill="FFFFFF"/>
          <w:lang w:val="en-GB"/>
        </w:rPr>
        <w:t>International journal of research in marketing</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29</w:t>
      </w:r>
      <w:r w:rsidRPr="000D3C01">
        <w:rPr>
          <w:rFonts w:ascii="Arial" w:eastAsia="Calibri" w:hAnsi="Arial" w:cs="Arial"/>
          <w:sz w:val="24"/>
          <w:szCs w:val="24"/>
          <w:shd w:val="clear" w:color="auto" w:fill="FFFFFF"/>
          <w:lang w:val="en-GB"/>
        </w:rPr>
        <w:t>(1), pp.13-24.</w:t>
      </w:r>
    </w:p>
    <w:p w14:paraId="56F9E583"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Ünay</w:t>
      </w:r>
      <w:proofErr w:type="spellEnd"/>
      <w:r w:rsidRPr="000D3C01">
        <w:rPr>
          <w:rFonts w:ascii="Arial" w:eastAsia="Calibri" w:hAnsi="Arial" w:cs="Arial"/>
          <w:sz w:val="24"/>
          <w:szCs w:val="24"/>
          <w:shd w:val="clear" w:color="auto" w:fill="FFFFFF"/>
          <w:lang w:val="en-GB"/>
        </w:rPr>
        <w:t xml:space="preserve">, F.G. and </w:t>
      </w:r>
      <w:proofErr w:type="spellStart"/>
      <w:r w:rsidRPr="000D3C01">
        <w:rPr>
          <w:rFonts w:ascii="Arial" w:eastAsia="Calibri" w:hAnsi="Arial" w:cs="Arial"/>
          <w:sz w:val="24"/>
          <w:szCs w:val="24"/>
          <w:shd w:val="clear" w:color="auto" w:fill="FFFFFF"/>
          <w:lang w:val="en-GB"/>
        </w:rPr>
        <w:t>Zehir</w:t>
      </w:r>
      <w:proofErr w:type="spellEnd"/>
      <w:r w:rsidRPr="000D3C01">
        <w:rPr>
          <w:rFonts w:ascii="Arial" w:eastAsia="Calibri" w:hAnsi="Arial" w:cs="Arial"/>
          <w:sz w:val="24"/>
          <w:szCs w:val="24"/>
          <w:shd w:val="clear" w:color="auto" w:fill="FFFFFF"/>
          <w:lang w:val="en-GB"/>
        </w:rPr>
        <w:t>, C. (2012) Innovation intelligence and entrepreneurship in the fashion industry. </w:t>
      </w:r>
      <w:r w:rsidRPr="000D3C01">
        <w:rPr>
          <w:rFonts w:ascii="Arial" w:eastAsia="Calibri" w:hAnsi="Arial" w:cs="Arial"/>
          <w:i/>
          <w:iCs/>
          <w:sz w:val="24"/>
          <w:szCs w:val="24"/>
          <w:shd w:val="clear" w:color="auto" w:fill="FFFFFF"/>
          <w:lang w:val="en-GB"/>
        </w:rPr>
        <w:t xml:space="preserve">Procedia-Social and </w:t>
      </w:r>
      <w:proofErr w:type="spellStart"/>
      <w:r w:rsidRPr="000D3C01">
        <w:rPr>
          <w:rFonts w:ascii="Arial" w:eastAsia="Calibri" w:hAnsi="Arial" w:cs="Arial"/>
          <w:i/>
          <w:iCs/>
          <w:sz w:val="24"/>
          <w:szCs w:val="24"/>
          <w:shd w:val="clear" w:color="auto" w:fill="FFFFFF"/>
          <w:lang w:val="en-GB"/>
        </w:rPr>
        <w:t>Behavioral</w:t>
      </w:r>
      <w:proofErr w:type="spellEnd"/>
      <w:r w:rsidRPr="000D3C01">
        <w:rPr>
          <w:rFonts w:ascii="Arial" w:eastAsia="Calibri" w:hAnsi="Arial" w:cs="Arial"/>
          <w:i/>
          <w:iCs/>
          <w:sz w:val="24"/>
          <w:szCs w:val="24"/>
          <w:shd w:val="clear" w:color="auto" w:fill="FFFFFF"/>
          <w:lang w:val="en-GB"/>
        </w:rPr>
        <w:t xml:space="preserve"> Sciences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41</w:t>
      </w:r>
      <w:r w:rsidRPr="000D3C01">
        <w:rPr>
          <w:rFonts w:ascii="Arial" w:eastAsia="Calibri" w:hAnsi="Arial" w:cs="Arial"/>
          <w:sz w:val="24"/>
          <w:szCs w:val="24"/>
          <w:shd w:val="clear" w:color="auto" w:fill="FFFFFF"/>
          <w:lang w:val="en-GB"/>
        </w:rPr>
        <w:t>, pp.315-321.</w:t>
      </w:r>
    </w:p>
    <w:p w14:paraId="4BE6B678"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proofErr w:type="spellStart"/>
      <w:r w:rsidRPr="000D3C01">
        <w:rPr>
          <w:rFonts w:ascii="Arial" w:eastAsia="Calibri" w:hAnsi="Arial" w:cs="Arial"/>
          <w:sz w:val="24"/>
          <w:szCs w:val="24"/>
          <w:shd w:val="clear" w:color="auto" w:fill="FFFFFF"/>
          <w:lang w:val="en-GB"/>
        </w:rPr>
        <w:t>Valos</w:t>
      </w:r>
      <w:proofErr w:type="spellEnd"/>
      <w:r w:rsidRPr="000D3C01">
        <w:rPr>
          <w:rFonts w:ascii="Arial" w:eastAsia="Calibri" w:hAnsi="Arial" w:cs="Arial"/>
          <w:sz w:val="24"/>
          <w:szCs w:val="24"/>
          <w:shd w:val="clear" w:color="auto" w:fill="FFFFFF"/>
          <w:lang w:val="en-GB"/>
        </w:rPr>
        <w:t xml:space="preserve">, M.J., </w:t>
      </w:r>
      <w:proofErr w:type="spellStart"/>
      <w:r w:rsidRPr="000D3C01">
        <w:rPr>
          <w:rFonts w:ascii="Arial" w:eastAsia="Calibri" w:hAnsi="Arial" w:cs="Arial"/>
          <w:sz w:val="24"/>
          <w:szCs w:val="24"/>
          <w:shd w:val="clear" w:color="auto" w:fill="FFFFFF"/>
          <w:lang w:val="en-GB"/>
        </w:rPr>
        <w:t>Maplestone</w:t>
      </w:r>
      <w:proofErr w:type="spellEnd"/>
      <w:r w:rsidRPr="000D3C01">
        <w:rPr>
          <w:rFonts w:ascii="Arial" w:eastAsia="Calibri" w:hAnsi="Arial" w:cs="Arial"/>
          <w:sz w:val="24"/>
          <w:szCs w:val="24"/>
          <w:shd w:val="clear" w:color="auto" w:fill="FFFFFF"/>
          <w:lang w:val="en-GB"/>
        </w:rPr>
        <w:t>, V.L., Polonsky, M.J. and Ewing, M.  (2017</w:t>
      </w:r>
      <w:proofErr w:type="gramStart"/>
      <w:r w:rsidRPr="000D3C01">
        <w:rPr>
          <w:rFonts w:ascii="Arial" w:eastAsia="Calibri" w:hAnsi="Arial" w:cs="Arial"/>
          <w:sz w:val="24"/>
          <w:szCs w:val="24"/>
          <w:shd w:val="clear" w:color="auto" w:fill="FFFFFF"/>
          <w:lang w:val="en-GB"/>
        </w:rPr>
        <w:t>)  Integrating</w:t>
      </w:r>
      <w:proofErr w:type="gramEnd"/>
      <w:r w:rsidRPr="000D3C01">
        <w:rPr>
          <w:rFonts w:ascii="Arial" w:eastAsia="Calibri" w:hAnsi="Arial" w:cs="Arial"/>
          <w:sz w:val="24"/>
          <w:szCs w:val="24"/>
          <w:shd w:val="clear" w:color="auto" w:fill="FFFFFF"/>
          <w:lang w:val="en-GB"/>
        </w:rPr>
        <w:t xml:space="preserve"> social media within an integrated marketing communication decision-making framework. </w:t>
      </w:r>
      <w:r w:rsidRPr="000D3C01">
        <w:rPr>
          <w:rFonts w:ascii="Arial" w:eastAsia="Calibri" w:hAnsi="Arial" w:cs="Arial"/>
          <w:i/>
          <w:iCs/>
          <w:sz w:val="24"/>
          <w:szCs w:val="24"/>
          <w:shd w:val="clear" w:color="auto" w:fill="FFFFFF"/>
          <w:lang w:val="en-GB"/>
        </w:rPr>
        <w:t>Journal of Marketing Management</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33</w:t>
      </w:r>
      <w:r w:rsidRPr="000D3C01">
        <w:rPr>
          <w:rFonts w:ascii="Arial" w:eastAsia="Calibri" w:hAnsi="Arial" w:cs="Arial"/>
          <w:sz w:val="24"/>
          <w:szCs w:val="24"/>
          <w:shd w:val="clear" w:color="auto" w:fill="FFFFFF"/>
          <w:lang w:val="en-GB"/>
        </w:rPr>
        <w:t>(17-18), pp.1522-1558.</w:t>
      </w:r>
    </w:p>
    <w:p w14:paraId="6CF2F84D"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Varley, R., </w:t>
      </w:r>
      <w:proofErr w:type="spellStart"/>
      <w:r w:rsidRPr="000D3C01">
        <w:rPr>
          <w:rFonts w:ascii="Arial" w:eastAsia="Calibri" w:hAnsi="Arial" w:cs="Arial"/>
          <w:sz w:val="24"/>
          <w:szCs w:val="24"/>
          <w:shd w:val="clear" w:color="auto" w:fill="FFFFFF"/>
          <w:lang w:val="en-GB"/>
        </w:rPr>
        <w:t>Roncha</w:t>
      </w:r>
      <w:proofErr w:type="spellEnd"/>
      <w:r w:rsidRPr="000D3C01">
        <w:rPr>
          <w:rFonts w:ascii="Arial" w:eastAsia="Calibri" w:hAnsi="Arial" w:cs="Arial"/>
          <w:sz w:val="24"/>
          <w:szCs w:val="24"/>
          <w:shd w:val="clear" w:color="auto" w:fill="FFFFFF"/>
          <w:lang w:val="en-GB"/>
        </w:rPr>
        <w:t xml:space="preserve">, A., </w:t>
      </w:r>
      <w:proofErr w:type="spellStart"/>
      <w:r w:rsidRPr="000D3C01">
        <w:rPr>
          <w:rFonts w:ascii="Arial" w:eastAsia="Calibri" w:hAnsi="Arial" w:cs="Arial"/>
          <w:sz w:val="24"/>
          <w:szCs w:val="24"/>
          <w:shd w:val="clear" w:color="auto" w:fill="FFFFFF"/>
          <w:lang w:val="en-GB"/>
        </w:rPr>
        <w:t>Radclyffe</w:t>
      </w:r>
      <w:proofErr w:type="spellEnd"/>
      <w:r w:rsidRPr="000D3C01">
        <w:rPr>
          <w:rFonts w:ascii="Arial" w:eastAsia="Calibri" w:hAnsi="Arial" w:cs="Arial"/>
          <w:sz w:val="24"/>
          <w:szCs w:val="24"/>
          <w:shd w:val="clear" w:color="auto" w:fill="FFFFFF"/>
          <w:lang w:val="en-GB"/>
        </w:rPr>
        <w:t>-Thomas, N. and Gee, L. (2018) </w:t>
      </w:r>
      <w:r w:rsidRPr="000D3C01">
        <w:rPr>
          <w:rFonts w:ascii="Arial" w:eastAsia="Calibri" w:hAnsi="Arial" w:cs="Arial"/>
          <w:i/>
          <w:iCs/>
          <w:sz w:val="24"/>
          <w:szCs w:val="24"/>
          <w:shd w:val="clear" w:color="auto" w:fill="FFFFFF"/>
          <w:lang w:val="en-GB"/>
        </w:rPr>
        <w:t>Fashion management: A strategic approach</w:t>
      </w:r>
      <w:r w:rsidRPr="000D3C01">
        <w:rPr>
          <w:rFonts w:ascii="Arial" w:eastAsia="Calibri" w:hAnsi="Arial" w:cs="Arial"/>
          <w:sz w:val="24"/>
          <w:szCs w:val="24"/>
          <w:shd w:val="clear" w:color="auto" w:fill="FFFFFF"/>
          <w:lang w:val="en-GB"/>
        </w:rPr>
        <w:t>. London: Macmillan International Higher Education.</w:t>
      </w:r>
    </w:p>
    <w:p w14:paraId="402C9297" w14:textId="77777777" w:rsidR="000D3C01" w:rsidRPr="000D3C01" w:rsidRDefault="000D3C01" w:rsidP="000D3C01">
      <w:pPr>
        <w:spacing w:before="240" w:line="360" w:lineRule="auto"/>
        <w:jc w:val="both"/>
        <w:rPr>
          <w:rFonts w:ascii="Arial" w:eastAsia="Calibri" w:hAnsi="Arial" w:cs="Arial"/>
          <w:b/>
          <w:sz w:val="24"/>
          <w:szCs w:val="24"/>
          <w:lang w:val="en-GB"/>
        </w:rPr>
      </w:pPr>
      <w:r w:rsidRPr="000D3C01">
        <w:rPr>
          <w:rFonts w:ascii="Arial" w:eastAsia="Calibri" w:hAnsi="Arial" w:cs="Arial"/>
          <w:sz w:val="24"/>
          <w:szCs w:val="24"/>
          <w:shd w:val="clear" w:color="auto" w:fill="FFFFFF"/>
          <w:lang w:val="en-GB"/>
        </w:rPr>
        <w:t>Vinh, T.T. (2016) The relationships among brand equity, brand preference, and purchase intention: empirical evidence from the motorbike market in Vietnam. </w:t>
      </w:r>
      <w:r w:rsidRPr="000D3C01">
        <w:rPr>
          <w:rFonts w:ascii="Arial" w:eastAsia="Calibri" w:hAnsi="Arial" w:cs="Arial"/>
          <w:i/>
          <w:iCs/>
          <w:sz w:val="24"/>
          <w:szCs w:val="24"/>
          <w:shd w:val="clear" w:color="auto" w:fill="FFFFFF"/>
          <w:lang w:val="en-GB"/>
        </w:rPr>
        <w:t>International Journal of Economics and Finance</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8</w:t>
      </w:r>
      <w:r w:rsidRPr="000D3C01">
        <w:rPr>
          <w:rFonts w:ascii="Arial" w:eastAsia="Calibri" w:hAnsi="Arial" w:cs="Arial"/>
          <w:sz w:val="24"/>
          <w:szCs w:val="24"/>
          <w:shd w:val="clear" w:color="auto" w:fill="FFFFFF"/>
          <w:lang w:val="en-GB"/>
        </w:rPr>
        <w:t>(3), pp.75-84.</w:t>
      </w:r>
    </w:p>
    <w:p w14:paraId="090084FF" w14:textId="77777777" w:rsidR="000D3C01" w:rsidRPr="000D3C01" w:rsidRDefault="000D3C01" w:rsidP="000D3C01">
      <w:pPr>
        <w:widowControl w:val="0"/>
        <w:autoSpaceDE w:val="0"/>
        <w:autoSpaceDN w:val="0"/>
        <w:spacing w:before="240" w:after="0" w:line="360" w:lineRule="auto"/>
        <w:ind w:left="50"/>
        <w:jc w:val="both"/>
        <w:rPr>
          <w:rFonts w:ascii="Arial" w:eastAsia="Arial" w:hAnsi="Arial" w:cs="Arial"/>
          <w:sz w:val="24"/>
          <w:szCs w:val="24"/>
          <w:shd w:val="clear" w:color="auto" w:fill="FFFFFF"/>
          <w:lang w:val="en-US"/>
        </w:rPr>
      </w:pPr>
      <w:r w:rsidRPr="000D3C01">
        <w:rPr>
          <w:rFonts w:ascii="Arial" w:eastAsia="Arial" w:hAnsi="Arial" w:cs="Arial"/>
          <w:sz w:val="24"/>
          <w:szCs w:val="24"/>
          <w:shd w:val="clear" w:color="auto" w:fill="FFFFFF"/>
          <w:lang w:val="en-US"/>
        </w:rPr>
        <w:t xml:space="preserve">Volkov, N., Finkelstein, N., </w:t>
      </w:r>
      <w:proofErr w:type="spellStart"/>
      <w:r w:rsidRPr="000D3C01">
        <w:rPr>
          <w:rFonts w:ascii="Arial" w:eastAsia="Arial" w:hAnsi="Arial" w:cs="Arial"/>
          <w:sz w:val="24"/>
          <w:szCs w:val="24"/>
          <w:shd w:val="clear" w:color="auto" w:fill="FFFFFF"/>
          <w:lang w:val="en-US"/>
        </w:rPr>
        <w:t>Novoselsky</w:t>
      </w:r>
      <w:proofErr w:type="spellEnd"/>
      <w:r w:rsidRPr="000D3C01">
        <w:rPr>
          <w:rFonts w:ascii="Arial" w:eastAsia="Arial" w:hAnsi="Arial" w:cs="Arial"/>
          <w:sz w:val="24"/>
          <w:szCs w:val="24"/>
          <w:shd w:val="clear" w:color="auto" w:fill="FFFFFF"/>
          <w:lang w:val="en-US"/>
        </w:rPr>
        <w:t xml:space="preserve">, Y. and </w:t>
      </w:r>
      <w:proofErr w:type="spellStart"/>
      <w:r w:rsidRPr="000D3C01">
        <w:rPr>
          <w:rFonts w:ascii="Arial" w:eastAsia="Arial" w:hAnsi="Arial" w:cs="Arial"/>
          <w:sz w:val="24"/>
          <w:szCs w:val="24"/>
          <w:shd w:val="clear" w:color="auto" w:fill="FFFFFF"/>
          <w:lang w:val="en-US"/>
        </w:rPr>
        <w:t>Tsach</w:t>
      </w:r>
      <w:proofErr w:type="spellEnd"/>
      <w:r w:rsidRPr="000D3C01">
        <w:rPr>
          <w:rFonts w:ascii="Arial" w:eastAsia="Arial" w:hAnsi="Arial" w:cs="Arial"/>
          <w:sz w:val="24"/>
          <w:szCs w:val="24"/>
          <w:shd w:val="clear" w:color="auto" w:fill="FFFFFF"/>
          <w:lang w:val="en-US"/>
        </w:rPr>
        <w:t>, T. (2014) The Class Characteristic Mark of the H&amp;M Mul</w:t>
      </w:r>
      <w:r w:rsidRPr="000D3C01">
        <w:rPr>
          <w:rFonts w:ascii="Cambria Math" w:eastAsia="Arial" w:hAnsi="Cambria Math" w:cs="Cambria Math"/>
          <w:sz w:val="24"/>
          <w:szCs w:val="24"/>
          <w:shd w:val="clear" w:color="auto" w:fill="FFFFFF"/>
          <w:lang w:val="en-US"/>
        </w:rPr>
        <w:t>‐</w:t>
      </w:r>
      <w:r w:rsidRPr="000D3C01">
        <w:rPr>
          <w:rFonts w:ascii="Arial" w:eastAsia="Arial" w:hAnsi="Arial" w:cs="Arial"/>
          <w:sz w:val="24"/>
          <w:szCs w:val="24"/>
          <w:shd w:val="clear" w:color="auto" w:fill="FFFFFF"/>
          <w:lang w:val="en-US"/>
        </w:rPr>
        <w:t>T</w:t>
      </w:r>
      <w:r w:rsidRPr="000D3C01">
        <w:rPr>
          <w:rFonts w:ascii="Cambria Math" w:eastAsia="Arial" w:hAnsi="Cambria Math" w:cs="Cambria Math"/>
          <w:sz w:val="24"/>
          <w:szCs w:val="24"/>
          <w:shd w:val="clear" w:color="auto" w:fill="FFFFFF"/>
          <w:lang w:val="en-US"/>
        </w:rPr>
        <w:t>‐</w:t>
      </w:r>
      <w:r w:rsidRPr="000D3C01">
        <w:rPr>
          <w:rFonts w:ascii="Arial" w:eastAsia="Arial" w:hAnsi="Arial" w:cs="Arial"/>
          <w:sz w:val="24"/>
          <w:szCs w:val="24"/>
          <w:shd w:val="clear" w:color="auto" w:fill="FFFFFF"/>
          <w:lang w:val="en-US"/>
        </w:rPr>
        <w:t>Lock Picking Tool in Toolmarks Examination. </w:t>
      </w:r>
      <w:r w:rsidRPr="000D3C01">
        <w:rPr>
          <w:rFonts w:ascii="Arial" w:eastAsia="Arial" w:hAnsi="Arial" w:cs="Arial"/>
          <w:i/>
          <w:iCs/>
          <w:sz w:val="24"/>
          <w:szCs w:val="24"/>
          <w:shd w:val="clear" w:color="auto" w:fill="FFFFFF"/>
          <w:lang w:val="en-US"/>
        </w:rPr>
        <w:t>Journal of Forensic Sciences</w:t>
      </w:r>
      <w:r w:rsidRPr="000D3C01">
        <w:rPr>
          <w:rFonts w:ascii="Arial" w:eastAsia="Arial" w:hAnsi="Arial" w:cs="Arial"/>
          <w:sz w:val="24"/>
          <w:szCs w:val="24"/>
          <w:shd w:val="clear" w:color="auto" w:fill="FFFFFF"/>
          <w:lang w:val="en-US"/>
        </w:rPr>
        <w:t>, </w:t>
      </w:r>
      <w:r w:rsidRPr="000D3C01">
        <w:rPr>
          <w:rFonts w:ascii="Arial" w:eastAsia="Arial" w:hAnsi="Arial" w:cs="Arial"/>
          <w:i/>
          <w:iCs/>
          <w:sz w:val="24"/>
          <w:szCs w:val="24"/>
          <w:shd w:val="clear" w:color="auto" w:fill="FFFFFF"/>
          <w:lang w:val="en-US"/>
        </w:rPr>
        <w:t>59</w:t>
      </w:r>
      <w:r w:rsidRPr="000D3C01">
        <w:rPr>
          <w:rFonts w:ascii="Arial" w:eastAsia="Arial" w:hAnsi="Arial" w:cs="Arial"/>
          <w:sz w:val="24"/>
          <w:szCs w:val="24"/>
          <w:shd w:val="clear" w:color="auto" w:fill="FFFFFF"/>
          <w:lang w:val="en-US"/>
        </w:rPr>
        <w:t>(4), pp.1109-1112.</w:t>
      </w:r>
    </w:p>
    <w:p w14:paraId="73FAF1D1"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Weaver, S.E. and Coleman, M. (2010) Caught in the middle: Mothers in stepfamilies. </w:t>
      </w:r>
      <w:r w:rsidRPr="000D3C01">
        <w:rPr>
          <w:rFonts w:ascii="Arial" w:eastAsia="Calibri" w:hAnsi="Arial" w:cs="Arial"/>
          <w:i/>
          <w:iCs/>
          <w:sz w:val="24"/>
          <w:szCs w:val="24"/>
          <w:shd w:val="clear" w:color="auto" w:fill="FFFFFF"/>
          <w:lang w:val="en-GB"/>
        </w:rPr>
        <w:t>Journal of Social and Personal Relationships</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27</w:t>
      </w:r>
      <w:r w:rsidRPr="000D3C01">
        <w:rPr>
          <w:rFonts w:ascii="Arial" w:eastAsia="Calibri" w:hAnsi="Arial" w:cs="Arial"/>
          <w:sz w:val="24"/>
          <w:szCs w:val="24"/>
          <w:shd w:val="clear" w:color="auto" w:fill="FFFFFF"/>
          <w:lang w:val="en-GB"/>
        </w:rPr>
        <w:t>(3), pp.305-326.</w:t>
      </w:r>
    </w:p>
    <w:p w14:paraId="7D1BCE31"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 xml:space="preserve">Yun, P.S., MacDonald, C.L., Orne, J., Gutierrez-Meza, D., </w:t>
      </w:r>
      <w:proofErr w:type="spellStart"/>
      <w:r w:rsidRPr="000D3C01">
        <w:rPr>
          <w:rFonts w:ascii="Arial" w:eastAsia="Calibri" w:hAnsi="Arial" w:cs="Arial"/>
          <w:sz w:val="24"/>
          <w:szCs w:val="24"/>
          <w:shd w:val="clear" w:color="auto" w:fill="FFFFFF"/>
          <w:lang w:val="en-GB"/>
        </w:rPr>
        <w:t>Buentello</w:t>
      </w:r>
      <w:proofErr w:type="spellEnd"/>
      <w:r w:rsidRPr="000D3C01">
        <w:rPr>
          <w:rFonts w:ascii="Arial" w:eastAsia="Calibri" w:hAnsi="Arial" w:cs="Arial"/>
          <w:sz w:val="24"/>
          <w:szCs w:val="24"/>
          <w:shd w:val="clear" w:color="auto" w:fill="FFFFFF"/>
          <w:lang w:val="en-GB"/>
        </w:rPr>
        <w:t xml:space="preserve">, G., Street, R., Naik, A.D. and </w:t>
      </w:r>
      <w:proofErr w:type="spellStart"/>
      <w:r w:rsidRPr="000D3C01">
        <w:rPr>
          <w:rFonts w:ascii="Arial" w:eastAsia="Calibri" w:hAnsi="Arial" w:cs="Arial"/>
          <w:sz w:val="24"/>
          <w:szCs w:val="24"/>
          <w:shd w:val="clear" w:color="auto" w:fill="FFFFFF"/>
          <w:lang w:val="en-GB"/>
        </w:rPr>
        <w:t>Suliburk</w:t>
      </w:r>
      <w:proofErr w:type="spellEnd"/>
      <w:r w:rsidRPr="000D3C01">
        <w:rPr>
          <w:rFonts w:ascii="Arial" w:eastAsia="Calibri" w:hAnsi="Arial" w:cs="Arial"/>
          <w:sz w:val="24"/>
          <w:szCs w:val="24"/>
          <w:shd w:val="clear" w:color="auto" w:fill="FFFFFF"/>
          <w:lang w:val="en-GB"/>
        </w:rPr>
        <w:t>, J.W. (2020</w:t>
      </w:r>
      <w:proofErr w:type="gramStart"/>
      <w:r w:rsidRPr="000D3C01">
        <w:rPr>
          <w:rFonts w:ascii="Arial" w:eastAsia="Calibri" w:hAnsi="Arial" w:cs="Arial"/>
          <w:sz w:val="24"/>
          <w:szCs w:val="24"/>
          <w:shd w:val="clear" w:color="auto" w:fill="FFFFFF"/>
          <w:lang w:val="en-GB"/>
        </w:rPr>
        <w:t>)  A</w:t>
      </w:r>
      <w:proofErr w:type="gramEnd"/>
      <w:r w:rsidRPr="000D3C01">
        <w:rPr>
          <w:rFonts w:ascii="Arial" w:eastAsia="Calibri" w:hAnsi="Arial" w:cs="Arial"/>
          <w:sz w:val="24"/>
          <w:szCs w:val="24"/>
          <w:shd w:val="clear" w:color="auto" w:fill="FFFFFF"/>
          <w:lang w:val="en-GB"/>
        </w:rPr>
        <w:t xml:space="preserve"> novel surgical patient engagement model: a qualitative study of postoperative patients. </w:t>
      </w:r>
      <w:r w:rsidRPr="000D3C01">
        <w:rPr>
          <w:rFonts w:ascii="Arial" w:eastAsia="Calibri" w:hAnsi="Arial" w:cs="Arial"/>
          <w:i/>
          <w:iCs/>
          <w:sz w:val="24"/>
          <w:szCs w:val="24"/>
          <w:shd w:val="clear" w:color="auto" w:fill="FFFFFF"/>
          <w:lang w:val="en-GB"/>
        </w:rPr>
        <w:t>Journal of Surgical Research</w:t>
      </w:r>
      <w:r w:rsidRPr="000D3C01">
        <w:rPr>
          <w:rFonts w:ascii="Arial" w:eastAsia="Calibri" w:hAnsi="Arial" w:cs="Arial"/>
          <w:sz w:val="24"/>
          <w:szCs w:val="24"/>
          <w:shd w:val="clear" w:color="auto" w:fill="FFFFFF"/>
          <w:lang w:val="en-GB"/>
        </w:rPr>
        <w:t>, </w:t>
      </w:r>
      <w:r w:rsidRPr="000D3C01">
        <w:rPr>
          <w:rFonts w:ascii="Arial" w:eastAsia="Calibri" w:hAnsi="Arial" w:cs="Arial"/>
          <w:i/>
          <w:iCs/>
          <w:sz w:val="24"/>
          <w:szCs w:val="24"/>
          <w:shd w:val="clear" w:color="auto" w:fill="FFFFFF"/>
          <w:lang w:val="en-GB"/>
        </w:rPr>
        <w:t>248</w:t>
      </w:r>
      <w:r w:rsidRPr="000D3C01">
        <w:rPr>
          <w:rFonts w:ascii="Arial" w:eastAsia="Calibri" w:hAnsi="Arial" w:cs="Arial"/>
          <w:sz w:val="24"/>
          <w:szCs w:val="24"/>
          <w:shd w:val="clear" w:color="auto" w:fill="FFFFFF"/>
          <w:lang w:val="en-GB"/>
        </w:rPr>
        <w:t>, pp.82-89.</w:t>
      </w:r>
    </w:p>
    <w:p w14:paraId="2EC223F7" w14:textId="77777777" w:rsidR="000D3C01" w:rsidRPr="000D3C01" w:rsidRDefault="000D3C01" w:rsidP="000D3C01">
      <w:pPr>
        <w:spacing w:before="240" w:line="360" w:lineRule="auto"/>
        <w:jc w:val="both"/>
        <w:rPr>
          <w:rFonts w:ascii="Arial" w:eastAsia="Calibri" w:hAnsi="Arial" w:cs="Arial"/>
          <w:sz w:val="24"/>
          <w:szCs w:val="24"/>
          <w:shd w:val="clear" w:color="auto" w:fill="FFFFFF"/>
          <w:lang w:val="en-GB"/>
        </w:rPr>
      </w:pPr>
      <w:r w:rsidRPr="000D3C01">
        <w:rPr>
          <w:rFonts w:ascii="Arial" w:eastAsia="Calibri" w:hAnsi="Arial" w:cs="Arial"/>
          <w:sz w:val="24"/>
          <w:szCs w:val="24"/>
          <w:shd w:val="clear" w:color="auto" w:fill="FFFFFF"/>
          <w:lang w:val="en-GB"/>
        </w:rPr>
        <w:t>ZHOU, X.J., LI, S. and LUO, X. (2013) Comparative Analysis of Supply Chain? for Wuhan Garment Enterprises and ZARA/H&amp;M. </w:t>
      </w:r>
      <w:r w:rsidRPr="000D3C01">
        <w:rPr>
          <w:rFonts w:ascii="Arial" w:eastAsia="Calibri" w:hAnsi="Arial" w:cs="Arial"/>
          <w:i/>
          <w:iCs/>
          <w:sz w:val="24"/>
          <w:szCs w:val="24"/>
          <w:shd w:val="clear" w:color="auto" w:fill="FFFFFF"/>
          <w:lang w:val="en-GB"/>
        </w:rPr>
        <w:t>Journal of Wuhan Textile University</w:t>
      </w:r>
      <w:r w:rsidRPr="000D3C01">
        <w:rPr>
          <w:rFonts w:ascii="Arial" w:eastAsia="Calibri" w:hAnsi="Arial" w:cs="Arial"/>
          <w:sz w:val="24"/>
          <w:szCs w:val="24"/>
          <w:shd w:val="clear" w:color="auto" w:fill="FFFFFF"/>
          <w:lang w:val="en-GB"/>
        </w:rPr>
        <w:t>, (2), p.5.</w:t>
      </w:r>
    </w:p>
    <w:p w14:paraId="68EA7F70" w14:textId="77777777" w:rsidR="000D3C01" w:rsidRPr="000D3C01" w:rsidRDefault="000D3C01" w:rsidP="000D3C01">
      <w:pPr>
        <w:spacing w:before="240" w:line="360" w:lineRule="auto"/>
        <w:jc w:val="both"/>
        <w:rPr>
          <w:rFonts w:ascii="Arial" w:eastAsia="Calibri" w:hAnsi="Arial" w:cs="Arial"/>
          <w:b/>
          <w:bCs/>
          <w:sz w:val="24"/>
          <w:szCs w:val="24"/>
          <w:lang w:val="en-GB"/>
        </w:rPr>
      </w:pPr>
    </w:p>
    <w:p w14:paraId="3A427A1B" w14:textId="77777777" w:rsidR="000D3C01" w:rsidRDefault="000D3C01" w:rsidP="000D3C01">
      <w:pPr>
        <w:ind w:left="3600"/>
      </w:pPr>
    </w:p>
    <w:sectPr w:rsidR="000D3C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Heavy">
    <w:panose1 w:val="020B0903020102020204"/>
    <w:charset w:val="00"/>
    <w:family w:val="swiss"/>
    <w:pitch w:val="variable"/>
    <w:sig w:usb0="00000287" w:usb1="00000000" w:usb2="00000000" w:usb3="00000000" w:csb0="0000009F" w:csb1="00000000"/>
  </w:font>
  <w:font w:name="Agency FB">
    <w:panose1 w:val="020B050302020202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C01"/>
    <w:rsid w:val="00046327"/>
    <w:rsid w:val="000D3C01"/>
    <w:rsid w:val="001318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44D23"/>
  <w15:chartTrackingRefBased/>
  <w15:docId w15:val="{C4E1517E-9264-4BB6-880E-6A26C36D7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C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6176</Words>
  <Characters>35207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Hilal Mohammed Kunju</dc:creator>
  <cp:keywords/>
  <dc:description/>
  <cp:lastModifiedBy>Hilal Mohammed Kunju</cp:lastModifiedBy>
  <cp:revision>1</cp:revision>
  <dcterms:created xsi:type="dcterms:W3CDTF">2022-09-05T20:29:00Z</dcterms:created>
  <dcterms:modified xsi:type="dcterms:W3CDTF">2022-09-05T20:34:00Z</dcterms:modified>
</cp:coreProperties>
</file>