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45DE" w:rsidRDefault="003A45DE" w:rsidP="003A45DE">
      <w:pPr>
        <w:jc w:val="center"/>
        <w:rPr>
          <w:b/>
          <w:sz w:val="28"/>
          <w:u w:val="single"/>
        </w:rPr>
      </w:pPr>
      <w:r>
        <w:rPr>
          <w:b/>
          <w:sz w:val="28"/>
          <w:u w:val="single"/>
        </w:rPr>
        <w:t>Phoebe McGowan (1600144)</w:t>
      </w:r>
    </w:p>
    <w:p w:rsidR="003A45DE" w:rsidRDefault="003A45DE" w:rsidP="003A45DE">
      <w:pPr>
        <w:jc w:val="center"/>
        <w:rPr>
          <w:b/>
          <w:sz w:val="28"/>
          <w:u w:val="single"/>
        </w:rPr>
      </w:pPr>
      <w:r>
        <w:rPr>
          <w:b/>
          <w:sz w:val="28"/>
          <w:u w:val="single"/>
        </w:rPr>
        <w:t>Medieval Europe: From Charlemagne to the Hundred Years War AHMS5003</w:t>
      </w:r>
    </w:p>
    <w:p w:rsidR="003A45DE" w:rsidRDefault="003A45DE" w:rsidP="003A45DE">
      <w:pPr>
        <w:jc w:val="center"/>
        <w:rPr>
          <w:b/>
          <w:sz w:val="28"/>
          <w:u w:val="single"/>
        </w:rPr>
      </w:pPr>
      <w:r>
        <w:rPr>
          <w:b/>
          <w:sz w:val="28"/>
          <w:u w:val="single"/>
        </w:rPr>
        <w:t>Can we attribute the birth of medieval Europe to Charlemagne?</w:t>
      </w: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jc w:val="center"/>
        <w:rPr>
          <w:b/>
          <w:sz w:val="28"/>
          <w:u w:val="single"/>
        </w:rPr>
      </w:pPr>
    </w:p>
    <w:p w:rsidR="003A45DE" w:rsidRDefault="003A45DE" w:rsidP="003A45DE">
      <w:pPr>
        <w:rPr>
          <w:b/>
          <w:sz w:val="28"/>
          <w:u w:val="single"/>
        </w:rPr>
      </w:pPr>
      <w:r>
        <w:rPr>
          <w:b/>
          <w:sz w:val="28"/>
          <w:u w:val="single"/>
        </w:rPr>
        <w:br w:type="page"/>
      </w:r>
    </w:p>
    <w:p w:rsidR="003D0EF6" w:rsidRDefault="003A45DE" w:rsidP="003D0EF6">
      <w:r>
        <w:lastRenderedPageBreak/>
        <w:t>When approaching this particular historical argument, which is widely debated amongst historians past and present, the first issue to approach is the definition of medieval Europe itself. There are several different definitions to what historians’ class medieval Europe as. The complexity of this issue can be explained in this quote by R.H.C Davis: ‘</w:t>
      </w:r>
      <w:r>
        <w:rPr>
          <w:i/>
        </w:rPr>
        <w:t>The civilisation that we call European is not spread evenly over the continent, nor is it confined to Europe. Sometimes it has expanded and sometimes it has contracted’.</w:t>
      </w:r>
      <w:r>
        <w:rPr>
          <w:rStyle w:val="FootnoteReference"/>
          <w:i/>
        </w:rPr>
        <w:footnoteReference w:id="1"/>
      </w:r>
      <w:r>
        <w:t xml:space="preserve"> The geographical location of what we see as Europe today is a modern perception that has not always been this way throughout history. This is further explored through the work of Wickham, who states that ‘</w:t>
      </w:r>
      <w:r>
        <w:rPr>
          <w:i/>
        </w:rPr>
        <w:t>The Roman Empire dominated the start of the period, unifying half of Europe, but dividing it sharply from the other half; a millennium later, Europe had taken the complicated shape it has taken since’.</w:t>
      </w:r>
      <w:r>
        <w:rPr>
          <w:rStyle w:val="FootnoteReference"/>
          <w:i/>
        </w:rPr>
        <w:footnoteReference w:id="2"/>
      </w:r>
      <w:r>
        <w:rPr>
          <w:i/>
        </w:rPr>
        <w:t xml:space="preserve"> </w:t>
      </w:r>
      <w:r>
        <w:t>The geography of Europe has constantly changed over time, with the invasions of different territories and land being owned by different nations and empires. Following this geographic definition, we can conclude that the boundaries of medieval Europe are constantly changing, due to conflict and war amongst countries. When the countries are unified, the culture and religion of the continent can also define it. A united ideology is a proposal put forward and followed by W.C. Jordan amongst his writing in his book ‘Europe in the High Middle Ages’.</w:t>
      </w:r>
      <w:r>
        <w:rPr>
          <w:rStyle w:val="FootnoteReference"/>
        </w:rPr>
        <w:footnoteReference w:id="3"/>
      </w:r>
      <w:r>
        <w:t xml:space="preserve"> In his approach to the definition of medieval Europe, he follows the argument that not only is Europe defined through the matter of boundaries, but also as a group of societies who follow the ideologies of Christendom and the rules of the papacy. A united ideology and religion was most evident during the reign of Charlemagne, where the presence of Islamic communities in what we would perceive as Europe now, would have been classed externally from medieval Europe as they followed another faith. Therefore, it makes the defining of medieval Europe that much harder to do. Following the arguments that medieval Europe is defined by the union of various territories, who share a common ideology and faith, in terms of social structures as well as cultural, I aim to explore the way in which Charlemagne was responsible for the birth of such as continent, or whether his actions were nothing more than a conclusive gesture following earlier events and the works of significant figure before him.</w:t>
      </w:r>
    </w:p>
    <w:p w:rsidR="003A45DE" w:rsidRPr="002114AF" w:rsidRDefault="003A45DE" w:rsidP="003A45DE">
      <w:r>
        <w:t xml:space="preserve"> </w:t>
      </w:r>
      <w:r w:rsidR="003D0EF6" w:rsidRPr="002114AF">
        <w:t>The unification of all of the land found within the Frankish Empire was crucial to Charlemagne. He created territories which he could rule over as one large land, without stripping the different countries of their cultural identity. An example of this would be the events which followed the conflicts in Aquitaine. ‘</w:t>
      </w:r>
      <w:r w:rsidR="003D0EF6" w:rsidRPr="002114AF">
        <w:rPr>
          <w:i/>
        </w:rPr>
        <w:t>In 781, Charlemagne recognised their persistence, and their sense of identity, by granting them his own son Louis as King of Aquitaine’.</w:t>
      </w:r>
      <w:r w:rsidR="003D0EF6" w:rsidRPr="002114AF">
        <w:rPr>
          <w:rStyle w:val="FootnoteReference"/>
          <w:i/>
        </w:rPr>
        <w:footnoteReference w:id="4"/>
      </w:r>
      <w:r w:rsidR="003D0EF6" w:rsidRPr="002114AF">
        <w:rPr>
          <w:i/>
        </w:rPr>
        <w:t xml:space="preserve"> </w:t>
      </w:r>
      <w:r w:rsidR="003D0EF6" w:rsidRPr="002114AF">
        <w:t>This way he still maintained Frankish power over Aquitaine, without taking away too much of their original cultural independence. Religion acted as the framework to the creation of medieval Europe. It was a point by which the identity of Europe, from this point onwards, branched out from. For example, from this he grew a cultural identity for Europe, as religion was written in the Latin language and he made Latin the European tongue. He also created education systems to teach Latin so that Christianity was understood and spread. Al of these matters of culture will be explored in time. Charlemagne ‘</w:t>
      </w:r>
      <w:r w:rsidR="003D0EF6" w:rsidRPr="002114AF">
        <w:rPr>
          <w:i/>
        </w:rPr>
        <w:t>enlarged his city so that it embraced almost the whole Latin Christendom, and fought in turn against the Lombards, the Saxons, the Muslims of Spain, the Serbs, the Avars…’</w:t>
      </w:r>
      <w:r w:rsidR="003D0EF6" w:rsidRPr="002114AF">
        <w:rPr>
          <w:rStyle w:val="FootnoteReference"/>
          <w:i/>
        </w:rPr>
        <w:footnoteReference w:id="5"/>
      </w:r>
      <w:r w:rsidR="003D0EF6" w:rsidRPr="002114AF">
        <w:t xml:space="preserve"> This conflict against the non-Christian states and countries, led to the overall conversion to Christianity of ‘heathen’ communities. However, Wickham believes that ‘</w:t>
      </w:r>
      <w:r w:rsidR="003D0EF6" w:rsidRPr="002114AF">
        <w:rPr>
          <w:i/>
        </w:rPr>
        <w:t xml:space="preserve">Christianity in itself did not create a more homogeneous Europe; </w:t>
      </w:r>
      <w:r w:rsidR="003D0EF6" w:rsidRPr="002114AF">
        <w:rPr>
          <w:i/>
        </w:rPr>
        <w:lastRenderedPageBreak/>
        <w:t>just a Europe in which there was a rather more widespread interest in more ambitious, but still distinct, political power’.</w:t>
      </w:r>
      <w:r w:rsidR="003D0EF6" w:rsidRPr="002114AF">
        <w:rPr>
          <w:rStyle w:val="FootnoteReference"/>
          <w:i/>
        </w:rPr>
        <w:footnoteReference w:id="6"/>
      </w:r>
      <w:r w:rsidR="003D0EF6" w:rsidRPr="002114AF">
        <w:t xml:space="preserve"> Christianity was used as a motive for invasion and conflict with territories outside of the Frankish Empire. It impacted what decisions the Carolingians made, who in turn believed that they had Divine Right to the rule.  ‘(</w:t>
      </w:r>
      <w:r w:rsidR="003D0EF6" w:rsidRPr="002114AF">
        <w:rPr>
          <w:i/>
        </w:rPr>
        <w:t>The Carolingians) regarded themselves and their subjects as if they were the chosen people of God, and consequently considered that they had a duty to God in regard to their kingdom’.</w:t>
      </w:r>
      <w:r w:rsidR="003D0EF6" w:rsidRPr="002114AF">
        <w:rPr>
          <w:rStyle w:val="FootnoteReference"/>
          <w:i/>
        </w:rPr>
        <w:footnoteReference w:id="7"/>
      </w:r>
      <w:r w:rsidR="003D0EF6" w:rsidRPr="002114AF">
        <w:rPr>
          <w:i/>
        </w:rPr>
        <w:t xml:space="preserve"> </w:t>
      </w:r>
      <w:r w:rsidR="003D0EF6" w:rsidRPr="002114AF">
        <w:t xml:space="preserve">This quote from R.H.C Davis, helps to explain how religion acted as a motive to a lot of actions made by the Carolingian dynasty, and did help to create a unified ideology amongst countries. It definitely acted as a catalyst to political actions but I have to agree with the argument that Wickham supported. Christianity was what political actions were based upon, and acted as a fundamental base from which political strategy and cultural identity grew from. Therefore, we can assume that Charlemagne’s integrity to spread the Christian faith was responsible for the birth of medieval Europe. </w:t>
      </w:r>
    </w:p>
    <w:p w:rsidR="003A45DE" w:rsidRDefault="003A45DE" w:rsidP="003A45DE">
      <w:r>
        <w:t>In terms of a cultural identity, Charlemagne was successful in creating a European tongue and education system. ‘</w:t>
      </w:r>
      <w:r>
        <w:rPr>
          <w:i/>
        </w:rPr>
        <w:t>(Monasteries) were expected to redress the widespread lack of learning… monastery schools transformed themselves into general schools, with a genuine remit to serve the clergy, the Church, and society as a whole…</w:t>
      </w:r>
      <w:r w:rsidRPr="000F5103">
        <w:t>’</w:t>
      </w:r>
      <w:r>
        <w:rPr>
          <w:rStyle w:val="FootnoteReference"/>
        </w:rPr>
        <w:footnoteReference w:id="8"/>
      </w:r>
      <w:r w:rsidRPr="000F5103">
        <w:t>For</w:t>
      </w:r>
      <w:r>
        <w:t xml:space="preserve"> example, he introduced the teaching of Latin in order for all people to understand the readings of the Bible and other scriptures. Throughout his known strategy of conquest and conversion, ‘</w:t>
      </w:r>
      <w:r>
        <w:rPr>
          <w:i/>
        </w:rPr>
        <w:t>The Franks introduced Latin, wherever it was not already established, for purposes of government, law, education and religion’,</w:t>
      </w:r>
      <w:r>
        <w:rPr>
          <w:rStyle w:val="FootnoteReference"/>
          <w:i/>
        </w:rPr>
        <w:footnoteReference w:id="9"/>
      </w:r>
      <w:r>
        <w:rPr>
          <w:i/>
        </w:rPr>
        <w:t xml:space="preserve"> </w:t>
      </w:r>
      <w:r>
        <w:t>creating a shared identity between all the territories that he had power over. He also introduced dictionaries to help with the translation from vernacular languages to Latin. This would enable church services to be spoken and understood in one language, as well as the production and reading of books being understood by all in society. It can be said that the publication of Latin dictionaries made way for the conversion of the territories that he owned, acting in the role of ‘</w:t>
      </w:r>
      <w:r>
        <w:rPr>
          <w:i/>
        </w:rPr>
        <w:t>missionary work… it was a thoroughly error strewn translation of a Latin glossary for reading the Bible’.</w:t>
      </w:r>
      <w:r>
        <w:rPr>
          <w:rStyle w:val="FootnoteReference"/>
          <w:i/>
        </w:rPr>
        <w:footnoteReference w:id="10"/>
      </w:r>
      <w:r>
        <w:t xml:space="preserve"> In my opinion, Charlemagne was successful at creating a European tongue which would then give way to the inevitable conversion of a country to the Christian faith. Though not the primary objective, it did make this element of culture easier to pursue, as people were able to now understand the words of Christ and follow their own beliefs. This approach of not quite a forceful conversion but one that quietly simmers in the background, could also be supported by the introduction of the Carolingian Script in the eight century.</w:t>
      </w:r>
      <w:r>
        <w:rPr>
          <w:rStyle w:val="FootnoteReference"/>
        </w:rPr>
        <w:footnoteReference w:id="11"/>
      </w:r>
      <w:r>
        <w:t xml:space="preserve"> ‘</w:t>
      </w:r>
      <w:r>
        <w:rPr>
          <w:i/>
        </w:rPr>
        <w:t>The script had clear characters and placed upper- and lowercase letters with their ascenders and descenders within a framework of four equally measured lines….an immensely valuable aid for reading and understanding a text’.</w:t>
      </w:r>
      <w:r>
        <w:rPr>
          <w:rStyle w:val="FootnoteReference"/>
          <w:i/>
        </w:rPr>
        <w:footnoteReference w:id="12"/>
      </w:r>
      <w:r>
        <w:rPr>
          <w:i/>
        </w:rPr>
        <w:t xml:space="preserve"> </w:t>
      </w:r>
      <w:r>
        <w:t xml:space="preserve">The Carolingian Script made it easier to read writing and therefore aided the education system that Charlemagne had initiated. Although it is said that Charlemagne acted to better the cultural identity of his Empire and the educational stats that t held (increasing literary rates tec.) it is hard for me, as a historian, to ignore the underlying factor in all of this. Religion seems to be the one thing benefiting the most from these changes. The production of scriptures increased, as did the reading of the Bible, and now even those </w:t>
      </w:r>
      <w:r>
        <w:lastRenderedPageBreak/>
        <w:t>at the bottom of the feudalistic communities understood some words related to Christianity. This leads me to believe that the actions of Charlemagne in this sense were primarily to spread Christianity, and the way in which he went about doing this was to unify culture and create an identity by which all his countries could follow. However, a romanticised writing by R.H.C Davis of Charlemagne does state that ‘</w:t>
      </w:r>
      <w:r w:rsidRPr="00E75921">
        <w:rPr>
          <w:i/>
        </w:rPr>
        <w:t>He considered it his duty as Christian king not only to protect his subjects but also to educate them… He was convinced that he was living in a world which had lost its culture, and he was determined to restore</w:t>
      </w:r>
      <w:r>
        <w:rPr>
          <w:i/>
        </w:rPr>
        <w:t xml:space="preserve"> it</w:t>
      </w:r>
      <w:r w:rsidRPr="00E75921">
        <w:rPr>
          <w:i/>
        </w:rPr>
        <w:t>’</w:t>
      </w:r>
      <w:r>
        <w:rPr>
          <w:i/>
        </w:rPr>
        <w:t>.</w:t>
      </w:r>
      <w:r>
        <w:rPr>
          <w:rStyle w:val="FootnoteReference"/>
          <w:i/>
        </w:rPr>
        <w:footnoteReference w:id="13"/>
      </w:r>
      <w:r>
        <w:t xml:space="preserve"> Following the approach that medieval Europe can be defined by a shared ideology amongst an empire and surrounding countries, the evidence put before me leads me to believe that Charlemagne can be held responsible for the birth of a European continent. </w:t>
      </w:r>
    </w:p>
    <w:p w:rsidR="003A45DE" w:rsidRDefault="003A45DE" w:rsidP="003A45DE">
      <w:r>
        <w:t>One historical viewpoint to the attribution of medieval Europe is the events following the Fall of Rome. This gave Charlemagne an opportunity to make political advances that would benefit the Carolingian dynasty. All the chaos in the past centuries due to the fall of Rome meant that Charlemagne could act and slowly establish his ‘Empire’, which we could now see as medieval Europe. ‘</w:t>
      </w:r>
      <w:r>
        <w:rPr>
          <w:i/>
        </w:rPr>
        <w:t>The (Roman) empire has been destroyed because it had deserted the Pagan Gods and became Christian’.</w:t>
      </w:r>
      <w:r>
        <w:rPr>
          <w:rStyle w:val="FootnoteReference"/>
          <w:i/>
        </w:rPr>
        <w:footnoteReference w:id="14"/>
      </w:r>
      <w:r>
        <w:rPr>
          <w:i/>
        </w:rPr>
        <w:t xml:space="preserve"> </w:t>
      </w:r>
      <w:r>
        <w:t xml:space="preserve">Barbaric communities gave Charlemagne an opportunity to expand his empire and the territories that he held. Along with this, he was able to spread the Christian faith, something we have already explained the importance of in terms of defining medieval Europe. </w:t>
      </w:r>
      <w:r>
        <w:rPr>
          <w:i/>
        </w:rPr>
        <w:t>‘The war against the Saxons- which at the same time was intended to be a campaign against the heathens and hence a war to spread the dominion of Christ- began auspiciously in 772…baptism, proclamation of the faith, priests and parishes followed the troops into Saxony, organising the territory according to the norms of the Catholic Church’.</w:t>
      </w:r>
      <w:r>
        <w:rPr>
          <w:rStyle w:val="FootnoteReference"/>
          <w:i/>
        </w:rPr>
        <w:footnoteReference w:id="15"/>
      </w:r>
      <w:r>
        <w:t xml:space="preserve"> Fried goes on to explore and explain how from 785 onwards, Saxons were not only ‘conquered but converted, sometimes by force’. This shows how the series of unfortunate events in terms of the Roman Empire, which led to the infiltration of barbaric groups in what we now see as western Europe, gave Charlemagne an opportunity to act in a beneficiary way to uphold the status of the Frankish Kings. However, this does not mean he should be held responsible for the birth of medieval Europe. The fall of Rome led to the inevitability of a medieval Europe, as it provided a framework that the Carolingians could work off in order to reach political advantages. In a source written contemporary to the time, it states that ‘</w:t>
      </w:r>
      <w:r>
        <w:rPr>
          <w:i/>
        </w:rPr>
        <w:t>the glorious lord king Charles undertook a campaign into Aquitaine...he destroyed Hanuld’s wicked resolve’.</w:t>
      </w:r>
      <w:r>
        <w:rPr>
          <w:rStyle w:val="FootnoteReference"/>
          <w:i/>
        </w:rPr>
        <w:footnoteReference w:id="16"/>
      </w:r>
      <w:r>
        <w:rPr>
          <w:i/>
        </w:rPr>
        <w:t xml:space="preserve"> </w:t>
      </w:r>
      <w:r>
        <w:t xml:space="preserve">However, these campaigns were being done previously before him, as will be explored in the next part of this essay. As summed up well by historian G. Holmes </w:t>
      </w:r>
      <w:r w:rsidRPr="00CD5439">
        <w:rPr>
          <w:i/>
        </w:rPr>
        <w:t>‘His long reign changed the face of Europe politically and culturally and he himself would remain in fixed minds of people in the middle ages as the ideal King… Yet in terms of territorial expansion and consolidation, church reform and entanglement with Rome, Charlemagne’s’ reign was merely bringing the policies of his father Pippin to their logical conclusion</w:t>
      </w:r>
      <w:r>
        <w:rPr>
          <w:i/>
        </w:rPr>
        <w:t>’.</w:t>
      </w:r>
      <w:r>
        <w:rPr>
          <w:rStyle w:val="FootnoteReference"/>
          <w:i/>
        </w:rPr>
        <w:footnoteReference w:id="17"/>
      </w:r>
      <w:r>
        <w:rPr>
          <w:i/>
        </w:rPr>
        <w:t xml:space="preserve"> </w:t>
      </w:r>
      <w:r>
        <w:t xml:space="preserve">So the Fall of Rome created an opportunity for Charlemagne to act upon; and so therefore be held responsible for the birth of medieval Europe. As for the actions as Charlemagne, these strategies and tactics were already being used before his reign and he can be seen as simply copying his ancestors, another possible reason for the birth of medieval Europe. </w:t>
      </w:r>
    </w:p>
    <w:p w:rsidR="003A45DE" w:rsidRPr="00507495" w:rsidRDefault="003A45DE" w:rsidP="003A45DE">
      <w:r>
        <w:lastRenderedPageBreak/>
        <w:t>Charlemagne’s success during his reign was down to copying his the actions that his predecessors, who you could argue were responsible for the birth of medieval Europe. In terms of expanding the Carolingian Empire, Charles Martel ‘</w:t>
      </w:r>
      <w:r>
        <w:rPr>
          <w:i/>
        </w:rPr>
        <w:t>began the reunification of Gaul…best known for his victory in 723-3 over the Arabs…seen as a great turning point in history, in which Charles thwarted the Arab conquest of Western Europe’.</w:t>
      </w:r>
      <w:r>
        <w:rPr>
          <w:rStyle w:val="FootnoteReference"/>
          <w:i/>
        </w:rPr>
        <w:footnoteReference w:id="18"/>
      </w:r>
      <w:r>
        <w:t xml:space="preserve"> This shows how the Carolingian Empire was expanding before Charlemagne attempted to do so. Martel also fought against the Islamic communities, as seen through the contemporary piece describing the events at Tours. ‘</w:t>
      </w:r>
      <w:r>
        <w:rPr>
          <w:i/>
        </w:rPr>
        <w:t>(The Muslims came against them the glorious Prince Charles, at the head of the whole force…he fought as fiercely as the hungry wolf falls upon the stag…he wrought upon the enemies of Christian faith’.</w:t>
      </w:r>
      <w:r>
        <w:rPr>
          <w:rStyle w:val="FootnoteReference"/>
          <w:i/>
        </w:rPr>
        <w:footnoteReference w:id="19"/>
      </w:r>
      <w:r>
        <w:t xml:space="preserve"> By looking at this source, we can see that Carolingians have been fighting against the heathen forces centuries before Charlemagne came to power. Pippin III also took part in campaigns to expand the Empire, and ‘</w:t>
      </w:r>
      <w:r>
        <w:rPr>
          <w:i/>
        </w:rPr>
        <w:t>Campaigned in Burgundy and Provence, and restored these provinces to his rule…drive the Arabs out of Septimania…’</w:t>
      </w:r>
      <w:r>
        <w:rPr>
          <w:rStyle w:val="FootnoteReference"/>
          <w:i/>
        </w:rPr>
        <w:footnoteReference w:id="20"/>
      </w:r>
      <w:r>
        <w:t xml:space="preserve"> with a religious motive dictating some of his decisions on how to act as the King of the Franks. Pippin also approached the matter of spreading the Christian faith by initiating reforms of the Frankish Church. With the support of St. Boniface he restored the ‘</w:t>
      </w:r>
      <w:r w:rsidRPr="00507495">
        <w:rPr>
          <w:i/>
        </w:rPr>
        <w:t>proper monastic rule’</w:t>
      </w:r>
      <w:r>
        <w:t xml:space="preserve"> and called for ‘</w:t>
      </w:r>
      <w:r>
        <w:rPr>
          <w:i/>
        </w:rPr>
        <w:t>the correct rules of clerical life, regular synods, and the elimination of pagan practices’</w:t>
      </w:r>
      <w:r>
        <w:t xml:space="preserve">. This shows how the reforms in the church and the spread of the Christian faith were being done before Charlemagne’s reign, meaning that he used the strategies of his father and grandfather to gain political advantages. With the support of an influential figure, such as St. Boniface, Pippin III established rules for clerical life and encouraged the regular meetings of clerics, something that Charlemagne worked towards during his reign but was already partially integrated into the medieval Europe culture and religion. In this sense, you could say that the Carolingian predecessors of Charlemagne are responsible for the birth of medieval Europe, and Charlemagne helped to conclude their efforts. </w:t>
      </w:r>
    </w:p>
    <w:p w:rsidR="00E35351" w:rsidRDefault="00E304E7">
      <w:r>
        <w:t xml:space="preserve">From looking at a variety of different sources, primary and secondary, and the historiography relevant to medieval Europe, I can conclude that the birth of medieval Europe was down to the predecessors of Charlemagne rather than Charlemagne himself. After the Fall of Rome, </w:t>
      </w:r>
      <w:r w:rsidR="003E78F7">
        <w:t xml:space="preserve">the nature of the event meant that there was an opportunistic </w:t>
      </w:r>
      <w:r w:rsidR="00D7602A">
        <w:t>pathway which the Carolingian dynasty had a</w:t>
      </w:r>
      <w:r w:rsidR="008A2B4C">
        <w:t>c</w:t>
      </w:r>
      <w:r w:rsidR="00D7602A">
        <w:t xml:space="preserve">cess to and used to their full potential. </w:t>
      </w:r>
      <w:r w:rsidR="008A2B4C">
        <w:t>I fully support the views of G. Holmes in his argument that Charlemagne concluded the efforts of his predecessors. The continent of medieval Europe cannot be given responsibility to the birth of by the person who completed the formation, rather the attribution should be give</w:t>
      </w:r>
      <w:r w:rsidR="00E30BE7">
        <w:t>n to the people who initiated th</w:t>
      </w:r>
      <w:r w:rsidR="008A2B4C">
        <w:t xml:space="preserve">e movement. </w:t>
      </w:r>
    </w:p>
    <w:p w:rsidR="00E30BE7" w:rsidRDefault="00E30BE7"/>
    <w:p w:rsidR="00E30BE7" w:rsidRDefault="00E30BE7"/>
    <w:p w:rsidR="00E30BE7" w:rsidRDefault="00E30BE7"/>
    <w:p w:rsidR="00E30BE7" w:rsidRDefault="00E30BE7"/>
    <w:p w:rsidR="00E30BE7" w:rsidRDefault="00E30BE7"/>
    <w:p w:rsidR="00E30BE7" w:rsidRDefault="00E30BE7"/>
    <w:p w:rsidR="00E30BE7" w:rsidRDefault="00E30BE7"/>
    <w:p w:rsidR="00E30BE7" w:rsidRDefault="00E30BE7" w:rsidP="00E30BE7">
      <w:pPr>
        <w:jc w:val="center"/>
        <w:rPr>
          <w:u w:val="single"/>
        </w:rPr>
      </w:pPr>
      <w:r>
        <w:rPr>
          <w:u w:val="single"/>
        </w:rPr>
        <w:lastRenderedPageBreak/>
        <w:t>Bibliography</w:t>
      </w:r>
    </w:p>
    <w:p w:rsidR="00E30BE7" w:rsidRDefault="00E30BE7" w:rsidP="00E30BE7">
      <w:pPr>
        <w:jc w:val="center"/>
        <w:rPr>
          <w:u w:val="single"/>
        </w:rPr>
      </w:pPr>
    </w:p>
    <w:p w:rsidR="00E30BE7" w:rsidRDefault="00E30BE7" w:rsidP="00E30BE7">
      <w:pPr>
        <w:rPr>
          <w:u w:val="single"/>
        </w:rPr>
      </w:pPr>
      <w:r>
        <w:rPr>
          <w:u w:val="single"/>
        </w:rPr>
        <w:t>Primary</w:t>
      </w:r>
    </w:p>
    <w:p w:rsidR="00E30BE7" w:rsidRPr="00E30BE7" w:rsidRDefault="00E30BE7" w:rsidP="00E30BE7">
      <w:pPr>
        <w:pStyle w:val="FootnoteText"/>
        <w:numPr>
          <w:ilvl w:val="0"/>
          <w:numId w:val="2"/>
        </w:numPr>
        <w:rPr>
          <w:sz w:val="24"/>
        </w:rPr>
      </w:pPr>
      <w:r w:rsidRPr="00E30BE7">
        <w:rPr>
          <w:i/>
          <w:sz w:val="22"/>
        </w:rPr>
        <w:t xml:space="preserve">769; Annals of the Kingdom of the Franks’ </w:t>
      </w:r>
      <w:r w:rsidRPr="00E30BE7">
        <w:rPr>
          <w:sz w:val="22"/>
        </w:rPr>
        <w:t xml:space="preserve">in </w:t>
      </w:r>
      <w:r w:rsidRPr="00E30BE7">
        <w:rPr>
          <w:i/>
          <w:sz w:val="22"/>
        </w:rPr>
        <w:t>Charlemagne: Translated Sources</w:t>
      </w:r>
      <w:r w:rsidRPr="00E30BE7">
        <w:rPr>
          <w:sz w:val="22"/>
        </w:rPr>
        <w:t>, ed. P.D. King (Cumbria: P.D. King, 1987).</w:t>
      </w:r>
    </w:p>
    <w:p w:rsidR="00E30BE7" w:rsidRDefault="00E30BE7" w:rsidP="00017B55"/>
    <w:p w:rsidR="00E30BE7" w:rsidRPr="00E30BE7" w:rsidRDefault="00122A20" w:rsidP="00E30BE7">
      <w:pPr>
        <w:jc w:val="both"/>
        <w:rPr>
          <w:u w:val="single"/>
        </w:rPr>
      </w:pPr>
      <w:r>
        <w:rPr>
          <w:u w:val="single"/>
        </w:rPr>
        <w:t>Secondary</w:t>
      </w:r>
    </w:p>
    <w:p w:rsidR="009A2D22" w:rsidRDefault="009A2D22" w:rsidP="009A2D22">
      <w:pPr>
        <w:pStyle w:val="ListParagraph"/>
        <w:numPr>
          <w:ilvl w:val="0"/>
          <w:numId w:val="2"/>
        </w:numPr>
      </w:pPr>
      <w:r w:rsidRPr="00122A20">
        <w:t>Dartmouth Ancient Books Lab, Carolingian Miniscule, Dartmouth Ancient Books Lab, available from http://sites.dartmouth.edu/ancientbooks/2</w:t>
      </w:r>
      <w:r>
        <w:t>016/05/24/carolingian-miniscule</w:t>
      </w:r>
      <w:r w:rsidRPr="00122A20">
        <w:t>, accessed on [14/11/2017].</w:t>
      </w:r>
    </w:p>
    <w:p w:rsidR="00E30BE7" w:rsidRDefault="00017B55" w:rsidP="00122A20">
      <w:pPr>
        <w:pStyle w:val="ListParagraph"/>
        <w:numPr>
          <w:ilvl w:val="0"/>
          <w:numId w:val="2"/>
        </w:numPr>
      </w:pPr>
      <w:r w:rsidRPr="00122A20">
        <w:t>Davis</w:t>
      </w:r>
      <w:r>
        <w:t>,</w:t>
      </w:r>
      <w:r w:rsidRPr="00122A20">
        <w:t xml:space="preserve"> </w:t>
      </w:r>
      <w:r w:rsidR="00122A20" w:rsidRPr="00122A20">
        <w:t>R.H.C</w:t>
      </w:r>
      <w:r w:rsidR="00122A20" w:rsidRPr="00122A20">
        <w:rPr>
          <w:i/>
        </w:rPr>
        <w:t>, A History of Medieval Europe</w:t>
      </w:r>
      <w:r w:rsidR="00122A20" w:rsidRPr="00122A20">
        <w:t>, Second edn (United States of America: Addison Wesley Longman Limited, 1988)</w:t>
      </w:r>
      <w:r w:rsidR="00122A20">
        <w:t>.</w:t>
      </w:r>
    </w:p>
    <w:p w:rsidR="009A2D22" w:rsidRPr="00E30BE7" w:rsidRDefault="009A2D22" w:rsidP="009A2D22">
      <w:pPr>
        <w:pStyle w:val="ListParagraph"/>
        <w:numPr>
          <w:ilvl w:val="0"/>
          <w:numId w:val="2"/>
        </w:numPr>
      </w:pPr>
      <w:r w:rsidRPr="00122A20">
        <w:t>Davis</w:t>
      </w:r>
      <w:r>
        <w:t>,</w:t>
      </w:r>
      <w:r w:rsidRPr="00122A20">
        <w:t xml:space="preserve"> William Stearns, </w:t>
      </w:r>
      <w:proofErr w:type="gramStart"/>
      <w:r w:rsidRPr="00122A20">
        <w:t>ed</w:t>
      </w:r>
      <w:proofErr w:type="gramEnd"/>
      <w:r w:rsidRPr="00122A20">
        <w:rPr>
          <w:i/>
        </w:rPr>
        <w:t>., Readings in Ancient History: Illustrative Extracts from the Sources</w:t>
      </w:r>
      <w:r w:rsidRPr="00122A20">
        <w:t xml:space="preserve">, 2 Vols. (Boston: </w:t>
      </w:r>
      <w:proofErr w:type="spellStart"/>
      <w:r w:rsidRPr="00122A20">
        <w:t>Allyn</w:t>
      </w:r>
      <w:proofErr w:type="spellEnd"/>
      <w:r w:rsidRPr="00122A20">
        <w:t xml:space="preserve"> and Bacon, 1912-13), Vol. II: Rome and the West</w:t>
      </w:r>
      <w:r>
        <w:t>.</w:t>
      </w:r>
    </w:p>
    <w:p w:rsidR="009A2D22" w:rsidRDefault="009A2D22" w:rsidP="009A2D22">
      <w:pPr>
        <w:pStyle w:val="ListParagraph"/>
        <w:numPr>
          <w:ilvl w:val="0"/>
          <w:numId w:val="2"/>
        </w:numPr>
      </w:pPr>
      <w:r w:rsidRPr="00122A20">
        <w:t>Fried</w:t>
      </w:r>
      <w:r>
        <w:t>, J</w:t>
      </w:r>
      <w:r w:rsidRPr="00122A20">
        <w:t xml:space="preserve">, </w:t>
      </w:r>
      <w:r w:rsidRPr="00122A20">
        <w:rPr>
          <w:i/>
        </w:rPr>
        <w:t>Charlemagne</w:t>
      </w:r>
      <w:r w:rsidRPr="00122A20">
        <w:t xml:space="preserve"> (Harvard University Press, 2016)</w:t>
      </w:r>
      <w:r>
        <w:t>.</w:t>
      </w:r>
    </w:p>
    <w:p w:rsidR="009A2D22" w:rsidRDefault="009A2D22" w:rsidP="009A2D22">
      <w:pPr>
        <w:pStyle w:val="ListParagraph"/>
        <w:numPr>
          <w:ilvl w:val="0"/>
          <w:numId w:val="2"/>
        </w:numPr>
      </w:pPr>
      <w:r w:rsidRPr="00122A20">
        <w:t>Holmes</w:t>
      </w:r>
      <w:r>
        <w:t>,</w:t>
      </w:r>
      <w:r w:rsidRPr="00122A20">
        <w:t xml:space="preserve"> </w:t>
      </w:r>
      <w:r>
        <w:t>G</w:t>
      </w:r>
      <w:r w:rsidRPr="00122A20">
        <w:t xml:space="preserve">, </w:t>
      </w:r>
      <w:r w:rsidRPr="00122A20">
        <w:rPr>
          <w:i/>
        </w:rPr>
        <w:t xml:space="preserve">Oxford history of Medieval Europe </w:t>
      </w:r>
      <w:r w:rsidRPr="00122A20">
        <w:t>(London: Oxford University Press, 2001).</w:t>
      </w:r>
    </w:p>
    <w:p w:rsidR="009A2D22" w:rsidRDefault="009A2D22" w:rsidP="009A2D22">
      <w:pPr>
        <w:pStyle w:val="ListParagraph"/>
        <w:numPr>
          <w:ilvl w:val="0"/>
          <w:numId w:val="2"/>
        </w:numPr>
      </w:pPr>
      <w:r w:rsidRPr="00122A20">
        <w:t>Jordan</w:t>
      </w:r>
      <w:r>
        <w:t>,</w:t>
      </w:r>
      <w:r w:rsidRPr="00122A20">
        <w:t xml:space="preserve"> </w:t>
      </w:r>
      <w:r>
        <w:t>W.C</w:t>
      </w:r>
      <w:r w:rsidRPr="00122A20">
        <w:t xml:space="preserve">, </w:t>
      </w:r>
      <w:r w:rsidRPr="00122A20">
        <w:rPr>
          <w:i/>
        </w:rPr>
        <w:t>Europe in the High Middle Ages</w:t>
      </w:r>
      <w:r w:rsidRPr="00122A20">
        <w:t>, Third edn (London: Penguin, 2002).</w:t>
      </w:r>
    </w:p>
    <w:p w:rsidR="009A2D22" w:rsidRDefault="009A2D22" w:rsidP="009A2D22">
      <w:pPr>
        <w:pStyle w:val="ListParagraph"/>
        <w:numPr>
          <w:ilvl w:val="0"/>
          <w:numId w:val="2"/>
        </w:numPr>
      </w:pPr>
      <w:r w:rsidRPr="00122A20">
        <w:t xml:space="preserve">McKitterick </w:t>
      </w:r>
      <w:r>
        <w:t>R</w:t>
      </w:r>
      <w:r w:rsidRPr="00122A20">
        <w:t xml:space="preserve">, </w:t>
      </w:r>
      <w:r w:rsidRPr="00122A20">
        <w:rPr>
          <w:i/>
        </w:rPr>
        <w:t>Charlemagne: The formation of a European Identity</w:t>
      </w:r>
      <w:r w:rsidRPr="00122A20">
        <w:t xml:space="preserve"> (United States of America: Cambridge University Press, 2008).</w:t>
      </w:r>
    </w:p>
    <w:p w:rsidR="00122A20" w:rsidRDefault="00017B55" w:rsidP="00122A20">
      <w:pPr>
        <w:pStyle w:val="ListParagraph"/>
        <w:numPr>
          <w:ilvl w:val="0"/>
          <w:numId w:val="2"/>
        </w:numPr>
      </w:pPr>
      <w:r w:rsidRPr="00122A20">
        <w:t>Wickham</w:t>
      </w:r>
      <w:r>
        <w:t>,</w:t>
      </w:r>
      <w:r w:rsidRPr="00122A20">
        <w:t xml:space="preserve"> </w:t>
      </w:r>
      <w:r>
        <w:t>C</w:t>
      </w:r>
      <w:r w:rsidR="00122A20" w:rsidRPr="00122A20">
        <w:t xml:space="preserve">, </w:t>
      </w:r>
      <w:r w:rsidR="00122A20" w:rsidRPr="00122A20">
        <w:rPr>
          <w:i/>
        </w:rPr>
        <w:t>Medieval Europe</w:t>
      </w:r>
      <w:r w:rsidR="00122A20" w:rsidRPr="00122A20">
        <w:t xml:space="preserve"> (New Haven: Yale University Press, 2016).</w:t>
      </w:r>
    </w:p>
    <w:p w:rsidR="009A2D22" w:rsidRPr="00E30BE7" w:rsidRDefault="009A2D22" w:rsidP="009A2D22">
      <w:pPr>
        <w:pStyle w:val="ListParagraph"/>
      </w:pPr>
    </w:p>
    <w:sectPr w:rsidR="009A2D22" w:rsidRPr="00E30BE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215EC" w:rsidRDefault="008215EC" w:rsidP="003A45DE">
      <w:pPr>
        <w:spacing w:after="0" w:line="240" w:lineRule="auto"/>
      </w:pPr>
      <w:r>
        <w:separator/>
      </w:r>
    </w:p>
  </w:endnote>
  <w:endnote w:type="continuationSeparator" w:id="0">
    <w:p w:rsidR="008215EC" w:rsidRDefault="008215EC" w:rsidP="003A45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7D1A" w:rsidRDefault="009D7D1A">
    <w:pPr>
      <w:pStyle w:val="Footer"/>
    </w:pPr>
    <w:r>
      <w:t>2616 Words</w:t>
    </w:r>
  </w:p>
  <w:p w:rsidR="009D7D1A" w:rsidRDefault="009D7D1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215EC" w:rsidRDefault="008215EC" w:rsidP="003A45DE">
      <w:pPr>
        <w:spacing w:after="0" w:line="240" w:lineRule="auto"/>
      </w:pPr>
      <w:r>
        <w:separator/>
      </w:r>
    </w:p>
  </w:footnote>
  <w:footnote w:type="continuationSeparator" w:id="0">
    <w:p w:rsidR="008215EC" w:rsidRDefault="008215EC" w:rsidP="003A45DE">
      <w:pPr>
        <w:spacing w:after="0" w:line="240" w:lineRule="auto"/>
      </w:pPr>
      <w:r>
        <w:continuationSeparator/>
      </w:r>
    </w:p>
  </w:footnote>
  <w:footnote w:id="1">
    <w:p w:rsidR="003A45DE" w:rsidRPr="006E5CA6" w:rsidRDefault="003A45DE" w:rsidP="003A45DE">
      <w:pPr>
        <w:pStyle w:val="FootnoteText"/>
        <w:rPr>
          <w:sz w:val="18"/>
        </w:rPr>
      </w:pPr>
      <w:r w:rsidRPr="006E5CA6">
        <w:rPr>
          <w:rStyle w:val="FootnoteReference"/>
          <w:sz w:val="18"/>
        </w:rPr>
        <w:footnoteRef/>
      </w:r>
      <w:r w:rsidRPr="006E5CA6">
        <w:rPr>
          <w:sz w:val="18"/>
        </w:rPr>
        <w:t xml:space="preserve"> R.H.C Davis</w:t>
      </w:r>
      <w:r w:rsidRPr="006E5CA6">
        <w:rPr>
          <w:i/>
          <w:sz w:val="18"/>
        </w:rPr>
        <w:t>, A History of Medieval Europe</w:t>
      </w:r>
      <w:r w:rsidRPr="006E5CA6">
        <w:rPr>
          <w:sz w:val="18"/>
        </w:rPr>
        <w:t>, Second edn (United States of America: Addison Wesley Longman Limited, 1988), p.3.</w:t>
      </w:r>
    </w:p>
  </w:footnote>
  <w:footnote w:id="2">
    <w:p w:rsidR="003A45DE" w:rsidRDefault="003A45DE" w:rsidP="003A45DE">
      <w:pPr>
        <w:pStyle w:val="FootnoteText"/>
      </w:pPr>
      <w:r>
        <w:rPr>
          <w:rStyle w:val="FootnoteReference"/>
        </w:rPr>
        <w:footnoteRef/>
      </w:r>
      <w:r>
        <w:t xml:space="preserve"> </w:t>
      </w:r>
      <w:r w:rsidRPr="006E5CA6">
        <w:rPr>
          <w:sz w:val="18"/>
        </w:rPr>
        <w:t xml:space="preserve">C. Wickham, </w:t>
      </w:r>
      <w:r w:rsidRPr="006E5CA6">
        <w:rPr>
          <w:i/>
          <w:sz w:val="18"/>
        </w:rPr>
        <w:t>Medieval Europe</w:t>
      </w:r>
      <w:r w:rsidRPr="006E5CA6">
        <w:rPr>
          <w:sz w:val="18"/>
        </w:rPr>
        <w:t xml:space="preserve"> (New Haven:</w:t>
      </w:r>
      <w:r>
        <w:rPr>
          <w:sz w:val="18"/>
        </w:rPr>
        <w:t xml:space="preserve"> Yale University Press, 2016). P.</w:t>
      </w:r>
      <w:r w:rsidRPr="006E5CA6">
        <w:rPr>
          <w:sz w:val="18"/>
        </w:rPr>
        <w:t>1.</w:t>
      </w:r>
    </w:p>
  </w:footnote>
  <w:footnote w:id="3">
    <w:p w:rsidR="003A45DE" w:rsidRDefault="003A45DE" w:rsidP="003A45DE">
      <w:pPr>
        <w:pStyle w:val="FootnoteText"/>
      </w:pPr>
      <w:r>
        <w:rPr>
          <w:rStyle w:val="FootnoteReference"/>
        </w:rPr>
        <w:footnoteRef/>
      </w:r>
      <w:r w:rsidRPr="007C3EB5">
        <w:rPr>
          <w:sz w:val="18"/>
        </w:rPr>
        <w:t xml:space="preserve">W.C. Jordan, </w:t>
      </w:r>
      <w:r w:rsidRPr="007C3EB5">
        <w:rPr>
          <w:i/>
          <w:sz w:val="18"/>
        </w:rPr>
        <w:t>Europe in the High Middle Ages</w:t>
      </w:r>
      <w:r w:rsidRPr="007C3EB5">
        <w:rPr>
          <w:sz w:val="18"/>
        </w:rPr>
        <w:t xml:space="preserve">, Third edn (London: Penguin, 2002). </w:t>
      </w:r>
    </w:p>
  </w:footnote>
  <w:footnote w:id="4">
    <w:p w:rsidR="003D0EF6" w:rsidRDefault="003D0EF6" w:rsidP="003D0EF6">
      <w:pPr>
        <w:pStyle w:val="FootnoteText"/>
      </w:pPr>
      <w:r>
        <w:rPr>
          <w:rStyle w:val="FootnoteReference"/>
        </w:rPr>
        <w:footnoteRef/>
      </w:r>
      <w:r>
        <w:t xml:space="preserve"> </w:t>
      </w:r>
      <w:r w:rsidRPr="00AE468E">
        <w:rPr>
          <w:sz w:val="18"/>
        </w:rPr>
        <w:t xml:space="preserve">G. Holmes, </w:t>
      </w:r>
      <w:r w:rsidRPr="00AE468E">
        <w:rPr>
          <w:i/>
          <w:sz w:val="18"/>
        </w:rPr>
        <w:t>Oxford history of Medieval Europe</w:t>
      </w:r>
      <w:r w:rsidRPr="00AE468E">
        <w:rPr>
          <w:sz w:val="18"/>
        </w:rPr>
        <w:t xml:space="preserve"> (London: Oxford University Press, 2001). P.91.</w:t>
      </w:r>
    </w:p>
  </w:footnote>
  <w:footnote w:id="5">
    <w:p w:rsidR="003D0EF6" w:rsidRDefault="003D0EF6" w:rsidP="003D0EF6">
      <w:pPr>
        <w:pStyle w:val="FootnoteText"/>
      </w:pPr>
      <w:r w:rsidRPr="00B22D07">
        <w:rPr>
          <w:rStyle w:val="FootnoteReference"/>
          <w:sz w:val="18"/>
        </w:rPr>
        <w:footnoteRef/>
      </w:r>
      <w:r w:rsidRPr="00B22D07">
        <w:rPr>
          <w:sz w:val="18"/>
        </w:rPr>
        <w:t xml:space="preserve"> R.H.C Davis, </w:t>
      </w:r>
      <w:r w:rsidRPr="00B22D07">
        <w:rPr>
          <w:sz w:val="16"/>
        </w:rPr>
        <w:t>A History of Medieval Europe</w:t>
      </w:r>
      <w:r w:rsidRPr="00B22D07">
        <w:rPr>
          <w:sz w:val="18"/>
        </w:rPr>
        <w:t>, Second edn (United States of America: Addison Wesley Longman Limited, 1988), p.133.</w:t>
      </w:r>
    </w:p>
  </w:footnote>
  <w:footnote w:id="6">
    <w:p w:rsidR="003D0EF6" w:rsidRDefault="003D0EF6" w:rsidP="003D0EF6">
      <w:pPr>
        <w:pStyle w:val="FootnoteText"/>
      </w:pPr>
      <w:r>
        <w:rPr>
          <w:rStyle w:val="FootnoteReference"/>
        </w:rPr>
        <w:footnoteRef/>
      </w:r>
      <w:r>
        <w:t xml:space="preserve"> </w:t>
      </w:r>
      <w:r w:rsidRPr="009B47C2">
        <w:rPr>
          <w:sz w:val="18"/>
        </w:rPr>
        <w:t xml:space="preserve">C. Wickham, </w:t>
      </w:r>
      <w:r w:rsidRPr="009B47C2">
        <w:rPr>
          <w:i/>
          <w:sz w:val="18"/>
        </w:rPr>
        <w:t>Medieval Europe</w:t>
      </w:r>
      <w:r w:rsidRPr="009B47C2">
        <w:rPr>
          <w:sz w:val="18"/>
        </w:rPr>
        <w:t xml:space="preserve"> (New Haven: Yale University Press, 2016). P.81. </w:t>
      </w:r>
    </w:p>
  </w:footnote>
  <w:footnote w:id="7">
    <w:p w:rsidR="003D0EF6" w:rsidRDefault="003D0EF6" w:rsidP="003D0EF6">
      <w:pPr>
        <w:pStyle w:val="FootnoteText"/>
      </w:pPr>
      <w:r>
        <w:rPr>
          <w:rStyle w:val="FootnoteReference"/>
        </w:rPr>
        <w:footnoteRef/>
      </w:r>
      <w:r>
        <w:t xml:space="preserve"> </w:t>
      </w:r>
      <w:r w:rsidRPr="004267FF">
        <w:rPr>
          <w:sz w:val="18"/>
        </w:rPr>
        <w:t xml:space="preserve">R.H.C Davis, </w:t>
      </w:r>
      <w:r w:rsidRPr="004267FF">
        <w:rPr>
          <w:i/>
          <w:sz w:val="18"/>
        </w:rPr>
        <w:t>A History of Medieval Europe</w:t>
      </w:r>
      <w:r w:rsidRPr="004267FF">
        <w:rPr>
          <w:sz w:val="18"/>
        </w:rPr>
        <w:t>, Second edn (United States of America: Addison Wesley Longman Limited, 1988). P.123.</w:t>
      </w:r>
    </w:p>
  </w:footnote>
  <w:footnote w:id="8">
    <w:p w:rsidR="003A45DE" w:rsidRDefault="003A45DE" w:rsidP="003A45DE">
      <w:pPr>
        <w:pStyle w:val="FootnoteText"/>
      </w:pPr>
      <w:r>
        <w:rPr>
          <w:rStyle w:val="FootnoteReference"/>
        </w:rPr>
        <w:footnoteRef/>
      </w:r>
      <w:r>
        <w:t xml:space="preserve"> </w:t>
      </w:r>
      <w:r w:rsidRPr="000F5103">
        <w:rPr>
          <w:sz w:val="18"/>
        </w:rPr>
        <w:t xml:space="preserve">J. Fried, </w:t>
      </w:r>
      <w:r w:rsidRPr="000F5103">
        <w:rPr>
          <w:i/>
          <w:sz w:val="18"/>
        </w:rPr>
        <w:t>Charlemagne</w:t>
      </w:r>
      <w:r w:rsidRPr="000F5103">
        <w:rPr>
          <w:sz w:val="18"/>
        </w:rPr>
        <w:t xml:space="preserve"> (Harvard University Press, 2016). p.241.</w:t>
      </w:r>
    </w:p>
  </w:footnote>
  <w:footnote w:id="9">
    <w:p w:rsidR="003A45DE" w:rsidRPr="007C3EB5" w:rsidRDefault="003A45DE" w:rsidP="003A45DE">
      <w:pPr>
        <w:pStyle w:val="FootnoteText"/>
        <w:rPr>
          <w:sz w:val="18"/>
        </w:rPr>
      </w:pPr>
      <w:r>
        <w:rPr>
          <w:rStyle w:val="FootnoteReference"/>
        </w:rPr>
        <w:footnoteRef/>
      </w:r>
      <w:r>
        <w:t xml:space="preserve"> </w:t>
      </w:r>
      <w:r w:rsidRPr="007C3EB5">
        <w:rPr>
          <w:sz w:val="18"/>
        </w:rPr>
        <w:t xml:space="preserve">R. McKitterick, </w:t>
      </w:r>
      <w:r w:rsidRPr="007C3EB5">
        <w:rPr>
          <w:i/>
          <w:sz w:val="18"/>
        </w:rPr>
        <w:t>Charlemagne: The formation of a European Identity</w:t>
      </w:r>
      <w:r w:rsidRPr="007C3EB5">
        <w:rPr>
          <w:sz w:val="18"/>
        </w:rPr>
        <w:t xml:space="preserve"> (United States of America: Cambridge University Press, 2008).</w:t>
      </w:r>
      <w:r>
        <w:rPr>
          <w:sz w:val="18"/>
        </w:rPr>
        <w:t xml:space="preserve"> p.317.</w:t>
      </w:r>
    </w:p>
  </w:footnote>
  <w:footnote w:id="10">
    <w:p w:rsidR="003A45DE" w:rsidRDefault="003A45DE" w:rsidP="003A45DE">
      <w:pPr>
        <w:pStyle w:val="FootnoteText"/>
      </w:pPr>
      <w:r>
        <w:rPr>
          <w:rStyle w:val="FootnoteReference"/>
        </w:rPr>
        <w:footnoteRef/>
      </w:r>
      <w:r>
        <w:t xml:space="preserve"> </w:t>
      </w:r>
      <w:r w:rsidRPr="00A6258C">
        <w:rPr>
          <w:sz w:val="18"/>
        </w:rPr>
        <w:t>J. Fried, Charlemagne (Harvard University Press, 2016).</w:t>
      </w:r>
      <w:r>
        <w:rPr>
          <w:sz w:val="18"/>
        </w:rPr>
        <w:t xml:space="preserve"> p.272.</w:t>
      </w:r>
    </w:p>
  </w:footnote>
  <w:footnote w:id="11">
    <w:p w:rsidR="003A45DE" w:rsidRPr="00E81FA0" w:rsidRDefault="003A45DE" w:rsidP="003A45DE">
      <w:pPr>
        <w:pStyle w:val="FootnoteText"/>
        <w:rPr>
          <w:sz w:val="18"/>
        </w:rPr>
      </w:pPr>
      <w:r w:rsidRPr="00BD6EEE">
        <w:rPr>
          <w:rStyle w:val="FootnoteReference"/>
          <w:sz w:val="18"/>
        </w:rPr>
        <w:footnoteRef/>
      </w:r>
      <w:r w:rsidRPr="00BD6EEE">
        <w:rPr>
          <w:sz w:val="18"/>
        </w:rPr>
        <w:t xml:space="preserve"> </w:t>
      </w:r>
      <w:r>
        <w:rPr>
          <w:sz w:val="18"/>
        </w:rPr>
        <w:t xml:space="preserve">Dartmouth Ancient Books Lab, Carolingian Miniscule, Dartmouth Ancient Books Lab, available from </w:t>
      </w:r>
      <w:r w:rsidRPr="00E81FA0">
        <w:rPr>
          <w:sz w:val="18"/>
        </w:rPr>
        <w:t>http://sites.dartmouth.edu/ancientbooks/2016/05/24/carolingian-miniscule/</w:t>
      </w:r>
      <w:r>
        <w:t xml:space="preserve">, </w:t>
      </w:r>
      <w:r>
        <w:rPr>
          <w:sz w:val="18"/>
        </w:rPr>
        <w:t xml:space="preserve">accessed on [14/11/2017]. </w:t>
      </w:r>
    </w:p>
  </w:footnote>
  <w:footnote w:id="12">
    <w:p w:rsidR="003A45DE" w:rsidRDefault="003A45DE" w:rsidP="003A45DE">
      <w:pPr>
        <w:pStyle w:val="FootnoteText"/>
      </w:pPr>
      <w:r w:rsidRPr="00FB2EE0">
        <w:rPr>
          <w:rStyle w:val="FootnoteReference"/>
          <w:sz w:val="18"/>
        </w:rPr>
        <w:footnoteRef/>
      </w:r>
      <w:r w:rsidRPr="00FB2EE0">
        <w:rPr>
          <w:sz w:val="18"/>
        </w:rPr>
        <w:t xml:space="preserve"> J. Fried, </w:t>
      </w:r>
      <w:r w:rsidRPr="00FB2EE0">
        <w:rPr>
          <w:i/>
          <w:sz w:val="18"/>
        </w:rPr>
        <w:t>Charlemagne</w:t>
      </w:r>
      <w:r w:rsidRPr="00FB2EE0">
        <w:rPr>
          <w:sz w:val="18"/>
        </w:rPr>
        <w:t xml:space="preserve"> (Harvard University Press, 2016). p.248.</w:t>
      </w:r>
    </w:p>
  </w:footnote>
  <w:footnote w:id="13">
    <w:p w:rsidR="003A45DE" w:rsidRDefault="003A45DE" w:rsidP="003A45DE">
      <w:pPr>
        <w:pStyle w:val="FootnoteText"/>
      </w:pPr>
      <w:r>
        <w:rPr>
          <w:rStyle w:val="FootnoteReference"/>
        </w:rPr>
        <w:footnoteRef/>
      </w:r>
      <w:r>
        <w:t xml:space="preserve"> </w:t>
      </w:r>
      <w:r w:rsidRPr="00E75921">
        <w:rPr>
          <w:sz w:val="18"/>
        </w:rPr>
        <w:t xml:space="preserve">R.H.C Davis, </w:t>
      </w:r>
      <w:r w:rsidRPr="00E75921">
        <w:rPr>
          <w:i/>
          <w:sz w:val="18"/>
        </w:rPr>
        <w:t>A History of Medieval Europe</w:t>
      </w:r>
      <w:r w:rsidRPr="00E75921">
        <w:rPr>
          <w:sz w:val="18"/>
        </w:rPr>
        <w:t>, Second edn (United States of America: Addison Wesley Longman Limited, 1988), p.128</w:t>
      </w:r>
    </w:p>
  </w:footnote>
  <w:footnote w:id="14">
    <w:p w:rsidR="003A45DE" w:rsidRPr="00974B67" w:rsidRDefault="003A45DE" w:rsidP="003A45DE">
      <w:pPr>
        <w:pStyle w:val="FootnoteText"/>
        <w:rPr>
          <w:sz w:val="18"/>
        </w:rPr>
      </w:pPr>
      <w:r>
        <w:rPr>
          <w:rStyle w:val="FootnoteReference"/>
        </w:rPr>
        <w:footnoteRef/>
      </w:r>
      <w:r>
        <w:t xml:space="preserve"> </w:t>
      </w:r>
      <w:r w:rsidRPr="00974B67">
        <w:rPr>
          <w:sz w:val="18"/>
        </w:rPr>
        <w:t xml:space="preserve">R.H.C Davis, </w:t>
      </w:r>
      <w:r w:rsidRPr="00974B67">
        <w:rPr>
          <w:i/>
          <w:sz w:val="18"/>
        </w:rPr>
        <w:t>A History of Medieval Europe</w:t>
      </w:r>
      <w:r w:rsidRPr="00974B67">
        <w:rPr>
          <w:sz w:val="18"/>
        </w:rPr>
        <w:t>, Second edn (United States of America: Addison Wesley Longman Limited, 1988. pp.20-37.</w:t>
      </w:r>
    </w:p>
  </w:footnote>
  <w:footnote w:id="15">
    <w:p w:rsidR="003A45DE" w:rsidRDefault="003A45DE" w:rsidP="003A45DE">
      <w:pPr>
        <w:pStyle w:val="FootnoteText"/>
      </w:pPr>
      <w:r>
        <w:rPr>
          <w:rStyle w:val="FootnoteReference"/>
        </w:rPr>
        <w:footnoteRef/>
      </w:r>
      <w:r>
        <w:t xml:space="preserve"> </w:t>
      </w:r>
      <w:r w:rsidRPr="00D41694">
        <w:rPr>
          <w:sz w:val="18"/>
        </w:rPr>
        <w:t xml:space="preserve">J. Fried, </w:t>
      </w:r>
      <w:r w:rsidRPr="00D41694">
        <w:rPr>
          <w:i/>
          <w:sz w:val="18"/>
        </w:rPr>
        <w:t>Charlemagne</w:t>
      </w:r>
      <w:r w:rsidRPr="00D41694">
        <w:rPr>
          <w:sz w:val="18"/>
        </w:rPr>
        <w:t xml:space="preserve"> (Harvard University Press, 2016). p.135.</w:t>
      </w:r>
    </w:p>
  </w:footnote>
  <w:footnote w:id="16">
    <w:p w:rsidR="003A45DE" w:rsidRDefault="003A45DE" w:rsidP="003A45DE">
      <w:pPr>
        <w:pStyle w:val="FootnoteText"/>
      </w:pPr>
      <w:r w:rsidRPr="006C741F">
        <w:rPr>
          <w:rStyle w:val="FootnoteReference"/>
          <w:sz w:val="18"/>
        </w:rPr>
        <w:footnoteRef/>
      </w:r>
      <w:r w:rsidRPr="006C741F">
        <w:rPr>
          <w:sz w:val="18"/>
        </w:rPr>
        <w:t xml:space="preserve"> ‘</w:t>
      </w:r>
      <w:r w:rsidRPr="006C741F">
        <w:rPr>
          <w:i/>
          <w:sz w:val="18"/>
        </w:rPr>
        <w:t xml:space="preserve">769; Annals of the Kingdom of the Franks’ </w:t>
      </w:r>
      <w:r w:rsidRPr="006C741F">
        <w:rPr>
          <w:sz w:val="18"/>
        </w:rPr>
        <w:t xml:space="preserve">in </w:t>
      </w:r>
      <w:r w:rsidRPr="006C741F">
        <w:rPr>
          <w:i/>
          <w:sz w:val="18"/>
        </w:rPr>
        <w:t>Charlemagne: Translated Sources</w:t>
      </w:r>
      <w:r w:rsidRPr="006C741F">
        <w:rPr>
          <w:sz w:val="18"/>
        </w:rPr>
        <w:t>, ed. P.D. King (Cumbria: P.D. King, 1987).</w:t>
      </w:r>
    </w:p>
  </w:footnote>
  <w:footnote w:id="17">
    <w:p w:rsidR="003A45DE" w:rsidRDefault="003A45DE" w:rsidP="003A45DE">
      <w:pPr>
        <w:pStyle w:val="FootnoteText"/>
      </w:pPr>
      <w:r>
        <w:rPr>
          <w:rStyle w:val="FootnoteReference"/>
        </w:rPr>
        <w:footnoteRef/>
      </w:r>
      <w:r>
        <w:t xml:space="preserve"> </w:t>
      </w:r>
      <w:r w:rsidRPr="00CD5439">
        <w:t xml:space="preserve">  </w:t>
      </w:r>
      <w:r w:rsidRPr="00CD5439">
        <w:rPr>
          <w:sz w:val="18"/>
        </w:rPr>
        <w:t xml:space="preserve">G. Holmes, </w:t>
      </w:r>
      <w:r w:rsidRPr="00CD5439">
        <w:rPr>
          <w:sz w:val="16"/>
        </w:rPr>
        <w:t xml:space="preserve">Oxford history of Medieval Europe </w:t>
      </w:r>
      <w:r w:rsidRPr="00CD5439">
        <w:rPr>
          <w:sz w:val="18"/>
        </w:rPr>
        <w:t>(London: Oxford University Press, 2001).</w:t>
      </w:r>
      <w:r>
        <w:rPr>
          <w:sz w:val="18"/>
        </w:rPr>
        <w:t xml:space="preserve"> </w:t>
      </w:r>
      <w:proofErr w:type="gramStart"/>
      <w:r>
        <w:rPr>
          <w:sz w:val="18"/>
        </w:rPr>
        <w:t>pp.93-94</w:t>
      </w:r>
      <w:proofErr w:type="gramEnd"/>
      <w:r>
        <w:rPr>
          <w:sz w:val="18"/>
        </w:rPr>
        <w:t>.</w:t>
      </w:r>
    </w:p>
  </w:footnote>
  <w:footnote w:id="18">
    <w:p w:rsidR="003A45DE" w:rsidRDefault="003A45DE" w:rsidP="003A45DE">
      <w:pPr>
        <w:pStyle w:val="FootnoteText"/>
      </w:pPr>
      <w:r>
        <w:rPr>
          <w:rStyle w:val="FootnoteReference"/>
        </w:rPr>
        <w:footnoteRef/>
      </w:r>
      <w:r>
        <w:t xml:space="preserve"> </w:t>
      </w:r>
      <w:r w:rsidRPr="00861746">
        <w:rPr>
          <w:sz w:val="18"/>
        </w:rPr>
        <w:t xml:space="preserve">G. Holmes, </w:t>
      </w:r>
      <w:r w:rsidRPr="00861746">
        <w:rPr>
          <w:i/>
          <w:sz w:val="18"/>
        </w:rPr>
        <w:t>Oxford history of Medieval Europe</w:t>
      </w:r>
      <w:r w:rsidRPr="00861746">
        <w:rPr>
          <w:sz w:val="18"/>
        </w:rPr>
        <w:t xml:space="preserve"> (London: Oxford University Press, 2001). p.90</w:t>
      </w:r>
    </w:p>
  </w:footnote>
  <w:footnote w:id="19">
    <w:p w:rsidR="003A45DE" w:rsidRPr="00591B9E" w:rsidRDefault="003A45DE" w:rsidP="003A45DE">
      <w:pPr>
        <w:pStyle w:val="FootnoteText"/>
        <w:rPr>
          <w:sz w:val="16"/>
        </w:rPr>
      </w:pPr>
      <w:r>
        <w:rPr>
          <w:rStyle w:val="FootnoteReference"/>
        </w:rPr>
        <w:footnoteRef/>
      </w:r>
      <w:r>
        <w:t xml:space="preserve"> </w:t>
      </w:r>
      <w:r w:rsidRPr="00FB682F">
        <w:rPr>
          <w:sz w:val="18"/>
        </w:rPr>
        <w:t>William Stearns Davis, ed</w:t>
      </w:r>
      <w:r w:rsidRPr="00FB682F">
        <w:rPr>
          <w:i/>
          <w:sz w:val="18"/>
        </w:rPr>
        <w:t>., Readings in Ancient History: Illustrative Extracts from the Sources</w:t>
      </w:r>
      <w:r w:rsidRPr="00FB682F">
        <w:rPr>
          <w:sz w:val="18"/>
        </w:rPr>
        <w:t xml:space="preserve">, 2 Vols. (Boston: </w:t>
      </w:r>
      <w:proofErr w:type="spellStart"/>
      <w:r w:rsidRPr="00FB682F">
        <w:rPr>
          <w:sz w:val="18"/>
        </w:rPr>
        <w:t>Allyn</w:t>
      </w:r>
      <w:proofErr w:type="spellEnd"/>
      <w:r w:rsidRPr="00FB682F">
        <w:rPr>
          <w:sz w:val="18"/>
        </w:rPr>
        <w:t xml:space="preserve"> and Bacon, 1912-13), Vol. II: Rome and the West, pp. 362-364</w:t>
      </w:r>
    </w:p>
  </w:footnote>
  <w:footnote w:id="20">
    <w:p w:rsidR="003A45DE" w:rsidRDefault="003A45DE" w:rsidP="003A45DE">
      <w:pPr>
        <w:pStyle w:val="FootnoteText"/>
      </w:pPr>
      <w:r w:rsidRPr="00591B9E">
        <w:rPr>
          <w:rStyle w:val="FootnoteReference"/>
          <w:sz w:val="18"/>
        </w:rPr>
        <w:footnoteRef/>
      </w:r>
      <w:r w:rsidRPr="00591B9E">
        <w:rPr>
          <w:sz w:val="18"/>
        </w:rPr>
        <w:t xml:space="preserve"> G. Holmes, </w:t>
      </w:r>
      <w:r w:rsidRPr="00591B9E">
        <w:rPr>
          <w:i/>
          <w:sz w:val="18"/>
        </w:rPr>
        <w:t>Oxford history of Medieval Europe</w:t>
      </w:r>
      <w:r w:rsidRPr="00591B9E">
        <w:rPr>
          <w:sz w:val="18"/>
        </w:rPr>
        <w:t xml:space="preserve"> (London: Oxford University Press, 2001). p.91. </w:t>
      </w:r>
      <w:bookmarkStart w:id="0" w:name="_GoBack"/>
      <w:bookmarkEnd w:id="0"/>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FB75D7"/>
    <w:multiLevelType w:val="hybridMultilevel"/>
    <w:tmpl w:val="F36AC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D56A1"/>
    <w:multiLevelType w:val="hybridMultilevel"/>
    <w:tmpl w:val="28E0A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5DE"/>
    <w:rsid w:val="00017B55"/>
    <w:rsid w:val="00122A20"/>
    <w:rsid w:val="00191B31"/>
    <w:rsid w:val="001A6553"/>
    <w:rsid w:val="002114AF"/>
    <w:rsid w:val="003A45DE"/>
    <w:rsid w:val="003D0EF6"/>
    <w:rsid w:val="003E78F7"/>
    <w:rsid w:val="004B0231"/>
    <w:rsid w:val="00583C93"/>
    <w:rsid w:val="00687826"/>
    <w:rsid w:val="008215EC"/>
    <w:rsid w:val="008A2B4C"/>
    <w:rsid w:val="00903496"/>
    <w:rsid w:val="009A2D22"/>
    <w:rsid w:val="009C6E1E"/>
    <w:rsid w:val="009D7D1A"/>
    <w:rsid w:val="00A535A7"/>
    <w:rsid w:val="00B14422"/>
    <w:rsid w:val="00BB5716"/>
    <w:rsid w:val="00C352E8"/>
    <w:rsid w:val="00D7602A"/>
    <w:rsid w:val="00D8328D"/>
    <w:rsid w:val="00D87909"/>
    <w:rsid w:val="00DE6AA8"/>
    <w:rsid w:val="00E304E7"/>
    <w:rsid w:val="00E30BE7"/>
    <w:rsid w:val="00E35351"/>
    <w:rsid w:val="00FD3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24698B8-C88A-4A24-BA97-15F596974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45D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A45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45DE"/>
    <w:rPr>
      <w:sz w:val="20"/>
      <w:szCs w:val="20"/>
    </w:rPr>
  </w:style>
  <w:style w:type="character" w:styleId="FootnoteReference">
    <w:name w:val="footnote reference"/>
    <w:basedOn w:val="DefaultParagraphFont"/>
    <w:uiPriority w:val="99"/>
    <w:semiHidden/>
    <w:unhideWhenUsed/>
    <w:rsid w:val="003A45DE"/>
    <w:rPr>
      <w:vertAlign w:val="superscript"/>
    </w:rPr>
  </w:style>
  <w:style w:type="paragraph" w:styleId="ListParagraph">
    <w:name w:val="List Paragraph"/>
    <w:basedOn w:val="Normal"/>
    <w:uiPriority w:val="34"/>
    <w:qFormat/>
    <w:rsid w:val="00E30BE7"/>
    <w:pPr>
      <w:ind w:left="720"/>
      <w:contextualSpacing/>
    </w:pPr>
  </w:style>
  <w:style w:type="paragraph" w:styleId="Header">
    <w:name w:val="header"/>
    <w:basedOn w:val="Normal"/>
    <w:link w:val="HeaderChar"/>
    <w:uiPriority w:val="99"/>
    <w:unhideWhenUsed/>
    <w:rsid w:val="009D7D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D1A"/>
  </w:style>
  <w:style w:type="paragraph" w:styleId="Footer">
    <w:name w:val="footer"/>
    <w:basedOn w:val="Normal"/>
    <w:link w:val="FooterChar"/>
    <w:uiPriority w:val="99"/>
    <w:unhideWhenUsed/>
    <w:rsid w:val="009D7D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1444</TotalTime>
  <Pages>6</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dc:creator>
  <cp:keywords/>
  <dc:description/>
  <cp:lastModifiedBy>Phoebe</cp:lastModifiedBy>
  <cp:revision>83</cp:revision>
  <dcterms:created xsi:type="dcterms:W3CDTF">2017-11-15T09:33:00Z</dcterms:created>
  <dcterms:modified xsi:type="dcterms:W3CDTF">2017-11-16T13:15:00Z</dcterms:modified>
</cp:coreProperties>
</file>