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8C582" w14:textId="77777777" w:rsidR="00FA41E2" w:rsidRPr="00FA41E2" w:rsidRDefault="00FA41E2" w:rsidP="00FA41E2">
      <w:pPr>
        <w:spacing w:line="276" w:lineRule="auto"/>
        <w:rPr>
          <w:rFonts w:ascii="Arial" w:eastAsia="Aptos" w:hAnsi="Arial" w:cs="Arial"/>
          <w:kern w:val="2"/>
          <w14:ligatures w14:val="standardContextual"/>
        </w:rPr>
      </w:pPr>
      <w:r w:rsidRPr="00FA41E2">
        <w:rPr>
          <w:rFonts w:ascii="Arial" w:eastAsia="Aptos" w:hAnsi="Arial" w:cs="Arial"/>
          <w:noProof/>
          <w:kern w:val="2"/>
          <w14:ligatures w14:val="standardContextual"/>
        </w:rPr>
        <w:drawing>
          <wp:inline distT="0" distB="0" distL="0" distR="0" wp14:anchorId="4A17848A" wp14:editId="03446CB1">
            <wp:extent cx="3348355" cy="1338580"/>
            <wp:effectExtent l="0" t="0" r="4445" b="13970"/>
            <wp:docPr id="5"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348355" cy="1338580"/>
                    </a:xfrm>
                    <a:prstGeom prst="rect">
                      <a:avLst/>
                    </a:prstGeom>
                    <a:noFill/>
                    <a:ln>
                      <a:noFill/>
                    </a:ln>
                  </pic:spPr>
                </pic:pic>
              </a:graphicData>
            </a:graphic>
          </wp:inline>
        </w:drawing>
      </w:r>
    </w:p>
    <w:p w14:paraId="608DF559" w14:textId="77777777" w:rsidR="00FA41E2" w:rsidRPr="00FA41E2" w:rsidRDefault="00FA41E2" w:rsidP="00FA41E2">
      <w:pPr>
        <w:spacing w:line="276" w:lineRule="auto"/>
        <w:rPr>
          <w:rFonts w:ascii="Arial" w:eastAsia="Aptos" w:hAnsi="Arial" w:cs="Arial"/>
          <w:b/>
          <w:bCs/>
          <w:kern w:val="2"/>
          <w14:ligatures w14:val="standardContextual"/>
        </w:rPr>
      </w:pPr>
    </w:p>
    <w:p w14:paraId="410A518A" w14:textId="77777777" w:rsidR="00FA41E2" w:rsidRPr="00FA41E2" w:rsidRDefault="00FA41E2" w:rsidP="00FA41E2">
      <w:pPr>
        <w:spacing w:line="276" w:lineRule="auto"/>
        <w:rPr>
          <w:rFonts w:ascii="Arial" w:eastAsia="Aptos" w:hAnsi="Arial" w:cs="Arial"/>
          <w:b/>
          <w:bCs/>
          <w:kern w:val="2"/>
          <w14:ligatures w14:val="standardContextual"/>
        </w:rPr>
      </w:pPr>
    </w:p>
    <w:p w14:paraId="43E6FECA" w14:textId="77777777" w:rsidR="00FA41E2" w:rsidRPr="00FA41E2" w:rsidRDefault="00FA41E2" w:rsidP="00FA41E2">
      <w:pPr>
        <w:spacing w:line="276" w:lineRule="auto"/>
        <w:jc w:val="center"/>
        <w:rPr>
          <w:rFonts w:ascii="Arial" w:eastAsia="Aptos" w:hAnsi="Arial" w:cs="Arial"/>
          <w:b/>
          <w:bCs/>
          <w:kern w:val="2"/>
          <w14:ligatures w14:val="standardContextual"/>
        </w:rPr>
      </w:pPr>
    </w:p>
    <w:p w14:paraId="0FC95531" w14:textId="77777777" w:rsidR="00FA41E2" w:rsidRPr="00FA41E2" w:rsidRDefault="00FA41E2" w:rsidP="00FA41E2">
      <w:pPr>
        <w:spacing w:line="276" w:lineRule="auto"/>
        <w:jc w:val="center"/>
        <w:rPr>
          <w:rFonts w:ascii="Arial" w:eastAsia="Aptos" w:hAnsi="Arial" w:cs="Arial"/>
          <w:b/>
          <w:bCs/>
          <w:kern w:val="2"/>
          <w:sz w:val="36"/>
          <w:szCs w:val="36"/>
          <w14:ligatures w14:val="standardContextual"/>
        </w:rPr>
      </w:pPr>
      <w:r w:rsidRPr="00FA41E2">
        <w:rPr>
          <w:rFonts w:ascii="Arial" w:eastAsia="Aptos" w:hAnsi="Arial" w:cs="Arial"/>
          <w:b/>
          <w:bCs/>
          <w:kern w:val="2"/>
          <w:sz w:val="36"/>
          <w:szCs w:val="36"/>
          <w14:ligatures w14:val="standardContextual"/>
        </w:rPr>
        <w:t>BMHP6029-Psychopathological Classifications and Provisions</w:t>
      </w:r>
    </w:p>
    <w:p w14:paraId="39D5E90E" w14:textId="77777777" w:rsidR="00FA41E2" w:rsidRPr="00FA41E2" w:rsidRDefault="00FA41E2" w:rsidP="00FA41E2">
      <w:pPr>
        <w:spacing w:line="276" w:lineRule="auto"/>
        <w:jc w:val="center"/>
        <w:rPr>
          <w:rFonts w:ascii="Arial" w:eastAsia="Aptos" w:hAnsi="Arial" w:cs="Arial"/>
          <w:b/>
          <w:bCs/>
          <w:kern w:val="2"/>
          <w:sz w:val="36"/>
          <w:szCs w:val="36"/>
          <w14:ligatures w14:val="standardContextual"/>
        </w:rPr>
      </w:pPr>
    </w:p>
    <w:p w14:paraId="5E5A9706" w14:textId="77777777" w:rsidR="00FA41E2" w:rsidRPr="00FA41E2" w:rsidRDefault="00FA41E2" w:rsidP="00FA41E2">
      <w:pPr>
        <w:spacing w:line="276" w:lineRule="auto"/>
        <w:jc w:val="center"/>
        <w:rPr>
          <w:rFonts w:ascii="Arial" w:eastAsia="Aptos" w:hAnsi="Arial" w:cs="Arial"/>
          <w:b/>
          <w:bCs/>
          <w:kern w:val="2"/>
          <w:sz w:val="36"/>
          <w:szCs w:val="36"/>
          <w14:ligatures w14:val="standardContextual"/>
        </w:rPr>
      </w:pPr>
    </w:p>
    <w:p w14:paraId="5460B252" w14:textId="77777777" w:rsidR="00FA41E2" w:rsidRPr="00FA41E2" w:rsidRDefault="00FA41E2" w:rsidP="00FA41E2">
      <w:pPr>
        <w:spacing w:line="276" w:lineRule="auto"/>
        <w:jc w:val="center"/>
        <w:rPr>
          <w:rFonts w:ascii="Arial" w:eastAsia="Aptos" w:hAnsi="Arial" w:cs="Arial"/>
          <w:b/>
          <w:bCs/>
          <w:kern w:val="2"/>
          <w:sz w:val="36"/>
          <w:szCs w:val="36"/>
          <w14:ligatures w14:val="standardContextual"/>
        </w:rPr>
      </w:pPr>
    </w:p>
    <w:p w14:paraId="1CA5D845" w14:textId="77777777" w:rsidR="00FA41E2" w:rsidRPr="00FA41E2" w:rsidRDefault="00FA41E2" w:rsidP="00FA41E2">
      <w:pPr>
        <w:spacing w:line="276" w:lineRule="auto"/>
        <w:rPr>
          <w:rFonts w:ascii="Arial" w:eastAsia="Aptos" w:hAnsi="Arial" w:cs="Arial"/>
          <w:kern w:val="2"/>
          <w:sz w:val="36"/>
          <w:szCs w:val="36"/>
          <w14:ligatures w14:val="standardContextual"/>
        </w:rPr>
      </w:pPr>
      <w:r w:rsidRPr="00FA41E2">
        <w:rPr>
          <w:rFonts w:ascii="Arial" w:eastAsia="Aptos" w:hAnsi="Arial" w:cs="Arial"/>
          <w:b/>
          <w:bCs/>
          <w:kern w:val="2"/>
          <w:sz w:val="36"/>
          <w:szCs w:val="36"/>
          <w14:ligatures w14:val="standardContextual"/>
        </w:rPr>
        <w:t>Component 2: Written Assignment (Report)</w:t>
      </w:r>
      <w:r w:rsidRPr="00FA41E2">
        <w:rPr>
          <w:rFonts w:ascii="Arial" w:eastAsia="Aptos" w:hAnsi="Arial" w:cs="Arial"/>
          <w:kern w:val="2"/>
          <w:sz w:val="36"/>
          <w:szCs w:val="36"/>
          <w14:ligatures w14:val="standardContextual"/>
        </w:rPr>
        <w:t xml:space="preserve"> </w:t>
      </w:r>
    </w:p>
    <w:p w14:paraId="216698CC" w14:textId="7D913888" w:rsidR="00FA41E2" w:rsidRPr="00FA41E2" w:rsidRDefault="00FA41E2" w:rsidP="00FA41E2">
      <w:pPr>
        <w:spacing w:line="276" w:lineRule="auto"/>
        <w:rPr>
          <w:rFonts w:ascii="Arial" w:eastAsia="Aptos" w:hAnsi="Arial" w:cs="Arial"/>
          <w:b/>
          <w:bCs/>
          <w:kern w:val="2"/>
          <w:sz w:val="36"/>
          <w:szCs w:val="36"/>
          <w14:ligatures w14:val="standardContextual"/>
        </w:rPr>
      </w:pPr>
      <w:r w:rsidRPr="00FA41E2">
        <w:rPr>
          <w:rFonts w:ascii="Arial" w:eastAsia="Aptos" w:hAnsi="Arial" w:cs="Arial"/>
          <w:b/>
          <w:bCs/>
          <w:kern w:val="2"/>
          <w:sz w:val="36"/>
          <w:szCs w:val="36"/>
          <w14:ligatures w14:val="standardContextual"/>
        </w:rPr>
        <w:t>Student name: Tetyana Tymkova</w:t>
      </w:r>
    </w:p>
    <w:p w14:paraId="780099C1" w14:textId="2E9A8298" w:rsidR="00FA41E2" w:rsidRDefault="00FA41E2" w:rsidP="00FA41E2">
      <w:pPr>
        <w:spacing w:line="276" w:lineRule="auto"/>
        <w:rPr>
          <w:rFonts w:ascii="Arial" w:eastAsia="Aptos" w:hAnsi="Arial" w:cs="Arial"/>
          <w:b/>
          <w:bCs/>
          <w:kern w:val="2"/>
          <w:sz w:val="36"/>
          <w:szCs w:val="36"/>
          <w14:ligatures w14:val="standardContextual"/>
        </w:rPr>
      </w:pPr>
      <w:r w:rsidRPr="00FA41E2">
        <w:rPr>
          <w:rFonts w:ascii="Arial" w:eastAsia="Aptos" w:hAnsi="Arial" w:cs="Arial"/>
          <w:b/>
          <w:bCs/>
          <w:kern w:val="2"/>
          <w:sz w:val="36"/>
          <w:szCs w:val="36"/>
          <w14:ligatures w14:val="standardContextual"/>
        </w:rPr>
        <w:t xml:space="preserve">Student number: 2337100 </w:t>
      </w:r>
    </w:p>
    <w:p w14:paraId="27328F26" w14:textId="191FD6D6" w:rsidR="00C147E3" w:rsidRDefault="00C147E3" w:rsidP="00FA41E2">
      <w:pPr>
        <w:spacing w:line="276" w:lineRule="auto"/>
        <w:rPr>
          <w:rFonts w:ascii="Arial" w:eastAsia="Aptos" w:hAnsi="Arial" w:cs="Arial"/>
          <w:b/>
          <w:bCs/>
          <w:kern w:val="2"/>
          <w:sz w:val="36"/>
          <w:szCs w:val="36"/>
          <w14:ligatures w14:val="standardContextual"/>
        </w:rPr>
      </w:pPr>
      <w:r w:rsidRPr="00320ECE">
        <w:rPr>
          <w:rStyle w:val="Strong"/>
          <w:rFonts w:ascii="Arial" w:hAnsi="Arial" w:cs="Arial"/>
          <w:sz w:val="32"/>
          <w:szCs w:val="32"/>
        </w:rPr>
        <w:t>Lecturer’s name:</w:t>
      </w:r>
      <w:r>
        <w:rPr>
          <w:rStyle w:val="Strong"/>
          <w:rFonts w:ascii="Arial" w:hAnsi="Arial" w:cs="Arial"/>
          <w:sz w:val="32"/>
          <w:szCs w:val="32"/>
        </w:rPr>
        <w:t xml:space="preserve"> </w:t>
      </w:r>
      <w:r w:rsidRPr="00C147E3">
        <w:rPr>
          <w:rFonts w:ascii="Arial" w:hAnsi="Arial" w:cs="Arial"/>
          <w:b/>
          <w:bCs/>
          <w:sz w:val="32"/>
          <w:szCs w:val="32"/>
        </w:rPr>
        <w:t>Bianca Sanfilippo</w:t>
      </w:r>
      <w:r>
        <w:rPr>
          <w:rFonts w:ascii="Arial" w:hAnsi="Arial" w:cs="Arial"/>
          <w:b/>
          <w:bCs/>
          <w:sz w:val="32"/>
          <w:szCs w:val="32"/>
        </w:rPr>
        <w:t xml:space="preserve"> </w:t>
      </w:r>
    </w:p>
    <w:p w14:paraId="08FE9B0F" w14:textId="77777777" w:rsidR="00FA41E2" w:rsidRDefault="00FA41E2" w:rsidP="00FA41E2">
      <w:pPr>
        <w:spacing w:line="276" w:lineRule="auto"/>
        <w:rPr>
          <w:rFonts w:ascii="Arial" w:eastAsia="Aptos" w:hAnsi="Arial" w:cs="Arial"/>
          <w:b/>
          <w:bCs/>
          <w:kern w:val="2"/>
          <w:sz w:val="36"/>
          <w:szCs w:val="36"/>
          <w14:ligatures w14:val="standardContextual"/>
        </w:rPr>
      </w:pPr>
    </w:p>
    <w:p w14:paraId="55DDE763" w14:textId="77777777" w:rsidR="00FA41E2" w:rsidRDefault="00FA41E2" w:rsidP="00FA41E2">
      <w:pPr>
        <w:spacing w:line="276" w:lineRule="auto"/>
        <w:rPr>
          <w:rFonts w:ascii="Arial" w:eastAsia="Aptos" w:hAnsi="Arial" w:cs="Arial"/>
          <w:b/>
          <w:bCs/>
          <w:kern w:val="2"/>
          <w:sz w:val="36"/>
          <w:szCs w:val="36"/>
          <w14:ligatures w14:val="standardContextual"/>
        </w:rPr>
      </w:pPr>
    </w:p>
    <w:p w14:paraId="2B0D3F13" w14:textId="77777777" w:rsidR="00FA41E2" w:rsidRDefault="00FA41E2" w:rsidP="00FA41E2">
      <w:pPr>
        <w:spacing w:line="276" w:lineRule="auto"/>
        <w:rPr>
          <w:rFonts w:ascii="Arial" w:eastAsia="Aptos" w:hAnsi="Arial" w:cs="Arial"/>
          <w:b/>
          <w:bCs/>
          <w:kern w:val="2"/>
          <w:sz w:val="36"/>
          <w:szCs w:val="36"/>
          <w14:ligatures w14:val="standardContextual"/>
        </w:rPr>
      </w:pPr>
    </w:p>
    <w:p w14:paraId="57A3092E" w14:textId="77777777" w:rsidR="00FA41E2" w:rsidRDefault="00FA41E2" w:rsidP="00FA41E2">
      <w:pPr>
        <w:spacing w:line="276" w:lineRule="auto"/>
        <w:rPr>
          <w:rFonts w:ascii="Arial" w:eastAsia="Aptos" w:hAnsi="Arial" w:cs="Arial"/>
          <w:b/>
          <w:bCs/>
          <w:kern w:val="2"/>
          <w:sz w:val="36"/>
          <w:szCs w:val="36"/>
          <w14:ligatures w14:val="standardContextual"/>
        </w:rPr>
      </w:pPr>
    </w:p>
    <w:p w14:paraId="45EC2A15" w14:textId="77777777" w:rsidR="00FA41E2" w:rsidRDefault="00FA41E2" w:rsidP="00FA41E2">
      <w:pPr>
        <w:spacing w:line="276" w:lineRule="auto"/>
        <w:rPr>
          <w:rFonts w:ascii="Arial" w:eastAsia="Aptos" w:hAnsi="Arial" w:cs="Arial"/>
          <w:b/>
          <w:bCs/>
          <w:kern w:val="2"/>
          <w:sz w:val="36"/>
          <w:szCs w:val="36"/>
          <w14:ligatures w14:val="standardContextual"/>
        </w:rPr>
      </w:pPr>
    </w:p>
    <w:p w14:paraId="64B3873C" w14:textId="77777777" w:rsidR="00FA41E2" w:rsidRDefault="00FA41E2" w:rsidP="00FA41E2">
      <w:pPr>
        <w:spacing w:line="276" w:lineRule="auto"/>
        <w:rPr>
          <w:rFonts w:ascii="Arial" w:eastAsia="Aptos" w:hAnsi="Arial" w:cs="Arial"/>
          <w:b/>
          <w:bCs/>
          <w:kern w:val="2"/>
          <w:sz w:val="36"/>
          <w:szCs w:val="36"/>
          <w14:ligatures w14:val="standardContextual"/>
        </w:rPr>
      </w:pPr>
    </w:p>
    <w:p w14:paraId="04E91587" w14:textId="77777777" w:rsidR="00FA41E2" w:rsidRDefault="00FA41E2" w:rsidP="00FA41E2">
      <w:pPr>
        <w:spacing w:line="276" w:lineRule="auto"/>
        <w:rPr>
          <w:rFonts w:ascii="Arial" w:eastAsia="Aptos" w:hAnsi="Arial" w:cs="Arial"/>
          <w:b/>
          <w:bCs/>
          <w:kern w:val="2"/>
          <w:sz w:val="36"/>
          <w:szCs w:val="36"/>
          <w14:ligatures w14:val="standardContextual"/>
        </w:rPr>
      </w:pPr>
    </w:p>
    <w:p w14:paraId="750D260E" w14:textId="77777777" w:rsidR="00FA41E2" w:rsidRPr="00FA41E2" w:rsidRDefault="00FA41E2" w:rsidP="00FA41E2">
      <w:pPr>
        <w:spacing w:line="276" w:lineRule="auto"/>
        <w:rPr>
          <w:rFonts w:ascii="Arial" w:eastAsia="Aptos" w:hAnsi="Arial" w:cs="Arial"/>
          <w:b/>
          <w:bCs/>
          <w:kern w:val="2"/>
          <w:sz w:val="36"/>
          <w:szCs w:val="36"/>
          <w14:ligatures w14:val="standardContextual"/>
        </w:rPr>
      </w:pPr>
    </w:p>
    <w:sdt>
      <w:sdtPr>
        <w:rPr>
          <w:rFonts w:asciiTheme="minorHAnsi" w:eastAsiaTheme="minorHAnsi" w:hAnsiTheme="minorHAnsi" w:cstheme="minorBidi"/>
          <w:color w:val="auto"/>
          <w:sz w:val="22"/>
          <w:szCs w:val="22"/>
          <w:lang w:eastAsia="en-US"/>
        </w:rPr>
        <w:id w:val="1608227388"/>
        <w:docPartObj>
          <w:docPartGallery w:val="Table of Contents"/>
          <w:docPartUnique/>
        </w:docPartObj>
      </w:sdtPr>
      <w:sdtEndPr>
        <w:rPr>
          <w:b/>
          <w:bCs/>
        </w:rPr>
      </w:sdtEndPr>
      <w:sdtContent>
        <w:p w14:paraId="31DB7585" w14:textId="402CA54B" w:rsidR="00FA41E2" w:rsidRDefault="00FA41E2">
          <w:pPr>
            <w:pStyle w:val="TOCHeading"/>
          </w:pPr>
          <w:r>
            <w:t>Table of Contents</w:t>
          </w:r>
        </w:p>
        <w:p w14:paraId="06D3154C" w14:textId="7B1C6E30" w:rsidR="00FA41E2" w:rsidRDefault="00FA41E2">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35116746" w:history="1">
            <w:r w:rsidRPr="003D697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_Toc235116746 \h </w:instrText>
            </w:r>
            <w:r>
              <w:rPr>
                <w:noProof/>
                <w:webHidden/>
              </w:rPr>
            </w:r>
            <w:r>
              <w:rPr>
                <w:noProof/>
                <w:webHidden/>
              </w:rPr>
              <w:fldChar w:fldCharType="separate"/>
            </w:r>
            <w:r>
              <w:rPr>
                <w:noProof/>
                <w:webHidden/>
              </w:rPr>
              <w:t>3</w:t>
            </w:r>
            <w:r>
              <w:rPr>
                <w:noProof/>
                <w:webHidden/>
              </w:rPr>
              <w:fldChar w:fldCharType="end"/>
            </w:r>
          </w:hyperlink>
        </w:p>
        <w:p w14:paraId="6AE4B90F" w14:textId="29F60891" w:rsidR="00FA41E2" w:rsidRDefault="00FA41E2">
          <w:pPr>
            <w:pStyle w:val="TOC1"/>
            <w:tabs>
              <w:tab w:val="right" w:leader="dot" w:pos="9016"/>
            </w:tabs>
            <w:rPr>
              <w:rFonts w:eastAsiaTheme="minorEastAsia"/>
              <w:noProof/>
              <w:kern w:val="2"/>
              <w:sz w:val="24"/>
              <w:szCs w:val="24"/>
              <w:lang w:eastAsia="en-GB"/>
              <w14:ligatures w14:val="standardContextual"/>
            </w:rPr>
          </w:pPr>
          <w:hyperlink w:anchor="_Toc235116747" w:history="1">
            <w:r w:rsidRPr="003D6974">
              <w:rPr>
                <w:rStyle w:val="Hyperlink"/>
                <w:rFonts w:ascii="Arial" w:hAnsi="Arial" w:cs="Arial"/>
                <w:noProof/>
              </w:rPr>
              <w:t>1. Classification and Diagnosis of Bipolar Disorder</w:t>
            </w:r>
            <w:r>
              <w:rPr>
                <w:noProof/>
                <w:webHidden/>
              </w:rPr>
              <w:tab/>
            </w:r>
            <w:r>
              <w:rPr>
                <w:noProof/>
                <w:webHidden/>
              </w:rPr>
              <w:fldChar w:fldCharType="begin"/>
            </w:r>
            <w:r>
              <w:rPr>
                <w:noProof/>
                <w:webHidden/>
              </w:rPr>
              <w:instrText xml:space="preserve"> PAGEREF _Toc235116747 \h </w:instrText>
            </w:r>
            <w:r>
              <w:rPr>
                <w:noProof/>
                <w:webHidden/>
              </w:rPr>
            </w:r>
            <w:r>
              <w:rPr>
                <w:noProof/>
                <w:webHidden/>
              </w:rPr>
              <w:fldChar w:fldCharType="separate"/>
            </w:r>
            <w:r>
              <w:rPr>
                <w:noProof/>
                <w:webHidden/>
              </w:rPr>
              <w:t>3</w:t>
            </w:r>
            <w:r>
              <w:rPr>
                <w:noProof/>
                <w:webHidden/>
              </w:rPr>
              <w:fldChar w:fldCharType="end"/>
            </w:r>
          </w:hyperlink>
        </w:p>
        <w:p w14:paraId="639C53FB" w14:textId="252757DD" w:rsidR="00FA41E2" w:rsidRDefault="00FA41E2">
          <w:pPr>
            <w:pStyle w:val="TOC2"/>
            <w:tabs>
              <w:tab w:val="right" w:leader="dot" w:pos="9016"/>
            </w:tabs>
            <w:rPr>
              <w:rFonts w:eastAsiaTheme="minorEastAsia"/>
              <w:noProof/>
              <w:kern w:val="2"/>
              <w:sz w:val="24"/>
              <w:szCs w:val="24"/>
              <w:lang w:eastAsia="en-GB"/>
              <w14:ligatures w14:val="standardContextual"/>
            </w:rPr>
          </w:pPr>
          <w:hyperlink w:anchor="_Toc235116748" w:history="1">
            <w:r w:rsidRPr="003D6974">
              <w:rPr>
                <w:rStyle w:val="Hyperlink"/>
                <w:rFonts w:ascii="Arial" w:hAnsi="Arial" w:cs="Arial"/>
                <w:noProof/>
              </w:rPr>
              <w:t>1.1 ICD-11 Classification</w:t>
            </w:r>
            <w:r>
              <w:rPr>
                <w:noProof/>
                <w:webHidden/>
              </w:rPr>
              <w:tab/>
            </w:r>
            <w:r>
              <w:rPr>
                <w:noProof/>
                <w:webHidden/>
              </w:rPr>
              <w:fldChar w:fldCharType="begin"/>
            </w:r>
            <w:r>
              <w:rPr>
                <w:noProof/>
                <w:webHidden/>
              </w:rPr>
              <w:instrText xml:space="preserve"> PAGEREF _Toc235116748 \h </w:instrText>
            </w:r>
            <w:r>
              <w:rPr>
                <w:noProof/>
                <w:webHidden/>
              </w:rPr>
            </w:r>
            <w:r>
              <w:rPr>
                <w:noProof/>
                <w:webHidden/>
              </w:rPr>
              <w:fldChar w:fldCharType="separate"/>
            </w:r>
            <w:r>
              <w:rPr>
                <w:noProof/>
                <w:webHidden/>
              </w:rPr>
              <w:t>3</w:t>
            </w:r>
            <w:r>
              <w:rPr>
                <w:noProof/>
                <w:webHidden/>
              </w:rPr>
              <w:fldChar w:fldCharType="end"/>
            </w:r>
          </w:hyperlink>
        </w:p>
        <w:p w14:paraId="7F4EB4CC" w14:textId="68B99D96" w:rsidR="00FA41E2" w:rsidRDefault="00FA41E2">
          <w:pPr>
            <w:pStyle w:val="TOC2"/>
            <w:tabs>
              <w:tab w:val="right" w:leader="dot" w:pos="9016"/>
            </w:tabs>
            <w:rPr>
              <w:rFonts w:eastAsiaTheme="minorEastAsia"/>
              <w:noProof/>
              <w:kern w:val="2"/>
              <w:sz w:val="24"/>
              <w:szCs w:val="24"/>
              <w:lang w:eastAsia="en-GB"/>
              <w14:ligatures w14:val="standardContextual"/>
            </w:rPr>
          </w:pPr>
          <w:hyperlink w:anchor="_Toc235116749" w:history="1">
            <w:r w:rsidRPr="003D6974">
              <w:rPr>
                <w:rStyle w:val="Hyperlink"/>
                <w:rFonts w:ascii="Arial" w:hAnsi="Arial" w:cs="Arial"/>
                <w:noProof/>
              </w:rPr>
              <w:t>1.2 Diagnosis</w:t>
            </w:r>
            <w:r>
              <w:rPr>
                <w:noProof/>
                <w:webHidden/>
              </w:rPr>
              <w:tab/>
            </w:r>
            <w:r>
              <w:rPr>
                <w:noProof/>
                <w:webHidden/>
              </w:rPr>
              <w:fldChar w:fldCharType="begin"/>
            </w:r>
            <w:r>
              <w:rPr>
                <w:noProof/>
                <w:webHidden/>
              </w:rPr>
              <w:instrText xml:space="preserve"> PAGEREF _Toc235116749 \h </w:instrText>
            </w:r>
            <w:r>
              <w:rPr>
                <w:noProof/>
                <w:webHidden/>
              </w:rPr>
            </w:r>
            <w:r>
              <w:rPr>
                <w:noProof/>
                <w:webHidden/>
              </w:rPr>
              <w:fldChar w:fldCharType="separate"/>
            </w:r>
            <w:r>
              <w:rPr>
                <w:noProof/>
                <w:webHidden/>
              </w:rPr>
              <w:t>4</w:t>
            </w:r>
            <w:r>
              <w:rPr>
                <w:noProof/>
                <w:webHidden/>
              </w:rPr>
              <w:fldChar w:fldCharType="end"/>
            </w:r>
          </w:hyperlink>
        </w:p>
        <w:p w14:paraId="097AF68A" w14:textId="1E5F3146" w:rsidR="00FA41E2" w:rsidRDefault="00FA41E2">
          <w:pPr>
            <w:pStyle w:val="TOC2"/>
            <w:tabs>
              <w:tab w:val="right" w:leader="dot" w:pos="9016"/>
            </w:tabs>
            <w:rPr>
              <w:rFonts w:eastAsiaTheme="minorEastAsia"/>
              <w:noProof/>
              <w:kern w:val="2"/>
              <w:sz w:val="24"/>
              <w:szCs w:val="24"/>
              <w:lang w:eastAsia="en-GB"/>
              <w14:ligatures w14:val="standardContextual"/>
            </w:rPr>
          </w:pPr>
          <w:hyperlink w:anchor="_Toc235116750" w:history="1">
            <w:r w:rsidRPr="003D6974">
              <w:rPr>
                <w:rStyle w:val="Hyperlink"/>
                <w:rFonts w:ascii="Arial" w:hAnsi="Arial" w:cs="Arial"/>
                <w:noProof/>
              </w:rPr>
              <w:t>1.3 Critical Evaluation of Classification and Diagnosis</w:t>
            </w:r>
            <w:r>
              <w:rPr>
                <w:noProof/>
                <w:webHidden/>
              </w:rPr>
              <w:tab/>
            </w:r>
            <w:r>
              <w:rPr>
                <w:noProof/>
                <w:webHidden/>
              </w:rPr>
              <w:fldChar w:fldCharType="begin"/>
            </w:r>
            <w:r>
              <w:rPr>
                <w:noProof/>
                <w:webHidden/>
              </w:rPr>
              <w:instrText xml:space="preserve"> PAGEREF _Toc235116750 \h </w:instrText>
            </w:r>
            <w:r>
              <w:rPr>
                <w:noProof/>
                <w:webHidden/>
              </w:rPr>
            </w:r>
            <w:r>
              <w:rPr>
                <w:noProof/>
                <w:webHidden/>
              </w:rPr>
              <w:fldChar w:fldCharType="separate"/>
            </w:r>
            <w:r>
              <w:rPr>
                <w:noProof/>
                <w:webHidden/>
              </w:rPr>
              <w:t>5</w:t>
            </w:r>
            <w:r>
              <w:rPr>
                <w:noProof/>
                <w:webHidden/>
              </w:rPr>
              <w:fldChar w:fldCharType="end"/>
            </w:r>
          </w:hyperlink>
        </w:p>
        <w:p w14:paraId="4D50CC7F" w14:textId="13C03248" w:rsidR="00FA41E2" w:rsidRDefault="00FA41E2">
          <w:pPr>
            <w:pStyle w:val="TOC1"/>
            <w:tabs>
              <w:tab w:val="right" w:leader="dot" w:pos="9016"/>
            </w:tabs>
            <w:rPr>
              <w:rFonts w:eastAsiaTheme="minorEastAsia"/>
              <w:noProof/>
              <w:kern w:val="2"/>
              <w:sz w:val="24"/>
              <w:szCs w:val="24"/>
              <w:lang w:eastAsia="en-GB"/>
              <w14:ligatures w14:val="standardContextual"/>
            </w:rPr>
          </w:pPr>
          <w:hyperlink w:anchor="_Toc235116751" w:history="1">
            <w:r w:rsidRPr="003D6974">
              <w:rPr>
                <w:rStyle w:val="Hyperlink"/>
                <w:rFonts w:ascii="Arial" w:hAnsi="Arial" w:cs="Arial"/>
                <w:noProof/>
              </w:rPr>
              <w:t>2. Treatment and Rehabilitation of Bipolar Disorder</w:t>
            </w:r>
            <w:r>
              <w:rPr>
                <w:noProof/>
                <w:webHidden/>
              </w:rPr>
              <w:tab/>
            </w:r>
            <w:r>
              <w:rPr>
                <w:noProof/>
                <w:webHidden/>
              </w:rPr>
              <w:fldChar w:fldCharType="begin"/>
            </w:r>
            <w:r>
              <w:rPr>
                <w:noProof/>
                <w:webHidden/>
              </w:rPr>
              <w:instrText xml:space="preserve"> PAGEREF _Toc235116751 \h </w:instrText>
            </w:r>
            <w:r>
              <w:rPr>
                <w:noProof/>
                <w:webHidden/>
              </w:rPr>
            </w:r>
            <w:r>
              <w:rPr>
                <w:noProof/>
                <w:webHidden/>
              </w:rPr>
              <w:fldChar w:fldCharType="separate"/>
            </w:r>
            <w:r>
              <w:rPr>
                <w:noProof/>
                <w:webHidden/>
              </w:rPr>
              <w:t>5</w:t>
            </w:r>
            <w:r>
              <w:rPr>
                <w:noProof/>
                <w:webHidden/>
              </w:rPr>
              <w:fldChar w:fldCharType="end"/>
            </w:r>
          </w:hyperlink>
        </w:p>
        <w:p w14:paraId="2FC1FF1A" w14:textId="26B32501" w:rsidR="00FA41E2" w:rsidRDefault="00FA41E2">
          <w:pPr>
            <w:pStyle w:val="TOC2"/>
            <w:tabs>
              <w:tab w:val="right" w:leader="dot" w:pos="9016"/>
            </w:tabs>
            <w:rPr>
              <w:rFonts w:eastAsiaTheme="minorEastAsia"/>
              <w:noProof/>
              <w:kern w:val="2"/>
              <w:sz w:val="24"/>
              <w:szCs w:val="24"/>
              <w:lang w:eastAsia="en-GB"/>
              <w14:ligatures w14:val="standardContextual"/>
            </w:rPr>
          </w:pPr>
          <w:hyperlink w:anchor="_Toc235116752" w:history="1">
            <w:r w:rsidRPr="003D6974">
              <w:rPr>
                <w:rStyle w:val="Hyperlink"/>
                <w:rFonts w:ascii="Arial" w:hAnsi="Arial" w:cs="Arial"/>
                <w:noProof/>
              </w:rPr>
              <w:t>2.1 Pharmacological Treatment</w:t>
            </w:r>
            <w:r>
              <w:rPr>
                <w:noProof/>
                <w:webHidden/>
              </w:rPr>
              <w:tab/>
            </w:r>
            <w:r>
              <w:rPr>
                <w:noProof/>
                <w:webHidden/>
              </w:rPr>
              <w:fldChar w:fldCharType="begin"/>
            </w:r>
            <w:r>
              <w:rPr>
                <w:noProof/>
                <w:webHidden/>
              </w:rPr>
              <w:instrText xml:space="preserve"> PAGEREF _Toc235116752 \h </w:instrText>
            </w:r>
            <w:r>
              <w:rPr>
                <w:noProof/>
                <w:webHidden/>
              </w:rPr>
            </w:r>
            <w:r>
              <w:rPr>
                <w:noProof/>
                <w:webHidden/>
              </w:rPr>
              <w:fldChar w:fldCharType="separate"/>
            </w:r>
            <w:r>
              <w:rPr>
                <w:noProof/>
                <w:webHidden/>
              </w:rPr>
              <w:t>5</w:t>
            </w:r>
            <w:r>
              <w:rPr>
                <w:noProof/>
                <w:webHidden/>
              </w:rPr>
              <w:fldChar w:fldCharType="end"/>
            </w:r>
          </w:hyperlink>
        </w:p>
        <w:p w14:paraId="40644F8D" w14:textId="1AB0019F" w:rsidR="00FA41E2" w:rsidRDefault="00FA41E2">
          <w:pPr>
            <w:pStyle w:val="TOC2"/>
            <w:tabs>
              <w:tab w:val="right" w:leader="dot" w:pos="9016"/>
            </w:tabs>
            <w:rPr>
              <w:rFonts w:eastAsiaTheme="minorEastAsia"/>
              <w:noProof/>
              <w:kern w:val="2"/>
              <w:sz w:val="24"/>
              <w:szCs w:val="24"/>
              <w:lang w:eastAsia="en-GB"/>
              <w14:ligatures w14:val="standardContextual"/>
            </w:rPr>
          </w:pPr>
          <w:hyperlink w:anchor="_Toc235116753" w:history="1">
            <w:r w:rsidRPr="003D6974">
              <w:rPr>
                <w:rStyle w:val="Hyperlink"/>
                <w:rFonts w:ascii="Arial" w:hAnsi="Arial" w:cs="Arial"/>
                <w:noProof/>
              </w:rPr>
              <w:t>2.2 Psychological Therapies</w:t>
            </w:r>
            <w:r>
              <w:rPr>
                <w:noProof/>
                <w:webHidden/>
              </w:rPr>
              <w:tab/>
            </w:r>
            <w:r>
              <w:rPr>
                <w:noProof/>
                <w:webHidden/>
              </w:rPr>
              <w:fldChar w:fldCharType="begin"/>
            </w:r>
            <w:r>
              <w:rPr>
                <w:noProof/>
                <w:webHidden/>
              </w:rPr>
              <w:instrText xml:space="preserve"> PAGEREF _Toc235116753 \h </w:instrText>
            </w:r>
            <w:r>
              <w:rPr>
                <w:noProof/>
                <w:webHidden/>
              </w:rPr>
            </w:r>
            <w:r>
              <w:rPr>
                <w:noProof/>
                <w:webHidden/>
              </w:rPr>
              <w:fldChar w:fldCharType="separate"/>
            </w:r>
            <w:r>
              <w:rPr>
                <w:noProof/>
                <w:webHidden/>
              </w:rPr>
              <w:t>6</w:t>
            </w:r>
            <w:r>
              <w:rPr>
                <w:noProof/>
                <w:webHidden/>
              </w:rPr>
              <w:fldChar w:fldCharType="end"/>
            </w:r>
          </w:hyperlink>
        </w:p>
        <w:p w14:paraId="634CBC85" w14:textId="0724CBE8" w:rsidR="00FA41E2" w:rsidRDefault="00FA41E2">
          <w:pPr>
            <w:pStyle w:val="TOC2"/>
            <w:tabs>
              <w:tab w:val="right" w:leader="dot" w:pos="9016"/>
            </w:tabs>
            <w:rPr>
              <w:rFonts w:eastAsiaTheme="minorEastAsia"/>
              <w:noProof/>
              <w:kern w:val="2"/>
              <w:sz w:val="24"/>
              <w:szCs w:val="24"/>
              <w:lang w:eastAsia="en-GB"/>
              <w14:ligatures w14:val="standardContextual"/>
            </w:rPr>
          </w:pPr>
          <w:hyperlink w:anchor="_Toc235116754" w:history="1">
            <w:r w:rsidRPr="003D6974">
              <w:rPr>
                <w:rStyle w:val="Hyperlink"/>
                <w:rFonts w:ascii="Arial" w:hAnsi="Arial" w:cs="Arial"/>
                <w:noProof/>
              </w:rPr>
              <w:t>2.3 Rehabilitation</w:t>
            </w:r>
            <w:r>
              <w:rPr>
                <w:noProof/>
                <w:webHidden/>
              </w:rPr>
              <w:tab/>
            </w:r>
            <w:r>
              <w:rPr>
                <w:noProof/>
                <w:webHidden/>
              </w:rPr>
              <w:fldChar w:fldCharType="begin"/>
            </w:r>
            <w:r>
              <w:rPr>
                <w:noProof/>
                <w:webHidden/>
              </w:rPr>
              <w:instrText xml:space="preserve"> PAGEREF _Toc235116754 \h </w:instrText>
            </w:r>
            <w:r>
              <w:rPr>
                <w:noProof/>
                <w:webHidden/>
              </w:rPr>
            </w:r>
            <w:r>
              <w:rPr>
                <w:noProof/>
                <w:webHidden/>
              </w:rPr>
              <w:fldChar w:fldCharType="separate"/>
            </w:r>
            <w:r>
              <w:rPr>
                <w:noProof/>
                <w:webHidden/>
              </w:rPr>
              <w:t>6</w:t>
            </w:r>
            <w:r>
              <w:rPr>
                <w:noProof/>
                <w:webHidden/>
              </w:rPr>
              <w:fldChar w:fldCharType="end"/>
            </w:r>
          </w:hyperlink>
        </w:p>
        <w:p w14:paraId="11E93487" w14:textId="402B154A" w:rsidR="00FA41E2" w:rsidRDefault="00FA41E2">
          <w:pPr>
            <w:pStyle w:val="TOC2"/>
            <w:tabs>
              <w:tab w:val="right" w:leader="dot" w:pos="9016"/>
            </w:tabs>
            <w:rPr>
              <w:rFonts w:eastAsiaTheme="minorEastAsia"/>
              <w:noProof/>
              <w:kern w:val="2"/>
              <w:sz w:val="24"/>
              <w:szCs w:val="24"/>
              <w:lang w:eastAsia="en-GB"/>
              <w14:ligatures w14:val="standardContextual"/>
            </w:rPr>
          </w:pPr>
          <w:hyperlink w:anchor="_Toc235116755" w:history="1">
            <w:r w:rsidRPr="003D6974">
              <w:rPr>
                <w:rStyle w:val="Hyperlink"/>
                <w:rFonts w:ascii="Arial" w:hAnsi="Arial" w:cs="Arial"/>
                <w:noProof/>
              </w:rPr>
              <w:t>2.4 Critical Evaluation of Current Treatment</w:t>
            </w:r>
            <w:r>
              <w:rPr>
                <w:noProof/>
                <w:webHidden/>
              </w:rPr>
              <w:tab/>
            </w:r>
            <w:r>
              <w:rPr>
                <w:noProof/>
                <w:webHidden/>
              </w:rPr>
              <w:fldChar w:fldCharType="begin"/>
            </w:r>
            <w:r>
              <w:rPr>
                <w:noProof/>
                <w:webHidden/>
              </w:rPr>
              <w:instrText xml:space="preserve"> PAGEREF _Toc235116755 \h </w:instrText>
            </w:r>
            <w:r>
              <w:rPr>
                <w:noProof/>
                <w:webHidden/>
              </w:rPr>
            </w:r>
            <w:r>
              <w:rPr>
                <w:noProof/>
                <w:webHidden/>
              </w:rPr>
              <w:fldChar w:fldCharType="separate"/>
            </w:r>
            <w:r>
              <w:rPr>
                <w:noProof/>
                <w:webHidden/>
              </w:rPr>
              <w:t>7</w:t>
            </w:r>
            <w:r>
              <w:rPr>
                <w:noProof/>
                <w:webHidden/>
              </w:rPr>
              <w:fldChar w:fldCharType="end"/>
            </w:r>
          </w:hyperlink>
        </w:p>
        <w:p w14:paraId="3A90DC56" w14:textId="5B287F61" w:rsidR="00FA41E2" w:rsidRDefault="00FA41E2">
          <w:pPr>
            <w:pStyle w:val="TOC1"/>
            <w:tabs>
              <w:tab w:val="right" w:leader="dot" w:pos="9016"/>
            </w:tabs>
            <w:rPr>
              <w:rFonts w:eastAsiaTheme="minorEastAsia"/>
              <w:noProof/>
              <w:kern w:val="2"/>
              <w:sz w:val="24"/>
              <w:szCs w:val="24"/>
              <w:lang w:eastAsia="en-GB"/>
              <w14:ligatures w14:val="standardContextual"/>
            </w:rPr>
          </w:pPr>
          <w:hyperlink w:anchor="_Toc235116756" w:history="1">
            <w:r w:rsidRPr="003D6974">
              <w:rPr>
                <w:rStyle w:val="Hyperlink"/>
                <w:rFonts w:ascii="Arial" w:hAnsi="Arial" w:cs="Arial"/>
                <w:noProof/>
              </w:rPr>
              <w:t>3. Current Debates and Emerging Issues</w:t>
            </w:r>
            <w:r>
              <w:rPr>
                <w:noProof/>
                <w:webHidden/>
              </w:rPr>
              <w:tab/>
            </w:r>
            <w:r>
              <w:rPr>
                <w:noProof/>
                <w:webHidden/>
              </w:rPr>
              <w:fldChar w:fldCharType="begin"/>
            </w:r>
            <w:r>
              <w:rPr>
                <w:noProof/>
                <w:webHidden/>
              </w:rPr>
              <w:instrText xml:space="preserve"> PAGEREF _Toc235116756 \h </w:instrText>
            </w:r>
            <w:r>
              <w:rPr>
                <w:noProof/>
                <w:webHidden/>
              </w:rPr>
            </w:r>
            <w:r>
              <w:rPr>
                <w:noProof/>
                <w:webHidden/>
              </w:rPr>
              <w:fldChar w:fldCharType="separate"/>
            </w:r>
            <w:r>
              <w:rPr>
                <w:noProof/>
                <w:webHidden/>
              </w:rPr>
              <w:t>7</w:t>
            </w:r>
            <w:r>
              <w:rPr>
                <w:noProof/>
                <w:webHidden/>
              </w:rPr>
              <w:fldChar w:fldCharType="end"/>
            </w:r>
          </w:hyperlink>
        </w:p>
        <w:p w14:paraId="6261990B" w14:textId="3F857074" w:rsidR="00FA41E2" w:rsidRDefault="00FA41E2">
          <w:pPr>
            <w:pStyle w:val="TOC2"/>
            <w:tabs>
              <w:tab w:val="right" w:leader="dot" w:pos="9016"/>
            </w:tabs>
            <w:rPr>
              <w:rFonts w:eastAsiaTheme="minorEastAsia"/>
              <w:noProof/>
              <w:kern w:val="2"/>
              <w:sz w:val="24"/>
              <w:szCs w:val="24"/>
              <w:lang w:eastAsia="en-GB"/>
              <w14:ligatures w14:val="standardContextual"/>
            </w:rPr>
          </w:pPr>
          <w:hyperlink w:anchor="_Toc235116757" w:history="1">
            <w:r w:rsidRPr="003D6974">
              <w:rPr>
                <w:rStyle w:val="Hyperlink"/>
                <w:rFonts w:ascii="Arial" w:hAnsi="Arial" w:cs="Arial"/>
                <w:noProof/>
              </w:rPr>
              <w:t>3.1 Misdiagnosis</w:t>
            </w:r>
            <w:r>
              <w:rPr>
                <w:noProof/>
                <w:webHidden/>
              </w:rPr>
              <w:tab/>
            </w:r>
            <w:r>
              <w:rPr>
                <w:noProof/>
                <w:webHidden/>
              </w:rPr>
              <w:fldChar w:fldCharType="begin"/>
            </w:r>
            <w:r>
              <w:rPr>
                <w:noProof/>
                <w:webHidden/>
              </w:rPr>
              <w:instrText xml:space="preserve"> PAGEREF _Toc235116757 \h </w:instrText>
            </w:r>
            <w:r>
              <w:rPr>
                <w:noProof/>
                <w:webHidden/>
              </w:rPr>
            </w:r>
            <w:r>
              <w:rPr>
                <w:noProof/>
                <w:webHidden/>
              </w:rPr>
              <w:fldChar w:fldCharType="separate"/>
            </w:r>
            <w:r>
              <w:rPr>
                <w:noProof/>
                <w:webHidden/>
              </w:rPr>
              <w:t>8</w:t>
            </w:r>
            <w:r>
              <w:rPr>
                <w:noProof/>
                <w:webHidden/>
              </w:rPr>
              <w:fldChar w:fldCharType="end"/>
            </w:r>
          </w:hyperlink>
        </w:p>
        <w:p w14:paraId="553937FA" w14:textId="652590B3" w:rsidR="00FA41E2" w:rsidRDefault="00FA41E2">
          <w:pPr>
            <w:pStyle w:val="TOC2"/>
            <w:tabs>
              <w:tab w:val="right" w:leader="dot" w:pos="9016"/>
            </w:tabs>
            <w:rPr>
              <w:rFonts w:eastAsiaTheme="minorEastAsia"/>
              <w:noProof/>
              <w:kern w:val="2"/>
              <w:sz w:val="24"/>
              <w:szCs w:val="24"/>
              <w:lang w:eastAsia="en-GB"/>
              <w14:ligatures w14:val="standardContextual"/>
            </w:rPr>
          </w:pPr>
          <w:hyperlink w:anchor="_Toc235116758" w:history="1">
            <w:r w:rsidRPr="003D6974">
              <w:rPr>
                <w:rStyle w:val="Hyperlink"/>
                <w:rFonts w:ascii="Arial" w:hAnsi="Arial" w:cs="Arial"/>
                <w:noProof/>
              </w:rPr>
              <w:t>3.2 Long-term Medication</w:t>
            </w:r>
            <w:r>
              <w:rPr>
                <w:noProof/>
                <w:webHidden/>
              </w:rPr>
              <w:tab/>
            </w:r>
            <w:r>
              <w:rPr>
                <w:noProof/>
                <w:webHidden/>
              </w:rPr>
              <w:fldChar w:fldCharType="begin"/>
            </w:r>
            <w:r>
              <w:rPr>
                <w:noProof/>
                <w:webHidden/>
              </w:rPr>
              <w:instrText xml:space="preserve"> PAGEREF _Toc235116758 \h </w:instrText>
            </w:r>
            <w:r>
              <w:rPr>
                <w:noProof/>
                <w:webHidden/>
              </w:rPr>
            </w:r>
            <w:r>
              <w:rPr>
                <w:noProof/>
                <w:webHidden/>
              </w:rPr>
              <w:fldChar w:fldCharType="separate"/>
            </w:r>
            <w:r>
              <w:rPr>
                <w:noProof/>
                <w:webHidden/>
              </w:rPr>
              <w:t>8</w:t>
            </w:r>
            <w:r>
              <w:rPr>
                <w:noProof/>
                <w:webHidden/>
              </w:rPr>
              <w:fldChar w:fldCharType="end"/>
            </w:r>
          </w:hyperlink>
        </w:p>
        <w:p w14:paraId="0F254AC3" w14:textId="73F30B0A" w:rsidR="00FA41E2" w:rsidRDefault="00FA41E2">
          <w:pPr>
            <w:pStyle w:val="TOC2"/>
            <w:tabs>
              <w:tab w:val="right" w:leader="dot" w:pos="9016"/>
            </w:tabs>
            <w:rPr>
              <w:rFonts w:eastAsiaTheme="minorEastAsia"/>
              <w:noProof/>
              <w:kern w:val="2"/>
              <w:sz w:val="24"/>
              <w:szCs w:val="24"/>
              <w:lang w:eastAsia="en-GB"/>
              <w14:ligatures w14:val="standardContextual"/>
            </w:rPr>
          </w:pPr>
          <w:hyperlink w:anchor="_Toc235116759" w:history="1">
            <w:r w:rsidRPr="003D6974">
              <w:rPr>
                <w:rStyle w:val="Hyperlink"/>
                <w:rFonts w:ascii="Arial" w:hAnsi="Arial" w:cs="Arial"/>
                <w:noProof/>
              </w:rPr>
              <w:t>3.3 Medical and Recovery Models</w:t>
            </w:r>
            <w:r>
              <w:rPr>
                <w:noProof/>
                <w:webHidden/>
              </w:rPr>
              <w:tab/>
            </w:r>
            <w:r>
              <w:rPr>
                <w:noProof/>
                <w:webHidden/>
              </w:rPr>
              <w:fldChar w:fldCharType="begin"/>
            </w:r>
            <w:r>
              <w:rPr>
                <w:noProof/>
                <w:webHidden/>
              </w:rPr>
              <w:instrText xml:space="preserve"> PAGEREF _Toc235116759 \h </w:instrText>
            </w:r>
            <w:r>
              <w:rPr>
                <w:noProof/>
                <w:webHidden/>
              </w:rPr>
            </w:r>
            <w:r>
              <w:rPr>
                <w:noProof/>
                <w:webHidden/>
              </w:rPr>
              <w:fldChar w:fldCharType="separate"/>
            </w:r>
            <w:r>
              <w:rPr>
                <w:noProof/>
                <w:webHidden/>
              </w:rPr>
              <w:t>8</w:t>
            </w:r>
            <w:r>
              <w:rPr>
                <w:noProof/>
                <w:webHidden/>
              </w:rPr>
              <w:fldChar w:fldCharType="end"/>
            </w:r>
          </w:hyperlink>
        </w:p>
        <w:p w14:paraId="24B1E59F" w14:textId="4243C040" w:rsidR="00FA41E2" w:rsidRDefault="00FA41E2">
          <w:pPr>
            <w:pStyle w:val="TOC2"/>
            <w:tabs>
              <w:tab w:val="right" w:leader="dot" w:pos="9016"/>
            </w:tabs>
            <w:rPr>
              <w:rFonts w:eastAsiaTheme="minorEastAsia"/>
              <w:noProof/>
              <w:kern w:val="2"/>
              <w:sz w:val="24"/>
              <w:szCs w:val="24"/>
              <w:lang w:eastAsia="en-GB"/>
              <w14:ligatures w14:val="standardContextual"/>
            </w:rPr>
          </w:pPr>
          <w:hyperlink w:anchor="_Toc235116760" w:history="1">
            <w:r w:rsidRPr="003D6974">
              <w:rPr>
                <w:rStyle w:val="Hyperlink"/>
                <w:rFonts w:ascii="Arial" w:hAnsi="Arial" w:cs="Arial"/>
                <w:noProof/>
              </w:rPr>
              <w:t>3.4 Stigma</w:t>
            </w:r>
            <w:r>
              <w:rPr>
                <w:noProof/>
                <w:webHidden/>
              </w:rPr>
              <w:tab/>
            </w:r>
            <w:r>
              <w:rPr>
                <w:noProof/>
                <w:webHidden/>
              </w:rPr>
              <w:fldChar w:fldCharType="begin"/>
            </w:r>
            <w:r>
              <w:rPr>
                <w:noProof/>
                <w:webHidden/>
              </w:rPr>
              <w:instrText xml:space="preserve"> PAGEREF _Toc235116760 \h </w:instrText>
            </w:r>
            <w:r>
              <w:rPr>
                <w:noProof/>
                <w:webHidden/>
              </w:rPr>
            </w:r>
            <w:r>
              <w:rPr>
                <w:noProof/>
                <w:webHidden/>
              </w:rPr>
              <w:fldChar w:fldCharType="separate"/>
            </w:r>
            <w:r>
              <w:rPr>
                <w:noProof/>
                <w:webHidden/>
              </w:rPr>
              <w:t>9</w:t>
            </w:r>
            <w:r>
              <w:rPr>
                <w:noProof/>
                <w:webHidden/>
              </w:rPr>
              <w:fldChar w:fldCharType="end"/>
            </w:r>
          </w:hyperlink>
        </w:p>
        <w:p w14:paraId="57C2C2E0" w14:textId="135F2BFD" w:rsidR="00FA41E2" w:rsidRDefault="00FA41E2">
          <w:pPr>
            <w:pStyle w:val="TOC1"/>
            <w:tabs>
              <w:tab w:val="right" w:leader="dot" w:pos="9016"/>
            </w:tabs>
            <w:rPr>
              <w:rFonts w:eastAsiaTheme="minorEastAsia"/>
              <w:noProof/>
              <w:kern w:val="2"/>
              <w:sz w:val="24"/>
              <w:szCs w:val="24"/>
              <w:lang w:eastAsia="en-GB"/>
              <w14:ligatures w14:val="standardContextual"/>
            </w:rPr>
          </w:pPr>
          <w:hyperlink w:anchor="_Toc235116761" w:history="1">
            <w:r w:rsidRPr="003D6974">
              <w:rPr>
                <w:rStyle w:val="Hyperlink"/>
                <w:rFonts w:ascii="Arial" w:hAnsi="Arial" w:cs="Arial"/>
                <w:noProof/>
              </w:rPr>
              <w:t>4. Recommendations</w:t>
            </w:r>
            <w:r>
              <w:rPr>
                <w:noProof/>
                <w:webHidden/>
              </w:rPr>
              <w:tab/>
            </w:r>
            <w:r>
              <w:rPr>
                <w:noProof/>
                <w:webHidden/>
              </w:rPr>
              <w:fldChar w:fldCharType="begin"/>
            </w:r>
            <w:r>
              <w:rPr>
                <w:noProof/>
                <w:webHidden/>
              </w:rPr>
              <w:instrText xml:space="preserve"> PAGEREF _Toc235116761 \h </w:instrText>
            </w:r>
            <w:r>
              <w:rPr>
                <w:noProof/>
                <w:webHidden/>
              </w:rPr>
            </w:r>
            <w:r>
              <w:rPr>
                <w:noProof/>
                <w:webHidden/>
              </w:rPr>
              <w:fldChar w:fldCharType="separate"/>
            </w:r>
            <w:r>
              <w:rPr>
                <w:noProof/>
                <w:webHidden/>
              </w:rPr>
              <w:t>9</w:t>
            </w:r>
            <w:r>
              <w:rPr>
                <w:noProof/>
                <w:webHidden/>
              </w:rPr>
              <w:fldChar w:fldCharType="end"/>
            </w:r>
          </w:hyperlink>
        </w:p>
        <w:p w14:paraId="65BAFB77" w14:textId="0C1C60F6" w:rsidR="00FA41E2" w:rsidRDefault="00FA41E2">
          <w:pPr>
            <w:pStyle w:val="TOC1"/>
            <w:tabs>
              <w:tab w:val="right" w:leader="dot" w:pos="9016"/>
            </w:tabs>
            <w:rPr>
              <w:rFonts w:eastAsiaTheme="minorEastAsia"/>
              <w:noProof/>
              <w:kern w:val="2"/>
              <w:sz w:val="24"/>
              <w:szCs w:val="24"/>
              <w:lang w:eastAsia="en-GB"/>
              <w14:ligatures w14:val="standardContextual"/>
            </w:rPr>
          </w:pPr>
          <w:hyperlink w:anchor="_Toc235116762" w:history="1">
            <w:r w:rsidRPr="003D6974">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_Toc235116762 \h </w:instrText>
            </w:r>
            <w:r>
              <w:rPr>
                <w:noProof/>
                <w:webHidden/>
              </w:rPr>
            </w:r>
            <w:r>
              <w:rPr>
                <w:noProof/>
                <w:webHidden/>
              </w:rPr>
              <w:fldChar w:fldCharType="separate"/>
            </w:r>
            <w:r>
              <w:rPr>
                <w:noProof/>
                <w:webHidden/>
              </w:rPr>
              <w:t>9</w:t>
            </w:r>
            <w:r>
              <w:rPr>
                <w:noProof/>
                <w:webHidden/>
              </w:rPr>
              <w:fldChar w:fldCharType="end"/>
            </w:r>
          </w:hyperlink>
        </w:p>
        <w:p w14:paraId="514DFA3E" w14:textId="6D037CA5" w:rsidR="00FA41E2" w:rsidRDefault="00FA41E2">
          <w:pPr>
            <w:pStyle w:val="TOC1"/>
            <w:tabs>
              <w:tab w:val="right" w:leader="dot" w:pos="9016"/>
            </w:tabs>
            <w:rPr>
              <w:rFonts w:eastAsiaTheme="minorEastAsia"/>
              <w:noProof/>
              <w:kern w:val="2"/>
              <w:sz w:val="24"/>
              <w:szCs w:val="24"/>
              <w:lang w:eastAsia="en-GB"/>
              <w14:ligatures w14:val="standardContextual"/>
            </w:rPr>
          </w:pPr>
          <w:hyperlink w:anchor="_Toc235116763" w:history="1">
            <w:r w:rsidRPr="003D6974">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_Toc235116763 \h </w:instrText>
            </w:r>
            <w:r>
              <w:rPr>
                <w:noProof/>
                <w:webHidden/>
              </w:rPr>
            </w:r>
            <w:r>
              <w:rPr>
                <w:noProof/>
                <w:webHidden/>
              </w:rPr>
              <w:fldChar w:fldCharType="separate"/>
            </w:r>
            <w:r>
              <w:rPr>
                <w:noProof/>
                <w:webHidden/>
              </w:rPr>
              <w:t>10</w:t>
            </w:r>
            <w:r>
              <w:rPr>
                <w:noProof/>
                <w:webHidden/>
              </w:rPr>
              <w:fldChar w:fldCharType="end"/>
            </w:r>
          </w:hyperlink>
        </w:p>
        <w:p w14:paraId="4B382C4F" w14:textId="39D1C984" w:rsidR="00FA41E2" w:rsidRDefault="00FA41E2">
          <w:r>
            <w:rPr>
              <w:b/>
              <w:bCs/>
            </w:rPr>
            <w:fldChar w:fldCharType="end"/>
          </w:r>
        </w:p>
      </w:sdtContent>
    </w:sdt>
    <w:p w14:paraId="6A1C1891" w14:textId="77777777" w:rsidR="00C77035" w:rsidRPr="00FA41E2" w:rsidRDefault="00C77035" w:rsidP="00960583">
      <w:pPr>
        <w:pStyle w:val="Heading1"/>
        <w:spacing w:line="360" w:lineRule="auto"/>
        <w:rPr>
          <w:rFonts w:ascii="Arial" w:hAnsi="Arial" w:cs="Arial"/>
          <w:color w:val="auto"/>
          <w:sz w:val="22"/>
          <w:szCs w:val="22"/>
        </w:rPr>
      </w:pPr>
    </w:p>
    <w:p w14:paraId="1479B00D" w14:textId="77777777" w:rsidR="00C77035" w:rsidRPr="00FA41E2" w:rsidRDefault="00C77035" w:rsidP="00960583">
      <w:pPr>
        <w:pStyle w:val="Heading1"/>
        <w:spacing w:line="360" w:lineRule="auto"/>
        <w:rPr>
          <w:rFonts w:ascii="Arial" w:hAnsi="Arial" w:cs="Arial"/>
          <w:color w:val="auto"/>
          <w:sz w:val="22"/>
          <w:szCs w:val="22"/>
        </w:rPr>
      </w:pPr>
    </w:p>
    <w:p w14:paraId="57A56744" w14:textId="77777777" w:rsidR="00C77035" w:rsidRPr="00FA41E2" w:rsidRDefault="00C77035" w:rsidP="00960583">
      <w:pPr>
        <w:pStyle w:val="Heading1"/>
        <w:spacing w:line="360" w:lineRule="auto"/>
        <w:rPr>
          <w:rFonts w:ascii="Arial" w:hAnsi="Arial" w:cs="Arial"/>
          <w:color w:val="auto"/>
          <w:sz w:val="22"/>
          <w:szCs w:val="22"/>
        </w:rPr>
      </w:pPr>
    </w:p>
    <w:p w14:paraId="6B27AD56" w14:textId="77777777" w:rsidR="00C77035" w:rsidRDefault="00C77035" w:rsidP="00960583">
      <w:pPr>
        <w:pStyle w:val="Heading1"/>
        <w:spacing w:line="360" w:lineRule="auto"/>
        <w:rPr>
          <w:rFonts w:ascii="Arial" w:hAnsi="Arial" w:cs="Arial"/>
          <w:color w:val="auto"/>
          <w:sz w:val="22"/>
          <w:szCs w:val="22"/>
        </w:rPr>
      </w:pPr>
    </w:p>
    <w:p w14:paraId="47581655" w14:textId="77777777" w:rsidR="00FA41E2" w:rsidRDefault="00FA41E2" w:rsidP="00FA41E2"/>
    <w:p w14:paraId="38CB49BD" w14:textId="77777777" w:rsidR="00FA41E2" w:rsidRDefault="00FA41E2" w:rsidP="00FA41E2"/>
    <w:p w14:paraId="458E7D9F" w14:textId="77777777" w:rsidR="00FA41E2" w:rsidRDefault="00FA41E2" w:rsidP="00FA41E2"/>
    <w:p w14:paraId="0AFB8AC9" w14:textId="77777777" w:rsidR="00FA41E2" w:rsidRDefault="00FA41E2" w:rsidP="00FA41E2"/>
    <w:p w14:paraId="12367534" w14:textId="77777777" w:rsidR="00FA41E2" w:rsidRPr="00FA41E2" w:rsidRDefault="00FA41E2" w:rsidP="00FA41E2"/>
    <w:p w14:paraId="68B01CBF" w14:textId="208360DC" w:rsidR="00164D01" w:rsidRPr="00FA41E2" w:rsidRDefault="00164D01" w:rsidP="00FA41E2">
      <w:pPr>
        <w:pStyle w:val="Heading1"/>
        <w:rPr>
          <w:rFonts w:ascii="Arial" w:hAnsi="Arial" w:cs="Arial"/>
          <w:color w:val="auto"/>
          <w:sz w:val="22"/>
          <w:szCs w:val="22"/>
        </w:rPr>
      </w:pPr>
      <w:bookmarkStart w:id="0" w:name="_Toc235116746"/>
      <w:r w:rsidRPr="00FA41E2">
        <w:rPr>
          <w:rFonts w:ascii="Arial" w:hAnsi="Arial" w:cs="Arial"/>
          <w:color w:val="auto"/>
          <w:sz w:val="22"/>
          <w:szCs w:val="22"/>
        </w:rPr>
        <w:lastRenderedPageBreak/>
        <w:t>Introduction</w:t>
      </w:r>
      <w:bookmarkEnd w:id="0"/>
    </w:p>
    <w:p w14:paraId="474BBE8D" w14:textId="4D940E51" w:rsidR="00164D01" w:rsidRPr="00FA41E2" w:rsidRDefault="00D948ED" w:rsidP="00960583">
      <w:pPr>
        <w:spacing w:line="360" w:lineRule="auto"/>
        <w:rPr>
          <w:rFonts w:ascii="Arial" w:hAnsi="Arial" w:cs="Arial"/>
        </w:rPr>
      </w:pPr>
      <w:r w:rsidRPr="00D948ED">
        <w:rPr>
          <w:rFonts w:ascii="Arial" w:hAnsi="Arial" w:cs="Arial"/>
        </w:rPr>
        <w:t>Bipolar disorder is a long-term mental health condition involving repeated episodes of mania, hypomania and depression, which can have a substantial impact on an individual's mood, behaviour and ability to function in daily life (WHO, 2024).</w:t>
      </w:r>
      <w:r>
        <w:rPr>
          <w:rFonts w:ascii="Arial" w:hAnsi="Arial" w:cs="Arial"/>
        </w:rPr>
        <w:t xml:space="preserve"> </w:t>
      </w:r>
      <w:r w:rsidR="00164D01" w:rsidRPr="00FA41E2">
        <w:rPr>
          <w:rFonts w:ascii="Arial" w:hAnsi="Arial" w:cs="Arial"/>
        </w:rPr>
        <w:t xml:space="preserve">Unlike ordinary mood fluctuations, these episodes are more severe, last for prolonged periods and can disrupt employment, education, relationships and overall quality of life. </w:t>
      </w:r>
      <w:r w:rsidRPr="00D948ED">
        <w:rPr>
          <w:rFonts w:ascii="Arial" w:hAnsi="Arial" w:cs="Arial"/>
        </w:rPr>
        <w:t>Bipolar disorder affects around 1–2% of people worldwide. It usually begins in late adolescence or early adulthood; however, diagnosis is often delayed because its symptoms can overlap with those of other mental health conditions (NICE, 2023; Grande et al., 2016).</w:t>
      </w:r>
      <w:r>
        <w:rPr>
          <w:rFonts w:ascii="Arial" w:hAnsi="Arial" w:cs="Arial"/>
        </w:rPr>
        <w:t xml:space="preserve"> </w:t>
      </w:r>
    </w:p>
    <w:p w14:paraId="3FDA0808" w14:textId="20627682" w:rsidR="00164D01" w:rsidRPr="00FA41E2" w:rsidRDefault="00164D01" w:rsidP="00960583">
      <w:pPr>
        <w:spacing w:line="360" w:lineRule="auto"/>
        <w:rPr>
          <w:rFonts w:ascii="Arial" w:hAnsi="Arial" w:cs="Arial"/>
        </w:rPr>
      </w:pPr>
      <w:r w:rsidRPr="00FA41E2">
        <w:rPr>
          <w:rFonts w:ascii="Arial" w:hAnsi="Arial" w:cs="Arial"/>
        </w:rPr>
        <w:t xml:space="preserve">Accurate classification and early diagnosis are essential because untreated bipolar disorder is associated with an increased risk of relapse, self-harm, suicide and long-term social and occupational impairment </w:t>
      </w:r>
      <w:r w:rsidR="006E36F1" w:rsidRPr="00FA41E2">
        <w:rPr>
          <w:rFonts w:ascii="Arial" w:hAnsi="Arial" w:cs="Arial"/>
        </w:rPr>
        <w:t xml:space="preserve">(Goodwin and Jamison, 2023). </w:t>
      </w:r>
      <w:r w:rsidRPr="00FA41E2">
        <w:rPr>
          <w:rFonts w:ascii="Arial" w:hAnsi="Arial" w:cs="Arial"/>
        </w:rPr>
        <w:t xml:space="preserve">However, diagnosis remains challenging, as many individuals initially present with depressive symptoms rather than episodes of mania or hypomania, increasing the likelihood of misdiagnosis (Royal College of Psychiatrists, 2024; Goodwin and Jamison, 2023). Consequently, healthcare professionals must use structured diagnostic frameworks while also considering </w:t>
      </w:r>
      <w:proofErr w:type="gramStart"/>
      <w:r w:rsidRPr="00FA41E2">
        <w:rPr>
          <w:rFonts w:ascii="Arial" w:hAnsi="Arial" w:cs="Arial"/>
        </w:rPr>
        <w:t>each individual's</w:t>
      </w:r>
      <w:proofErr w:type="gramEnd"/>
      <w:r w:rsidRPr="00FA41E2">
        <w:rPr>
          <w:rFonts w:ascii="Arial" w:hAnsi="Arial" w:cs="Arial"/>
        </w:rPr>
        <w:t xml:space="preserve"> personal history, clinical presentation and psychosocial circumstances (British Psychological Society, 20</w:t>
      </w:r>
      <w:r w:rsidR="00866A93" w:rsidRPr="00FA41E2">
        <w:rPr>
          <w:rFonts w:ascii="Arial" w:hAnsi="Arial" w:cs="Arial"/>
        </w:rPr>
        <w:t>10</w:t>
      </w:r>
      <w:r w:rsidRPr="00FA41E2">
        <w:rPr>
          <w:rFonts w:ascii="Arial" w:hAnsi="Arial" w:cs="Arial"/>
        </w:rPr>
        <w:t>).</w:t>
      </w:r>
    </w:p>
    <w:p w14:paraId="2A72E875" w14:textId="188ABF72" w:rsidR="00164D01" w:rsidRPr="00FA41E2" w:rsidRDefault="00D948ED" w:rsidP="00960583">
      <w:pPr>
        <w:spacing w:line="360" w:lineRule="auto"/>
        <w:rPr>
          <w:rFonts w:ascii="Arial" w:hAnsi="Arial" w:cs="Arial"/>
        </w:rPr>
      </w:pPr>
      <w:r w:rsidRPr="00D948ED">
        <w:rPr>
          <w:rFonts w:ascii="Arial" w:hAnsi="Arial" w:cs="Arial"/>
        </w:rPr>
        <w:t>The ICD-11 offers a globally recognised framework for diagnosing bipolar disorder and promoting consistency in clinical practice (WHO, 2024).</w:t>
      </w:r>
      <w:r>
        <w:rPr>
          <w:rFonts w:ascii="Arial" w:hAnsi="Arial" w:cs="Arial"/>
        </w:rPr>
        <w:t xml:space="preserve"> </w:t>
      </w:r>
      <w:proofErr w:type="gramStart"/>
      <w:r w:rsidR="00164D01" w:rsidRPr="00FA41E2">
        <w:rPr>
          <w:rFonts w:ascii="Arial" w:hAnsi="Arial" w:cs="Arial"/>
        </w:rPr>
        <w:t>Although</w:t>
      </w:r>
      <w:proofErr w:type="gramEnd"/>
      <w:r w:rsidR="00164D01" w:rsidRPr="00FA41E2">
        <w:rPr>
          <w:rFonts w:ascii="Arial" w:hAnsi="Arial" w:cs="Arial"/>
        </w:rPr>
        <w:t xml:space="preserve"> classification systems improve diagnostic reliability and communication between healthcare professionals, they have been criticised for focusing primarily on observable symptoms while giving less attention to wider psychological and social influences on mental health (British Psychological Society, 20</w:t>
      </w:r>
      <w:r w:rsidR="004176A7" w:rsidRPr="00FA41E2">
        <w:rPr>
          <w:rFonts w:ascii="Arial" w:hAnsi="Arial" w:cs="Arial"/>
        </w:rPr>
        <w:t>10</w:t>
      </w:r>
      <w:r w:rsidR="006E36F1" w:rsidRPr="00FA41E2">
        <w:rPr>
          <w:rFonts w:ascii="Arial" w:hAnsi="Arial" w:cs="Arial"/>
        </w:rPr>
        <w:t>)</w:t>
      </w:r>
      <w:r w:rsidR="00164D01" w:rsidRPr="00FA41E2">
        <w:rPr>
          <w:rFonts w:ascii="Arial" w:hAnsi="Arial" w:cs="Arial"/>
        </w:rPr>
        <w:t>.</w:t>
      </w:r>
    </w:p>
    <w:p w14:paraId="392CE3C5" w14:textId="39A2930D" w:rsidR="00164D01" w:rsidRPr="00FA41E2" w:rsidRDefault="00D948ED" w:rsidP="00960583">
      <w:pPr>
        <w:spacing w:line="360" w:lineRule="auto"/>
        <w:rPr>
          <w:rFonts w:ascii="Arial" w:hAnsi="Arial" w:cs="Arial"/>
        </w:rPr>
      </w:pPr>
      <w:r w:rsidRPr="00D948ED">
        <w:rPr>
          <w:rFonts w:ascii="Arial" w:hAnsi="Arial" w:cs="Arial"/>
        </w:rPr>
        <w:t>This report provides a critical evaluation of bipolar disorder within the ICD-11 framework. It explores its diagnosis, classification</w:t>
      </w:r>
      <w:r>
        <w:rPr>
          <w:rFonts w:ascii="Arial" w:hAnsi="Arial" w:cs="Arial"/>
        </w:rPr>
        <w:t xml:space="preserve">, </w:t>
      </w:r>
      <w:r w:rsidRPr="00D948ED">
        <w:rPr>
          <w:rFonts w:ascii="Arial" w:hAnsi="Arial" w:cs="Arial"/>
        </w:rPr>
        <w:t>rehabilitation strategies</w:t>
      </w:r>
      <w:r w:rsidRPr="00D948ED">
        <w:rPr>
          <w:rFonts w:ascii="Arial" w:hAnsi="Arial" w:cs="Arial"/>
        </w:rPr>
        <w:t xml:space="preserve"> </w:t>
      </w:r>
      <w:r>
        <w:rPr>
          <w:rFonts w:ascii="Arial" w:hAnsi="Arial" w:cs="Arial"/>
        </w:rPr>
        <w:t xml:space="preserve">and </w:t>
      </w:r>
      <w:r w:rsidRPr="00D948ED">
        <w:rPr>
          <w:rFonts w:ascii="Arial" w:hAnsi="Arial" w:cs="Arial"/>
        </w:rPr>
        <w:t>current treatment together with contemporary issues surrounding diagnosis, management and recovery.</w:t>
      </w:r>
      <w:r>
        <w:rPr>
          <w:rFonts w:ascii="Arial" w:hAnsi="Arial" w:cs="Arial"/>
        </w:rPr>
        <w:t xml:space="preserve"> </w:t>
      </w:r>
      <w:proofErr w:type="gramStart"/>
      <w:r w:rsidR="00164D01" w:rsidRPr="00FA41E2">
        <w:rPr>
          <w:rFonts w:ascii="Arial" w:hAnsi="Arial" w:cs="Arial"/>
        </w:rPr>
        <w:t>The</w:t>
      </w:r>
      <w:proofErr w:type="gramEnd"/>
      <w:r w:rsidR="00164D01" w:rsidRPr="00FA41E2">
        <w:rPr>
          <w:rFonts w:ascii="Arial" w:hAnsi="Arial" w:cs="Arial"/>
        </w:rPr>
        <w:t xml:space="preserve"> report concludes by offering recommendations for improving future mental health provision.</w:t>
      </w:r>
    </w:p>
    <w:p w14:paraId="0A2ADA15" w14:textId="77777777" w:rsidR="00164D01" w:rsidRPr="00FA41E2" w:rsidRDefault="00164D01" w:rsidP="00FA41E2">
      <w:pPr>
        <w:pStyle w:val="Heading1"/>
        <w:rPr>
          <w:rFonts w:ascii="Arial" w:hAnsi="Arial" w:cs="Arial"/>
          <w:color w:val="auto"/>
          <w:sz w:val="22"/>
          <w:szCs w:val="22"/>
        </w:rPr>
      </w:pPr>
      <w:bookmarkStart w:id="1" w:name="_Toc235116747"/>
      <w:r w:rsidRPr="00FA41E2">
        <w:rPr>
          <w:rFonts w:ascii="Arial" w:hAnsi="Arial" w:cs="Arial"/>
          <w:color w:val="auto"/>
          <w:sz w:val="22"/>
          <w:szCs w:val="22"/>
        </w:rPr>
        <w:t>1. Classification and Diagnosis of Bipolar Disorder</w:t>
      </w:r>
      <w:bookmarkEnd w:id="1"/>
    </w:p>
    <w:p w14:paraId="28FCFF1E" w14:textId="77777777" w:rsidR="00164D01" w:rsidRPr="00FA41E2" w:rsidRDefault="00164D01" w:rsidP="00FA41E2">
      <w:pPr>
        <w:pStyle w:val="Heading2"/>
        <w:rPr>
          <w:rFonts w:ascii="Arial" w:hAnsi="Arial" w:cs="Arial"/>
          <w:color w:val="auto"/>
          <w:sz w:val="22"/>
          <w:szCs w:val="22"/>
        </w:rPr>
      </w:pPr>
      <w:bookmarkStart w:id="2" w:name="_Toc235116748"/>
      <w:r w:rsidRPr="00FA41E2">
        <w:rPr>
          <w:rFonts w:ascii="Arial" w:hAnsi="Arial" w:cs="Arial"/>
          <w:color w:val="auto"/>
          <w:sz w:val="22"/>
          <w:szCs w:val="22"/>
        </w:rPr>
        <w:t>1.1 ICD-11 Classification</w:t>
      </w:r>
      <w:bookmarkEnd w:id="2"/>
    </w:p>
    <w:p w14:paraId="0CD3F12D" w14:textId="15521DD8" w:rsidR="00164D01" w:rsidRPr="00FA41E2" w:rsidRDefault="00164D01" w:rsidP="00960583">
      <w:pPr>
        <w:spacing w:line="360" w:lineRule="auto"/>
        <w:rPr>
          <w:rFonts w:ascii="Arial" w:hAnsi="Arial" w:cs="Arial"/>
        </w:rPr>
      </w:pPr>
      <w:r w:rsidRPr="00FA41E2">
        <w:rPr>
          <w:rFonts w:ascii="Arial" w:hAnsi="Arial" w:cs="Arial"/>
        </w:rPr>
        <w:t xml:space="preserve">The World Health Organization (2024) classifies bipolar disorder within the Mood Disorders category of ICD-11. </w:t>
      </w:r>
      <w:r w:rsidR="00D948ED" w:rsidRPr="00D948ED">
        <w:rPr>
          <w:rFonts w:ascii="Arial" w:hAnsi="Arial" w:cs="Arial"/>
        </w:rPr>
        <w:t xml:space="preserve">Bipolar disorder involves alternating episodes of elevated or irritable mood and depression. Diagnosis requires evidence of at least one lifetime episode of mania </w:t>
      </w:r>
      <w:r w:rsidR="00D948ED" w:rsidRPr="00D948ED">
        <w:rPr>
          <w:rFonts w:ascii="Arial" w:hAnsi="Arial" w:cs="Arial"/>
        </w:rPr>
        <w:lastRenderedPageBreak/>
        <w:t>or hypomania, distinguishing the condition from major depressive disorder and guiding appropriate treatment decisions (WHO, 2024; NICE, 2023).</w:t>
      </w:r>
      <w:r w:rsidR="00D948ED">
        <w:rPr>
          <w:rFonts w:ascii="Arial" w:hAnsi="Arial" w:cs="Arial"/>
        </w:rPr>
        <w:t xml:space="preserve"> </w:t>
      </w:r>
    </w:p>
    <w:p w14:paraId="39D80591" w14:textId="45385CC4" w:rsidR="00164D01" w:rsidRPr="00FA41E2" w:rsidRDefault="00164D01" w:rsidP="00960583">
      <w:pPr>
        <w:spacing w:line="360" w:lineRule="auto"/>
        <w:rPr>
          <w:rFonts w:ascii="Arial" w:hAnsi="Arial" w:cs="Arial"/>
        </w:rPr>
      </w:pPr>
      <w:r w:rsidRPr="00FA41E2">
        <w:rPr>
          <w:rFonts w:ascii="Arial" w:hAnsi="Arial" w:cs="Arial"/>
        </w:rPr>
        <w:t xml:space="preserve">ICD-11 identifies three principal bipolar conditions. </w:t>
      </w:r>
      <w:r w:rsidR="00D948ED" w:rsidRPr="00D948ED">
        <w:rPr>
          <w:rFonts w:ascii="Arial" w:hAnsi="Arial" w:cs="Arial"/>
        </w:rPr>
        <w:t>Bipolar Type I Disorder is defined by the occurrence of at least one manic episode that results in significant functional impairment and may require hospitalisation. Bipolar Type II Disorder involves episodes of hypomania alongside major depressive episodes, whereas Cyclothymic Disorder is characterised by ongoing mood instability that falls below the diagnostic threshold for bipolar disorder (WHO, 2024).</w:t>
      </w:r>
      <w:r w:rsidR="00D948ED">
        <w:rPr>
          <w:rFonts w:ascii="Arial" w:hAnsi="Arial" w:cs="Arial"/>
        </w:rPr>
        <w:t xml:space="preserve"> </w:t>
      </w:r>
      <w:proofErr w:type="gramStart"/>
      <w:r w:rsidRPr="00FA41E2">
        <w:rPr>
          <w:rFonts w:ascii="Arial" w:hAnsi="Arial" w:cs="Arial"/>
        </w:rPr>
        <w:t>These</w:t>
      </w:r>
      <w:proofErr w:type="gramEnd"/>
      <w:r w:rsidRPr="00FA41E2">
        <w:rPr>
          <w:rFonts w:ascii="Arial" w:hAnsi="Arial" w:cs="Arial"/>
        </w:rPr>
        <w:t xml:space="preserve"> classifications support more consistent diagnosis, communication between healthcare professionals and evidence-based treatment planning (NICE, 2023).</w:t>
      </w:r>
    </w:p>
    <w:p w14:paraId="3ABBA1B4" w14:textId="5E098017" w:rsidR="00164D01" w:rsidRPr="00FA41E2" w:rsidRDefault="00164D01" w:rsidP="00960583">
      <w:pPr>
        <w:spacing w:line="360" w:lineRule="auto"/>
        <w:rPr>
          <w:rFonts w:ascii="Arial" w:hAnsi="Arial" w:cs="Arial"/>
        </w:rPr>
      </w:pPr>
      <w:r w:rsidRPr="00FA41E2">
        <w:rPr>
          <w:rFonts w:ascii="Arial" w:hAnsi="Arial" w:cs="Arial"/>
        </w:rPr>
        <w:t>Despite these advantages, classification remains subject to debate. Some researchers argue that bipolar disorder exists on a continuum rather than within fixed diagnostic categories, with many individuals experiencing symptoms that do not fit neatly into ICD-11 classifications (Goodwin and Jamison, 2023; Craddock and Sklar, 2013). Consequently, diagnostic criteria should guide rather than replace professional clinical judgement.</w:t>
      </w:r>
    </w:p>
    <w:p w14:paraId="4B373FF8" w14:textId="77777777" w:rsidR="00164D01" w:rsidRPr="00FA41E2" w:rsidRDefault="00164D01" w:rsidP="00FA41E2">
      <w:pPr>
        <w:pStyle w:val="Heading2"/>
        <w:rPr>
          <w:rFonts w:ascii="Arial" w:hAnsi="Arial" w:cs="Arial"/>
          <w:color w:val="auto"/>
          <w:sz w:val="22"/>
          <w:szCs w:val="22"/>
        </w:rPr>
      </w:pPr>
      <w:bookmarkStart w:id="3" w:name="_Toc235116749"/>
      <w:r w:rsidRPr="00FA41E2">
        <w:rPr>
          <w:rFonts w:ascii="Arial" w:hAnsi="Arial" w:cs="Arial"/>
          <w:color w:val="auto"/>
          <w:sz w:val="22"/>
          <w:szCs w:val="22"/>
        </w:rPr>
        <w:t>1.2 Diagnosis</w:t>
      </w:r>
      <w:bookmarkEnd w:id="3"/>
    </w:p>
    <w:p w14:paraId="219DF52C" w14:textId="77777777" w:rsidR="00164D01" w:rsidRPr="00FA41E2" w:rsidRDefault="00164D01" w:rsidP="00960583">
      <w:pPr>
        <w:spacing w:line="360" w:lineRule="auto"/>
        <w:rPr>
          <w:rFonts w:ascii="Arial" w:hAnsi="Arial" w:cs="Arial"/>
        </w:rPr>
      </w:pPr>
      <w:r w:rsidRPr="00FA41E2">
        <w:rPr>
          <w:rFonts w:ascii="Arial" w:hAnsi="Arial" w:cs="Arial"/>
        </w:rPr>
        <w:t>Diagnosis of bipolar disorder is based on a comprehensive clinical assessment rather than laboratory investigations. Healthcare professionals evaluate current symptoms, psychiatric history, family history, previous mood episodes and the impact of symptoms on daily functioning. Mental state examination is used to assess mood, speech, cognition, thought processes and insight, while information from relatives or carers may also contribute because individuals experiencing mania often have limited awareness of behavioural changes (NICE, 2023; Royal College of Psychiatrists, 2024).</w:t>
      </w:r>
    </w:p>
    <w:p w14:paraId="1DE0E8C1" w14:textId="6BB5695A" w:rsidR="00164D01" w:rsidRPr="00FA41E2" w:rsidRDefault="00164D01" w:rsidP="00960583">
      <w:pPr>
        <w:spacing w:line="360" w:lineRule="auto"/>
        <w:rPr>
          <w:rFonts w:ascii="Arial" w:hAnsi="Arial" w:cs="Arial"/>
        </w:rPr>
      </w:pPr>
      <w:r w:rsidRPr="00FA41E2">
        <w:rPr>
          <w:rFonts w:ascii="Arial" w:hAnsi="Arial" w:cs="Arial"/>
        </w:rPr>
        <w:t xml:space="preserve">One of the greatest challenges is distinguishing bipolar depression from major depressive disorder. Many individuals first seek medical help during depressive episodes and may not recognise or report previous episodes of hypomania. </w:t>
      </w:r>
      <w:r w:rsidR="00D948ED" w:rsidRPr="00D948ED">
        <w:rPr>
          <w:rFonts w:ascii="Arial" w:hAnsi="Arial" w:cs="Arial"/>
        </w:rPr>
        <w:t>Consequently, bipolar disorder is often incorrectly diagnosed as depression, resulting in delays to appropriate treatment (Royal College of Psychiatrists, 2024; Grande et al., 2016).</w:t>
      </w:r>
      <w:r w:rsidR="00D948ED">
        <w:rPr>
          <w:rFonts w:ascii="Arial" w:hAnsi="Arial" w:cs="Arial"/>
        </w:rPr>
        <w:t xml:space="preserve"> </w:t>
      </w:r>
      <w:r w:rsidRPr="00FA41E2">
        <w:rPr>
          <w:rFonts w:ascii="Arial" w:hAnsi="Arial" w:cs="Arial"/>
        </w:rPr>
        <w:t xml:space="preserve">Incorrect diagnosis may lead to antidepressant treatment without mood stabilisers, potentially increasing the risk of manic episodes or rapid cycling (Goodwin and Jamison, 2023; Malhi </w:t>
      </w:r>
      <w:r w:rsidRPr="00FA41E2">
        <w:rPr>
          <w:rFonts w:ascii="Arial" w:hAnsi="Arial" w:cs="Arial"/>
          <w:i/>
          <w:iCs/>
        </w:rPr>
        <w:t>et al</w:t>
      </w:r>
      <w:r w:rsidRPr="00FA41E2">
        <w:rPr>
          <w:rFonts w:ascii="Arial" w:hAnsi="Arial" w:cs="Arial"/>
        </w:rPr>
        <w:t>., 2021). These challenges demonstrate the importance of detailed assessment, collateral information from family members and ongoing clinical review rather than relying solely on symptoms presented during the initial consultation (NICE, 2023).</w:t>
      </w:r>
    </w:p>
    <w:p w14:paraId="584DFCCB" w14:textId="77777777" w:rsidR="00164D01" w:rsidRPr="00FA41E2" w:rsidRDefault="00164D01" w:rsidP="00FA41E2">
      <w:pPr>
        <w:pStyle w:val="Heading2"/>
        <w:rPr>
          <w:rFonts w:ascii="Arial" w:hAnsi="Arial" w:cs="Arial"/>
          <w:color w:val="auto"/>
          <w:sz w:val="22"/>
          <w:szCs w:val="22"/>
        </w:rPr>
      </w:pPr>
      <w:bookmarkStart w:id="4" w:name="_Toc235116750"/>
      <w:r w:rsidRPr="00FA41E2">
        <w:rPr>
          <w:rFonts w:ascii="Arial" w:hAnsi="Arial" w:cs="Arial"/>
          <w:color w:val="auto"/>
          <w:sz w:val="22"/>
          <w:szCs w:val="22"/>
        </w:rPr>
        <w:t>1.3 Critical Evaluation of Classification and Diagnosis</w:t>
      </w:r>
      <w:bookmarkEnd w:id="4"/>
    </w:p>
    <w:p w14:paraId="42E7D8EE" w14:textId="471D8891" w:rsidR="00164D01" w:rsidRPr="00FA41E2" w:rsidRDefault="00164D01" w:rsidP="00960583">
      <w:pPr>
        <w:spacing w:line="360" w:lineRule="auto"/>
        <w:rPr>
          <w:rFonts w:ascii="Arial" w:hAnsi="Arial" w:cs="Arial"/>
        </w:rPr>
      </w:pPr>
      <w:r w:rsidRPr="00FA41E2">
        <w:rPr>
          <w:rFonts w:ascii="Arial" w:hAnsi="Arial" w:cs="Arial"/>
        </w:rPr>
        <w:t xml:space="preserve">Although ICD-11 improves diagnostic consistency, it also has limitations. The classification system primarily focuses on observable symptoms and diagnostic thresholds, which may not </w:t>
      </w:r>
      <w:r w:rsidRPr="00FA41E2">
        <w:rPr>
          <w:rFonts w:ascii="Arial" w:hAnsi="Arial" w:cs="Arial"/>
        </w:rPr>
        <w:lastRenderedPageBreak/>
        <w:t>fully reflect the complexity of an individual's lived experience. Psychological trauma, substance misuse, socioeconomic disadvantage and family relationships can all influence symptom presentation and recovery but receive relatively limited attention within diagnostic criteria (British Psychological Society, 20</w:t>
      </w:r>
      <w:r w:rsidR="004176A7" w:rsidRPr="00FA41E2">
        <w:rPr>
          <w:rFonts w:ascii="Arial" w:hAnsi="Arial" w:cs="Arial"/>
        </w:rPr>
        <w:t>10</w:t>
      </w:r>
      <w:r w:rsidR="006E36F1" w:rsidRPr="00FA41E2">
        <w:rPr>
          <w:rFonts w:ascii="Arial" w:hAnsi="Arial" w:cs="Arial"/>
        </w:rPr>
        <w:t>)</w:t>
      </w:r>
      <w:r w:rsidRPr="00FA41E2">
        <w:rPr>
          <w:rFonts w:ascii="Arial" w:hAnsi="Arial" w:cs="Arial"/>
        </w:rPr>
        <w:t>.</w:t>
      </w:r>
    </w:p>
    <w:p w14:paraId="5379EC7D" w14:textId="1FB3C662" w:rsidR="00164D01" w:rsidRPr="00FA41E2" w:rsidRDefault="00164D01" w:rsidP="00960583">
      <w:pPr>
        <w:spacing w:line="360" w:lineRule="auto"/>
        <w:rPr>
          <w:rFonts w:ascii="Arial" w:hAnsi="Arial" w:cs="Arial"/>
        </w:rPr>
      </w:pPr>
      <w:r w:rsidRPr="00FA41E2">
        <w:rPr>
          <w:rFonts w:ascii="Arial" w:hAnsi="Arial" w:cs="Arial"/>
        </w:rPr>
        <w:t xml:space="preserve">Furthermore, bipolar disorder often develops gradually, with symptoms changing over time. Individuals may initially experience mild hypomanic episodes that are overlooked or interpreted positively, delaying diagnosis until more severe episodes occur (Grande </w:t>
      </w:r>
      <w:r w:rsidRPr="00FA41E2">
        <w:rPr>
          <w:rFonts w:ascii="Arial" w:hAnsi="Arial" w:cs="Arial"/>
          <w:i/>
          <w:iCs/>
        </w:rPr>
        <w:t>et al</w:t>
      </w:r>
      <w:r w:rsidRPr="00FA41E2">
        <w:rPr>
          <w:rFonts w:ascii="Arial" w:hAnsi="Arial" w:cs="Arial"/>
        </w:rPr>
        <w:t xml:space="preserve">., 2016). </w:t>
      </w:r>
      <w:r w:rsidR="00D948ED" w:rsidRPr="00D948ED">
        <w:rPr>
          <w:rFonts w:ascii="Arial" w:hAnsi="Arial" w:cs="Arial"/>
        </w:rPr>
        <w:t>This demonstrates that categorical diagnostic systems have limitations and highlights the importance of ongoing assessment throughout the course of the condition (Goodwin and Jamison, 2023).</w:t>
      </w:r>
      <w:r w:rsidR="00D948ED">
        <w:rPr>
          <w:rFonts w:ascii="Arial" w:hAnsi="Arial" w:cs="Arial"/>
        </w:rPr>
        <w:t xml:space="preserve"> </w:t>
      </w:r>
    </w:p>
    <w:p w14:paraId="077262F0" w14:textId="6C0690E3" w:rsidR="00164D01" w:rsidRPr="00FA41E2" w:rsidRDefault="00164D01" w:rsidP="00960583">
      <w:pPr>
        <w:spacing w:line="360" w:lineRule="auto"/>
        <w:rPr>
          <w:rFonts w:ascii="Arial" w:hAnsi="Arial" w:cs="Arial"/>
        </w:rPr>
      </w:pPr>
      <w:r w:rsidRPr="00FA41E2">
        <w:rPr>
          <w:rFonts w:ascii="Arial" w:hAnsi="Arial" w:cs="Arial"/>
        </w:rPr>
        <w:t>A biopsychosocial approach may therefore provide a more comprehensive understanding of bipolar disorder than diagnosis alone. By considering biological, psychological and social factors together, healthcare professionals can develop more personalised treatment plans while recognising the individual circumstances influencing recovery (British Psychological Society, 20</w:t>
      </w:r>
      <w:r w:rsidR="004176A7" w:rsidRPr="00FA41E2">
        <w:rPr>
          <w:rFonts w:ascii="Arial" w:hAnsi="Arial" w:cs="Arial"/>
        </w:rPr>
        <w:t>10</w:t>
      </w:r>
      <w:r w:rsidRPr="00FA41E2">
        <w:rPr>
          <w:rFonts w:ascii="Arial" w:hAnsi="Arial" w:cs="Arial"/>
        </w:rPr>
        <w:t xml:space="preserve">; Malhi </w:t>
      </w:r>
      <w:r w:rsidRPr="00FA41E2">
        <w:rPr>
          <w:rFonts w:ascii="Arial" w:hAnsi="Arial" w:cs="Arial"/>
          <w:i/>
          <w:iCs/>
        </w:rPr>
        <w:t>et al</w:t>
      </w:r>
      <w:r w:rsidRPr="00FA41E2">
        <w:rPr>
          <w:rFonts w:ascii="Arial" w:hAnsi="Arial" w:cs="Arial"/>
        </w:rPr>
        <w:t xml:space="preserve">., 2021). Consequently, although ICD-11 remains an essential diagnostic framework, effective assessment requires professional judgement alongside a holistic understanding of </w:t>
      </w:r>
      <w:proofErr w:type="gramStart"/>
      <w:r w:rsidRPr="00FA41E2">
        <w:rPr>
          <w:rFonts w:ascii="Arial" w:hAnsi="Arial" w:cs="Arial"/>
        </w:rPr>
        <w:t>each individual's</w:t>
      </w:r>
      <w:proofErr w:type="gramEnd"/>
      <w:r w:rsidRPr="00FA41E2">
        <w:rPr>
          <w:rFonts w:ascii="Arial" w:hAnsi="Arial" w:cs="Arial"/>
        </w:rPr>
        <w:t xml:space="preserve"> needs.</w:t>
      </w:r>
    </w:p>
    <w:p w14:paraId="0902DD10" w14:textId="77777777" w:rsidR="00960583" w:rsidRPr="00FA41E2" w:rsidRDefault="00960583" w:rsidP="00FA41E2">
      <w:pPr>
        <w:pStyle w:val="Heading1"/>
        <w:rPr>
          <w:rFonts w:ascii="Arial" w:hAnsi="Arial" w:cs="Arial"/>
          <w:color w:val="auto"/>
          <w:sz w:val="22"/>
          <w:szCs w:val="22"/>
        </w:rPr>
      </w:pPr>
      <w:bookmarkStart w:id="5" w:name="_Toc235116751"/>
      <w:r w:rsidRPr="00FA41E2">
        <w:rPr>
          <w:rFonts w:ascii="Arial" w:hAnsi="Arial" w:cs="Arial"/>
          <w:color w:val="auto"/>
          <w:sz w:val="22"/>
          <w:szCs w:val="22"/>
        </w:rPr>
        <w:t>2. Treatment and Rehabilitation of Bipolar Disorder</w:t>
      </w:r>
      <w:bookmarkEnd w:id="5"/>
    </w:p>
    <w:p w14:paraId="4DE7624A" w14:textId="7A1F3FA1" w:rsidR="00960583" w:rsidRPr="00FA41E2" w:rsidRDefault="00C85B3C" w:rsidP="00960583">
      <w:pPr>
        <w:spacing w:line="360" w:lineRule="auto"/>
        <w:rPr>
          <w:rFonts w:ascii="Arial" w:hAnsi="Arial" w:cs="Arial"/>
        </w:rPr>
      </w:pPr>
      <w:r w:rsidRPr="00C85B3C">
        <w:rPr>
          <w:rFonts w:ascii="Arial" w:hAnsi="Arial" w:cs="Arial"/>
        </w:rPr>
        <w:t>Managing bipolar disorder effectively involves combining medication, psychological therapies and long-term rehabilitation. Because the condition is characterised by recurring episodes of mania and depression, treatment focuses on controlling acute symptoms, preventing relapse and supporting long-term functioning (World Health Organization, 2024)</w:t>
      </w:r>
      <w:r w:rsidR="00960583" w:rsidRPr="00FA41E2">
        <w:rPr>
          <w:rFonts w:ascii="Arial" w:hAnsi="Arial" w:cs="Arial"/>
        </w:rPr>
        <w:t xml:space="preserve">. NICE (2023) recommends a personalised approach based on symptom severity, previous treatment response, physical health and patient preferences. Although evidence supports combining different interventions, treatment effectiveness varies between individuals, highlighting the importance of multidisciplinary care (Malhi </w:t>
      </w:r>
      <w:r w:rsidR="00960583" w:rsidRPr="00FA41E2">
        <w:rPr>
          <w:rFonts w:ascii="Arial" w:hAnsi="Arial" w:cs="Arial"/>
          <w:i/>
          <w:iCs/>
        </w:rPr>
        <w:t>et al</w:t>
      </w:r>
      <w:r w:rsidR="00960583" w:rsidRPr="00FA41E2">
        <w:rPr>
          <w:rFonts w:ascii="Arial" w:hAnsi="Arial" w:cs="Arial"/>
        </w:rPr>
        <w:t>., 2021).</w:t>
      </w:r>
    </w:p>
    <w:p w14:paraId="40B2828E" w14:textId="77777777" w:rsidR="00960583" w:rsidRPr="00FA41E2" w:rsidRDefault="00960583" w:rsidP="00FA41E2">
      <w:pPr>
        <w:pStyle w:val="Heading2"/>
        <w:rPr>
          <w:rFonts w:ascii="Arial" w:hAnsi="Arial" w:cs="Arial"/>
          <w:color w:val="auto"/>
          <w:sz w:val="22"/>
          <w:szCs w:val="22"/>
        </w:rPr>
      </w:pPr>
      <w:bookmarkStart w:id="6" w:name="_Toc235116752"/>
      <w:r w:rsidRPr="00FA41E2">
        <w:rPr>
          <w:rFonts w:ascii="Arial" w:hAnsi="Arial" w:cs="Arial"/>
          <w:color w:val="auto"/>
          <w:sz w:val="22"/>
          <w:szCs w:val="22"/>
        </w:rPr>
        <w:t>2.1 Pharmacological Treatment</w:t>
      </w:r>
      <w:bookmarkEnd w:id="6"/>
    </w:p>
    <w:p w14:paraId="1B475AFA" w14:textId="77777777" w:rsidR="00960583" w:rsidRPr="00FA41E2" w:rsidRDefault="00960583" w:rsidP="00960583">
      <w:pPr>
        <w:spacing w:line="360" w:lineRule="auto"/>
        <w:rPr>
          <w:rFonts w:ascii="Arial" w:hAnsi="Arial" w:cs="Arial"/>
        </w:rPr>
      </w:pPr>
      <w:r w:rsidRPr="00FA41E2">
        <w:rPr>
          <w:rFonts w:ascii="Arial" w:hAnsi="Arial" w:cs="Arial"/>
        </w:rPr>
        <w:t>Medication remains the primary treatment for bipolar disorder, with lithium widely recognised as the first-line mood stabiliser for preventing relapse (NICE, 2023). Research has consistently shown that lithium reduces both manic and depressive episodes while also lowering the risk of suicide, making it one of the most evidence-based treatments available (Goodwin and Jamison, 2023; Geddes and Miklowitz, 2013). Its long-term effectiveness explains why it remains central to clinical guidelines despite being introduced many decades ago.</w:t>
      </w:r>
    </w:p>
    <w:p w14:paraId="1B79F70C" w14:textId="1626878F" w:rsidR="00960583" w:rsidRPr="00FA41E2" w:rsidRDefault="00960583" w:rsidP="00960583">
      <w:pPr>
        <w:spacing w:line="360" w:lineRule="auto"/>
        <w:rPr>
          <w:rFonts w:ascii="Arial" w:hAnsi="Arial" w:cs="Arial"/>
        </w:rPr>
      </w:pPr>
      <w:r w:rsidRPr="00FA41E2">
        <w:rPr>
          <w:rFonts w:ascii="Arial" w:hAnsi="Arial" w:cs="Arial"/>
        </w:rPr>
        <w:lastRenderedPageBreak/>
        <w:t xml:space="preserve">However, lithium is associated with important limitations. </w:t>
      </w:r>
      <w:r w:rsidR="00C85B3C" w:rsidRPr="00C85B3C">
        <w:rPr>
          <w:rFonts w:ascii="Arial" w:hAnsi="Arial" w:cs="Arial"/>
        </w:rPr>
        <w:t>Lithium has a narrow therapeutic index, making regular blood monitoring essential to maintain safe drug levels and reduce the risk of toxicity (Royal College of Psychiatrists, 2024).</w:t>
      </w:r>
      <w:r w:rsidR="00C85B3C">
        <w:rPr>
          <w:rFonts w:ascii="Arial" w:hAnsi="Arial" w:cs="Arial"/>
        </w:rPr>
        <w:t xml:space="preserve"> </w:t>
      </w:r>
      <w:proofErr w:type="gramStart"/>
      <w:r w:rsidRPr="00FA41E2">
        <w:rPr>
          <w:rFonts w:ascii="Arial" w:hAnsi="Arial" w:cs="Arial"/>
        </w:rPr>
        <w:t>Long</w:t>
      </w:r>
      <w:proofErr w:type="gramEnd"/>
      <w:r w:rsidRPr="00FA41E2">
        <w:rPr>
          <w:rFonts w:ascii="Arial" w:hAnsi="Arial" w:cs="Arial"/>
        </w:rPr>
        <w:t>-term use may also affect kidney and thyroid function, while side effects such as weight gain, tremor and increased thirst can reduce treatment adherence (NICE, 2023; Carvalho, Firth and Vieta, 2020). Consequently, successful treatment depends not only on the effectiveness of the medication but also on continuous monitoring and shared decision-making between clinicians and patients.</w:t>
      </w:r>
    </w:p>
    <w:p w14:paraId="010C4B84" w14:textId="2A1521A1" w:rsidR="00960583" w:rsidRPr="00FA41E2" w:rsidRDefault="00960583" w:rsidP="00960583">
      <w:pPr>
        <w:spacing w:line="360" w:lineRule="auto"/>
        <w:rPr>
          <w:rFonts w:ascii="Arial" w:hAnsi="Arial" w:cs="Arial"/>
        </w:rPr>
      </w:pPr>
      <w:r w:rsidRPr="00FA41E2">
        <w:rPr>
          <w:rFonts w:ascii="Arial" w:hAnsi="Arial" w:cs="Arial"/>
        </w:rPr>
        <w:t>Alternative medications include anticonvulsants such as lamotrigine and valproate, together with atypical antipsychotics including quetiapine and olanzapine (NICE, 2023). These medications may be appropriate when lithium is unsuitable or ineffective.</w:t>
      </w:r>
      <w:r w:rsidR="00C85B3C" w:rsidRPr="00C85B3C">
        <w:t xml:space="preserve"> </w:t>
      </w:r>
      <w:r w:rsidR="00C85B3C" w:rsidRPr="00C85B3C">
        <w:rPr>
          <w:rFonts w:ascii="Arial" w:hAnsi="Arial" w:cs="Arial"/>
        </w:rPr>
        <w:t>However, these medications are often linked to metabolic side effects, such as weight gain and a higher risk of cardiovascular disease (Malhi et al., 2021)</w:t>
      </w:r>
      <w:r w:rsidRPr="00FA41E2">
        <w:rPr>
          <w:rFonts w:ascii="Arial" w:hAnsi="Arial" w:cs="Arial"/>
        </w:rPr>
        <w:t xml:space="preserve">. Healthcare professionals must therefore balance symptom control against the potential long-term impact of medication on physical health while considering </w:t>
      </w:r>
      <w:proofErr w:type="gramStart"/>
      <w:r w:rsidRPr="00FA41E2">
        <w:rPr>
          <w:rFonts w:ascii="Arial" w:hAnsi="Arial" w:cs="Arial"/>
        </w:rPr>
        <w:t>each individual's</w:t>
      </w:r>
      <w:proofErr w:type="gramEnd"/>
      <w:r w:rsidRPr="00FA41E2">
        <w:rPr>
          <w:rFonts w:ascii="Arial" w:hAnsi="Arial" w:cs="Arial"/>
        </w:rPr>
        <w:t xml:space="preserve"> treatment preferences (Royal College of Psychiatrists, 2024).</w:t>
      </w:r>
    </w:p>
    <w:p w14:paraId="4FB9C179" w14:textId="77777777" w:rsidR="00960583" w:rsidRPr="00FA41E2" w:rsidRDefault="00960583" w:rsidP="00FA41E2">
      <w:pPr>
        <w:pStyle w:val="Heading2"/>
        <w:rPr>
          <w:rFonts w:ascii="Arial" w:hAnsi="Arial" w:cs="Arial"/>
          <w:color w:val="auto"/>
          <w:sz w:val="22"/>
          <w:szCs w:val="22"/>
        </w:rPr>
      </w:pPr>
      <w:bookmarkStart w:id="7" w:name="_Toc235116753"/>
      <w:r w:rsidRPr="00FA41E2">
        <w:rPr>
          <w:rFonts w:ascii="Arial" w:hAnsi="Arial" w:cs="Arial"/>
          <w:color w:val="auto"/>
          <w:sz w:val="22"/>
          <w:szCs w:val="22"/>
        </w:rPr>
        <w:t>2.2 Psychological Therapies</w:t>
      </w:r>
      <w:bookmarkEnd w:id="7"/>
    </w:p>
    <w:p w14:paraId="2440137B" w14:textId="6A7F98E4" w:rsidR="00960583" w:rsidRPr="00FA41E2" w:rsidRDefault="00960583" w:rsidP="00960583">
      <w:pPr>
        <w:spacing w:line="360" w:lineRule="auto"/>
        <w:rPr>
          <w:rFonts w:ascii="Arial" w:hAnsi="Arial" w:cs="Arial"/>
        </w:rPr>
      </w:pPr>
      <w:r w:rsidRPr="00FA41E2">
        <w:rPr>
          <w:rFonts w:ascii="Arial" w:hAnsi="Arial" w:cs="Arial"/>
        </w:rPr>
        <w:t xml:space="preserve">Although medication is essential for many individuals, psychological therapies provide important additional support. </w:t>
      </w:r>
      <w:r w:rsidR="00C85B3C" w:rsidRPr="00C85B3C">
        <w:rPr>
          <w:rFonts w:ascii="Arial" w:hAnsi="Arial" w:cs="Arial"/>
        </w:rPr>
        <w:t>Cognitive Behavioural Therapy (CBT) enables individuals to recognise unhelpful thinking patterns, strengthen coping skills and identify the early signs of relapse (NICE, 2023).</w:t>
      </w:r>
      <w:r w:rsidR="00C85B3C">
        <w:rPr>
          <w:rFonts w:ascii="Arial" w:hAnsi="Arial" w:cs="Arial"/>
        </w:rPr>
        <w:t xml:space="preserve"> </w:t>
      </w:r>
      <w:proofErr w:type="gramStart"/>
      <w:r w:rsidRPr="00FA41E2">
        <w:rPr>
          <w:rFonts w:ascii="Arial" w:hAnsi="Arial" w:cs="Arial"/>
        </w:rPr>
        <w:t>Evidence</w:t>
      </w:r>
      <w:proofErr w:type="gramEnd"/>
      <w:r w:rsidRPr="00FA41E2">
        <w:rPr>
          <w:rFonts w:ascii="Arial" w:hAnsi="Arial" w:cs="Arial"/>
        </w:rPr>
        <w:t xml:space="preserve"> suggests that CBT is most effective when used alongside medication rather than as a replacement, particularly during periods of mood stability (Miklowitz, 2019; Malhi </w:t>
      </w:r>
      <w:r w:rsidRPr="00FA41E2">
        <w:rPr>
          <w:rFonts w:ascii="Arial" w:hAnsi="Arial" w:cs="Arial"/>
          <w:i/>
          <w:iCs/>
        </w:rPr>
        <w:t>et al</w:t>
      </w:r>
      <w:r w:rsidRPr="00FA41E2">
        <w:rPr>
          <w:rFonts w:ascii="Arial" w:hAnsi="Arial" w:cs="Arial"/>
        </w:rPr>
        <w:t>., 2021).</w:t>
      </w:r>
    </w:p>
    <w:p w14:paraId="06DB0F07" w14:textId="72B5BBC3" w:rsidR="00960583" w:rsidRPr="00FA41E2" w:rsidRDefault="00960583" w:rsidP="00960583">
      <w:pPr>
        <w:spacing w:line="360" w:lineRule="auto"/>
        <w:rPr>
          <w:rFonts w:ascii="Arial" w:hAnsi="Arial" w:cs="Arial"/>
        </w:rPr>
      </w:pPr>
      <w:r w:rsidRPr="00FA41E2">
        <w:rPr>
          <w:rFonts w:ascii="Arial" w:hAnsi="Arial" w:cs="Arial"/>
        </w:rPr>
        <w:t>Psychoeducation also plays an important role by improving understanding of bipolar disorder, medication adherence and relapse prevention. Individuals who understand their condition are more likely to recognise changes in mood and seek support before symptoms become severe (Royal College of Psychiatrists, 2024). Family-focused therapy may further improve outcomes by strengthening communication, reducing conflict and encouraging relatives to recognise early signs of relapse (Miklowitz, 2019). Together, these interventions demonstrate that successful treatment extends beyond symptom control and requires ongoing psychological and social support (British Psychological Society, 20</w:t>
      </w:r>
      <w:r w:rsidR="00866A93" w:rsidRPr="00FA41E2">
        <w:rPr>
          <w:rFonts w:ascii="Arial" w:hAnsi="Arial" w:cs="Arial"/>
        </w:rPr>
        <w:t>10</w:t>
      </w:r>
      <w:r w:rsidRPr="00FA41E2">
        <w:rPr>
          <w:rFonts w:ascii="Arial" w:hAnsi="Arial" w:cs="Arial"/>
        </w:rPr>
        <w:t>).</w:t>
      </w:r>
    </w:p>
    <w:p w14:paraId="1CDC2276" w14:textId="77777777" w:rsidR="00960583" w:rsidRPr="00FA41E2" w:rsidRDefault="00960583" w:rsidP="00FA41E2">
      <w:pPr>
        <w:pStyle w:val="Heading2"/>
        <w:rPr>
          <w:rFonts w:ascii="Arial" w:hAnsi="Arial" w:cs="Arial"/>
          <w:color w:val="auto"/>
          <w:sz w:val="22"/>
          <w:szCs w:val="22"/>
        </w:rPr>
      </w:pPr>
      <w:bookmarkStart w:id="8" w:name="_Toc235116754"/>
      <w:r w:rsidRPr="00FA41E2">
        <w:rPr>
          <w:rFonts w:ascii="Arial" w:hAnsi="Arial" w:cs="Arial"/>
          <w:color w:val="auto"/>
          <w:sz w:val="22"/>
          <w:szCs w:val="22"/>
        </w:rPr>
        <w:t>2.3 Rehabilitation</w:t>
      </w:r>
      <w:bookmarkEnd w:id="8"/>
    </w:p>
    <w:p w14:paraId="4422D512" w14:textId="77777777" w:rsidR="00960583" w:rsidRPr="00FA41E2" w:rsidRDefault="00960583" w:rsidP="00960583">
      <w:pPr>
        <w:spacing w:line="360" w:lineRule="auto"/>
        <w:rPr>
          <w:rFonts w:ascii="Arial" w:hAnsi="Arial" w:cs="Arial"/>
        </w:rPr>
      </w:pPr>
      <w:r w:rsidRPr="00FA41E2">
        <w:rPr>
          <w:rFonts w:ascii="Arial" w:hAnsi="Arial" w:cs="Arial"/>
        </w:rPr>
        <w:t xml:space="preserve">Rehabilitation focuses on supporting individuals to regain independence and improve quality of life following episodes of illness. Community Mental Health Teams (CMHTs) provide ongoing monitoring, medication reviews and access to specialist psychological services (NHS, 2023). Occupational therapists may support individuals in returning to work or </w:t>
      </w:r>
      <w:r w:rsidRPr="00FA41E2">
        <w:rPr>
          <w:rFonts w:ascii="Arial" w:hAnsi="Arial" w:cs="Arial"/>
        </w:rPr>
        <w:lastRenderedPageBreak/>
        <w:t>education by developing practical coping strategies and promoting independent living. Peer support groups also contribute to recovery by reducing social isolation and encouraging individuals to learn from the experiences of others with bipolar disorder (Royal College of Psychiatrists, 2024).</w:t>
      </w:r>
    </w:p>
    <w:p w14:paraId="5E93E5E3" w14:textId="2C1F9BF0" w:rsidR="00960583" w:rsidRPr="00FA41E2" w:rsidRDefault="00960583" w:rsidP="00960583">
      <w:pPr>
        <w:spacing w:line="360" w:lineRule="auto"/>
        <w:rPr>
          <w:rFonts w:ascii="Arial" w:hAnsi="Arial" w:cs="Arial"/>
        </w:rPr>
      </w:pPr>
      <w:r w:rsidRPr="00FA41E2">
        <w:rPr>
          <w:rFonts w:ascii="Arial" w:hAnsi="Arial" w:cs="Arial"/>
        </w:rPr>
        <w:t>Despite these benefits, access to rehabilitation services remains inconsistent across the UK. Waiting times for psychological therapies vary considerably, while individuals living in rural or disadvantaged communities may have fewer opportunities to access specialist mental health services (British Psychological Society, 20</w:t>
      </w:r>
      <w:r w:rsidR="00866A93" w:rsidRPr="00FA41E2">
        <w:rPr>
          <w:rFonts w:ascii="Arial" w:hAnsi="Arial" w:cs="Arial"/>
        </w:rPr>
        <w:t>10</w:t>
      </w:r>
      <w:r w:rsidRPr="00FA41E2">
        <w:rPr>
          <w:rFonts w:ascii="Arial" w:hAnsi="Arial" w:cs="Arial"/>
        </w:rPr>
        <w:t>). These inequalities can delay recovery, reduce continuity of care and contribute to poorer long-term outcomes (NICE, 2023; NHS, 2023).</w:t>
      </w:r>
    </w:p>
    <w:p w14:paraId="6AE70C3B" w14:textId="77777777" w:rsidR="00960583" w:rsidRPr="00FA41E2" w:rsidRDefault="00960583" w:rsidP="00FA41E2">
      <w:pPr>
        <w:pStyle w:val="Heading2"/>
        <w:rPr>
          <w:rFonts w:ascii="Arial" w:hAnsi="Arial" w:cs="Arial"/>
          <w:color w:val="auto"/>
          <w:sz w:val="22"/>
          <w:szCs w:val="22"/>
        </w:rPr>
      </w:pPr>
      <w:bookmarkStart w:id="9" w:name="_Toc235116755"/>
      <w:r w:rsidRPr="00FA41E2">
        <w:rPr>
          <w:rFonts w:ascii="Arial" w:hAnsi="Arial" w:cs="Arial"/>
          <w:color w:val="auto"/>
          <w:sz w:val="22"/>
          <w:szCs w:val="22"/>
        </w:rPr>
        <w:t>2.4 Critical Evaluation of Current Treatment</w:t>
      </w:r>
      <w:bookmarkEnd w:id="9"/>
    </w:p>
    <w:p w14:paraId="3CCD1A50" w14:textId="255E3F67" w:rsidR="00960583" w:rsidRPr="00FA41E2" w:rsidRDefault="00960583" w:rsidP="00960583">
      <w:pPr>
        <w:spacing w:line="360" w:lineRule="auto"/>
        <w:rPr>
          <w:rFonts w:ascii="Arial" w:hAnsi="Arial" w:cs="Arial"/>
        </w:rPr>
      </w:pPr>
      <w:r w:rsidRPr="00FA41E2">
        <w:rPr>
          <w:rFonts w:ascii="Arial" w:hAnsi="Arial" w:cs="Arial"/>
        </w:rPr>
        <w:t xml:space="preserve">Current evidence indicates that combining medication, psychological therapies and rehabilitation </w:t>
      </w:r>
      <w:proofErr w:type="gramStart"/>
      <w:r w:rsidRPr="00FA41E2">
        <w:rPr>
          <w:rFonts w:ascii="Arial" w:hAnsi="Arial" w:cs="Arial"/>
        </w:rPr>
        <w:t>produces</w:t>
      </w:r>
      <w:proofErr w:type="gramEnd"/>
      <w:r w:rsidRPr="00FA41E2">
        <w:rPr>
          <w:rFonts w:ascii="Arial" w:hAnsi="Arial" w:cs="Arial"/>
        </w:rPr>
        <w:t xml:space="preserve"> the most effective long-term outcomes for individuals with bipolar disorder (Geddes and Miklowitz, 2013; NICE, 2023). Nevertheless, treatment remains associated with several challenges. Medication adherence may be affected by adverse effects, while limited access to psychological therapies can reduce opportunities for long-term recovery (Royal College of Psychiatrists, 2024). Furthermore, healthcare services often prioritise symptom management over wider social issues such as employment, housing and relationships, despite these factors having a substantial influence on recovery (British Psychological Society, 20</w:t>
      </w:r>
      <w:r w:rsidR="00866A93" w:rsidRPr="00FA41E2">
        <w:rPr>
          <w:rFonts w:ascii="Arial" w:hAnsi="Arial" w:cs="Arial"/>
        </w:rPr>
        <w:t>10</w:t>
      </w:r>
      <w:r w:rsidRPr="00FA41E2">
        <w:rPr>
          <w:rFonts w:ascii="Arial" w:hAnsi="Arial" w:cs="Arial"/>
        </w:rPr>
        <w:t>).</w:t>
      </w:r>
    </w:p>
    <w:p w14:paraId="1D308DEA" w14:textId="3EE616E3" w:rsidR="00960583" w:rsidRPr="00FA41E2" w:rsidRDefault="00960583" w:rsidP="00960583">
      <w:pPr>
        <w:spacing w:line="360" w:lineRule="auto"/>
        <w:rPr>
          <w:rFonts w:ascii="Arial" w:hAnsi="Arial" w:cs="Arial"/>
        </w:rPr>
      </w:pPr>
      <w:r w:rsidRPr="00FA41E2">
        <w:rPr>
          <w:rFonts w:ascii="Arial" w:hAnsi="Arial" w:cs="Arial"/>
        </w:rPr>
        <w:t xml:space="preserve">These limitations suggest that effective management requires a biopsychosocial approach rather than relying solely on medication. Integrating biological treatment with psychological support and community-based rehabilitation is more likely to promote sustained recovery, reduce relapse and improve overall quality of life (World Health Organization, 2024; Malhi </w:t>
      </w:r>
      <w:r w:rsidRPr="00FA41E2">
        <w:rPr>
          <w:rFonts w:ascii="Arial" w:hAnsi="Arial" w:cs="Arial"/>
          <w:i/>
          <w:iCs/>
        </w:rPr>
        <w:t>et al</w:t>
      </w:r>
      <w:r w:rsidRPr="00FA41E2">
        <w:rPr>
          <w:rFonts w:ascii="Arial" w:hAnsi="Arial" w:cs="Arial"/>
        </w:rPr>
        <w:t>., 2021).</w:t>
      </w:r>
    </w:p>
    <w:p w14:paraId="5629DC95" w14:textId="77777777" w:rsidR="00960583" w:rsidRPr="00FA41E2" w:rsidRDefault="00960583" w:rsidP="00FA41E2">
      <w:pPr>
        <w:pStyle w:val="Heading1"/>
        <w:rPr>
          <w:rFonts w:ascii="Arial" w:hAnsi="Arial" w:cs="Arial"/>
          <w:color w:val="auto"/>
          <w:sz w:val="22"/>
          <w:szCs w:val="22"/>
        </w:rPr>
      </w:pPr>
      <w:bookmarkStart w:id="10" w:name="_Toc235116756"/>
      <w:r w:rsidRPr="00FA41E2">
        <w:rPr>
          <w:rFonts w:ascii="Arial" w:hAnsi="Arial" w:cs="Arial"/>
          <w:color w:val="auto"/>
          <w:sz w:val="22"/>
          <w:szCs w:val="22"/>
        </w:rPr>
        <w:t>3. Current Debates and Emerging Issues</w:t>
      </w:r>
      <w:bookmarkEnd w:id="10"/>
    </w:p>
    <w:p w14:paraId="1F002117" w14:textId="30FC2C22" w:rsidR="00960583" w:rsidRPr="00FA41E2" w:rsidRDefault="00960583" w:rsidP="00960583">
      <w:pPr>
        <w:spacing w:line="360" w:lineRule="auto"/>
        <w:rPr>
          <w:rFonts w:ascii="Arial" w:hAnsi="Arial" w:cs="Arial"/>
        </w:rPr>
      </w:pPr>
      <w:r w:rsidRPr="00FA41E2">
        <w:rPr>
          <w:rFonts w:ascii="Arial" w:hAnsi="Arial" w:cs="Arial"/>
        </w:rPr>
        <w:t>Despite advances in the understanding and treatment of bipolar disorder, several debates continue to influence clinical practice. These include concerns surrounding diagnostic accuracy, long-term medication use, recovery-oriented care and the stigma associated with mental illness (World Health Organization, 2024). These issues highlight that managing bipolar disorder requires more than following diagnostic criteria or prescribing medication, reinforcing the need for person-centred and evidence-based care (British Psychological Society, 20</w:t>
      </w:r>
      <w:r w:rsidR="004176A7" w:rsidRPr="00FA41E2">
        <w:rPr>
          <w:rFonts w:ascii="Arial" w:hAnsi="Arial" w:cs="Arial"/>
        </w:rPr>
        <w:t>10</w:t>
      </w:r>
      <w:r w:rsidRPr="00FA41E2">
        <w:rPr>
          <w:rFonts w:ascii="Arial" w:hAnsi="Arial" w:cs="Arial"/>
        </w:rPr>
        <w:t xml:space="preserve">; Malhi </w:t>
      </w:r>
      <w:r w:rsidRPr="00FA41E2">
        <w:rPr>
          <w:rFonts w:ascii="Arial" w:hAnsi="Arial" w:cs="Arial"/>
          <w:i/>
          <w:iCs/>
        </w:rPr>
        <w:t>et al</w:t>
      </w:r>
      <w:r w:rsidRPr="00FA41E2">
        <w:rPr>
          <w:rFonts w:ascii="Arial" w:hAnsi="Arial" w:cs="Arial"/>
        </w:rPr>
        <w:t>., 2021).</w:t>
      </w:r>
    </w:p>
    <w:p w14:paraId="6302247A" w14:textId="77777777" w:rsidR="00960583" w:rsidRPr="00FA41E2" w:rsidRDefault="00960583" w:rsidP="00FA41E2">
      <w:pPr>
        <w:pStyle w:val="Heading2"/>
        <w:rPr>
          <w:rFonts w:ascii="Arial" w:hAnsi="Arial" w:cs="Arial"/>
          <w:color w:val="auto"/>
          <w:sz w:val="22"/>
          <w:szCs w:val="22"/>
        </w:rPr>
      </w:pPr>
      <w:bookmarkStart w:id="11" w:name="_Toc235116757"/>
      <w:r w:rsidRPr="00FA41E2">
        <w:rPr>
          <w:rFonts w:ascii="Arial" w:hAnsi="Arial" w:cs="Arial"/>
          <w:color w:val="auto"/>
          <w:sz w:val="22"/>
          <w:szCs w:val="22"/>
        </w:rPr>
        <w:lastRenderedPageBreak/>
        <w:t>3.1 Misdiagnosis</w:t>
      </w:r>
      <w:bookmarkEnd w:id="11"/>
    </w:p>
    <w:p w14:paraId="463140B5" w14:textId="2FBF5FA7" w:rsidR="00960583" w:rsidRPr="00FA41E2" w:rsidRDefault="00960583" w:rsidP="00960583">
      <w:pPr>
        <w:spacing w:line="360" w:lineRule="auto"/>
        <w:rPr>
          <w:rFonts w:ascii="Arial" w:hAnsi="Arial" w:cs="Arial"/>
        </w:rPr>
      </w:pPr>
      <w:r w:rsidRPr="00FA41E2">
        <w:rPr>
          <w:rFonts w:ascii="Arial" w:hAnsi="Arial" w:cs="Arial"/>
        </w:rPr>
        <w:t xml:space="preserve">One of the most significant challenges is the frequent misdiagnosis of bipolar disorder as major depressive disorder. Many individuals first seek medical help during depressive episodes, while previous episodes of hypomania may not be recognised or disclosed (NICE, 2023). As a result, diagnosis may be delayed for several years, increasing the likelihood of inappropriate treatment and poorer long-term outcomes (Grande </w:t>
      </w:r>
      <w:r w:rsidRPr="00FA41E2">
        <w:rPr>
          <w:rFonts w:ascii="Arial" w:hAnsi="Arial" w:cs="Arial"/>
          <w:i/>
          <w:iCs/>
        </w:rPr>
        <w:t>et al</w:t>
      </w:r>
      <w:r w:rsidRPr="00FA41E2">
        <w:rPr>
          <w:rFonts w:ascii="Arial" w:hAnsi="Arial" w:cs="Arial"/>
        </w:rPr>
        <w:t xml:space="preserve">., 2016). Prescribing antidepressants without mood stabilisers may trigger manic episodes or rapid cycling, worsening symptom severity (Goodwin and Jamison, 2023; Malhi </w:t>
      </w:r>
      <w:r w:rsidRPr="00FA41E2">
        <w:rPr>
          <w:rFonts w:ascii="Arial" w:hAnsi="Arial" w:cs="Arial"/>
          <w:i/>
          <w:iCs/>
        </w:rPr>
        <w:t>et al</w:t>
      </w:r>
      <w:r w:rsidRPr="00FA41E2">
        <w:rPr>
          <w:rFonts w:ascii="Arial" w:hAnsi="Arial" w:cs="Arial"/>
        </w:rPr>
        <w:t>., 2021). Although ICD-11 provides structured diagnostic criteria, clinicians must undertake comprehensive assessments, gather collateral information where appropriate and review patients over time to improve diagnostic accuracy (World Health Organization, 2024; Royal College of Psychiatrists, 2024).</w:t>
      </w:r>
    </w:p>
    <w:p w14:paraId="6A8C3638" w14:textId="77777777" w:rsidR="00960583" w:rsidRPr="00FA41E2" w:rsidRDefault="00960583" w:rsidP="00FA41E2">
      <w:pPr>
        <w:pStyle w:val="Heading2"/>
        <w:rPr>
          <w:rFonts w:ascii="Arial" w:hAnsi="Arial" w:cs="Arial"/>
          <w:color w:val="auto"/>
          <w:sz w:val="22"/>
          <w:szCs w:val="22"/>
        </w:rPr>
      </w:pPr>
      <w:bookmarkStart w:id="12" w:name="_Toc235116758"/>
      <w:r w:rsidRPr="00FA41E2">
        <w:rPr>
          <w:rFonts w:ascii="Arial" w:hAnsi="Arial" w:cs="Arial"/>
          <w:color w:val="auto"/>
          <w:sz w:val="22"/>
          <w:szCs w:val="22"/>
        </w:rPr>
        <w:t>3.2 Long-term Medication</w:t>
      </w:r>
      <w:bookmarkEnd w:id="12"/>
    </w:p>
    <w:p w14:paraId="127A6024" w14:textId="139280C4" w:rsidR="00960583" w:rsidRPr="00FA41E2" w:rsidRDefault="00960583" w:rsidP="00960583">
      <w:pPr>
        <w:spacing w:line="360" w:lineRule="auto"/>
        <w:rPr>
          <w:rFonts w:ascii="Arial" w:hAnsi="Arial" w:cs="Arial"/>
        </w:rPr>
      </w:pPr>
      <w:r w:rsidRPr="00FA41E2">
        <w:rPr>
          <w:rFonts w:ascii="Arial" w:hAnsi="Arial" w:cs="Arial"/>
        </w:rPr>
        <w:t xml:space="preserve">The long-term use of lithium continues to generate debate. </w:t>
      </w:r>
      <w:r w:rsidR="00C85B3C" w:rsidRPr="00C85B3C">
        <w:rPr>
          <w:rFonts w:ascii="Arial" w:hAnsi="Arial" w:cs="Arial"/>
        </w:rPr>
        <w:t>Despite being one of the most effective treatments for reducing relapse and suicide risk, lithium is associated with concerns about side effects, ongoing monitoring and long-term adherence (Royal College of Psychiatrists, 2024; Geddes and Miklowitz, 2013).</w:t>
      </w:r>
      <w:r w:rsidR="00C85B3C">
        <w:rPr>
          <w:rFonts w:ascii="Arial" w:hAnsi="Arial" w:cs="Arial"/>
        </w:rPr>
        <w:t xml:space="preserve"> </w:t>
      </w:r>
      <w:proofErr w:type="gramStart"/>
      <w:r w:rsidRPr="00FA41E2">
        <w:rPr>
          <w:rFonts w:ascii="Arial" w:hAnsi="Arial" w:cs="Arial"/>
        </w:rPr>
        <w:t>Some</w:t>
      </w:r>
      <w:proofErr w:type="gramEnd"/>
      <w:r w:rsidRPr="00FA41E2">
        <w:rPr>
          <w:rFonts w:ascii="Arial" w:hAnsi="Arial" w:cs="Arial"/>
        </w:rPr>
        <w:t xml:space="preserve"> clinicians advocate newer medications because they require less monitoring, while others argue that lithium remains the most evidence-based option despite its limitations (Goodwin and Jamison, 2023). This debate highlights the importance of shared decision-making, allowing patients to balance treatment benefits against potential risks according to their individual circumstances while considering quality of life and long-term physical health (NICE, 2023; Carvalho, Firth and Vieta, 2020).</w:t>
      </w:r>
    </w:p>
    <w:p w14:paraId="7BC70271" w14:textId="77777777" w:rsidR="00960583" w:rsidRPr="00FA41E2" w:rsidRDefault="00960583" w:rsidP="00FA41E2">
      <w:pPr>
        <w:pStyle w:val="Heading2"/>
        <w:rPr>
          <w:rFonts w:ascii="Arial" w:hAnsi="Arial" w:cs="Arial"/>
          <w:color w:val="auto"/>
          <w:sz w:val="22"/>
          <w:szCs w:val="22"/>
        </w:rPr>
      </w:pPr>
      <w:bookmarkStart w:id="13" w:name="_Toc235116759"/>
      <w:r w:rsidRPr="00FA41E2">
        <w:rPr>
          <w:rFonts w:ascii="Arial" w:hAnsi="Arial" w:cs="Arial"/>
          <w:color w:val="auto"/>
          <w:sz w:val="22"/>
          <w:szCs w:val="22"/>
        </w:rPr>
        <w:t>3.3 Medical and Recovery Models</w:t>
      </w:r>
      <w:bookmarkEnd w:id="13"/>
    </w:p>
    <w:p w14:paraId="7ECF2414" w14:textId="04801E4B" w:rsidR="00960583" w:rsidRPr="00FA41E2" w:rsidRDefault="00960583" w:rsidP="00960583">
      <w:pPr>
        <w:spacing w:line="360" w:lineRule="auto"/>
        <w:rPr>
          <w:rFonts w:ascii="Arial" w:hAnsi="Arial" w:cs="Arial"/>
        </w:rPr>
      </w:pPr>
      <w:r w:rsidRPr="00FA41E2">
        <w:rPr>
          <w:rFonts w:ascii="Arial" w:hAnsi="Arial" w:cs="Arial"/>
        </w:rPr>
        <w:t>Another important discussion concerns the balance between the traditional medical model and the recovery model. The medical model views bipolar disorder primarily as a biological illness requiring pharmacological treatment, whereas the recovery model emphasises independence, social inclusion and personal wellbeing (British Psychological Society, 20</w:t>
      </w:r>
      <w:r w:rsidR="00866A93" w:rsidRPr="00FA41E2">
        <w:rPr>
          <w:rFonts w:ascii="Arial" w:hAnsi="Arial" w:cs="Arial"/>
        </w:rPr>
        <w:t>10</w:t>
      </w:r>
      <w:r w:rsidRPr="00FA41E2">
        <w:rPr>
          <w:rFonts w:ascii="Arial" w:hAnsi="Arial" w:cs="Arial"/>
        </w:rPr>
        <w:t>). Contemporary mental health services increasingly combine these approaches by integrating medication with psychological therapies, peer support and community rehabilitation (NHS, 2023). However, some critics argue that services continue to focus too heavily on symptom management while giving insufficient attention to employment, education and social participation, despite these factors playing an important role in long-term recovery (Miklowitz, 2019; World Health Organization, 2024). A more holistic approach may therefore produce better outcomes than relying solely on medical treatment.</w:t>
      </w:r>
    </w:p>
    <w:p w14:paraId="6BA820E1" w14:textId="77777777" w:rsidR="00960583" w:rsidRPr="00FA41E2" w:rsidRDefault="00960583" w:rsidP="00FA41E2">
      <w:pPr>
        <w:pStyle w:val="Heading2"/>
        <w:rPr>
          <w:rFonts w:ascii="Arial" w:hAnsi="Arial" w:cs="Arial"/>
          <w:color w:val="auto"/>
          <w:sz w:val="22"/>
          <w:szCs w:val="22"/>
        </w:rPr>
      </w:pPr>
      <w:bookmarkStart w:id="14" w:name="_Toc235116760"/>
      <w:r w:rsidRPr="00FA41E2">
        <w:rPr>
          <w:rFonts w:ascii="Arial" w:hAnsi="Arial" w:cs="Arial"/>
          <w:color w:val="auto"/>
          <w:sz w:val="22"/>
          <w:szCs w:val="22"/>
        </w:rPr>
        <w:lastRenderedPageBreak/>
        <w:t>3.4 Stigma</w:t>
      </w:r>
      <w:bookmarkEnd w:id="14"/>
    </w:p>
    <w:p w14:paraId="6CF53856" w14:textId="3B06348F" w:rsidR="00960583" w:rsidRPr="00FA41E2" w:rsidRDefault="00960583" w:rsidP="00960583">
      <w:pPr>
        <w:spacing w:line="360" w:lineRule="auto"/>
        <w:rPr>
          <w:rFonts w:ascii="Arial" w:hAnsi="Arial" w:cs="Arial"/>
        </w:rPr>
      </w:pPr>
      <w:r w:rsidRPr="00FA41E2">
        <w:rPr>
          <w:rFonts w:ascii="Arial" w:hAnsi="Arial" w:cs="Arial"/>
        </w:rPr>
        <w:t xml:space="preserve">Stigma remains a significant barrier to recovery. Misunderstanding about bipolar disorder may result in discrimination within employment, education and personal relationships (Royal College of Psychiatrists, 2024). </w:t>
      </w:r>
      <w:r w:rsidR="00C85B3C" w:rsidRPr="00C85B3C">
        <w:rPr>
          <w:rFonts w:ascii="Arial" w:hAnsi="Arial" w:cs="Arial"/>
        </w:rPr>
        <w:t>People with bipolar disorder are often wrongly viewed as unpredictable or dangerous, despite evidence that many manage their condition effectively with appropriate treatment and support (British Psychological Society, 2010). Fear of being judged may also prevent individuals from seeking help, discussing their symptoms or continuing with treatment (World Health Organization, 2024).</w:t>
      </w:r>
      <w:r w:rsidR="00C85B3C">
        <w:rPr>
          <w:rFonts w:ascii="Arial" w:hAnsi="Arial" w:cs="Arial"/>
        </w:rPr>
        <w:t xml:space="preserve"> </w:t>
      </w:r>
      <w:r w:rsidRPr="00FA41E2">
        <w:rPr>
          <w:rFonts w:ascii="Arial" w:hAnsi="Arial" w:cs="Arial"/>
        </w:rPr>
        <w:t>Increasing public awareness, improving mental health education and reducing misconceptions are therefore essential to promoting earlier intervention and improving social inclusion (NHS, 2023).</w:t>
      </w:r>
      <w:r w:rsidR="00B61D6B">
        <w:rPr>
          <w:rFonts w:ascii="Arial" w:hAnsi="Arial" w:cs="Arial"/>
        </w:rPr>
        <w:t xml:space="preserve"> </w:t>
      </w:r>
    </w:p>
    <w:p w14:paraId="167F24E5" w14:textId="77777777" w:rsidR="00960583" w:rsidRPr="00FA41E2" w:rsidRDefault="00960583" w:rsidP="00FA41E2">
      <w:pPr>
        <w:pStyle w:val="Heading1"/>
        <w:rPr>
          <w:rFonts w:ascii="Arial" w:hAnsi="Arial" w:cs="Arial"/>
          <w:color w:val="auto"/>
          <w:sz w:val="22"/>
          <w:szCs w:val="22"/>
        </w:rPr>
      </w:pPr>
      <w:bookmarkStart w:id="15" w:name="_Toc235116761"/>
      <w:r w:rsidRPr="00FA41E2">
        <w:rPr>
          <w:rFonts w:ascii="Arial" w:hAnsi="Arial" w:cs="Arial"/>
          <w:color w:val="auto"/>
          <w:sz w:val="22"/>
          <w:szCs w:val="22"/>
        </w:rPr>
        <w:t>4. Recommendations</w:t>
      </w:r>
      <w:bookmarkEnd w:id="15"/>
    </w:p>
    <w:p w14:paraId="59E6A208" w14:textId="62A5F5D1" w:rsidR="00960583" w:rsidRPr="00FA41E2" w:rsidRDefault="00960583" w:rsidP="00960583">
      <w:pPr>
        <w:spacing w:line="360" w:lineRule="auto"/>
        <w:rPr>
          <w:rFonts w:ascii="Arial" w:hAnsi="Arial" w:cs="Arial"/>
        </w:rPr>
      </w:pPr>
      <w:r w:rsidRPr="00FA41E2">
        <w:rPr>
          <w:rFonts w:ascii="Arial" w:hAnsi="Arial" w:cs="Arial"/>
        </w:rPr>
        <w:t>Several improvements could strengthen the diagnosis and management of bipolar disorder. First, additional training should be provided for healthcare professionals in primary care to improve recognition of early symptoms, reducing the risk of delayed diagnosis and inappropriate treatment (NICE, 2023; Royal College of Psychiatrists, 2024). Second, access to psychological therapies should be expanded to ensure individuals receive timely support regardless of where they live, helping to reduce regional inequalities in mental health provision (British Psychological Society, 20</w:t>
      </w:r>
      <w:r w:rsidR="004176A7" w:rsidRPr="00FA41E2">
        <w:rPr>
          <w:rFonts w:ascii="Arial" w:hAnsi="Arial" w:cs="Arial"/>
        </w:rPr>
        <w:t>10</w:t>
      </w:r>
      <w:r w:rsidRPr="00FA41E2">
        <w:rPr>
          <w:rFonts w:ascii="Arial" w:hAnsi="Arial" w:cs="Arial"/>
        </w:rPr>
        <w:t xml:space="preserve">; NHS, 2023). Third, mental health services should continue adopting person-centred, recovery-focused approaches that combine medication with psychological and social interventions (World Health Organization, 2024). Finally, continued research into personalised treatments and digital mental health technologies may improve future outcomes while supporting more accessible and effective care (Malhi </w:t>
      </w:r>
      <w:r w:rsidRPr="00FA41E2">
        <w:rPr>
          <w:rFonts w:ascii="Arial" w:hAnsi="Arial" w:cs="Arial"/>
          <w:i/>
          <w:iCs/>
        </w:rPr>
        <w:t>et al</w:t>
      </w:r>
      <w:r w:rsidRPr="00FA41E2">
        <w:rPr>
          <w:rFonts w:ascii="Arial" w:hAnsi="Arial" w:cs="Arial"/>
        </w:rPr>
        <w:t>., 2021).</w:t>
      </w:r>
    </w:p>
    <w:p w14:paraId="7FE2FB92" w14:textId="77777777" w:rsidR="00960583" w:rsidRPr="00FA41E2" w:rsidRDefault="00960583" w:rsidP="00FA41E2">
      <w:pPr>
        <w:pStyle w:val="Heading1"/>
        <w:rPr>
          <w:rFonts w:ascii="Arial" w:hAnsi="Arial" w:cs="Arial"/>
          <w:color w:val="auto"/>
          <w:sz w:val="22"/>
          <w:szCs w:val="22"/>
        </w:rPr>
      </w:pPr>
      <w:bookmarkStart w:id="16" w:name="_Toc235116762"/>
      <w:r w:rsidRPr="00FA41E2">
        <w:rPr>
          <w:rFonts w:ascii="Arial" w:hAnsi="Arial" w:cs="Arial"/>
          <w:color w:val="auto"/>
          <w:sz w:val="22"/>
          <w:szCs w:val="22"/>
        </w:rPr>
        <w:t>5. Conclusion</w:t>
      </w:r>
      <w:bookmarkEnd w:id="16"/>
    </w:p>
    <w:p w14:paraId="41DA1B1B" w14:textId="5013E23B" w:rsidR="00960583" w:rsidRPr="00FA41E2" w:rsidRDefault="00C85B3C" w:rsidP="00960583">
      <w:pPr>
        <w:spacing w:line="360" w:lineRule="auto"/>
        <w:rPr>
          <w:rFonts w:ascii="Arial" w:hAnsi="Arial" w:cs="Arial"/>
        </w:rPr>
      </w:pPr>
      <w:r w:rsidRPr="00C85B3C">
        <w:rPr>
          <w:rFonts w:ascii="Arial" w:hAnsi="Arial" w:cs="Arial"/>
        </w:rPr>
        <w:t>Bipolar disorder is a complex mental health condition that can significantly affect emotional wellbeing, relationships and daily functioning.</w:t>
      </w:r>
      <w:r>
        <w:rPr>
          <w:rFonts w:ascii="Arial" w:hAnsi="Arial" w:cs="Arial"/>
        </w:rPr>
        <w:t xml:space="preserve"> </w:t>
      </w:r>
      <w:r w:rsidR="00960583" w:rsidRPr="00FA41E2">
        <w:rPr>
          <w:rFonts w:ascii="Arial" w:hAnsi="Arial" w:cs="Arial"/>
        </w:rPr>
        <w:t>The ICD-11 classification provides an important framework for diagnosis and supports consistent clinical practice, although diagnosis remains challenging because symptoms frequently overlap with other mental health conditions (World Health Organization, 2024; NICE, 2023).</w:t>
      </w:r>
    </w:p>
    <w:p w14:paraId="674EB971" w14:textId="079BD97F" w:rsidR="00960583" w:rsidRPr="00FA41E2" w:rsidRDefault="00960583" w:rsidP="00960583">
      <w:pPr>
        <w:spacing w:line="360" w:lineRule="auto"/>
        <w:rPr>
          <w:rFonts w:ascii="Arial" w:hAnsi="Arial" w:cs="Arial"/>
        </w:rPr>
      </w:pPr>
      <w:r w:rsidRPr="00FA41E2">
        <w:rPr>
          <w:rFonts w:ascii="Arial" w:hAnsi="Arial" w:cs="Arial"/>
        </w:rPr>
        <w:t xml:space="preserve">Evidence indicates that the most effective management combines medication, psychological therapies and long-term rehabilitation. While lithium remains the first-line treatment for many individuals, psychological support and community-based rehabilitation are equally important in promoting recovery and reducing relapse (Geddes and Miklowitz, 2013; Goodwin and Jamison, 2023). Nevertheless, ongoing challenges relating to diagnostic accuracy, </w:t>
      </w:r>
      <w:r w:rsidRPr="00FA41E2">
        <w:rPr>
          <w:rFonts w:ascii="Arial" w:hAnsi="Arial" w:cs="Arial"/>
        </w:rPr>
        <w:lastRenderedPageBreak/>
        <w:t>medication adherence, service accessibility and stigma continue to affect patient outcomes (Royal College of Psychiatrists, 2024; British Psychological Society, 20</w:t>
      </w:r>
      <w:r w:rsidR="004176A7" w:rsidRPr="00FA41E2">
        <w:rPr>
          <w:rFonts w:ascii="Arial" w:hAnsi="Arial" w:cs="Arial"/>
        </w:rPr>
        <w:t>10</w:t>
      </w:r>
      <w:r w:rsidRPr="00FA41E2">
        <w:rPr>
          <w:rFonts w:ascii="Arial" w:hAnsi="Arial" w:cs="Arial"/>
        </w:rPr>
        <w:t>).</w:t>
      </w:r>
    </w:p>
    <w:p w14:paraId="423FCA0B" w14:textId="4FF4B4B7" w:rsidR="00182F3D" w:rsidRPr="00FA41E2" w:rsidRDefault="00960583" w:rsidP="00960583">
      <w:pPr>
        <w:spacing w:line="360" w:lineRule="auto"/>
        <w:rPr>
          <w:rFonts w:ascii="Arial" w:hAnsi="Arial" w:cs="Arial"/>
        </w:rPr>
      </w:pPr>
      <w:r w:rsidRPr="00FA41E2">
        <w:rPr>
          <w:rFonts w:ascii="Arial" w:hAnsi="Arial" w:cs="Arial"/>
        </w:rPr>
        <w:t xml:space="preserve">Overall, bipolar disorder should be understood using a </w:t>
      </w:r>
      <w:r w:rsidRPr="00C85B3C">
        <w:rPr>
          <w:rFonts w:ascii="Arial" w:hAnsi="Arial" w:cs="Arial"/>
        </w:rPr>
        <w:t>biopsychosocial perspective</w:t>
      </w:r>
      <w:r w:rsidRPr="00FA41E2">
        <w:rPr>
          <w:rFonts w:ascii="Arial" w:hAnsi="Arial" w:cs="Arial"/>
        </w:rPr>
        <w:t xml:space="preserve"> that recognises biological, psychological and social influences on mental health. Continued investment in early diagnosis, integrated care and recovery-focused services will improve quality of life while enabling individuals with bipolar disorder to achieve greater independence and long-term wellbeing (World Health Organization, 2024; Malhi </w:t>
      </w:r>
      <w:r w:rsidRPr="00FA41E2">
        <w:rPr>
          <w:rFonts w:ascii="Arial" w:hAnsi="Arial" w:cs="Arial"/>
          <w:i/>
          <w:iCs/>
        </w:rPr>
        <w:t>et al</w:t>
      </w:r>
      <w:r w:rsidRPr="00FA41E2">
        <w:rPr>
          <w:rFonts w:ascii="Arial" w:hAnsi="Arial" w:cs="Arial"/>
        </w:rPr>
        <w:t>., 2021).</w:t>
      </w:r>
    </w:p>
    <w:p w14:paraId="0CAA2759" w14:textId="77777777" w:rsidR="00960583" w:rsidRDefault="00960583" w:rsidP="00FA41E2">
      <w:pPr>
        <w:pStyle w:val="Heading1"/>
        <w:rPr>
          <w:rFonts w:ascii="Arial" w:hAnsi="Arial" w:cs="Arial"/>
          <w:color w:val="auto"/>
          <w:sz w:val="22"/>
          <w:szCs w:val="22"/>
        </w:rPr>
      </w:pPr>
      <w:bookmarkStart w:id="17" w:name="_Toc235116763"/>
      <w:r w:rsidRPr="00FA41E2">
        <w:rPr>
          <w:rFonts w:ascii="Arial" w:hAnsi="Arial" w:cs="Arial"/>
          <w:color w:val="auto"/>
          <w:sz w:val="22"/>
          <w:szCs w:val="22"/>
        </w:rPr>
        <w:t>References</w:t>
      </w:r>
      <w:bookmarkEnd w:id="17"/>
    </w:p>
    <w:p w14:paraId="677F0810" w14:textId="77777777" w:rsidR="00E940C9" w:rsidRPr="00E940C9" w:rsidRDefault="00E940C9" w:rsidP="00E940C9"/>
    <w:p w14:paraId="59CFC827" w14:textId="2FB69E2C" w:rsidR="00866A93" w:rsidRPr="00FA41E2" w:rsidRDefault="00866A93" w:rsidP="00960583">
      <w:pPr>
        <w:spacing w:line="360" w:lineRule="auto"/>
        <w:rPr>
          <w:rFonts w:ascii="Arial" w:hAnsi="Arial" w:cs="Arial"/>
        </w:rPr>
      </w:pPr>
      <w:r w:rsidRPr="00FA41E2">
        <w:rPr>
          <w:rFonts w:ascii="Arial" w:hAnsi="Arial" w:cs="Arial"/>
        </w:rPr>
        <w:t xml:space="preserve">British Psychological Society (2010) </w:t>
      </w:r>
      <w:r w:rsidRPr="00FA41E2">
        <w:rPr>
          <w:rFonts w:ascii="Arial" w:hAnsi="Arial" w:cs="Arial"/>
          <w:i/>
          <w:iCs/>
        </w:rPr>
        <w:t>Understanding bipolar disorder: Why some people experience extreme mood states and what can help</w:t>
      </w:r>
      <w:r w:rsidRPr="00FA41E2">
        <w:rPr>
          <w:rFonts w:ascii="Arial" w:hAnsi="Arial" w:cs="Arial"/>
        </w:rPr>
        <w:t xml:space="preserve">. Leicester: British Psychological Society. Available at: </w:t>
      </w:r>
      <w:hyperlink r:id="rId9" w:tgtFrame="_new" w:history="1">
        <w:r w:rsidRPr="00FA41E2">
          <w:rPr>
            <w:rStyle w:val="Hyperlink"/>
            <w:rFonts w:ascii="Arial" w:hAnsi="Arial" w:cs="Arial"/>
            <w:color w:val="auto"/>
          </w:rPr>
          <w:t>https://research.manchester.ac.uk/en/publications/understanding-bipolar-disorder-why-some-people-experience-extreme</w:t>
        </w:r>
      </w:hyperlink>
      <w:r w:rsidRPr="00FA41E2">
        <w:rPr>
          <w:rFonts w:ascii="Arial" w:hAnsi="Arial" w:cs="Arial"/>
        </w:rPr>
        <w:t xml:space="preserve"> (Accessed: 10 July 2026). </w:t>
      </w:r>
    </w:p>
    <w:p w14:paraId="57CD2BF1" w14:textId="698621E9" w:rsidR="00960583" w:rsidRPr="00FA41E2" w:rsidRDefault="00960583" w:rsidP="00960583">
      <w:pPr>
        <w:spacing w:line="360" w:lineRule="auto"/>
        <w:rPr>
          <w:rFonts w:ascii="Arial" w:hAnsi="Arial" w:cs="Arial"/>
        </w:rPr>
      </w:pPr>
      <w:r w:rsidRPr="00FA41E2">
        <w:rPr>
          <w:rFonts w:ascii="Arial" w:hAnsi="Arial" w:cs="Arial"/>
        </w:rPr>
        <w:t>Carvalho, A.F., Firth, J. and Vieta, E. (2020) ‘</w:t>
      </w:r>
      <w:r w:rsidRPr="00FA41E2">
        <w:rPr>
          <w:rFonts w:ascii="Arial" w:hAnsi="Arial" w:cs="Arial"/>
          <w:i/>
          <w:iCs/>
        </w:rPr>
        <w:t>Bipolar disorder’,</w:t>
      </w:r>
      <w:r w:rsidRPr="00FA41E2">
        <w:rPr>
          <w:rFonts w:ascii="Arial" w:hAnsi="Arial" w:cs="Arial"/>
        </w:rPr>
        <w:t xml:space="preserve"> </w:t>
      </w:r>
      <w:r w:rsidRPr="00FA41E2">
        <w:rPr>
          <w:rFonts w:ascii="Arial" w:hAnsi="Arial" w:cs="Arial"/>
          <w:i/>
          <w:iCs/>
        </w:rPr>
        <w:t>New England Journal of Medicine</w:t>
      </w:r>
      <w:r w:rsidRPr="00FA41E2">
        <w:rPr>
          <w:rFonts w:ascii="Arial" w:hAnsi="Arial" w:cs="Arial"/>
        </w:rPr>
        <w:t>, 383(1), pp. 58–66.</w:t>
      </w:r>
    </w:p>
    <w:p w14:paraId="751BABF7" w14:textId="77777777" w:rsidR="00960583" w:rsidRPr="00FA41E2" w:rsidRDefault="00960583" w:rsidP="00960583">
      <w:pPr>
        <w:spacing w:line="360" w:lineRule="auto"/>
        <w:rPr>
          <w:rFonts w:ascii="Arial" w:hAnsi="Arial" w:cs="Arial"/>
        </w:rPr>
      </w:pPr>
      <w:r w:rsidRPr="00FA41E2">
        <w:rPr>
          <w:rFonts w:ascii="Arial" w:hAnsi="Arial" w:cs="Arial"/>
        </w:rPr>
        <w:t xml:space="preserve">Craddock, N. and Sklar, P. (2013) </w:t>
      </w:r>
      <w:r w:rsidRPr="00FA41E2">
        <w:rPr>
          <w:rFonts w:ascii="Arial" w:hAnsi="Arial" w:cs="Arial"/>
          <w:i/>
          <w:iCs/>
        </w:rPr>
        <w:t>‘Genetics of bipolar disorder’</w:t>
      </w:r>
      <w:r w:rsidRPr="00FA41E2">
        <w:rPr>
          <w:rFonts w:ascii="Arial" w:hAnsi="Arial" w:cs="Arial"/>
        </w:rPr>
        <w:t xml:space="preserve">, </w:t>
      </w:r>
      <w:r w:rsidRPr="00FA41E2">
        <w:rPr>
          <w:rFonts w:ascii="Arial" w:hAnsi="Arial" w:cs="Arial"/>
          <w:i/>
          <w:iCs/>
        </w:rPr>
        <w:t>The Lancet</w:t>
      </w:r>
      <w:r w:rsidRPr="00FA41E2">
        <w:rPr>
          <w:rFonts w:ascii="Arial" w:hAnsi="Arial" w:cs="Arial"/>
        </w:rPr>
        <w:t>, 381(9878), pp. 1654–1662.</w:t>
      </w:r>
    </w:p>
    <w:p w14:paraId="41A126C1" w14:textId="77777777" w:rsidR="00960583" w:rsidRPr="00FA41E2" w:rsidRDefault="00960583" w:rsidP="00960583">
      <w:pPr>
        <w:spacing w:line="360" w:lineRule="auto"/>
        <w:rPr>
          <w:rFonts w:ascii="Arial" w:hAnsi="Arial" w:cs="Arial"/>
        </w:rPr>
      </w:pPr>
      <w:r w:rsidRPr="00FA41E2">
        <w:rPr>
          <w:rFonts w:ascii="Arial" w:hAnsi="Arial" w:cs="Arial"/>
        </w:rPr>
        <w:t xml:space="preserve">Geddes, J.R. and Miklowitz, D.J. (2013) </w:t>
      </w:r>
      <w:r w:rsidRPr="00FA41E2">
        <w:rPr>
          <w:rFonts w:ascii="Arial" w:hAnsi="Arial" w:cs="Arial"/>
          <w:i/>
          <w:iCs/>
        </w:rPr>
        <w:t>‘Treatment of bipolar disorder’</w:t>
      </w:r>
      <w:r w:rsidRPr="00FA41E2">
        <w:rPr>
          <w:rFonts w:ascii="Arial" w:hAnsi="Arial" w:cs="Arial"/>
        </w:rPr>
        <w:t xml:space="preserve">, </w:t>
      </w:r>
      <w:r w:rsidRPr="00FA41E2">
        <w:rPr>
          <w:rFonts w:ascii="Arial" w:hAnsi="Arial" w:cs="Arial"/>
          <w:i/>
          <w:iCs/>
        </w:rPr>
        <w:t>The Lancet</w:t>
      </w:r>
      <w:r w:rsidRPr="00FA41E2">
        <w:rPr>
          <w:rFonts w:ascii="Arial" w:hAnsi="Arial" w:cs="Arial"/>
        </w:rPr>
        <w:t>, 381(9878), pp. 1672–1682.</w:t>
      </w:r>
    </w:p>
    <w:p w14:paraId="5E58960C" w14:textId="77777777" w:rsidR="00960583" w:rsidRPr="00FA41E2" w:rsidRDefault="00960583" w:rsidP="00960583">
      <w:pPr>
        <w:spacing w:line="360" w:lineRule="auto"/>
        <w:rPr>
          <w:rFonts w:ascii="Arial" w:hAnsi="Arial" w:cs="Arial"/>
        </w:rPr>
      </w:pPr>
      <w:r w:rsidRPr="00FA41E2">
        <w:rPr>
          <w:rFonts w:ascii="Arial" w:hAnsi="Arial" w:cs="Arial"/>
        </w:rPr>
        <w:t xml:space="preserve">Goodwin, F.K. and Jamison, K.R. (2023) </w:t>
      </w:r>
      <w:r w:rsidRPr="00FA41E2">
        <w:rPr>
          <w:rFonts w:ascii="Arial" w:hAnsi="Arial" w:cs="Arial"/>
          <w:i/>
          <w:iCs/>
        </w:rPr>
        <w:t>Manic-depressive illness: Bipolar disorders and recurrent depression</w:t>
      </w:r>
      <w:r w:rsidRPr="00FA41E2">
        <w:rPr>
          <w:rFonts w:ascii="Arial" w:hAnsi="Arial" w:cs="Arial"/>
        </w:rPr>
        <w:t xml:space="preserve">. 3rd </w:t>
      </w:r>
      <w:proofErr w:type="spellStart"/>
      <w:r w:rsidRPr="00FA41E2">
        <w:rPr>
          <w:rFonts w:ascii="Arial" w:hAnsi="Arial" w:cs="Arial"/>
        </w:rPr>
        <w:t>edn</w:t>
      </w:r>
      <w:proofErr w:type="spellEnd"/>
      <w:r w:rsidRPr="00FA41E2">
        <w:rPr>
          <w:rFonts w:ascii="Arial" w:hAnsi="Arial" w:cs="Arial"/>
        </w:rPr>
        <w:t>. Oxford: Oxford University Press.</w:t>
      </w:r>
    </w:p>
    <w:p w14:paraId="078145B2" w14:textId="77777777" w:rsidR="00960583" w:rsidRPr="00FA41E2" w:rsidRDefault="00960583" w:rsidP="00960583">
      <w:pPr>
        <w:spacing w:line="360" w:lineRule="auto"/>
        <w:rPr>
          <w:rFonts w:ascii="Arial" w:hAnsi="Arial" w:cs="Arial"/>
        </w:rPr>
      </w:pPr>
      <w:r w:rsidRPr="00FA41E2">
        <w:rPr>
          <w:rFonts w:ascii="Arial" w:hAnsi="Arial" w:cs="Arial"/>
        </w:rPr>
        <w:t xml:space="preserve">Grande, I., Berk, M., </w:t>
      </w:r>
      <w:proofErr w:type="spellStart"/>
      <w:r w:rsidRPr="00FA41E2">
        <w:rPr>
          <w:rFonts w:ascii="Arial" w:hAnsi="Arial" w:cs="Arial"/>
        </w:rPr>
        <w:t>Birmaher</w:t>
      </w:r>
      <w:proofErr w:type="spellEnd"/>
      <w:r w:rsidRPr="00FA41E2">
        <w:rPr>
          <w:rFonts w:ascii="Arial" w:hAnsi="Arial" w:cs="Arial"/>
        </w:rPr>
        <w:t>, B. and Vieta, E. (2016) ‘</w:t>
      </w:r>
      <w:proofErr w:type="gramStart"/>
      <w:r w:rsidRPr="00FA41E2">
        <w:rPr>
          <w:rFonts w:ascii="Arial" w:hAnsi="Arial" w:cs="Arial"/>
        </w:rPr>
        <w:t>Bipolar disorder</w:t>
      </w:r>
      <w:proofErr w:type="gramEnd"/>
      <w:r w:rsidRPr="00FA41E2">
        <w:rPr>
          <w:rFonts w:ascii="Arial" w:hAnsi="Arial" w:cs="Arial"/>
        </w:rPr>
        <w:t xml:space="preserve">’, </w:t>
      </w:r>
      <w:r w:rsidRPr="00FA41E2">
        <w:rPr>
          <w:rFonts w:ascii="Arial" w:hAnsi="Arial" w:cs="Arial"/>
          <w:i/>
          <w:iCs/>
        </w:rPr>
        <w:t>The Lancet</w:t>
      </w:r>
      <w:r w:rsidRPr="00FA41E2">
        <w:rPr>
          <w:rFonts w:ascii="Arial" w:hAnsi="Arial" w:cs="Arial"/>
        </w:rPr>
        <w:t>, 387(10027), pp. 1561–1572.</w:t>
      </w:r>
    </w:p>
    <w:p w14:paraId="055B7065" w14:textId="77777777" w:rsidR="00960583" w:rsidRPr="00FA41E2" w:rsidRDefault="00960583" w:rsidP="00960583">
      <w:pPr>
        <w:spacing w:line="360" w:lineRule="auto"/>
        <w:rPr>
          <w:rFonts w:ascii="Arial" w:hAnsi="Arial" w:cs="Arial"/>
        </w:rPr>
      </w:pPr>
      <w:r w:rsidRPr="00FA41E2">
        <w:rPr>
          <w:rFonts w:ascii="Arial" w:hAnsi="Arial" w:cs="Arial"/>
        </w:rPr>
        <w:t xml:space="preserve">Malhi, G.S., Bell, E., Boyce, P., Bassett, D., Berk, M., Bryant, R., Hazell, P., Hopwood, M., Lyndon, B., Mulder, R., Porter, R., Singh, A.B., Murray, G. and Ng, F. (2021) </w:t>
      </w:r>
      <w:r w:rsidRPr="00FA41E2">
        <w:rPr>
          <w:rFonts w:ascii="Arial" w:hAnsi="Arial" w:cs="Arial"/>
          <w:i/>
          <w:iCs/>
        </w:rPr>
        <w:t>‘The 2020 Royal Australian and New Zealand College of Psychiatrists clinical practice guidelines for mood disorders’,</w:t>
      </w:r>
      <w:r w:rsidRPr="00FA41E2">
        <w:rPr>
          <w:rFonts w:ascii="Arial" w:hAnsi="Arial" w:cs="Arial"/>
        </w:rPr>
        <w:t xml:space="preserve"> </w:t>
      </w:r>
      <w:r w:rsidRPr="00FA41E2">
        <w:rPr>
          <w:rFonts w:ascii="Arial" w:hAnsi="Arial" w:cs="Arial"/>
          <w:i/>
          <w:iCs/>
        </w:rPr>
        <w:t>Australian and New Zealand Journal of Psychiatry</w:t>
      </w:r>
      <w:r w:rsidRPr="00FA41E2">
        <w:rPr>
          <w:rFonts w:ascii="Arial" w:hAnsi="Arial" w:cs="Arial"/>
        </w:rPr>
        <w:t>, 55(1), pp. 7–117.</w:t>
      </w:r>
    </w:p>
    <w:p w14:paraId="1FF3850C" w14:textId="77777777" w:rsidR="00960583" w:rsidRPr="00FA41E2" w:rsidRDefault="00960583" w:rsidP="00960583">
      <w:pPr>
        <w:spacing w:line="360" w:lineRule="auto"/>
        <w:rPr>
          <w:rFonts w:ascii="Arial" w:hAnsi="Arial" w:cs="Arial"/>
        </w:rPr>
      </w:pPr>
      <w:r w:rsidRPr="00FA41E2">
        <w:rPr>
          <w:rFonts w:ascii="Arial" w:hAnsi="Arial" w:cs="Arial"/>
        </w:rPr>
        <w:t xml:space="preserve">Miklowitz, D.J. (2019) </w:t>
      </w:r>
      <w:r w:rsidRPr="00FA41E2">
        <w:rPr>
          <w:rFonts w:ascii="Arial" w:hAnsi="Arial" w:cs="Arial"/>
          <w:i/>
          <w:iCs/>
        </w:rPr>
        <w:t>The bipolar disorder survival guide: What you and your family need to know</w:t>
      </w:r>
      <w:r w:rsidRPr="00FA41E2">
        <w:rPr>
          <w:rFonts w:ascii="Arial" w:hAnsi="Arial" w:cs="Arial"/>
        </w:rPr>
        <w:t xml:space="preserve">. 3rd </w:t>
      </w:r>
      <w:proofErr w:type="spellStart"/>
      <w:r w:rsidRPr="00FA41E2">
        <w:rPr>
          <w:rFonts w:ascii="Arial" w:hAnsi="Arial" w:cs="Arial"/>
        </w:rPr>
        <w:t>edn</w:t>
      </w:r>
      <w:proofErr w:type="spellEnd"/>
      <w:r w:rsidRPr="00FA41E2">
        <w:rPr>
          <w:rFonts w:ascii="Arial" w:hAnsi="Arial" w:cs="Arial"/>
        </w:rPr>
        <w:t>. New York: Guilford Press.</w:t>
      </w:r>
    </w:p>
    <w:p w14:paraId="5C43D33B" w14:textId="77777777" w:rsidR="00960583" w:rsidRPr="00FA41E2" w:rsidRDefault="00960583" w:rsidP="00960583">
      <w:pPr>
        <w:spacing w:line="360" w:lineRule="auto"/>
        <w:rPr>
          <w:rFonts w:ascii="Arial" w:hAnsi="Arial" w:cs="Arial"/>
        </w:rPr>
      </w:pPr>
      <w:r w:rsidRPr="00FA41E2">
        <w:rPr>
          <w:rFonts w:ascii="Arial" w:hAnsi="Arial" w:cs="Arial"/>
        </w:rPr>
        <w:t xml:space="preserve">National Health Service (2023) </w:t>
      </w:r>
      <w:proofErr w:type="gramStart"/>
      <w:r w:rsidRPr="00FA41E2">
        <w:rPr>
          <w:rFonts w:ascii="Arial" w:hAnsi="Arial" w:cs="Arial"/>
          <w:i/>
          <w:iCs/>
        </w:rPr>
        <w:t>Bipolar disorder</w:t>
      </w:r>
      <w:proofErr w:type="gramEnd"/>
      <w:r w:rsidRPr="00FA41E2">
        <w:rPr>
          <w:rFonts w:ascii="Arial" w:hAnsi="Arial" w:cs="Arial"/>
        </w:rPr>
        <w:t xml:space="preserve">. Available at: </w:t>
      </w:r>
      <w:hyperlink r:id="rId10" w:tgtFrame="_new" w:history="1">
        <w:r w:rsidRPr="00FA41E2">
          <w:rPr>
            <w:rStyle w:val="Hyperlink"/>
            <w:rFonts w:ascii="Arial" w:hAnsi="Arial" w:cs="Arial"/>
            <w:color w:val="auto"/>
          </w:rPr>
          <w:t>https://www.nhs.uk/mental-health/conditions/bipolar-disorder/</w:t>
        </w:r>
      </w:hyperlink>
      <w:r w:rsidRPr="00FA41E2">
        <w:rPr>
          <w:rFonts w:ascii="Arial" w:hAnsi="Arial" w:cs="Arial"/>
        </w:rPr>
        <w:t xml:space="preserve"> (Accessed: 10 July 2026).</w:t>
      </w:r>
    </w:p>
    <w:p w14:paraId="310B6F47" w14:textId="77777777" w:rsidR="00960583" w:rsidRPr="00FA41E2" w:rsidRDefault="00960583" w:rsidP="00960583">
      <w:pPr>
        <w:spacing w:line="360" w:lineRule="auto"/>
        <w:rPr>
          <w:rFonts w:ascii="Arial" w:hAnsi="Arial" w:cs="Arial"/>
        </w:rPr>
      </w:pPr>
      <w:r w:rsidRPr="00FA41E2">
        <w:rPr>
          <w:rFonts w:ascii="Arial" w:hAnsi="Arial" w:cs="Arial"/>
        </w:rPr>
        <w:lastRenderedPageBreak/>
        <w:t xml:space="preserve">National Institute for Health and Care Excellence (2023) </w:t>
      </w:r>
      <w:proofErr w:type="gramStart"/>
      <w:r w:rsidRPr="00FA41E2">
        <w:rPr>
          <w:rFonts w:ascii="Arial" w:hAnsi="Arial" w:cs="Arial"/>
          <w:i/>
          <w:iCs/>
        </w:rPr>
        <w:t>Bipolar disorder</w:t>
      </w:r>
      <w:proofErr w:type="gramEnd"/>
      <w:r w:rsidRPr="00FA41E2">
        <w:rPr>
          <w:rFonts w:ascii="Arial" w:hAnsi="Arial" w:cs="Arial"/>
          <w:i/>
          <w:iCs/>
        </w:rPr>
        <w:t>: Assessment and management (CG185).</w:t>
      </w:r>
      <w:r w:rsidRPr="00FA41E2">
        <w:rPr>
          <w:rFonts w:ascii="Arial" w:hAnsi="Arial" w:cs="Arial"/>
        </w:rPr>
        <w:t xml:space="preserve"> Available at: </w:t>
      </w:r>
      <w:hyperlink r:id="rId11" w:tgtFrame="_new" w:history="1">
        <w:r w:rsidRPr="00FA41E2">
          <w:rPr>
            <w:rStyle w:val="Hyperlink"/>
            <w:rFonts w:ascii="Arial" w:hAnsi="Arial" w:cs="Arial"/>
            <w:color w:val="auto"/>
          </w:rPr>
          <w:t>https://www.nice.org.uk/guidance/cg185</w:t>
        </w:r>
      </w:hyperlink>
      <w:r w:rsidRPr="00FA41E2">
        <w:rPr>
          <w:rFonts w:ascii="Arial" w:hAnsi="Arial" w:cs="Arial"/>
        </w:rPr>
        <w:t xml:space="preserve"> (Accessed: 10 July 2026).</w:t>
      </w:r>
    </w:p>
    <w:p w14:paraId="1EB8BF67" w14:textId="2E8225AF" w:rsidR="00960583" w:rsidRPr="00FA41E2" w:rsidRDefault="00960583" w:rsidP="00960583">
      <w:pPr>
        <w:spacing w:line="360" w:lineRule="auto"/>
        <w:rPr>
          <w:rFonts w:ascii="Arial" w:hAnsi="Arial" w:cs="Arial"/>
        </w:rPr>
      </w:pPr>
      <w:r w:rsidRPr="00FA41E2">
        <w:rPr>
          <w:rFonts w:ascii="Arial" w:hAnsi="Arial" w:cs="Arial"/>
        </w:rPr>
        <w:t xml:space="preserve">Royal College of Psychiatrists (2024) </w:t>
      </w:r>
      <w:proofErr w:type="gramStart"/>
      <w:r w:rsidRPr="00FA41E2">
        <w:rPr>
          <w:rFonts w:ascii="Arial" w:hAnsi="Arial" w:cs="Arial"/>
          <w:i/>
          <w:iCs/>
        </w:rPr>
        <w:t>Bipolar disorder</w:t>
      </w:r>
      <w:proofErr w:type="gramEnd"/>
      <w:r w:rsidRPr="00FA41E2">
        <w:rPr>
          <w:rFonts w:ascii="Arial" w:hAnsi="Arial" w:cs="Arial"/>
        </w:rPr>
        <w:t xml:space="preserve">. Available at: </w:t>
      </w:r>
      <w:hyperlink r:id="rId12" w:history="1">
        <w:r w:rsidRPr="00FA41E2">
          <w:rPr>
            <w:rStyle w:val="Hyperlink"/>
            <w:rFonts w:ascii="Arial" w:hAnsi="Arial" w:cs="Arial"/>
            <w:color w:val="auto"/>
          </w:rPr>
          <w:t>https://www.rcpsych.ac.uk/mental-health/problems-disorders/bipolar-disorder</w:t>
        </w:r>
      </w:hyperlink>
      <w:r w:rsidRPr="00FA41E2">
        <w:rPr>
          <w:rFonts w:ascii="Arial" w:hAnsi="Arial" w:cs="Arial"/>
        </w:rPr>
        <w:t xml:space="preserve">  (Accessed: 10 July 2026).</w:t>
      </w:r>
    </w:p>
    <w:p w14:paraId="24344001" w14:textId="488568D3" w:rsidR="00960583" w:rsidRPr="00FA41E2" w:rsidRDefault="00866A93" w:rsidP="00960583">
      <w:pPr>
        <w:spacing w:line="360" w:lineRule="auto"/>
        <w:rPr>
          <w:rFonts w:ascii="Arial" w:hAnsi="Arial" w:cs="Arial"/>
        </w:rPr>
      </w:pPr>
      <w:r w:rsidRPr="00FA41E2">
        <w:rPr>
          <w:rFonts w:ascii="Arial" w:hAnsi="Arial" w:cs="Arial"/>
          <w:b/>
          <w:bCs/>
        </w:rPr>
        <w:t>World Health Organization (2024)</w:t>
      </w:r>
      <w:r w:rsidRPr="00FA41E2">
        <w:rPr>
          <w:rFonts w:ascii="Arial" w:hAnsi="Arial" w:cs="Arial"/>
        </w:rPr>
        <w:t xml:space="preserve"> </w:t>
      </w:r>
      <w:r w:rsidRPr="00FA41E2">
        <w:rPr>
          <w:rFonts w:ascii="Arial" w:hAnsi="Arial" w:cs="Arial"/>
          <w:i/>
          <w:iCs/>
        </w:rPr>
        <w:t>Clinical descriptions and diagnostic requirements for ICD-11 mental, behavioural and neurodevelopmental disorders</w:t>
      </w:r>
      <w:r w:rsidRPr="00FA41E2">
        <w:rPr>
          <w:rFonts w:ascii="Arial" w:hAnsi="Arial" w:cs="Arial"/>
        </w:rPr>
        <w:t xml:space="preserve">. Geneva: World Health Organization. Available at: </w:t>
      </w:r>
      <w:hyperlink r:id="rId13" w:history="1">
        <w:r w:rsidRPr="00FA41E2">
          <w:rPr>
            <w:rStyle w:val="Hyperlink"/>
            <w:rFonts w:ascii="Arial" w:hAnsi="Arial" w:cs="Arial"/>
            <w:color w:val="auto"/>
          </w:rPr>
          <w:t>https://www.who.int/publications/i/item/9789240077263</w:t>
        </w:r>
      </w:hyperlink>
      <w:r w:rsidRPr="00FA41E2">
        <w:rPr>
          <w:rFonts w:ascii="Arial" w:hAnsi="Arial" w:cs="Arial"/>
        </w:rPr>
        <w:t xml:space="preserve"> (Accessed: 10 July 2026). </w:t>
      </w:r>
    </w:p>
    <w:sectPr w:rsidR="00960583" w:rsidRPr="00FA41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DA677" w14:textId="77777777" w:rsidR="007C4A4F" w:rsidRDefault="007C4A4F" w:rsidP="00960583">
      <w:pPr>
        <w:spacing w:after="0" w:line="240" w:lineRule="auto"/>
      </w:pPr>
      <w:r>
        <w:separator/>
      </w:r>
    </w:p>
  </w:endnote>
  <w:endnote w:type="continuationSeparator" w:id="0">
    <w:p w14:paraId="2E5FC223" w14:textId="77777777" w:rsidR="007C4A4F" w:rsidRDefault="007C4A4F" w:rsidP="00960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6495E" w14:textId="77777777" w:rsidR="007C4A4F" w:rsidRDefault="007C4A4F" w:rsidP="00960583">
      <w:pPr>
        <w:spacing w:after="0" w:line="240" w:lineRule="auto"/>
      </w:pPr>
      <w:r>
        <w:separator/>
      </w:r>
    </w:p>
  </w:footnote>
  <w:footnote w:type="continuationSeparator" w:id="0">
    <w:p w14:paraId="00995D35" w14:textId="77777777" w:rsidR="007C4A4F" w:rsidRDefault="007C4A4F" w:rsidP="009605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25D"/>
    <w:rsid w:val="00164D01"/>
    <w:rsid w:val="00182F3D"/>
    <w:rsid w:val="001D2436"/>
    <w:rsid w:val="002A44A0"/>
    <w:rsid w:val="00395596"/>
    <w:rsid w:val="004176A7"/>
    <w:rsid w:val="005751EC"/>
    <w:rsid w:val="00577F8C"/>
    <w:rsid w:val="006E36F1"/>
    <w:rsid w:val="006F05A4"/>
    <w:rsid w:val="007C4A4F"/>
    <w:rsid w:val="00866A93"/>
    <w:rsid w:val="0091555F"/>
    <w:rsid w:val="00960583"/>
    <w:rsid w:val="00AC635D"/>
    <w:rsid w:val="00B61D6B"/>
    <w:rsid w:val="00C147E3"/>
    <w:rsid w:val="00C3496D"/>
    <w:rsid w:val="00C77035"/>
    <w:rsid w:val="00C8325D"/>
    <w:rsid w:val="00C85B3C"/>
    <w:rsid w:val="00D948ED"/>
    <w:rsid w:val="00DF3DE5"/>
    <w:rsid w:val="00E940C9"/>
    <w:rsid w:val="00FA4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17408"/>
  <w15:chartTrackingRefBased/>
  <w15:docId w15:val="{D6FA140A-0ABA-4EEA-BD3C-796A1C818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32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32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32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32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32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32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32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32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32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32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832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32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32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32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32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32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32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325D"/>
    <w:rPr>
      <w:rFonts w:eastAsiaTheme="majorEastAsia" w:cstheme="majorBidi"/>
      <w:color w:val="272727" w:themeColor="text1" w:themeTint="D8"/>
    </w:rPr>
  </w:style>
  <w:style w:type="paragraph" w:styleId="Title">
    <w:name w:val="Title"/>
    <w:basedOn w:val="Normal"/>
    <w:next w:val="Normal"/>
    <w:link w:val="TitleChar"/>
    <w:uiPriority w:val="10"/>
    <w:qFormat/>
    <w:rsid w:val="00C832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2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32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32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325D"/>
    <w:pPr>
      <w:spacing w:before="160"/>
      <w:jc w:val="center"/>
    </w:pPr>
    <w:rPr>
      <w:i/>
      <w:iCs/>
      <w:color w:val="404040" w:themeColor="text1" w:themeTint="BF"/>
    </w:rPr>
  </w:style>
  <w:style w:type="character" w:customStyle="1" w:styleId="QuoteChar">
    <w:name w:val="Quote Char"/>
    <w:basedOn w:val="DefaultParagraphFont"/>
    <w:link w:val="Quote"/>
    <w:uiPriority w:val="29"/>
    <w:rsid w:val="00C8325D"/>
    <w:rPr>
      <w:i/>
      <w:iCs/>
      <w:color w:val="404040" w:themeColor="text1" w:themeTint="BF"/>
    </w:rPr>
  </w:style>
  <w:style w:type="paragraph" w:styleId="ListParagraph">
    <w:name w:val="List Paragraph"/>
    <w:basedOn w:val="Normal"/>
    <w:uiPriority w:val="34"/>
    <w:qFormat/>
    <w:rsid w:val="00C8325D"/>
    <w:pPr>
      <w:ind w:left="720"/>
      <w:contextualSpacing/>
    </w:pPr>
  </w:style>
  <w:style w:type="character" w:styleId="IntenseEmphasis">
    <w:name w:val="Intense Emphasis"/>
    <w:basedOn w:val="DefaultParagraphFont"/>
    <w:uiPriority w:val="21"/>
    <w:qFormat/>
    <w:rsid w:val="00C8325D"/>
    <w:rPr>
      <w:i/>
      <w:iCs/>
      <w:color w:val="0F4761" w:themeColor="accent1" w:themeShade="BF"/>
    </w:rPr>
  </w:style>
  <w:style w:type="paragraph" w:styleId="IntenseQuote">
    <w:name w:val="Intense Quote"/>
    <w:basedOn w:val="Normal"/>
    <w:next w:val="Normal"/>
    <w:link w:val="IntenseQuoteChar"/>
    <w:uiPriority w:val="30"/>
    <w:qFormat/>
    <w:rsid w:val="00C832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325D"/>
    <w:rPr>
      <w:i/>
      <w:iCs/>
      <w:color w:val="0F4761" w:themeColor="accent1" w:themeShade="BF"/>
    </w:rPr>
  </w:style>
  <w:style w:type="character" w:styleId="IntenseReference">
    <w:name w:val="Intense Reference"/>
    <w:basedOn w:val="DefaultParagraphFont"/>
    <w:uiPriority w:val="32"/>
    <w:qFormat/>
    <w:rsid w:val="00C8325D"/>
    <w:rPr>
      <w:b/>
      <w:bCs/>
      <w:smallCaps/>
      <w:color w:val="0F4761" w:themeColor="accent1" w:themeShade="BF"/>
      <w:spacing w:val="5"/>
    </w:rPr>
  </w:style>
  <w:style w:type="paragraph" w:styleId="TOCHeading">
    <w:name w:val="TOC Heading"/>
    <w:basedOn w:val="Heading1"/>
    <w:next w:val="Normal"/>
    <w:uiPriority w:val="39"/>
    <w:unhideWhenUsed/>
    <w:qFormat/>
    <w:rsid w:val="00960583"/>
    <w:pPr>
      <w:spacing w:before="240" w:after="0"/>
      <w:outlineLvl w:val="9"/>
    </w:pPr>
    <w:rPr>
      <w:sz w:val="32"/>
      <w:szCs w:val="32"/>
      <w:lang w:eastAsia="en-GB"/>
    </w:rPr>
  </w:style>
  <w:style w:type="paragraph" w:styleId="TOC1">
    <w:name w:val="toc 1"/>
    <w:basedOn w:val="Normal"/>
    <w:next w:val="Normal"/>
    <w:autoRedefine/>
    <w:uiPriority w:val="39"/>
    <w:unhideWhenUsed/>
    <w:rsid w:val="00960583"/>
    <w:pPr>
      <w:spacing w:after="100"/>
    </w:pPr>
  </w:style>
  <w:style w:type="paragraph" w:styleId="TOC2">
    <w:name w:val="toc 2"/>
    <w:basedOn w:val="Normal"/>
    <w:next w:val="Normal"/>
    <w:autoRedefine/>
    <w:uiPriority w:val="39"/>
    <w:unhideWhenUsed/>
    <w:rsid w:val="00960583"/>
    <w:pPr>
      <w:spacing w:after="100"/>
      <w:ind w:left="220"/>
    </w:pPr>
  </w:style>
  <w:style w:type="character" w:styleId="Hyperlink">
    <w:name w:val="Hyperlink"/>
    <w:basedOn w:val="DefaultParagraphFont"/>
    <w:uiPriority w:val="99"/>
    <w:unhideWhenUsed/>
    <w:rsid w:val="00960583"/>
    <w:rPr>
      <w:color w:val="467886" w:themeColor="hyperlink"/>
      <w:u w:val="single"/>
    </w:rPr>
  </w:style>
  <w:style w:type="paragraph" w:styleId="Header">
    <w:name w:val="header"/>
    <w:basedOn w:val="Normal"/>
    <w:link w:val="HeaderChar"/>
    <w:uiPriority w:val="99"/>
    <w:unhideWhenUsed/>
    <w:rsid w:val="009605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0583"/>
  </w:style>
  <w:style w:type="paragraph" w:styleId="Footer">
    <w:name w:val="footer"/>
    <w:basedOn w:val="Normal"/>
    <w:link w:val="FooterChar"/>
    <w:uiPriority w:val="99"/>
    <w:unhideWhenUsed/>
    <w:rsid w:val="009605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0583"/>
  </w:style>
  <w:style w:type="character" w:styleId="UnresolvedMention">
    <w:name w:val="Unresolved Mention"/>
    <w:basedOn w:val="DefaultParagraphFont"/>
    <w:uiPriority w:val="99"/>
    <w:semiHidden/>
    <w:unhideWhenUsed/>
    <w:rsid w:val="00960583"/>
    <w:rPr>
      <w:color w:val="605E5C"/>
      <w:shd w:val="clear" w:color="auto" w:fill="E1DFDD"/>
    </w:rPr>
  </w:style>
  <w:style w:type="character" w:styleId="FollowedHyperlink">
    <w:name w:val="FollowedHyperlink"/>
    <w:basedOn w:val="DefaultParagraphFont"/>
    <w:uiPriority w:val="99"/>
    <w:semiHidden/>
    <w:unhideWhenUsed/>
    <w:rsid w:val="00960583"/>
    <w:rPr>
      <w:color w:val="96607D" w:themeColor="followedHyperlink"/>
      <w:u w:val="single"/>
    </w:rPr>
  </w:style>
  <w:style w:type="character" w:styleId="Strong">
    <w:name w:val="Strong"/>
    <w:basedOn w:val="DefaultParagraphFont"/>
    <w:uiPriority w:val="22"/>
    <w:qFormat/>
    <w:rsid w:val="00C147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iancasanfilippo\Library\Group%20Containers\UBF8T346G9.ms\WebArchiveCopyPasteTempFiles\com.microsoft.Word\UWTSD-Logo.jpg" TargetMode="External"/><Relationship Id="rId13" Type="http://schemas.openxmlformats.org/officeDocument/2006/relationships/hyperlink" Target="https://www.who.int/publications/i/item/9789240077263"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rcpsych.ac.uk/mental-health/problems-disorders/bipolar-disorde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ice.org.uk/guidance/cg18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hs.uk/mental-health/conditions/bipolar-disorder/" TargetMode="External"/><Relationship Id="rId4" Type="http://schemas.openxmlformats.org/officeDocument/2006/relationships/webSettings" Target="webSettings.xml"/><Relationship Id="rId9" Type="http://schemas.openxmlformats.org/officeDocument/2006/relationships/hyperlink" Target="https://research.manchester.ac.uk/en/publications/understanding-bipolar-disorder-why-some-people-experience-extrem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5C3639-8FC3-4A9D-A9B7-49D563932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3602</Words>
  <Characters>20536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Tetyana Tymkova (2337100)</dc:creator>
  <cp:keywords/>
  <dc:description/>
  <cp:lastModifiedBy>Tetyana Tymkova (2337100)</cp:lastModifiedBy>
  <cp:revision>8</cp:revision>
  <dcterms:created xsi:type="dcterms:W3CDTF">2026-07-10T12:49:00Z</dcterms:created>
  <dcterms:modified xsi:type="dcterms:W3CDTF">2026-07-16T17:19:00Z</dcterms:modified>
</cp:coreProperties>
</file>