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6DC10" w14:textId="1650F27F" w:rsidR="00F318F4" w:rsidRDefault="00F318F4" w:rsidP="00F318F4">
      <w:pPr>
        <w:spacing w:line="360" w:lineRule="auto"/>
        <w:jc w:val="both"/>
        <w:rPr>
          <w:b/>
          <w:bCs/>
        </w:rPr>
      </w:pPr>
      <w:r>
        <w:rPr>
          <w:b/>
          <w:bCs/>
        </w:rPr>
        <w:t xml:space="preserve">Essay 1 </w:t>
      </w:r>
    </w:p>
    <w:p w14:paraId="28CFA892" w14:textId="356D53DC" w:rsidR="00F318F4" w:rsidRPr="00F5447B" w:rsidRDefault="00F318F4" w:rsidP="00F318F4">
      <w:pPr>
        <w:spacing w:line="360" w:lineRule="auto"/>
        <w:jc w:val="both"/>
        <w:rPr>
          <w:rFonts w:cstheme="minorHAnsi"/>
          <w:b/>
          <w:bCs/>
        </w:rPr>
      </w:pPr>
      <w:r w:rsidRPr="00F5447B">
        <w:rPr>
          <w:b/>
          <w:bCs/>
        </w:rPr>
        <w:t>How have past instances of police malpractice and misconduct influenced modern professional policing?</w:t>
      </w:r>
    </w:p>
    <w:p w14:paraId="4182AD73" w14:textId="77777777" w:rsidR="00F318F4" w:rsidRPr="002D1145" w:rsidRDefault="00F318F4" w:rsidP="00F318F4">
      <w:pPr>
        <w:spacing w:line="360" w:lineRule="auto"/>
        <w:jc w:val="both"/>
        <w:rPr>
          <w:rFonts w:cstheme="minorHAnsi"/>
        </w:rPr>
      </w:pPr>
      <w:r w:rsidRPr="002D1145">
        <w:rPr>
          <w:rFonts w:cstheme="minorHAnsi"/>
        </w:rPr>
        <w:t>Corruption, power abuse, and discriminatory practices have eroded public confidence in law enforcement, prompting calls for reform. As a result of high-profile instances of police malfeasance and negligence, for instance, the 1981 Brixton Riot, which led to the implementation of new laws such as The Police and Criminal Evidence Act (PACE), and the pros and cons of the new laws. This essay will discuss how past instances of police misconduct and misconduct have affected modern professional policing within the United Kingdom, focusing on significant changes and developments made to address these problems. Whilst arguing that the United Kingdom's response to police misconduct and malpractice has been shaped by political, social, and economic factors, as well as cultural and social influences and that ongoing efforts to promote professionalism, accountability, and transparency in policing are essential to maintaining the public's trust and confidence in law enforcement. This essay will explore the steps that governing bodies have taken to address past incidents, such as enacting new laws to provide a framework for police authority and accountability whilst performing their duties. The 1981 Brixton Riot was a violent confrontation between the police and the black community in London's Brixton neighbourhood as a result of a controversial stop-and-search policy that unfairly targeted the black population, especially the youthful black community. The riots resulted in fatalities, severe injuries, and extensive property damage over the span of several days. The Brixton Riot revealed entrenched racial inequalities, resulting in calls for reform and government measures to improve the lives of black people in Britain. The disturbances, however, serve as a reminder of the ongoing fight for racial equality (Briggs, 2012). The University of Leicester hosted a conference in April 1982, one year after the Brixton riots, to debate Lord Scarman's diagnoses and recommendations. Nonetheless, there have been consequences of Lord Scarman's report being published. The Report identified and emphasised specific issues caused by the disorders. There is widespread agreement that inner city issues and unemployment must be addressed as "good policing will be ineffective unless we also address and eliminate basic flaws in our society." There appears to be a consensus that bigotry and discrimination must be adopted and eliminated (</w:t>
      </w:r>
      <w:proofErr w:type="spellStart"/>
      <w:r w:rsidRPr="002D1145">
        <w:rPr>
          <w:rFonts w:cstheme="minorHAnsi"/>
        </w:rPr>
        <w:t>Benyon</w:t>
      </w:r>
      <w:proofErr w:type="spellEnd"/>
      <w:r w:rsidRPr="002D1145">
        <w:rPr>
          <w:rFonts w:cstheme="minorHAnsi"/>
        </w:rPr>
        <w:t xml:space="preserve">, 1984) The Scarman report, commissioned in the wake of the disturbance, emphasised the significance of police reform and accountability, resulting in the 1984 passage of the Police and Criminal Evidence Act (PACE) (Hargreaves &amp; Levenson, 1985). PACE is intended to enhance police-community relations, increase police accountability, and safeguard the rights of individuals during police investigations. PACE provides a </w:t>
      </w:r>
      <w:r w:rsidRPr="002D1145">
        <w:rPr>
          <w:rFonts w:cstheme="minorHAnsi"/>
        </w:rPr>
        <w:lastRenderedPageBreak/>
        <w:t xml:space="preserve">framework for police investigations that ensures the protection of individual rights, which is an advantage. Seven PACE regulations encompass different aspects of the PACE regulations. The Act outlines the investigative police powers of arrest, detention, questioning, entry and search of premises, and personal search. </w:t>
      </w:r>
      <w:proofErr w:type="spellStart"/>
      <w:r w:rsidRPr="002D1145">
        <w:rPr>
          <w:rFonts w:cstheme="minorHAnsi"/>
        </w:rPr>
        <w:t>Coliandris</w:t>
      </w:r>
      <w:proofErr w:type="spellEnd"/>
      <w:r w:rsidRPr="002D1145">
        <w:rPr>
          <w:rFonts w:cstheme="minorHAnsi"/>
        </w:rPr>
        <w:t xml:space="preserve"> (2014) believes that the purpose of the Act is to strike a balance between the authority of those in charge and the liberties of PACE Codes of Practice members. Although Card (2017) argues that The PACE regulation specifies a number of disadvantages of PACE. For instance, research from Jefferson (2012) indicates that stop, and search remains one of the most controversial police powers in England and Wales, despite recent declines in its use.</w:t>
      </w:r>
    </w:p>
    <w:p w14:paraId="4D44E866" w14:textId="77777777" w:rsidR="00F318F4" w:rsidRPr="002D1145" w:rsidRDefault="00F318F4" w:rsidP="00F318F4">
      <w:pPr>
        <w:spacing w:line="360" w:lineRule="auto"/>
        <w:jc w:val="both"/>
        <w:rPr>
          <w:rFonts w:cstheme="minorHAnsi"/>
        </w:rPr>
      </w:pPr>
      <w:r w:rsidRPr="002D1145">
        <w:rPr>
          <w:rFonts w:cstheme="minorHAnsi"/>
        </w:rPr>
        <w:t xml:space="preserve">Nevertheless, Reference states that there has been a startling lack of research evaluating its effectiveness in reducing crime until recently. </w:t>
      </w:r>
      <w:proofErr w:type="spellStart"/>
      <w:r w:rsidRPr="002D1145">
        <w:rPr>
          <w:rFonts w:cstheme="minorHAnsi"/>
        </w:rPr>
        <w:t>Tiratelli</w:t>
      </w:r>
      <w:proofErr w:type="spellEnd"/>
      <w:r w:rsidRPr="002D1145">
        <w:rPr>
          <w:rFonts w:cstheme="minorHAnsi"/>
        </w:rPr>
        <w:t xml:space="preserve"> (2018) believes that stop and search have no effect on crime and are likely to be minimal at best. Further research appears to support this conclusion. For instance, Lennon and Murray (2018) questions the efficacy of stop and search cannot be considered in isolation from the larger issues surrounding the power: social and cultural understandings of what police are for; and a clear-eyed view of the impact policing has on the individuals and communities it affects. Six separate English agencies implemented a one-day pilot training programme on ethnic and racial bias in the use of stop and search powers using a </w:t>
      </w:r>
      <w:proofErr w:type="spellStart"/>
      <w:r w:rsidRPr="002D1145">
        <w:rPr>
          <w:rFonts w:cstheme="minorHAnsi"/>
        </w:rPr>
        <w:t>randomised</w:t>
      </w:r>
      <w:proofErr w:type="spellEnd"/>
      <w:r w:rsidRPr="002D1145">
        <w:rPr>
          <w:rFonts w:cstheme="minorHAnsi"/>
        </w:rPr>
        <w:t xml:space="preserve"> controlled trial. (Miller et al., 2020). Miller suggests that the training would reduce officer bias by increasing their capacity to apply valid criteria to investigation decisions and decreasing their reliance on racial and ethnic stereotypes. The training enhanced officers' knowledge of stop and search laws, made them more selective in hypothetical search intentions, and decreased their support for ethnic and racial stereotyping in policing, according to the results of a survey. Even without training, there was no evidence of bias against black individuals. According to police search records, training had no discernible effect on documented street-level behaviour regarding the frequency of searches, the intensity of reasons for suspicion, or their racial and ethnic patterning. This discussion concludes by highlighting the significant impact instances of police malfeasance and malpractice have had on contemporary professional policing in the United Kingdom. Specifically, the 1981 Brixton Riot exposed entrenched racial inequalities, prompting government efforts to enhance the lives of black people in Britain and the passage of new laws such as the Police and Criminal Evidence Act (PACE). While PACE has provided a framework for police investigations that guarantees the protection of individual rights, it is important to recognise potential drawbacks such as the controversial stop-and-search powers, which have been </w:t>
      </w:r>
      <w:proofErr w:type="spellStart"/>
      <w:r w:rsidRPr="002D1145">
        <w:rPr>
          <w:rFonts w:cstheme="minorHAnsi"/>
        </w:rPr>
        <w:t>criticised</w:t>
      </w:r>
      <w:proofErr w:type="spellEnd"/>
      <w:r w:rsidRPr="002D1145">
        <w:rPr>
          <w:rFonts w:cstheme="minorHAnsi"/>
        </w:rPr>
        <w:t xml:space="preserve"> for having a discriminatory effect on certain communities. Continuing efforts to promote professionalism, accountability, and transparency in policing, such as </w:t>
      </w:r>
      <w:proofErr w:type="spellStart"/>
      <w:r w:rsidRPr="002D1145">
        <w:rPr>
          <w:rFonts w:cstheme="minorHAnsi"/>
        </w:rPr>
        <w:t>randomised</w:t>
      </w:r>
      <w:proofErr w:type="spellEnd"/>
      <w:r w:rsidRPr="002D1145">
        <w:rPr>
          <w:rFonts w:cstheme="minorHAnsi"/>
        </w:rPr>
        <w:t xml:space="preserve"> controlled trials to evaluate training programs on reducing ethnic and racial bias in the use of stop-and-frisk powers, </w:t>
      </w:r>
      <w:r w:rsidRPr="002D1145">
        <w:rPr>
          <w:rFonts w:cstheme="minorHAnsi"/>
        </w:rPr>
        <w:lastRenderedPageBreak/>
        <w:t>are crucial to maintaining the public's confidence and trust in law enforcement. Continue to consider the political, social, and economic factors that influence the United Kingdom's response to police malfeasance and misconduct, and work to ensure that everyone is treated fairly and justly by law enforcement</w:t>
      </w:r>
      <w:r>
        <w:rPr>
          <w:rFonts w:cstheme="minorHAnsi"/>
        </w:rPr>
        <w:t>.</w:t>
      </w:r>
    </w:p>
    <w:p w14:paraId="0BDBC5CF" w14:textId="77777777" w:rsidR="00F318F4" w:rsidRDefault="00F318F4"/>
    <w:p w14:paraId="02464278" w14:textId="77777777" w:rsidR="00F318F4" w:rsidRDefault="00F318F4"/>
    <w:p w14:paraId="68EAAB06" w14:textId="77777777" w:rsidR="00F318F4" w:rsidRDefault="00F318F4"/>
    <w:p w14:paraId="2F92AE69" w14:textId="77777777" w:rsidR="00F318F4" w:rsidRDefault="00F318F4"/>
    <w:p w14:paraId="28FA383B" w14:textId="77777777" w:rsidR="00F318F4" w:rsidRDefault="00F318F4"/>
    <w:p w14:paraId="5621613C" w14:textId="77777777" w:rsidR="00F318F4" w:rsidRDefault="00F318F4"/>
    <w:p w14:paraId="5690C333" w14:textId="77777777" w:rsidR="00F318F4" w:rsidRDefault="00F318F4"/>
    <w:p w14:paraId="54BABC76" w14:textId="77777777" w:rsidR="00F318F4" w:rsidRDefault="00F318F4"/>
    <w:p w14:paraId="25AACBFD" w14:textId="77777777" w:rsidR="00F318F4" w:rsidRDefault="00F318F4"/>
    <w:p w14:paraId="209CA9F1" w14:textId="77777777" w:rsidR="00F318F4" w:rsidRDefault="00F318F4"/>
    <w:p w14:paraId="1530E0BF" w14:textId="77777777" w:rsidR="00F318F4" w:rsidRDefault="00F318F4"/>
    <w:p w14:paraId="72A9CAA3" w14:textId="77777777" w:rsidR="00F318F4" w:rsidRDefault="00F318F4"/>
    <w:p w14:paraId="1C71F7C3" w14:textId="77777777" w:rsidR="00F318F4" w:rsidRDefault="00F318F4"/>
    <w:p w14:paraId="76EF008A" w14:textId="77777777" w:rsidR="00F318F4" w:rsidRDefault="00F318F4"/>
    <w:p w14:paraId="498939BB" w14:textId="77777777" w:rsidR="00F318F4" w:rsidRDefault="00F318F4"/>
    <w:p w14:paraId="1F54860F" w14:textId="77777777" w:rsidR="00F318F4" w:rsidRDefault="00F318F4"/>
    <w:p w14:paraId="22738EA9" w14:textId="77777777" w:rsidR="00F318F4" w:rsidRDefault="00F318F4"/>
    <w:p w14:paraId="6BE8C361" w14:textId="77777777" w:rsidR="00F318F4" w:rsidRDefault="00F318F4"/>
    <w:p w14:paraId="16C85C6C" w14:textId="77777777" w:rsidR="00F318F4" w:rsidRDefault="00F318F4"/>
    <w:p w14:paraId="32C47E66" w14:textId="77777777" w:rsidR="00F318F4" w:rsidRDefault="00F318F4"/>
    <w:p w14:paraId="11EE3D4A" w14:textId="77777777" w:rsidR="00F318F4" w:rsidRDefault="00F318F4"/>
    <w:p w14:paraId="7325955C" w14:textId="77777777" w:rsidR="00F318F4" w:rsidRDefault="00F318F4"/>
    <w:p w14:paraId="40330E21" w14:textId="77777777" w:rsidR="00F318F4" w:rsidRDefault="00F318F4"/>
    <w:p w14:paraId="22679A36" w14:textId="77777777" w:rsidR="00F318F4" w:rsidRDefault="00F318F4"/>
    <w:p w14:paraId="728A13B0" w14:textId="77777777" w:rsidR="00F318F4" w:rsidRDefault="00F318F4"/>
    <w:p w14:paraId="7A3B1A94" w14:textId="2EC83B3F" w:rsidR="00F318F4" w:rsidRDefault="00F318F4"/>
    <w:p w14:paraId="5533C40B" w14:textId="657483CD" w:rsidR="00F318F4" w:rsidRDefault="00F318F4">
      <w:pPr>
        <w:rPr>
          <w:b/>
          <w:bCs/>
        </w:rPr>
      </w:pPr>
      <w:r w:rsidRPr="00F318F4">
        <w:rPr>
          <w:b/>
          <w:bCs/>
        </w:rPr>
        <w:lastRenderedPageBreak/>
        <w:t xml:space="preserve">Essay 2 </w:t>
      </w:r>
    </w:p>
    <w:p w14:paraId="2DC3A5AD" w14:textId="77777777" w:rsidR="00F318F4" w:rsidRDefault="00F318F4" w:rsidP="00F318F4">
      <w:pPr>
        <w:spacing w:line="360" w:lineRule="auto"/>
        <w:jc w:val="both"/>
        <w:rPr>
          <w:rFonts w:cstheme="minorHAnsi"/>
          <w:b/>
          <w:bCs/>
        </w:rPr>
      </w:pPr>
      <w:r>
        <w:rPr>
          <w:b/>
          <w:bCs/>
        </w:rPr>
        <w:t>How does media coverage affect policing strategies in relation to public protection incidents?</w:t>
      </w:r>
    </w:p>
    <w:p w14:paraId="45B7AA6D" w14:textId="77777777" w:rsidR="00F318F4" w:rsidRDefault="00F318F4" w:rsidP="00F318F4">
      <w:pPr>
        <w:spacing w:line="360" w:lineRule="auto"/>
        <w:jc w:val="both"/>
        <w:rPr>
          <w:rFonts w:cstheme="minorHAnsi"/>
        </w:rPr>
      </w:pPr>
      <w:r>
        <w:rPr>
          <w:rFonts w:cstheme="minorHAnsi"/>
        </w:rPr>
        <w:t xml:space="preserve">In recent years, there has been an increase in media coverage of public protection incidents in the United Kingdom. News outlets provide extensive coverage of incidents involving the police and the public, resulting in increased public awareness. This media coverage can have a significant impact on police strategies and responses to incidents requiring public protection. This essay will provide several examples of how media coverage has affected policing strategies, as well as explain why it is crucial to consider both the positive and negative effects of media coverage on policing strategies. High media attention can bring to light deficiencies and initiate the process of enhancing police public protection strategies. Stephen Lawrence's case is one of the most prominent examples of media attention leading to police reform. Stephen was a young black man who was stabbed to death by white supremacists in 1993, an event that received extensive media coverage (Lea, 2013). After years of campaigning by Stephen's parents and intense media pressure, the then-home secretary commissioned an investigation that resulted in the Macpherson report. The report highlighted institutional racism within the force and recommended a number of changes, such as increasing diversity within the force, that would enable the police force to </w:t>
      </w:r>
      <w:proofErr w:type="gramStart"/>
      <w:r>
        <w:rPr>
          <w:rFonts w:cstheme="minorHAnsi"/>
        </w:rPr>
        <w:t>more accurately reflect the community</w:t>
      </w:r>
      <w:proofErr w:type="gramEnd"/>
      <w:r>
        <w:rPr>
          <w:rFonts w:cstheme="minorHAnsi"/>
        </w:rPr>
        <w:t xml:space="preserve"> it serves. This may foster increased empathy between police and the general public. According to Ely and Thomas (2001), diversity promotes integration, learning, and increased job satisfaction. In addition, an independent police complaints commission was established to investigate and supervise police complaints (Lea, 2013). However, negative publicity can spread quicker and further, potentially affecting police officers' morale and confidence. Negative media coverage can have a ripple effect and diminish the confidence of excellent officers (Nix and Wolf, 2017). In the case of Wayne </w:t>
      </w:r>
      <w:proofErr w:type="spellStart"/>
      <w:r>
        <w:rPr>
          <w:rFonts w:cstheme="minorHAnsi"/>
        </w:rPr>
        <w:t>Couzens</w:t>
      </w:r>
      <w:proofErr w:type="spellEnd"/>
      <w:r>
        <w:rPr>
          <w:rFonts w:cstheme="minorHAnsi"/>
        </w:rPr>
        <w:t xml:space="preserve">, for instance, a woman was arrested, assaulted, and murdered. The negative publicity may affect the morale of police officers, despite the fact that lessons can be learned to help improve the force, such as enhanced screening procedures. Negative publicity can have a greater impact on policing strategies than positive publicity (Hornik et al., 2015). The media frequently </w:t>
      </w:r>
      <w:proofErr w:type="spellStart"/>
      <w:proofErr w:type="gramStart"/>
      <w:r>
        <w:rPr>
          <w:rFonts w:cstheme="minorHAnsi"/>
        </w:rPr>
        <w:t>emphasises</w:t>
      </w:r>
      <w:proofErr w:type="spellEnd"/>
      <w:r>
        <w:rPr>
          <w:rFonts w:cstheme="minorHAnsi"/>
        </w:rPr>
        <w:t xml:space="preserve"> on</w:t>
      </w:r>
      <w:proofErr w:type="gramEnd"/>
      <w:r>
        <w:rPr>
          <w:rFonts w:cstheme="minorHAnsi"/>
        </w:rPr>
        <w:t xml:space="preserve"> negative stories. The vast majority of police officers protect the public, but their accomplishments are rarely widely </w:t>
      </w:r>
      <w:proofErr w:type="spellStart"/>
      <w:r>
        <w:rPr>
          <w:rFonts w:cstheme="minorHAnsi"/>
        </w:rPr>
        <w:t>publicised</w:t>
      </w:r>
      <w:proofErr w:type="spellEnd"/>
      <w:r>
        <w:rPr>
          <w:rFonts w:cstheme="minorHAnsi"/>
        </w:rPr>
        <w:t xml:space="preserve"> in the media. On the other hand, negative incidents involving the police and the general public are extensively reported, leading to public scrutiny and the need for policing improvements. Social media has had a significant impact on society, with the majority of the developed world having immediate access to new developments and the ability to share information with the general population. Social media is an effective instrument for locating missing persons because it can rapidly disseminate information to a large </w:t>
      </w:r>
      <w:r>
        <w:rPr>
          <w:rFonts w:cstheme="minorHAnsi"/>
        </w:rPr>
        <w:lastRenderedPageBreak/>
        <w:t xml:space="preserve">audience. There have been studies conducted to enhance police sharing of missing person information on social media platforms (Ferguson and Soave, 202). The use of social media in law enforcement can increase public engagement and trust and aid in the search for missing persons. Although this essay has focused on cases with high media attention, cases with little or no media attention may have the opposite effect, such as diverting resources away from similar cases with less public pressure to resolve. Consequently, it is essential to consider the significance of media coverage in policing strategies, as well as its impact on resource allocation and public perception of policing. The media can also influence public opinion, which can affect police responses to incidents involving public safety. It is also important to note that the effect of media coverage on policing strategies varies depending on the situation and the incident being reported. For instance, incidents involving terrorism or mass shootings may receive more media coverage and have a different effect on policing strategies than incidents involving routine criminal activity. Consequently, it is essential for law enforcement agencies to be flexible and adaptable in their approach to incidents involving public protection, </w:t>
      </w:r>
      <w:proofErr w:type="gramStart"/>
      <w:r>
        <w:rPr>
          <w:rFonts w:cstheme="minorHAnsi"/>
        </w:rPr>
        <w:t>taking into account</w:t>
      </w:r>
      <w:proofErr w:type="gramEnd"/>
      <w:r>
        <w:rPr>
          <w:rFonts w:cstheme="minorHAnsi"/>
        </w:rPr>
        <w:t xml:space="preserve"> the unique context and circumstances of each case. In conclusion, media coverage of incidents involving public protection in the United Kingdom can have both positive and negative effects on policing strategies. Negative publicity can have a negative effect on the morale and confidence of police officers, despite the fact that heightened media attention can highlight flaws and contribute to improvements. Social media can be an effective instrument for disseminating information and assisting law enforcement, but it requires careful management to ensure that only accurate information is shared and that public perceptions are not negatively impacted. In order to effectively navigate this dynamic landscape, law enforcement agencies must be proactive in their engagement with the media and adaptable in their approach to public protection incidents.</w:t>
      </w:r>
    </w:p>
    <w:p w14:paraId="3211E380" w14:textId="77777777" w:rsidR="00F318F4" w:rsidRDefault="00F318F4" w:rsidP="00F318F4">
      <w:pPr>
        <w:spacing w:line="360" w:lineRule="auto"/>
        <w:jc w:val="both"/>
        <w:rPr>
          <w:rFonts w:eastAsia="Times New Roman" w:cstheme="minorHAnsi"/>
          <w:b/>
          <w:bCs/>
          <w:color w:val="374151"/>
        </w:rPr>
      </w:pPr>
    </w:p>
    <w:p w14:paraId="73517F69" w14:textId="77777777" w:rsidR="00F318F4" w:rsidRDefault="00F318F4" w:rsidP="00F318F4">
      <w:pPr>
        <w:spacing w:line="360" w:lineRule="auto"/>
        <w:jc w:val="both"/>
        <w:rPr>
          <w:rFonts w:eastAsia="Times New Roman" w:cstheme="minorHAnsi"/>
          <w:b/>
          <w:bCs/>
          <w:color w:val="374151"/>
        </w:rPr>
      </w:pPr>
    </w:p>
    <w:p w14:paraId="1891DE27" w14:textId="77777777" w:rsidR="00F318F4" w:rsidRDefault="00F318F4" w:rsidP="00F318F4">
      <w:pPr>
        <w:spacing w:line="360" w:lineRule="auto"/>
        <w:jc w:val="both"/>
        <w:rPr>
          <w:rFonts w:eastAsia="Times New Roman" w:cstheme="minorHAnsi"/>
          <w:b/>
          <w:bCs/>
          <w:color w:val="374151"/>
        </w:rPr>
      </w:pPr>
    </w:p>
    <w:p w14:paraId="2F042D26" w14:textId="77777777" w:rsidR="00F318F4" w:rsidRDefault="00F318F4" w:rsidP="00F318F4">
      <w:pPr>
        <w:spacing w:line="360" w:lineRule="auto"/>
        <w:jc w:val="both"/>
        <w:rPr>
          <w:rFonts w:eastAsia="Times New Roman" w:cstheme="minorHAnsi"/>
          <w:b/>
          <w:bCs/>
          <w:color w:val="374151"/>
        </w:rPr>
      </w:pPr>
    </w:p>
    <w:p w14:paraId="4E44E05F" w14:textId="77777777" w:rsidR="00F318F4" w:rsidRDefault="00F318F4" w:rsidP="00F318F4">
      <w:pPr>
        <w:spacing w:line="360" w:lineRule="auto"/>
        <w:jc w:val="both"/>
        <w:rPr>
          <w:rFonts w:eastAsia="Times New Roman" w:cstheme="minorHAnsi"/>
          <w:b/>
          <w:bCs/>
          <w:color w:val="374151"/>
        </w:rPr>
      </w:pPr>
    </w:p>
    <w:p w14:paraId="436086FC" w14:textId="77777777" w:rsidR="00F318F4" w:rsidRDefault="00F318F4" w:rsidP="00F318F4">
      <w:pPr>
        <w:spacing w:line="360" w:lineRule="auto"/>
        <w:jc w:val="both"/>
        <w:rPr>
          <w:rFonts w:eastAsia="Times New Roman" w:cstheme="minorHAnsi"/>
          <w:b/>
          <w:bCs/>
          <w:color w:val="374151"/>
        </w:rPr>
      </w:pPr>
    </w:p>
    <w:p w14:paraId="69274FA8" w14:textId="77777777" w:rsidR="00F318F4" w:rsidRDefault="00F318F4" w:rsidP="00F318F4">
      <w:pPr>
        <w:spacing w:line="360" w:lineRule="auto"/>
        <w:jc w:val="both"/>
        <w:rPr>
          <w:rFonts w:eastAsia="Times New Roman" w:cstheme="minorHAnsi"/>
          <w:b/>
          <w:bCs/>
          <w:color w:val="374151"/>
        </w:rPr>
      </w:pPr>
    </w:p>
    <w:p w14:paraId="2427BF44" w14:textId="223C38C2" w:rsidR="00F318F4" w:rsidRDefault="00F318F4" w:rsidP="00F318F4">
      <w:pPr>
        <w:spacing w:line="360" w:lineRule="auto"/>
        <w:jc w:val="both"/>
        <w:rPr>
          <w:rFonts w:eastAsia="Times New Roman" w:cstheme="minorHAnsi"/>
          <w:b/>
          <w:bCs/>
          <w:color w:val="374151"/>
        </w:rPr>
      </w:pPr>
      <w:r>
        <w:rPr>
          <w:rFonts w:eastAsia="Times New Roman" w:cstheme="minorHAnsi"/>
          <w:b/>
          <w:bCs/>
          <w:color w:val="374151"/>
        </w:rPr>
        <w:lastRenderedPageBreak/>
        <w:t xml:space="preserve">Essay 3 </w:t>
      </w:r>
    </w:p>
    <w:p w14:paraId="6727A9C0" w14:textId="77777777" w:rsidR="00F318F4" w:rsidRDefault="00F318F4" w:rsidP="00F318F4">
      <w:pPr>
        <w:spacing w:line="360" w:lineRule="auto"/>
        <w:rPr>
          <w:rFonts w:cstheme="minorHAnsi"/>
          <w:b/>
          <w:bCs/>
          <w:color w:val="000000" w:themeColor="text1"/>
        </w:rPr>
      </w:pPr>
      <w:r>
        <w:rPr>
          <w:rFonts w:cstheme="minorHAnsi"/>
          <w:b/>
          <w:bCs/>
          <w:color w:val="000000" w:themeColor="text1"/>
        </w:rPr>
        <w:t>How effective is early intervention in preventing young people from offending, or re-offending?</w:t>
      </w:r>
    </w:p>
    <w:p w14:paraId="77A81153" w14:textId="77777777" w:rsidR="00F318F4" w:rsidRDefault="00F318F4" w:rsidP="00F318F4">
      <w:pPr>
        <w:spacing w:line="360" w:lineRule="auto"/>
        <w:jc w:val="both"/>
        <w:rPr>
          <w:rFonts w:cstheme="minorHAnsi"/>
          <w:color w:val="000000" w:themeColor="text1"/>
        </w:rPr>
      </w:pPr>
      <w:r>
        <w:rPr>
          <w:rFonts w:cstheme="minorHAnsi"/>
          <w:color w:val="000000" w:themeColor="text1"/>
        </w:rPr>
        <w:t xml:space="preserve">Young offenders, defined as children between the ages of 10 to 17, are treated differently from adults according to the law in the UK. As children develop, they may exhibit </w:t>
      </w:r>
      <w:proofErr w:type="spellStart"/>
      <w:r>
        <w:rPr>
          <w:rFonts w:cstheme="minorHAnsi"/>
          <w:color w:val="000000" w:themeColor="text1"/>
        </w:rPr>
        <w:t>misbehaviours</w:t>
      </w:r>
      <w:proofErr w:type="spellEnd"/>
      <w:r>
        <w:rPr>
          <w:rFonts w:cstheme="minorHAnsi"/>
          <w:color w:val="000000" w:themeColor="text1"/>
        </w:rPr>
        <w:t xml:space="preserve"> and learn what behaviours are acceptable or unacceptable in society. However, it is crucial to distinguish between minor behavioural problems that are a part of normal development and those that persist and may indicate a risk for future offending. Early warning signs such as disruptive behaviour, persistent tantrums, and a history of aggressive or inattentive behaviour in preschool can provide indicators for effective interventions. Interventions can be implemented at the family, school, and community levels, with various evidence-based programs and approaches being found effective. This essay will discuss the importance of early interventions in preventing youth from engaging in more serious offences in adulthood and mitigating the negative impacts on both society and the individual. It will also highlight effective interventions at different levels of the environment while acknowledging that some interventions may have limited effectiveness. Overall, addressing youth offending requires a multifaceted approach that considers developmental factors, early warning signs, and evidence-based interventions at various levels of the individual's environment. By investing in early interventions, we can promote positive outcomes and reduce youth offending in the UK. In the UK, a young offender is a child between the </w:t>
      </w:r>
      <w:proofErr w:type="gramStart"/>
      <w:r>
        <w:rPr>
          <w:rFonts w:cstheme="minorHAnsi"/>
          <w:color w:val="000000" w:themeColor="text1"/>
        </w:rPr>
        <w:t>age</w:t>
      </w:r>
      <w:proofErr w:type="gramEnd"/>
      <w:r>
        <w:rPr>
          <w:rFonts w:cstheme="minorHAnsi"/>
          <w:color w:val="000000" w:themeColor="text1"/>
        </w:rPr>
        <w:t xml:space="preserve"> of 10 to 17 and they are treated differently from adults (GOV.uk). A child </w:t>
      </w:r>
      <w:proofErr w:type="gramStart"/>
      <w:r>
        <w:rPr>
          <w:rFonts w:cstheme="minorHAnsi"/>
          <w:color w:val="000000" w:themeColor="text1"/>
        </w:rPr>
        <w:t>below</w:t>
      </w:r>
      <w:proofErr w:type="gramEnd"/>
      <w:r>
        <w:rPr>
          <w:rFonts w:cstheme="minorHAnsi"/>
          <w:color w:val="000000" w:themeColor="text1"/>
        </w:rPr>
        <w:t xml:space="preserve"> the age of 10 cannot be charged or arrested although other punishments exist such as local curfews (GOV.uk). Young offenders are 3 times more likely to be male. In addition, those who commit crimes when they are young are at a higher risk of committing more serious offences into adulthood. Findings of aggression particularly elevated in lowest income groups and affects children growing up in poverty.  Hence, it is important for early interventions as they can </w:t>
      </w:r>
      <w:proofErr w:type="gramStart"/>
      <w:r>
        <w:rPr>
          <w:rFonts w:cstheme="minorHAnsi"/>
          <w:color w:val="000000" w:themeColor="text1"/>
        </w:rPr>
        <w:t>have</w:t>
      </w:r>
      <w:proofErr w:type="gramEnd"/>
      <w:r>
        <w:rPr>
          <w:rFonts w:cstheme="minorHAnsi"/>
          <w:color w:val="000000" w:themeColor="text1"/>
        </w:rPr>
        <w:t xml:space="preserve"> those individuals from committing crimes and the downstream negative effects on society and that individual themselves (</w:t>
      </w:r>
      <w:proofErr w:type="spellStart"/>
      <w:r>
        <w:rPr>
          <w:rFonts w:cstheme="minorHAnsi"/>
          <w:color w:val="000000" w:themeColor="text1"/>
        </w:rPr>
        <w:t>Loeber</w:t>
      </w:r>
      <w:proofErr w:type="spellEnd"/>
      <w:r>
        <w:rPr>
          <w:rFonts w:cstheme="minorHAnsi"/>
          <w:color w:val="000000" w:themeColor="text1"/>
        </w:rPr>
        <w:t xml:space="preserve"> and Farrington 2000). In terms of the development of young offenders. All children may misbehave as they develop and tend to learn what behaviours are acceptable and unacceptable within society. It is important to distinguish between minor behavioural problems that are a part of normal development and those that continue. Although it is difficult to identify such individuals the development can occur over several years (Shinn, &amp; </w:t>
      </w:r>
      <w:proofErr w:type="spellStart"/>
      <w:r>
        <w:rPr>
          <w:rFonts w:cstheme="minorHAnsi"/>
          <w:color w:val="000000" w:themeColor="text1"/>
        </w:rPr>
        <w:t>Todis</w:t>
      </w:r>
      <w:proofErr w:type="spellEnd"/>
      <w:r>
        <w:rPr>
          <w:rFonts w:cstheme="minorHAnsi"/>
          <w:color w:val="000000" w:themeColor="text1"/>
        </w:rPr>
        <w:t>, 1988). Some early warning signs include disruptive behaviour more than what’s normal, tantrums that occur beyond 3 years old, history of aggressive inattentive behaviour in preschool (</w:t>
      </w:r>
      <w:proofErr w:type="spellStart"/>
      <w:r>
        <w:rPr>
          <w:rFonts w:cstheme="minorHAnsi"/>
          <w:color w:val="000000" w:themeColor="text1"/>
        </w:rPr>
        <w:t>Loeber</w:t>
      </w:r>
      <w:proofErr w:type="spellEnd"/>
      <w:r>
        <w:rPr>
          <w:rFonts w:cstheme="minorHAnsi"/>
          <w:color w:val="000000" w:themeColor="text1"/>
        </w:rPr>
        <w:t xml:space="preserve"> and Farrington 2000). Interventions can be at the family, school, and community levels. Ross et al., 2011 conducted a report on youth and early </w:t>
      </w:r>
      <w:r>
        <w:rPr>
          <w:rFonts w:cstheme="minorHAnsi"/>
          <w:color w:val="000000" w:themeColor="text1"/>
        </w:rPr>
        <w:lastRenderedPageBreak/>
        <w:t xml:space="preserve">interventions which found several programs to be effective. At the family level, these included behavioural parent training, which teaches parents to reward positive behaviours and punish negatives, which was most effective in smaller classes of children above age 10. Multisystemic therapy is an effective therapy which focuses on intense personalized home therapy; however, it tends to only be for high-risk individuals, it includes parental training, reducing association with negatively influential peers and child training. In terms of effective school interventions, reorganization of the class to group high-risk and disruptive pupils and including cognitive behaviour techniques as part of the curriculum. An example of an effective intervention at the community level includes after-school recreation and mentoring, which allows supportive, non-judgmental support and role models. Some interventions do no work such as surveillance and military-style boot camps. </w:t>
      </w:r>
      <w:r>
        <w:rPr>
          <w:rFonts w:cstheme="minorHAnsi"/>
        </w:rPr>
        <w:t>In conclusion, young offenders in the UK, defined as children between the ages of 10 to 17, are treated differently from adults according to the law. However, research has shown that early interventions are crucial in preventing youth from committing more serious offences in adulthood and mitigating the negative impacts on both society and the individual. Identifying early warning signs such as disruptive behaviour beyond what is considered normal, persistent tantrums beyond 3 years old, and a history of aggressive or inattentive behaviour in preschool can aid in effective interventions. Interventions can be implemented at the family, school, and community levels, with various programs and approaches being found effective, including behavioural parent training, multisystemic therapy, reorganization of classrooms, and after-school recreation and mentoring. However, it's important to note that some interventions, such as surveillance and military-style boot camps, have shown limited effectiveness. Overall, addressing the issue of youth offending requires a multifaceted approach that considers the developmental factors, early warning signs, and evidence-based interventions at various levels of the individual's environment. By investing in early interventions, we can help prevent youth from engaging in criminal behaviour and promote positive outcomes for both the individual and society as a whole.</w:t>
      </w:r>
    </w:p>
    <w:p w14:paraId="4F551C1C" w14:textId="7A43AB3E" w:rsidR="00F318F4" w:rsidRDefault="00F318F4" w:rsidP="00F318F4">
      <w:pPr>
        <w:spacing w:line="360" w:lineRule="auto"/>
        <w:jc w:val="both"/>
        <w:rPr>
          <w:rFonts w:eastAsia="Times New Roman" w:cstheme="minorHAnsi"/>
          <w:b/>
          <w:bCs/>
          <w:color w:val="374151"/>
        </w:rPr>
      </w:pPr>
    </w:p>
    <w:p w14:paraId="6E8EF3D8" w14:textId="77777777" w:rsidR="00F318F4" w:rsidRDefault="00F318F4" w:rsidP="00F318F4">
      <w:pPr>
        <w:spacing w:line="360" w:lineRule="auto"/>
        <w:jc w:val="both"/>
        <w:rPr>
          <w:rFonts w:eastAsia="Times New Roman" w:cstheme="minorHAnsi"/>
          <w:b/>
          <w:bCs/>
          <w:color w:val="374151"/>
        </w:rPr>
      </w:pPr>
    </w:p>
    <w:p w14:paraId="5787D3DA" w14:textId="77777777" w:rsidR="00F318F4" w:rsidRDefault="00F318F4" w:rsidP="00F318F4">
      <w:pPr>
        <w:spacing w:line="360" w:lineRule="auto"/>
        <w:jc w:val="both"/>
        <w:rPr>
          <w:rFonts w:eastAsia="Times New Roman" w:cstheme="minorHAnsi"/>
          <w:b/>
          <w:bCs/>
          <w:color w:val="374151"/>
        </w:rPr>
      </w:pPr>
    </w:p>
    <w:p w14:paraId="2DC078E7" w14:textId="77777777" w:rsidR="00F318F4" w:rsidRDefault="00F318F4" w:rsidP="00F318F4">
      <w:pPr>
        <w:spacing w:line="360" w:lineRule="auto"/>
        <w:jc w:val="both"/>
        <w:rPr>
          <w:rFonts w:eastAsia="Times New Roman" w:cstheme="minorHAnsi"/>
          <w:b/>
          <w:bCs/>
          <w:color w:val="374151"/>
        </w:rPr>
      </w:pPr>
    </w:p>
    <w:p w14:paraId="1252A7F7" w14:textId="77777777" w:rsidR="00F318F4" w:rsidRDefault="00F318F4" w:rsidP="00F318F4">
      <w:pPr>
        <w:spacing w:line="360" w:lineRule="auto"/>
        <w:jc w:val="both"/>
        <w:rPr>
          <w:rFonts w:eastAsia="Times New Roman" w:cstheme="minorHAnsi"/>
          <w:b/>
          <w:bCs/>
          <w:color w:val="374151"/>
        </w:rPr>
      </w:pPr>
    </w:p>
    <w:p w14:paraId="3ABECAA4" w14:textId="77777777" w:rsidR="00F318F4" w:rsidRDefault="00F318F4" w:rsidP="00F318F4">
      <w:pPr>
        <w:spacing w:line="360" w:lineRule="auto"/>
        <w:jc w:val="both"/>
        <w:rPr>
          <w:rFonts w:eastAsia="Times New Roman" w:cstheme="minorHAnsi"/>
          <w:b/>
          <w:bCs/>
          <w:color w:val="374151"/>
        </w:rPr>
      </w:pPr>
    </w:p>
    <w:p w14:paraId="72CD6944" w14:textId="415701FF" w:rsidR="00F318F4" w:rsidRPr="00FF21E3" w:rsidRDefault="00F318F4" w:rsidP="00FF21E3">
      <w:pPr>
        <w:spacing w:before="100" w:beforeAutospacing="1" w:after="0" w:line="360" w:lineRule="auto"/>
        <w:rPr>
          <w:rFonts w:eastAsia="Times New Roman" w:cstheme="minorHAnsi"/>
          <w:b/>
          <w:bCs/>
          <w:color w:val="000000"/>
        </w:rPr>
      </w:pPr>
      <w:r w:rsidRPr="00F318F4">
        <w:rPr>
          <w:rFonts w:eastAsia="Times New Roman" w:cstheme="minorHAnsi"/>
          <w:b/>
          <w:bCs/>
          <w:color w:val="000000"/>
        </w:rPr>
        <w:lastRenderedPageBreak/>
        <w:t>Reference</w:t>
      </w:r>
      <w:r w:rsidR="00FF21E3">
        <w:rPr>
          <w:rFonts w:eastAsia="Times New Roman" w:cstheme="minorHAnsi"/>
          <w:b/>
          <w:bCs/>
          <w:color w:val="000000"/>
        </w:rPr>
        <w:t>s</w:t>
      </w:r>
      <w:r w:rsidRPr="002D1145">
        <w:rPr>
          <w:rFonts w:eastAsia="Times New Roman" w:cstheme="minorHAnsi"/>
          <w:color w:val="000000"/>
        </w:rPr>
        <w:br/>
      </w:r>
      <w:proofErr w:type="spellStart"/>
      <w:r w:rsidRPr="00F318F4">
        <w:rPr>
          <w:rFonts w:eastAsia="Times New Roman" w:cstheme="minorHAnsi"/>
        </w:rPr>
        <w:t>Benyon</w:t>
      </w:r>
      <w:proofErr w:type="spellEnd"/>
      <w:r w:rsidRPr="00F318F4">
        <w:rPr>
          <w:rFonts w:eastAsia="Times New Roman" w:cstheme="minorHAnsi"/>
        </w:rPr>
        <w:t xml:space="preserve">, J. (1984). Scarman and after. In J. </w:t>
      </w:r>
      <w:proofErr w:type="spellStart"/>
      <w:r w:rsidRPr="00F318F4">
        <w:rPr>
          <w:rFonts w:eastAsia="Times New Roman" w:cstheme="minorHAnsi"/>
        </w:rPr>
        <w:t>Benyon</w:t>
      </w:r>
      <w:proofErr w:type="spellEnd"/>
      <w:r w:rsidRPr="00F318F4">
        <w:rPr>
          <w:rFonts w:eastAsia="Times New Roman" w:cstheme="minorHAnsi"/>
        </w:rPr>
        <w:t xml:space="preserve"> (Ed.), </w:t>
      </w:r>
      <w:r w:rsidRPr="00F318F4">
        <w:rPr>
          <w:rFonts w:eastAsia="Times New Roman" w:cstheme="minorHAnsi"/>
          <w:i/>
          <w:iCs/>
        </w:rPr>
        <w:t>Scarman and After</w:t>
      </w:r>
      <w:r w:rsidRPr="00F318F4">
        <w:rPr>
          <w:rFonts w:eastAsia="Times New Roman" w:cstheme="minorHAnsi"/>
        </w:rPr>
        <w:t> (pp. 233–243). Elsevier.</w:t>
      </w:r>
    </w:p>
    <w:p w14:paraId="47BB993E" w14:textId="77777777" w:rsidR="00F318F4" w:rsidRPr="00F318F4" w:rsidRDefault="00F318F4" w:rsidP="00F318F4">
      <w:pPr>
        <w:spacing w:line="360" w:lineRule="auto"/>
        <w:rPr>
          <w:rFonts w:cstheme="minorHAnsi"/>
        </w:rPr>
      </w:pPr>
      <w:proofErr w:type="spellStart"/>
      <w:r w:rsidRPr="00F318F4">
        <w:rPr>
          <w:rFonts w:cstheme="minorHAnsi"/>
        </w:rPr>
        <w:t>Braakmann</w:t>
      </w:r>
      <w:proofErr w:type="spellEnd"/>
      <w:r w:rsidRPr="00F318F4">
        <w:rPr>
          <w:rFonts w:cstheme="minorHAnsi"/>
        </w:rPr>
        <w:t xml:space="preserve">, N. (2022) </w:t>
      </w:r>
      <w:r w:rsidRPr="00F318F4">
        <w:rPr>
          <w:rFonts w:cstheme="minorHAnsi"/>
          <w:i/>
          <w:iCs/>
        </w:rPr>
        <w:t>‘Does stop and search reduce crime? Evidence from street‐level data and a surge in operations following a high‐profile crime’</w:t>
      </w:r>
      <w:r w:rsidRPr="00F318F4">
        <w:rPr>
          <w:rFonts w:cstheme="minorHAnsi"/>
        </w:rPr>
        <w:t xml:space="preserve">, Journal of the Royal Statistical Society. Series A, Statistics in society, 185(3), pp. 1370–1397. Available at: </w:t>
      </w:r>
      <w:hyperlink r:id="rId4" w:history="1">
        <w:r w:rsidRPr="00F318F4">
          <w:rPr>
            <w:rStyle w:val="Hyperlink"/>
            <w:rFonts w:cstheme="minorHAnsi"/>
            <w:color w:val="auto"/>
          </w:rPr>
          <w:t>https://doi.org/10.1111/rssa.12839</w:t>
        </w:r>
      </w:hyperlink>
      <w:r w:rsidRPr="00F318F4">
        <w:rPr>
          <w:rFonts w:cstheme="minorHAnsi"/>
        </w:rPr>
        <w:t xml:space="preserve"> (Accessed: 15th April 2023). </w:t>
      </w:r>
    </w:p>
    <w:p w14:paraId="02F2B8C4" w14:textId="77777777" w:rsidR="00F318F4" w:rsidRPr="00F318F4" w:rsidRDefault="00F318F4" w:rsidP="00F318F4">
      <w:pPr>
        <w:spacing w:before="100" w:beforeAutospacing="1" w:after="0" w:line="360" w:lineRule="auto"/>
        <w:ind w:left="720" w:hanging="720"/>
        <w:rPr>
          <w:rFonts w:eastAsia="Times New Roman" w:cstheme="minorHAnsi"/>
        </w:rPr>
      </w:pPr>
      <w:r w:rsidRPr="00F318F4">
        <w:rPr>
          <w:rFonts w:eastAsia="Times New Roman" w:cstheme="minorHAnsi"/>
        </w:rPr>
        <w:t>Bradford, B. (2019). </w:t>
      </w:r>
      <w:r w:rsidRPr="00F318F4">
        <w:rPr>
          <w:rFonts w:eastAsia="Times New Roman" w:cstheme="minorHAnsi"/>
          <w:i/>
          <w:iCs/>
        </w:rPr>
        <w:t>Does stop and search reduce crime?</w:t>
      </w:r>
      <w:r w:rsidRPr="00F318F4">
        <w:rPr>
          <w:rFonts w:eastAsia="Times New Roman" w:cstheme="minorHAnsi"/>
        </w:rPr>
        <w:t> Centre for Crime and Justice Studies.</w:t>
      </w:r>
    </w:p>
    <w:p w14:paraId="34A6F77E" w14:textId="77777777" w:rsidR="00F318F4" w:rsidRPr="00F318F4" w:rsidRDefault="00F318F4" w:rsidP="00F318F4">
      <w:pPr>
        <w:spacing w:before="100" w:beforeAutospacing="1" w:after="0" w:line="360" w:lineRule="auto"/>
        <w:ind w:left="720" w:hanging="720"/>
        <w:rPr>
          <w:rFonts w:eastAsia="Times New Roman" w:cstheme="minorHAnsi"/>
        </w:rPr>
      </w:pPr>
      <w:r w:rsidRPr="00F318F4">
        <w:rPr>
          <w:rFonts w:eastAsia="Times New Roman" w:cstheme="minorHAnsi"/>
        </w:rPr>
        <w:t>Briggs, D. (2012). </w:t>
      </w:r>
      <w:r w:rsidRPr="00F318F4">
        <w:rPr>
          <w:rFonts w:eastAsia="Times New Roman" w:cstheme="minorHAnsi"/>
          <w:i/>
          <w:iCs/>
        </w:rPr>
        <w:t>The English riots of 2011: A summer of discontent</w:t>
      </w:r>
      <w:r w:rsidRPr="00F318F4">
        <w:rPr>
          <w:rFonts w:eastAsia="Times New Roman" w:cstheme="minorHAnsi"/>
        </w:rPr>
        <w:t> (Daniel Briggs, Ed.). Waterside Press.</w:t>
      </w:r>
    </w:p>
    <w:p w14:paraId="1871CBB1" w14:textId="77777777" w:rsidR="00F318F4" w:rsidRPr="00F318F4" w:rsidRDefault="00F318F4" w:rsidP="00F318F4">
      <w:pPr>
        <w:spacing w:line="360" w:lineRule="auto"/>
        <w:rPr>
          <w:rFonts w:cstheme="minorHAnsi"/>
        </w:rPr>
      </w:pPr>
      <w:r w:rsidRPr="00F318F4">
        <w:rPr>
          <w:rFonts w:cstheme="minorHAnsi"/>
        </w:rPr>
        <w:t xml:space="preserve">Card, R., English, J. and English, J. (Jack) (2017) </w:t>
      </w:r>
      <w:r w:rsidRPr="00F318F4">
        <w:rPr>
          <w:rFonts w:cstheme="minorHAnsi"/>
          <w:i/>
          <w:iCs/>
        </w:rPr>
        <w:t>Police law</w:t>
      </w:r>
      <w:r w:rsidRPr="00F318F4">
        <w:rPr>
          <w:rFonts w:cstheme="minorHAnsi"/>
        </w:rPr>
        <w:t>. Fifteenth edition. Oxford: Oxford University Press.</w:t>
      </w:r>
    </w:p>
    <w:p w14:paraId="0F0017CD" w14:textId="70EEE91C" w:rsidR="00F318F4" w:rsidRPr="00F318F4" w:rsidRDefault="00F318F4" w:rsidP="00F318F4">
      <w:pPr>
        <w:spacing w:line="360" w:lineRule="auto"/>
        <w:rPr>
          <w:rFonts w:cstheme="minorHAnsi"/>
        </w:rPr>
      </w:pPr>
      <w:r w:rsidRPr="00F318F4">
        <w:rPr>
          <w:rFonts w:cstheme="minorHAnsi"/>
        </w:rPr>
        <w:t xml:space="preserve"> </w:t>
      </w:r>
      <w:proofErr w:type="spellStart"/>
      <w:r w:rsidRPr="00F318F4">
        <w:rPr>
          <w:rFonts w:cstheme="minorHAnsi"/>
        </w:rPr>
        <w:t>Coliandris</w:t>
      </w:r>
      <w:proofErr w:type="spellEnd"/>
      <w:r w:rsidRPr="00F318F4">
        <w:rPr>
          <w:rFonts w:cstheme="minorHAnsi"/>
        </w:rPr>
        <w:t xml:space="preserve">, G. (2014) ‘Book Review: Zander on PACE: The Police and Criminal Evidence Act 1984, 6th Edition’, The Police Journal. London, England: SAGE Publications, pp. 139–141. Available at: </w:t>
      </w:r>
      <w:hyperlink r:id="rId5" w:history="1">
        <w:r w:rsidRPr="00F318F4">
          <w:rPr>
            <w:rStyle w:val="Hyperlink"/>
            <w:rFonts w:cstheme="minorHAnsi"/>
            <w:color w:val="auto"/>
          </w:rPr>
          <w:t>https://doi.org/10.1350/pojo.2014.87.2.671</w:t>
        </w:r>
      </w:hyperlink>
      <w:r w:rsidRPr="00F318F4">
        <w:rPr>
          <w:rFonts w:cstheme="minorHAnsi"/>
        </w:rPr>
        <w:t>.</w:t>
      </w:r>
    </w:p>
    <w:p w14:paraId="119DCBF9" w14:textId="77777777" w:rsidR="00F318F4" w:rsidRPr="00F318F4" w:rsidRDefault="00F318F4" w:rsidP="00F318F4">
      <w:pPr>
        <w:spacing w:line="360" w:lineRule="auto"/>
        <w:rPr>
          <w:rFonts w:eastAsia="Times New Roman" w:cstheme="minorHAnsi"/>
        </w:rPr>
      </w:pPr>
      <w:r w:rsidRPr="00F318F4">
        <w:rPr>
          <w:rFonts w:eastAsia="Times New Roman" w:cstheme="minorHAnsi"/>
        </w:rPr>
        <w:t xml:space="preserve">Ely, R.J. and Thomas, D.A., (2001). </w:t>
      </w:r>
      <w:r w:rsidRPr="00F318F4">
        <w:rPr>
          <w:rFonts w:eastAsia="Times New Roman" w:cstheme="minorHAnsi"/>
          <w:i/>
          <w:iCs/>
        </w:rPr>
        <w:t>Cultural diversity at work: The effects of diversity perspectives on work group processes and outcomes</w:t>
      </w:r>
      <w:r w:rsidRPr="00F318F4">
        <w:rPr>
          <w:rFonts w:eastAsia="Times New Roman" w:cstheme="minorHAnsi"/>
        </w:rPr>
        <w:t>. Administrative science quarterly, 46(2), pp.229-273.</w:t>
      </w:r>
    </w:p>
    <w:p w14:paraId="00B98D48" w14:textId="77777777" w:rsidR="00F318F4" w:rsidRPr="00F318F4" w:rsidRDefault="00F318F4" w:rsidP="00F318F4">
      <w:pPr>
        <w:spacing w:line="360" w:lineRule="auto"/>
        <w:rPr>
          <w:rFonts w:eastAsia="Times New Roman" w:cstheme="minorHAnsi"/>
        </w:rPr>
      </w:pPr>
      <w:r w:rsidRPr="00F318F4">
        <w:rPr>
          <w:rFonts w:eastAsia="Times New Roman" w:cstheme="minorHAnsi"/>
        </w:rPr>
        <w:t xml:space="preserve">Ferguson, L. and Soave, V., (2021). </w:t>
      </w:r>
      <w:r w:rsidRPr="00F318F4">
        <w:rPr>
          <w:rFonts w:eastAsia="Times New Roman" w:cstheme="minorHAnsi"/>
          <w:i/>
          <w:iCs/>
        </w:rPr>
        <w:t># Missing to# Found: Exploring police Twitter use for missing persons investigations.</w:t>
      </w:r>
      <w:r w:rsidRPr="00F318F4">
        <w:rPr>
          <w:rFonts w:eastAsia="Times New Roman" w:cstheme="minorHAnsi"/>
        </w:rPr>
        <w:t xml:space="preserve"> Police Practice and Research, 22(1), pp.869-885.</w:t>
      </w:r>
    </w:p>
    <w:p w14:paraId="3151DF58" w14:textId="74627899" w:rsidR="00F318F4" w:rsidRPr="00F318F4" w:rsidRDefault="00F318F4" w:rsidP="00F318F4">
      <w:pPr>
        <w:spacing w:line="360" w:lineRule="auto"/>
        <w:rPr>
          <w:rFonts w:eastAsia="Times New Roman" w:cstheme="minorHAnsi"/>
          <w:lang w:eastAsia="en-GB"/>
        </w:rPr>
      </w:pPr>
      <w:r w:rsidRPr="00F318F4">
        <w:rPr>
          <w:rFonts w:eastAsia="Times New Roman" w:cstheme="minorHAnsi"/>
          <w:lang w:eastAsia="en-GB"/>
        </w:rPr>
        <w:t>GOV.UK. (n.d.). </w:t>
      </w:r>
      <w:r w:rsidRPr="00F318F4">
        <w:rPr>
          <w:rFonts w:eastAsia="Times New Roman" w:cstheme="minorHAnsi"/>
          <w:i/>
          <w:iCs/>
          <w:lang w:eastAsia="en-GB"/>
        </w:rPr>
        <w:t>Age of criminal responsibility</w:t>
      </w:r>
      <w:r w:rsidRPr="00F318F4">
        <w:rPr>
          <w:rFonts w:eastAsia="Times New Roman" w:cstheme="minorHAnsi"/>
          <w:lang w:eastAsia="en-GB"/>
        </w:rPr>
        <w:t xml:space="preserve">. [online] Available at: </w:t>
      </w:r>
      <w:hyperlink r:id="rId6" w:anchor=":~:text=Children%20between%2010%20and%2017" w:history="1">
        <w:r w:rsidRPr="00F318F4">
          <w:rPr>
            <w:rStyle w:val="Hyperlink"/>
            <w:rFonts w:eastAsia="Times New Roman" w:cstheme="minorHAnsi"/>
            <w:color w:val="auto"/>
            <w:lang w:eastAsia="en-GB"/>
          </w:rPr>
          <w:t>https://www.gov.uk/age-of-criminal-responsibility#:~:text=Children%20between%2010%20and%2017</w:t>
        </w:r>
      </w:hyperlink>
      <w:r w:rsidRPr="00F318F4">
        <w:rPr>
          <w:rFonts w:eastAsia="Times New Roman" w:cstheme="minorHAnsi"/>
          <w:lang w:eastAsia="en-GB"/>
        </w:rPr>
        <w:t xml:space="preserve"> (Accessed: 2</w:t>
      </w:r>
      <w:r w:rsidRPr="00F318F4">
        <w:rPr>
          <w:rFonts w:eastAsia="Times New Roman" w:cstheme="minorHAnsi"/>
          <w:vertAlign w:val="superscript"/>
          <w:lang w:eastAsia="en-GB"/>
        </w:rPr>
        <w:t>nd</w:t>
      </w:r>
      <w:r w:rsidRPr="00F318F4">
        <w:rPr>
          <w:rFonts w:eastAsia="Times New Roman" w:cstheme="minorHAnsi"/>
          <w:lang w:eastAsia="en-GB"/>
        </w:rPr>
        <w:t xml:space="preserve"> April 2023) </w:t>
      </w:r>
    </w:p>
    <w:p w14:paraId="30BF39A1" w14:textId="77777777" w:rsidR="00F318F4" w:rsidRPr="00F318F4" w:rsidRDefault="00F318F4" w:rsidP="00F318F4">
      <w:pPr>
        <w:spacing w:line="360" w:lineRule="auto"/>
        <w:rPr>
          <w:rFonts w:eastAsia="Times New Roman" w:cstheme="minorHAnsi"/>
        </w:rPr>
      </w:pPr>
    </w:p>
    <w:p w14:paraId="2CF1F3EF" w14:textId="77777777" w:rsidR="00F318F4" w:rsidRPr="00F318F4" w:rsidRDefault="00F318F4" w:rsidP="00F318F4">
      <w:pPr>
        <w:spacing w:after="0" w:line="360" w:lineRule="auto"/>
        <w:rPr>
          <w:rFonts w:eastAsia="Times New Roman" w:cstheme="minorHAnsi"/>
          <w:lang w:eastAsia="en-GB"/>
        </w:rPr>
      </w:pPr>
      <w:r w:rsidRPr="00F318F4">
        <w:rPr>
          <w:rFonts w:eastAsia="Times New Roman" w:cstheme="minorHAnsi"/>
          <w:lang w:eastAsia="en-GB"/>
        </w:rPr>
        <w:t>Government Digital Service (2012). </w:t>
      </w:r>
      <w:r w:rsidRPr="00F318F4">
        <w:rPr>
          <w:rFonts w:eastAsia="Times New Roman" w:cstheme="minorHAnsi"/>
          <w:i/>
          <w:iCs/>
          <w:lang w:eastAsia="en-GB"/>
        </w:rPr>
        <w:t>What happens if a child under 10 breaks the law?</w:t>
      </w:r>
      <w:r w:rsidRPr="00F318F4">
        <w:rPr>
          <w:rFonts w:eastAsia="Times New Roman" w:cstheme="minorHAnsi"/>
          <w:lang w:eastAsia="en-GB"/>
        </w:rPr>
        <w:t> [online] GOV.UK. Available at: https://www.gov.uk/child-under-10-breaks-law.</w:t>
      </w:r>
    </w:p>
    <w:p w14:paraId="5927DDCE" w14:textId="77777777" w:rsidR="00F318F4" w:rsidRPr="00F318F4" w:rsidRDefault="00F318F4" w:rsidP="00F318F4">
      <w:pPr>
        <w:spacing w:before="100" w:beforeAutospacing="1" w:after="0" w:line="360" w:lineRule="auto"/>
        <w:rPr>
          <w:rFonts w:eastAsia="Times New Roman" w:cstheme="minorHAnsi"/>
        </w:rPr>
      </w:pPr>
      <w:r w:rsidRPr="00F318F4">
        <w:rPr>
          <w:rFonts w:eastAsia="Times New Roman" w:cstheme="minorHAnsi"/>
        </w:rPr>
        <w:t>Hargreaves, F., &amp; Levenson, H. (1985). </w:t>
      </w:r>
      <w:r w:rsidRPr="00F318F4">
        <w:rPr>
          <w:rFonts w:eastAsia="Times New Roman" w:cstheme="minorHAnsi"/>
          <w:i/>
          <w:iCs/>
        </w:rPr>
        <w:t xml:space="preserve">Practitioner’s guide to the police and criminal evidence </w:t>
      </w:r>
      <w:proofErr w:type="gramStart"/>
      <w:r w:rsidRPr="00F318F4">
        <w:rPr>
          <w:rFonts w:eastAsia="Times New Roman" w:cstheme="minorHAnsi"/>
          <w:i/>
          <w:iCs/>
        </w:rPr>
        <w:t>act</w:t>
      </w:r>
      <w:proofErr w:type="gramEnd"/>
      <w:r w:rsidRPr="00F318F4">
        <w:rPr>
          <w:rFonts w:eastAsia="Times New Roman" w:cstheme="minorHAnsi"/>
          <w:i/>
          <w:iCs/>
        </w:rPr>
        <w:t>, 1984</w:t>
      </w:r>
      <w:r w:rsidRPr="00F318F4">
        <w:rPr>
          <w:rFonts w:eastAsia="Times New Roman" w:cstheme="minorHAnsi"/>
        </w:rPr>
        <w:t>. Legal Action Group.</w:t>
      </w:r>
    </w:p>
    <w:p w14:paraId="69751AB3" w14:textId="3312AA29" w:rsidR="00F318F4" w:rsidRPr="00F318F4" w:rsidRDefault="00F318F4" w:rsidP="00F318F4">
      <w:pPr>
        <w:spacing w:line="360" w:lineRule="auto"/>
        <w:rPr>
          <w:rFonts w:eastAsia="Times New Roman" w:cstheme="minorHAnsi"/>
        </w:rPr>
      </w:pPr>
      <w:r w:rsidRPr="00F318F4">
        <w:rPr>
          <w:rFonts w:eastAsia="Times New Roman" w:cstheme="minorHAnsi"/>
        </w:rPr>
        <w:t xml:space="preserve">Hornik, J., </w:t>
      </w:r>
      <w:proofErr w:type="spellStart"/>
      <w:r w:rsidRPr="00F318F4">
        <w:rPr>
          <w:rFonts w:eastAsia="Times New Roman" w:cstheme="minorHAnsi"/>
        </w:rPr>
        <w:t>Satchi</w:t>
      </w:r>
      <w:proofErr w:type="spellEnd"/>
      <w:r w:rsidRPr="00F318F4">
        <w:rPr>
          <w:rFonts w:eastAsia="Times New Roman" w:cstheme="minorHAnsi"/>
        </w:rPr>
        <w:t xml:space="preserve">, R.S., </w:t>
      </w:r>
      <w:proofErr w:type="spellStart"/>
      <w:r w:rsidRPr="00F318F4">
        <w:rPr>
          <w:rFonts w:eastAsia="Times New Roman" w:cstheme="minorHAnsi"/>
        </w:rPr>
        <w:t>Cesareo</w:t>
      </w:r>
      <w:proofErr w:type="spellEnd"/>
      <w:r w:rsidRPr="00F318F4">
        <w:rPr>
          <w:rFonts w:eastAsia="Times New Roman" w:cstheme="minorHAnsi"/>
        </w:rPr>
        <w:t xml:space="preserve">, L. and Pastore, A., (2015). </w:t>
      </w:r>
      <w:r w:rsidRPr="00F318F4">
        <w:rPr>
          <w:rFonts w:eastAsia="Times New Roman" w:cstheme="minorHAnsi"/>
          <w:i/>
          <w:iCs/>
        </w:rPr>
        <w:t xml:space="preserve">Information dissemination via electronic word-of-mouth: Good news travels fast, bad news travels </w:t>
      </w:r>
      <w:proofErr w:type="gramStart"/>
      <w:r w:rsidRPr="00F318F4">
        <w:rPr>
          <w:rFonts w:eastAsia="Times New Roman" w:cstheme="minorHAnsi"/>
          <w:i/>
          <w:iCs/>
        </w:rPr>
        <w:t>faster!.</w:t>
      </w:r>
      <w:proofErr w:type="gramEnd"/>
      <w:r w:rsidRPr="00F318F4">
        <w:rPr>
          <w:rFonts w:eastAsia="Times New Roman" w:cstheme="minorHAnsi"/>
        </w:rPr>
        <w:t xml:space="preserve"> Computers in Human Behavior, 45, pp.273-280.</w:t>
      </w:r>
    </w:p>
    <w:p w14:paraId="4C8E3053" w14:textId="77777777" w:rsidR="00F318F4" w:rsidRPr="00F318F4" w:rsidRDefault="00F318F4" w:rsidP="00F318F4">
      <w:pPr>
        <w:spacing w:before="100" w:beforeAutospacing="1" w:after="0" w:line="360" w:lineRule="auto"/>
        <w:rPr>
          <w:rFonts w:eastAsia="Times New Roman" w:cstheme="minorHAnsi"/>
        </w:rPr>
      </w:pPr>
      <w:r w:rsidRPr="00F318F4">
        <w:rPr>
          <w:rFonts w:eastAsia="Times New Roman" w:cstheme="minorHAnsi"/>
        </w:rPr>
        <w:lastRenderedPageBreak/>
        <w:t xml:space="preserve">Jefferson, T. (2012). </w:t>
      </w:r>
      <w:r w:rsidRPr="00F318F4">
        <w:rPr>
          <w:rFonts w:eastAsia="Times New Roman" w:cstheme="minorHAnsi"/>
          <w:i/>
          <w:iCs/>
        </w:rPr>
        <w:t xml:space="preserve">Policing the riots: from Bristol and Brixton to Tottenham, via Toxteth, Handsworth, </w:t>
      </w:r>
      <w:proofErr w:type="spellStart"/>
      <w:r w:rsidRPr="00F318F4">
        <w:rPr>
          <w:rFonts w:eastAsia="Times New Roman" w:cstheme="minorHAnsi"/>
          <w:i/>
          <w:iCs/>
        </w:rPr>
        <w:t>etc</w:t>
      </w:r>
      <w:proofErr w:type="spellEnd"/>
      <w:r w:rsidRPr="00F318F4">
        <w:rPr>
          <w:rFonts w:eastAsia="Times New Roman" w:cstheme="minorHAnsi"/>
          <w:i/>
          <w:iCs/>
        </w:rPr>
        <w:t>: Tony Jefferson tells the angry, ongoing story of rioting over the past 30 years</w:t>
      </w:r>
      <w:r w:rsidRPr="00F318F4">
        <w:rPr>
          <w:rFonts w:eastAsia="Times New Roman" w:cstheme="minorHAnsi"/>
        </w:rPr>
        <w:t xml:space="preserve">. Criminal Justice Matters, 87(1), 8–9. </w:t>
      </w:r>
      <w:hyperlink r:id="rId7" w:history="1">
        <w:r w:rsidRPr="00F318F4">
          <w:rPr>
            <w:rStyle w:val="Hyperlink"/>
            <w:rFonts w:eastAsia="Times New Roman" w:cstheme="minorHAnsi"/>
            <w:color w:val="auto"/>
          </w:rPr>
          <w:t>https://doi.org/10.1080/09627251.2012.670995</w:t>
        </w:r>
      </w:hyperlink>
      <w:r w:rsidRPr="00F318F4">
        <w:rPr>
          <w:rFonts w:eastAsia="Times New Roman" w:cstheme="minorHAnsi"/>
        </w:rPr>
        <w:t xml:space="preserve"> (Accessed: 15th April 2023).</w:t>
      </w:r>
    </w:p>
    <w:p w14:paraId="7D2EAA3F" w14:textId="77777777" w:rsidR="00F318F4" w:rsidRPr="00F318F4" w:rsidRDefault="00F318F4" w:rsidP="00F318F4">
      <w:pPr>
        <w:spacing w:line="360" w:lineRule="auto"/>
        <w:rPr>
          <w:rFonts w:eastAsia="Times New Roman" w:cstheme="minorHAnsi"/>
        </w:rPr>
      </w:pPr>
    </w:p>
    <w:p w14:paraId="05E0BE31" w14:textId="75A2AF5E" w:rsidR="00F318F4" w:rsidRPr="00F318F4" w:rsidRDefault="00F318F4" w:rsidP="00F318F4">
      <w:pPr>
        <w:spacing w:line="360" w:lineRule="auto"/>
        <w:rPr>
          <w:rFonts w:eastAsia="Times New Roman" w:cstheme="minorHAnsi"/>
        </w:rPr>
      </w:pPr>
      <w:r w:rsidRPr="00F318F4">
        <w:rPr>
          <w:rFonts w:eastAsia="Times New Roman" w:cstheme="minorHAnsi"/>
        </w:rPr>
        <w:t xml:space="preserve">Lea, J., (2013). </w:t>
      </w:r>
      <w:r w:rsidRPr="00F318F4">
        <w:rPr>
          <w:rFonts w:eastAsia="Times New Roman" w:cstheme="minorHAnsi"/>
          <w:i/>
          <w:iCs/>
        </w:rPr>
        <w:t>Institutional racism in policing: the Macpherson report and its consequences</w:t>
      </w:r>
      <w:r w:rsidRPr="00F318F4">
        <w:rPr>
          <w:rFonts w:eastAsia="Times New Roman" w:cstheme="minorHAnsi"/>
        </w:rPr>
        <w:t>. In The new politics of crime and punishment (pp. 48-70). Willan.</w:t>
      </w:r>
    </w:p>
    <w:p w14:paraId="19ED0FB5" w14:textId="77777777" w:rsidR="00F318F4" w:rsidRPr="00F318F4" w:rsidRDefault="00F318F4" w:rsidP="00F318F4">
      <w:pPr>
        <w:spacing w:line="360" w:lineRule="auto"/>
        <w:rPr>
          <w:rFonts w:cstheme="minorHAnsi"/>
        </w:rPr>
      </w:pPr>
      <w:r w:rsidRPr="00F318F4">
        <w:rPr>
          <w:rFonts w:cstheme="minorHAnsi"/>
        </w:rPr>
        <w:t xml:space="preserve">Lennon, G. and Murray, K. (2018) </w:t>
      </w:r>
      <w:r w:rsidRPr="00F318F4">
        <w:rPr>
          <w:rFonts w:cstheme="minorHAnsi"/>
          <w:i/>
          <w:iCs/>
        </w:rPr>
        <w:t>‘Under-regulated and unaccountable? Explaining variation in stop and search rates in Scotland, England and Wales, Policing &amp; Society</w:t>
      </w:r>
      <w:r w:rsidRPr="00F318F4">
        <w:rPr>
          <w:rFonts w:cstheme="minorHAnsi"/>
        </w:rPr>
        <w:t xml:space="preserve">, 28(2), pp. 157–174. Available at: </w:t>
      </w:r>
      <w:hyperlink r:id="rId8" w:history="1">
        <w:r w:rsidRPr="00F318F4">
          <w:rPr>
            <w:rStyle w:val="Hyperlink"/>
            <w:rFonts w:cstheme="minorHAnsi"/>
            <w:color w:val="auto"/>
          </w:rPr>
          <w:t>https://doi.org/10.1080/10439463.2016.1163359</w:t>
        </w:r>
      </w:hyperlink>
      <w:r w:rsidRPr="00F318F4">
        <w:rPr>
          <w:rFonts w:cstheme="minorHAnsi"/>
        </w:rPr>
        <w:t xml:space="preserve"> (Accessed: 15th April 2023).</w:t>
      </w:r>
    </w:p>
    <w:p w14:paraId="3680452E" w14:textId="024631E5" w:rsidR="00F318F4" w:rsidRPr="00F318F4" w:rsidRDefault="00F318F4" w:rsidP="00F318F4">
      <w:pPr>
        <w:spacing w:before="100" w:beforeAutospacing="1" w:after="100" w:afterAutospacing="1" w:line="360" w:lineRule="auto"/>
        <w:rPr>
          <w:rFonts w:eastAsia="Times New Roman" w:cstheme="minorHAnsi"/>
          <w:lang w:eastAsia="en-GB"/>
        </w:rPr>
      </w:pPr>
      <w:proofErr w:type="spellStart"/>
      <w:r w:rsidRPr="00F318F4">
        <w:rPr>
          <w:rFonts w:eastAsia="Times New Roman" w:cstheme="minorHAnsi"/>
          <w:lang w:eastAsia="en-GB"/>
        </w:rPr>
        <w:t>Loeber</w:t>
      </w:r>
      <w:proofErr w:type="spellEnd"/>
      <w:r w:rsidRPr="00F318F4">
        <w:rPr>
          <w:rFonts w:eastAsia="Times New Roman" w:cstheme="minorHAnsi"/>
          <w:lang w:eastAsia="en-GB"/>
        </w:rPr>
        <w:t xml:space="preserve">, R. and Farrington, D.P., (2000). </w:t>
      </w:r>
      <w:r w:rsidRPr="00F318F4">
        <w:rPr>
          <w:rFonts w:eastAsia="Times New Roman" w:cstheme="minorHAnsi"/>
          <w:i/>
          <w:iCs/>
          <w:lang w:eastAsia="en-GB"/>
        </w:rPr>
        <w:t>Young children who commit crime: Epidemiology, developmental origins, risk factors, early interventions, and policy implications</w:t>
      </w:r>
      <w:r w:rsidRPr="00F318F4">
        <w:rPr>
          <w:rFonts w:eastAsia="Times New Roman" w:cstheme="minorHAnsi"/>
          <w:lang w:eastAsia="en-GB"/>
        </w:rPr>
        <w:t>. Development and Psychopathology, 12(4), pp.737-762.</w:t>
      </w:r>
    </w:p>
    <w:p w14:paraId="71EAD8EA" w14:textId="77777777" w:rsidR="00F318F4" w:rsidRPr="00F318F4" w:rsidRDefault="00F318F4" w:rsidP="00F318F4">
      <w:pPr>
        <w:spacing w:after="0" w:line="360" w:lineRule="auto"/>
        <w:rPr>
          <w:rFonts w:eastAsia="Times New Roman" w:cstheme="minorHAnsi"/>
          <w:lang w:eastAsia="en-GB"/>
        </w:rPr>
      </w:pPr>
      <w:proofErr w:type="spellStart"/>
      <w:r w:rsidRPr="00F318F4">
        <w:rPr>
          <w:rFonts w:eastAsia="Times New Roman" w:cstheme="minorHAnsi"/>
          <w:lang w:eastAsia="en-GB"/>
        </w:rPr>
        <w:t>Loeber</w:t>
      </w:r>
      <w:proofErr w:type="spellEnd"/>
      <w:r w:rsidRPr="00F318F4">
        <w:rPr>
          <w:rFonts w:eastAsia="Times New Roman" w:cstheme="minorHAnsi"/>
          <w:lang w:eastAsia="en-GB"/>
        </w:rPr>
        <w:t xml:space="preserve">, R., (2003). Child delinquency: Early intervention and prevention. US Department of Justice, Office of Justice Programs, Office of Juvenile </w:t>
      </w:r>
      <w:proofErr w:type="gramStart"/>
      <w:r w:rsidRPr="00F318F4">
        <w:rPr>
          <w:rFonts w:eastAsia="Times New Roman" w:cstheme="minorHAnsi"/>
          <w:lang w:eastAsia="en-GB"/>
        </w:rPr>
        <w:t>Justice</w:t>
      </w:r>
      <w:proofErr w:type="gramEnd"/>
      <w:r w:rsidRPr="00F318F4">
        <w:rPr>
          <w:rFonts w:eastAsia="Times New Roman" w:cstheme="minorHAnsi"/>
          <w:lang w:eastAsia="en-GB"/>
        </w:rPr>
        <w:t xml:space="preserve"> and Delinquency Prevention.</w:t>
      </w:r>
    </w:p>
    <w:p w14:paraId="599075BA" w14:textId="77777777" w:rsidR="00F318F4" w:rsidRPr="00F318F4" w:rsidRDefault="00F318F4" w:rsidP="00F318F4">
      <w:pPr>
        <w:spacing w:line="360" w:lineRule="auto"/>
        <w:rPr>
          <w:rFonts w:eastAsia="Times New Roman" w:cstheme="minorHAnsi"/>
        </w:rPr>
      </w:pPr>
      <w:r w:rsidRPr="00F318F4">
        <w:rPr>
          <w:rFonts w:eastAsia="Times New Roman" w:cstheme="minorHAnsi"/>
        </w:rPr>
        <w:t xml:space="preserve">Miller, J., Quinton, P., </w:t>
      </w:r>
      <w:proofErr w:type="spellStart"/>
      <w:r w:rsidRPr="00F318F4">
        <w:rPr>
          <w:rFonts w:eastAsia="Times New Roman" w:cstheme="minorHAnsi"/>
        </w:rPr>
        <w:t>Alexandrou</w:t>
      </w:r>
      <w:proofErr w:type="spellEnd"/>
      <w:r w:rsidRPr="00F318F4">
        <w:rPr>
          <w:rFonts w:eastAsia="Times New Roman" w:cstheme="minorHAnsi"/>
        </w:rPr>
        <w:t xml:space="preserve">, B., &amp; Packham, D. (2020). </w:t>
      </w:r>
      <w:r w:rsidRPr="00F318F4">
        <w:rPr>
          <w:rFonts w:eastAsia="Times New Roman" w:cstheme="minorHAnsi"/>
          <w:i/>
          <w:iCs/>
        </w:rPr>
        <w:t>Can police training reduce ethnic/racial disparities in stop and search? Evidence from a multisite UK trial</w:t>
      </w:r>
      <w:r w:rsidRPr="00F318F4">
        <w:rPr>
          <w:rFonts w:eastAsia="Times New Roman" w:cstheme="minorHAnsi"/>
        </w:rPr>
        <w:t xml:space="preserve">. Criminology &amp; Public Policy, 19(4), 1259–1287. </w:t>
      </w:r>
      <w:hyperlink r:id="rId9" w:history="1">
        <w:r w:rsidRPr="00F318F4">
          <w:rPr>
            <w:rStyle w:val="Hyperlink"/>
            <w:rFonts w:eastAsia="Times New Roman" w:cstheme="minorHAnsi"/>
            <w:color w:val="auto"/>
          </w:rPr>
          <w:t>https://doi.org/10.1111/1745-9133.12524</w:t>
        </w:r>
      </w:hyperlink>
    </w:p>
    <w:p w14:paraId="16014FFE" w14:textId="77777777" w:rsidR="00F318F4" w:rsidRPr="00F318F4" w:rsidRDefault="00F318F4" w:rsidP="00F318F4">
      <w:pPr>
        <w:spacing w:line="360" w:lineRule="auto"/>
        <w:rPr>
          <w:rFonts w:eastAsia="Times New Roman" w:cstheme="minorHAnsi"/>
        </w:rPr>
      </w:pPr>
      <w:r w:rsidRPr="00F318F4">
        <w:rPr>
          <w:rFonts w:eastAsia="Times New Roman" w:cstheme="minorHAnsi"/>
        </w:rPr>
        <w:t xml:space="preserve">Nix, J. and Wolfe, S.E., (2017). </w:t>
      </w:r>
      <w:r w:rsidRPr="00F318F4">
        <w:rPr>
          <w:rFonts w:eastAsia="Times New Roman" w:cstheme="minorHAnsi"/>
          <w:i/>
          <w:iCs/>
        </w:rPr>
        <w:t>The impact of negative publicity on police self-legitimacy</w:t>
      </w:r>
      <w:r w:rsidRPr="00F318F4">
        <w:rPr>
          <w:rFonts w:eastAsia="Times New Roman" w:cstheme="minorHAnsi"/>
        </w:rPr>
        <w:t>. Justice quarterly, 34(1), pp.84-108.</w:t>
      </w:r>
    </w:p>
    <w:p w14:paraId="1F6FE68F" w14:textId="77777777" w:rsidR="00F318F4" w:rsidRPr="00F318F4" w:rsidRDefault="00F318F4" w:rsidP="00F318F4">
      <w:pPr>
        <w:spacing w:after="0" w:line="360" w:lineRule="auto"/>
        <w:rPr>
          <w:rFonts w:eastAsia="Times New Roman" w:cstheme="minorHAnsi"/>
          <w:lang w:eastAsia="en-GB"/>
        </w:rPr>
      </w:pPr>
    </w:p>
    <w:p w14:paraId="4B667A92" w14:textId="59F4CD2C" w:rsidR="00F318F4" w:rsidRPr="00F318F4" w:rsidRDefault="00F318F4" w:rsidP="00F318F4">
      <w:pPr>
        <w:spacing w:after="0" w:line="360" w:lineRule="auto"/>
        <w:rPr>
          <w:rFonts w:eastAsia="Times New Roman" w:cstheme="minorHAnsi"/>
          <w:lang w:eastAsia="en-GB"/>
        </w:rPr>
      </w:pPr>
      <w:r w:rsidRPr="00F318F4">
        <w:rPr>
          <w:rFonts w:eastAsia="Times New Roman" w:cstheme="minorHAnsi"/>
          <w:lang w:eastAsia="en-GB"/>
        </w:rPr>
        <w:t xml:space="preserve">Ross, A., Duckworth, K., Smith, D.J., </w:t>
      </w:r>
      <w:proofErr w:type="spellStart"/>
      <w:r w:rsidRPr="00F318F4">
        <w:rPr>
          <w:rFonts w:eastAsia="Times New Roman" w:cstheme="minorHAnsi"/>
          <w:lang w:eastAsia="en-GB"/>
        </w:rPr>
        <w:t>Wyness</w:t>
      </w:r>
      <w:proofErr w:type="spellEnd"/>
      <w:r w:rsidRPr="00F318F4">
        <w:rPr>
          <w:rFonts w:eastAsia="Times New Roman" w:cstheme="minorHAnsi"/>
          <w:lang w:eastAsia="en-GB"/>
        </w:rPr>
        <w:t xml:space="preserve">, G. and Schoon, I., (2011). Prevention and Reduction: </w:t>
      </w:r>
      <w:r w:rsidRPr="00F318F4">
        <w:rPr>
          <w:rFonts w:eastAsia="Times New Roman" w:cstheme="minorHAnsi"/>
          <w:i/>
          <w:iCs/>
          <w:lang w:eastAsia="en-GB"/>
        </w:rPr>
        <w:t>A review of strategies for intervening early to prevent or reduce youth crime and anti-social behaviour</w:t>
      </w:r>
      <w:r w:rsidRPr="00F318F4">
        <w:rPr>
          <w:rFonts w:eastAsia="Times New Roman" w:cstheme="minorHAnsi"/>
          <w:lang w:eastAsia="en-GB"/>
        </w:rPr>
        <w:t>. Centre for Analysis of Youth Transitions, Department of Education.</w:t>
      </w:r>
    </w:p>
    <w:p w14:paraId="6D439812" w14:textId="77777777" w:rsidR="00F318F4" w:rsidRPr="00F318F4" w:rsidRDefault="00F318F4" w:rsidP="00F318F4">
      <w:pPr>
        <w:spacing w:line="360" w:lineRule="auto"/>
        <w:rPr>
          <w:rFonts w:cstheme="minorHAnsi"/>
          <w:shd w:val="clear" w:color="auto" w:fill="FFFFFF"/>
        </w:rPr>
      </w:pPr>
    </w:p>
    <w:p w14:paraId="35790ED4" w14:textId="22ECB0B3" w:rsidR="00F318F4" w:rsidRPr="002D1145" w:rsidRDefault="00F318F4" w:rsidP="00F318F4">
      <w:pPr>
        <w:spacing w:line="360" w:lineRule="auto"/>
        <w:rPr>
          <w:rFonts w:cstheme="minorHAnsi"/>
          <w:shd w:val="clear" w:color="auto" w:fill="FFFFFF"/>
        </w:rPr>
      </w:pPr>
      <w:proofErr w:type="spellStart"/>
      <w:r w:rsidRPr="002D1145">
        <w:rPr>
          <w:rFonts w:cstheme="minorHAnsi"/>
          <w:shd w:val="clear" w:color="auto" w:fill="FFFFFF"/>
        </w:rPr>
        <w:t>Tiratelli</w:t>
      </w:r>
      <w:proofErr w:type="spellEnd"/>
      <w:r w:rsidRPr="002D1145">
        <w:rPr>
          <w:rFonts w:cstheme="minorHAnsi"/>
          <w:shd w:val="clear" w:color="auto" w:fill="FFFFFF"/>
        </w:rPr>
        <w:t>, M., Quinton, P. and Bradford, B. (2018) ‘</w:t>
      </w:r>
      <w:r w:rsidRPr="002D1145">
        <w:rPr>
          <w:rFonts w:cstheme="minorHAnsi"/>
          <w:i/>
          <w:iCs/>
          <w:shd w:val="clear" w:color="auto" w:fill="FFFFFF"/>
        </w:rPr>
        <w:t>Does Stop and Search Deter Crime? Evidence From Ten Years of London-wide Data’</w:t>
      </w:r>
      <w:r w:rsidRPr="002D1145">
        <w:rPr>
          <w:rFonts w:cstheme="minorHAnsi"/>
          <w:shd w:val="clear" w:color="auto" w:fill="FFFFFF"/>
        </w:rPr>
        <w:t xml:space="preserve">. British Journal of Criminology, 58(5), pp. 1212–1231. Available at: </w:t>
      </w:r>
      <w:hyperlink r:id="rId10" w:history="1">
        <w:r w:rsidRPr="002D1145">
          <w:rPr>
            <w:rStyle w:val="Hyperlink"/>
            <w:rFonts w:cstheme="minorHAnsi"/>
            <w:shd w:val="clear" w:color="auto" w:fill="FFFFFF"/>
          </w:rPr>
          <w:t>https://doi.org/10.1093/bjc/azx085</w:t>
        </w:r>
      </w:hyperlink>
      <w:r w:rsidRPr="002D1145">
        <w:rPr>
          <w:rFonts w:cstheme="minorHAnsi"/>
          <w:shd w:val="clear" w:color="auto" w:fill="FFFFFF"/>
        </w:rPr>
        <w:t xml:space="preserve"> </w:t>
      </w:r>
      <w:bookmarkStart w:id="0" w:name="_Hlk133265138"/>
      <w:r w:rsidRPr="002D1145">
        <w:rPr>
          <w:rFonts w:cstheme="minorHAnsi"/>
          <w:shd w:val="clear" w:color="auto" w:fill="FFFFFF"/>
        </w:rPr>
        <w:t>(Accessed: 15</w:t>
      </w:r>
      <w:r w:rsidRPr="002D1145">
        <w:rPr>
          <w:rFonts w:cstheme="minorHAnsi"/>
          <w:shd w:val="clear" w:color="auto" w:fill="FFFFFF"/>
          <w:vertAlign w:val="superscript"/>
        </w:rPr>
        <w:t>th</w:t>
      </w:r>
      <w:r w:rsidRPr="002D1145">
        <w:rPr>
          <w:rFonts w:cstheme="minorHAnsi"/>
          <w:shd w:val="clear" w:color="auto" w:fill="FFFFFF"/>
        </w:rPr>
        <w:t xml:space="preserve"> April 2023). </w:t>
      </w:r>
      <w:bookmarkEnd w:id="0"/>
    </w:p>
    <w:p w14:paraId="58C22453" w14:textId="77777777" w:rsidR="00F318F4" w:rsidRDefault="00F318F4" w:rsidP="00F318F4">
      <w:pPr>
        <w:spacing w:after="0" w:line="360" w:lineRule="auto"/>
        <w:rPr>
          <w:rFonts w:eastAsia="Times New Roman" w:cstheme="minorHAnsi"/>
          <w:color w:val="000000" w:themeColor="text1"/>
          <w:lang w:eastAsia="en-GB"/>
        </w:rPr>
      </w:pPr>
    </w:p>
    <w:p w14:paraId="003AA20D" w14:textId="552DCA99" w:rsidR="00F318F4" w:rsidRDefault="00F318F4" w:rsidP="00F318F4">
      <w:pPr>
        <w:spacing w:after="0" w:line="360" w:lineRule="auto"/>
        <w:rPr>
          <w:rFonts w:eastAsia="Times New Roman" w:cstheme="minorHAnsi"/>
          <w:color w:val="000000" w:themeColor="text1"/>
          <w:lang w:eastAsia="en-GB"/>
        </w:rPr>
      </w:pPr>
      <w:r>
        <w:rPr>
          <w:rFonts w:eastAsia="Times New Roman" w:cstheme="minorHAnsi"/>
          <w:color w:val="000000" w:themeColor="text1"/>
          <w:lang w:eastAsia="en-GB"/>
        </w:rPr>
        <w:lastRenderedPageBreak/>
        <w:t xml:space="preserve">Walker, H.M., Severson, H., Stiller, B., Williams, G., Haring, N., Shinn, M. and </w:t>
      </w:r>
      <w:proofErr w:type="spellStart"/>
      <w:r>
        <w:rPr>
          <w:rFonts w:eastAsia="Times New Roman" w:cstheme="minorHAnsi"/>
          <w:color w:val="000000" w:themeColor="text1"/>
          <w:lang w:eastAsia="en-GB"/>
        </w:rPr>
        <w:t>Todis</w:t>
      </w:r>
      <w:proofErr w:type="spellEnd"/>
      <w:r>
        <w:rPr>
          <w:rFonts w:eastAsia="Times New Roman" w:cstheme="minorHAnsi"/>
          <w:color w:val="000000" w:themeColor="text1"/>
          <w:lang w:eastAsia="en-GB"/>
        </w:rPr>
        <w:t xml:space="preserve">, B., (1988). </w:t>
      </w:r>
      <w:r>
        <w:rPr>
          <w:rFonts w:eastAsia="Times New Roman" w:cstheme="minorHAnsi"/>
          <w:i/>
          <w:iCs/>
          <w:color w:val="000000" w:themeColor="text1"/>
          <w:lang w:eastAsia="en-GB"/>
        </w:rPr>
        <w:t>Systematic screening of pupils in the elementary age ranges at risk for behaviour disorders: Development and trial testing of multiple gating models</w:t>
      </w:r>
      <w:r>
        <w:rPr>
          <w:rFonts w:eastAsia="Times New Roman" w:cstheme="minorHAnsi"/>
          <w:color w:val="000000" w:themeColor="text1"/>
          <w:lang w:eastAsia="en-GB"/>
        </w:rPr>
        <w:t>. Remedial and Special Education, 9(3), pp.8-20.</w:t>
      </w:r>
    </w:p>
    <w:p w14:paraId="3531404C" w14:textId="77777777" w:rsidR="00F318F4" w:rsidRDefault="00F318F4" w:rsidP="00F318F4">
      <w:pPr>
        <w:spacing w:line="360" w:lineRule="auto"/>
        <w:jc w:val="both"/>
        <w:rPr>
          <w:rFonts w:eastAsia="Times New Roman" w:cstheme="minorHAnsi"/>
          <w:b/>
          <w:bCs/>
          <w:color w:val="374151"/>
        </w:rPr>
      </w:pPr>
    </w:p>
    <w:p w14:paraId="23E16860" w14:textId="77777777" w:rsidR="00F318F4" w:rsidRDefault="00F318F4" w:rsidP="00F318F4">
      <w:pPr>
        <w:spacing w:line="360" w:lineRule="auto"/>
        <w:jc w:val="both"/>
        <w:rPr>
          <w:rFonts w:eastAsia="Times New Roman" w:cstheme="minorHAnsi"/>
          <w:b/>
          <w:bCs/>
          <w:color w:val="374151"/>
        </w:rPr>
      </w:pPr>
    </w:p>
    <w:p w14:paraId="196DE818" w14:textId="77777777" w:rsidR="00F318F4" w:rsidRDefault="00F318F4" w:rsidP="00F318F4">
      <w:pPr>
        <w:spacing w:line="360" w:lineRule="auto"/>
        <w:jc w:val="both"/>
        <w:rPr>
          <w:rFonts w:eastAsia="Times New Roman" w:cstheme="minorHAnsi"/>
          <w:b/>
          <w:bCs/>
          <w:color w:val="374151"/>
        </w:rPr>
      </w:pPr>
    </w:p>
    <w:p w14:paraId="1D791A74" w14:textId="77777777" w:rsidR="00F318F4" w:rsidRPr="00F318F4" w:rsidRDefault="00F318F4">
      <w:pPr>
        <w:rPr>
          <w:b/>
          <w:bCs/>
        </w:rPr>
      </w:pPr>
    </w:p>
    <w:sectPr w:rsidR="00F318F4" w:rsidRPr="00F318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8F4"/>
    <w:rsid w:val="002C4786"/>
    <w:rsid w:val="00F318F4"/>
    <w:rsid w:val="00FF21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D8A0C"/>
  <w15:chartTrackingRefBased/>
  <w15:docId w15:val="{53E76D31-096C-439B-BE13-F39F66578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8F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8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546981">
      <w:bodyDiv w:val="1"/>
      <w:marLeft w:val="0"/>
      <w:marRight w:val="0"/>
      <w:marTop w:val="0"/>
      <w:marBottom w:val="0"/>
      <w:divBdr>
        <w:top w:val="none" w:sz="0" w:space="0" w:color="auto"/>
        <w:left w:val="none" w:sz="0" w:space="0" w:color="auto"/>
        <w:bottom w:val="none" w:sz="0" w:space="0" w:color="auto"/>
        <w:right w:val="none" w:sz="0" w:space="0" w:color="auto"/>
      </w:divBdr>
    </w:div>
    <w:div w:id="1668636232">
      <w:bodyDiv w:val="1"/>
      <w:marLeft w:val="0"/>
      <w:marRight w:val="0"/>
      <w:marTop w:val="0"/>
      <w:marBottom w:val="0"/>
      <w:divBdr>
        <w:top w:val="none" w:sz="0" w:space="0" w:color="auto"/>
        <w:left w:val="none" w:sz="0" w:space="0" w:color="auto"/>
        <w:bottom w:val="none" w:sz="0" w:space="0" w:color="auto"/>
        <w:right w:val="none" w:sz="0" w:space="0" w:color="auto"/>
      </w:divBdr>
    </w:div>
    <w:div w:id="1876044952">
      <w:bodyDiv w:val="1"/>
      <w:marLeft w:val="0"/>
      <w:marRight w:val="0"/>
      <w:marTop w:val="0"/>
      <w:marBottom w:val="0"/>
      <w:divBdr>
        <w:top w:val="none" w:sz="0" w:space="0" w:color="auto"/>
        <w:left w:val="none" w:sz="0" w:space="0" w:color="auto"/>
        <w:bottom w:val="none" w:sz="0" w:space="0" w:color="auto"/>
        <w:right w:val="none" w:sz="0" w:space="0" w:color="auto"/>
      </w:divBdr>
    </w:div>
    <w:div w:id="192846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439463.2016.1163359" TargetMode="External"/><Relationship Id="rId3" Type="http://schemas.openxmlformats.org/officeDocument/2006/relationships/webSettings" Target="webSettings.xml"/><Relationship Id="rId7" Type="http://schemas.openxmlformats.org/officeDocument/2006/relationships/hyperlink" Target="https://doi.org/10.1080/09627251.2012.67099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age-of-criminal-responsibility" TargetMode="External"/><Relationship Id="rId11" Type="http://schemas.openxmlformats.org/officeDocument/2006/relationships/fontTable" Target="fontTable.xml"/><Relationship Id="rId5" Type="http://schemas.openxmlformats.org/officeDocument/2006/relationships/hyperlink" Target="https://doi.org/10.1350/pojo.2014.87.2.671" TargetMode="External"/><Relationship Id="rId10" Type="http://schemas.openxmlformats.org/officeDocument/2006/relationships/hyperlink" Target="https://doi.org/10.1093/bjc/azx085" TargetMode="External"/><Relationship Id="rId4" Type="http://schemas.openxmlformats.org/officeDocument/2006/relationships/hyperlink" Target="https://doi.org/10.1111/rssa.12839" TargetMode="External"/><Relationship Id="rId9" Type="http://schemas.openxmlformats.org/officeDocument/2006/relationships/hyperlink" Target="https://doi.org/10.1111/1745-9133.125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3322</Words>
  <Characters>18941</Characters>
  <Application>Microsoft Office Word</Application>
  <DocSecurity>0</DocSecurity>
  <Lines>157</Lines>
  <Paragraphs>44</Paragraphs>
  <ScaleCrop>false</ScaleCrop>
  <Company/>
  <LinksUpToDate>false</LinksUpToDate>
  <CharactersWithSpaces>22219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Painter</dc:creator>
  <cp:keywords/>
  <dc:description/>
  <cp:lastModifiedBy>Hollie Painter</cp:lastModifiedBy>
  <cp:revision>2</cp:revision>
  <dcterms:created xsi:type="dcterms:W3CDTF">2023-04-24T21:44:00Z</dcterms:created>
  <dcterms:modified xsi:type="dcterms:W3CDTF">2023-04-24T21:44:00Z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9a9b4e37-71e3-4ef8-9ae6-a9dfd266fddb</vt:lpwstr>
  </property>
</Properties>
</file>