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AB7B6" w14:textId="77777777" w:rsidR="0002467B" w:rsidRDefault="0002467B" w:rsidP="0002467B">
      <w:pPr>
        <w:spacing w:after="20"/>
        <w:jc w:val="center"/>
        <w:rPr>
          <w:b/>
          <w:bCs/>
          <w:color w:val="000000"/>
          <w:sz w:val="40"/>
          <w:szCs w:val="40"/>
        </w:rPr>
      </w:pPr>
      <w:r w:rsidRPr="00D23878">
        <w:rPr>
          <w:b/>
          <w:bCs/>
          <w:color w:val="000000"/>
          <w:sz w:val="40"/>
          <w:szCs w:val="40"/>
        </w:rPr>
        <w:t xml:space="preserve">Nisreen </w:t>
      </w:r>
      <w:r>
        <w:rPr>
          <w:b/>
          <w:bCs/>
          <w:color w:val="000000"/>
          <w:sz w:val="40"/>
          <w:szCs w:val="40"/>
        </w:rPr>
        <w:t>M</w:t>
      </w:r>
      <w:r w:rsidRPr="00D23878">
        <w:rPr>
          <w:b/>
          <w:bCs/>
          <w:color w:val="000000"/>
          <w:sz w:val="40"/>
          <w:szCs w:val="40"/>
        </w:rPr>
        <w:t>ubari</w:t>
      </w:r>
      <w:r>
        <w:rPr>
          <w:b/>
          <w:bCs/>
          <w:color w:val="000000"/>
          <w:sz w:val="40"/>
          <w:szCs w:val="40"/>
        </w:rPr>
        <w:t>k</w:t>
      </w:r>
    </w:p>
    <w:p w14:paraId="4CA692B7" w14:textId="77777777" w:rsidR="0002467B" w:rsidRDefault="0002467B" w:rsidP="0002467B">
      <w:pPr>
        <w:spacing w:after="20"/>
        <w:jc w:val="center"/>
        <w:rPr>
          <w:b/>
          <w:bCs/>
          <w:color w:val="000000"/>
          <w:sz w:val="40"/>
          <w:szCs w:val="40"/>
        </w:rPr>
      </w:pPr>
      <w:r w:rsidRPr="00896437">
        <w:rPr>
          <w:b/>
          <w:bCs/>
          <w:color w:val="000000"/>
          <w:sz w:val="40"/>
          <w:szCs w:val="40"/>
        </w:rPr>
        <w:t>2506382</w:t>
      </w:r>
    </w:p>
    <w:p w14:paraId="2D5748E7" w14:textId="77777777" w:rsidR="0002467B" w:rsidRDefault="0002467B" w:rsidP="0002467B">
      <w:pPr>
        <w:spacing w:after="20"/>
        <w:jc w:val="center"/>
        <w:rPr>
          <w:b/>
          <w:bCs/>
          <w:color w:val="000000"/>
          <w:sz w:val="40"/>
          <w:szCs w:val="40"/>
        </w:rPr>
      </w:pPr>
    </w:p>
    <w:p w14:paraId="08949845" w14:textId="77777777" w:rsidR="0002467B" w:rsidRPr="00B319A5" w:rsidRDefault="0002467B" w:rsidP="0002467B">
      <w:pPr>
        <w:spacing w:after="20"/>
        <w:jc w:val="center"/>
        <w:rPr>
          <w:sz w:val="32"/>
          <w:szCs w:val="32"/>
        </w:rPr>
      </w:pPr>
      <w:r>
        <w:rPr>
          <w:color w:val="000000"/>
          <w:sz w:val="28"/>
          <w:szCs w:val="28"/>
        </w:rPr>
        <w:t>Module: Introduction to Health and Social Care</w:t>
      </w:r>
    </w:p>
    <w:p w14:paraId="47A23415" w14:textId="77777777" w:rsidR="0002467B" w:rsidRPr="00B319A5" w:rsidRDefault="0002467B" w:rsidP="0002467B">
      <w:pPr>
        <w:spacing w:after="20"/>
        <w:jc w:val="center"/>
        <w:rPr>
          <w:sz w:val="32"/>
          <w:szCs w:val="32"/>
        </w:rPr>
      </w:pPr>
      <w:r w:rsidRPr="00B319A5">
        <w:rPr>
          <w:color w:val="000000"/>
          <w:sz w:val="28"/>
          <w:szCs w:val="28"/>
        </w:rPr>
        <w:t>Module</w:t>
      </w:r>
      <w:r>
        <w:rPr>
          <w:color w:val="000000"/>
          <w:sz w:val="28"/>
          <w:szCs w:val="28"/>
        </w:rPr>
        <w:t xml:space="preserve"> Code</w:t>
      </w:r>
      <w:r w:rsidRPr="00B319A5">
        <w:rPr>
          <w:color w:val="000000"/>
          <w:sz w:val="28"/>
          <w:szCs w:val="28"/>
        </w:rPr>
        <w:t xml:space="preserve">: LCHS4003 </w:t>
      </w:r>
    </w:p>
    <w:p w14:paraId="34B4D921" w14:textId="77777777" w:rsidR="0002467B" w:rsidRPr="00B319A5" w:rsidRDefault="0002467B" w:rsidP="0002467B">
      <w:pPr>
        <w:spacing w:after="20"/>
        <w:jc w:val="center"/>
        <w:rPr>
          <w:sz w:val="32"/>
          <w:szCs w:val="32"/>
        </w:rPr>
      </w:pPr>
      <w:r w:rsidRPr="00B319A5">
        <w:rPr>
          <w:color w:val="000000"/>
          <w:sz w:val="28"/>
          <w:szCs w:val="28"/>
        </w:rPr>
        <w:t>Tutor: Dr Helen Parsons</w:t>
      </w:r>
    </w:p>
    <w:p w14:paraId="18FA961E" w14:textId="77777777" w:rsidR="0002467B" w:rsidRPr="00B319A5" w:rsidRDefault="0002467B" w:rsidP="0002467B">
      <w:pPr>
        <w:spacing w:after="160"/>
        <w:jc w:val="center"/>
        <w:rPr>
          <w:color w:val="000000"/>
          <w:sz w:val="28"/>
          <w:szCs w:val="28"/>
        </w:rPr>
      </w:pPr>
      <w:r w:rsidRPr="00B319A5">
        <w:rPr>
          <w:color w:val="000000"/>
          <w:sz w:val="28"/>
          <w:szCs w:val="28"/>
        </w:rPr>
        <w:t>Assignment: Portfolio – Two Tasks</w:t>
      </w:r>
    </w:p>
    <w:p w14:paraId="5543E87C" w14:textId="77777777" w:rsidR="0002467B" w:rsidRDefault="0002467B">
      <w:pPr>
        <w:spacing w:after="160" w:line="278" w:lineRule="auto"/>
        <w:rPr>
          <w:b/>
          <w:bCs/>
          <w:color w:val="000000"/>
          <w:sz w:val="26"/>
          <w:szCs w:val="26"/>
        </w:rPr>
      </w:pPr>
      <w:r>
        <w:rPr>
          <w:b/>
          <w:bCs/>
          <w:color w:val="000000"/>
          <w:sz w:val="26"/>
          <w:szCs w:val="26"/>
        </w:rPr>
        <w:br w:type="page"/>
      </w:r>
    </w:p>
    <w:p w14:paraId="002E47AA" w14:textId="180364EF" w:rsidR="00C31263" w:rsidRDefault="00C31263" w:rsidP="00C31263">
      <w:pPr>
        <w:pageBreakBefore/>
        <w:spacing w:after="120"/>
      </w:pPr>
      <w:r>
        <w:rPr>
          <w:b/>
          <w:bCs/>
          <w:color w:val="000000"/>
          <w:sz w:val="26"/>
          <w:szCs w:val="26"/>
        </w:rPr>
        <w:lastRenderedPageBreak/>
        <w:t>Task 2: Academic Essay – Domiciliary Care Services</w:t>
      </w:r>
    </w:p>
    <w:p w14:paraId="0A80019A" w14:textId="77777777" w:rsidR="00C31263" w:rsidRDefault="00C31263" w:rsidP="00C31263">
      <w:pPr>
        <w:spacing w:after="160"/>
      </w:pPr>
      <w:r>
        <w:rPr>
          <w:b/>
          <w:bCs/>
          <w:color w:val="000000"/>
        </w:rPr>
        <w:t>Maintaining Autonomy within the Community: A Critical Evaluation of the Origins, Modern Operation and Quality-of-Life Effects of Domiciliary Care Services</w:t>
      </w:r>
    </w:p>
    <w:p w14:paraId="6BCA374D" w14:textId="77777777" w:rsidR="00C31263" w:rsidRDefault="00C31263" w:rsidP="00C31263">
      <w:pPr>
        <w:spacing w:after="80"/>
      </w:pPr>
      <w:r>
        <w:rPr>
          <w:b/>
          <w:bCs/>
          <w:color w:val="000000"/>
        </w:rPr>
        <w:t>Introduction, historical origins and legislative milestones</w:t>
      </w:r>
    </w:p>
    <w:p w14:paraId="47B882B1" w14:textId="77777777" w:rsidR="00C31263" w:rsidRDefault="00C31263" w:rsidP="00C31263">
      <w:pPr>
        <w:spacing w:after="160" w:line="288" w:lineRule="auto"/>
        <w:jc w:val="both"/>
      </w:pPr>
      <w:r w:rsidRPr="0086205D">
        <w:rPr>
          <w:color w:val="000000"/>
        </w:rPr>
        <w:t>Home care (also known as domiciliary care) is a social care service that is designed to help individuals in their own homes. The UK's approach to people who were vulnerable was very institutionalised in the past and people were sent to workhouses. Hughes (2023) explained that early social attitudes considered care to be something that needed to be hidden in institutional spaces and not provided in the home. However, social reforms in the twentieth century gave rise to deinstitutionalisation, whereby the emphasis moved towards helping individuals to live independently at home. This change brought to light the historic distinction between health and social care. In the UK healthcare is free under the NHS, social care is means-tested and devolved to local authorities as explained by Glasby (2026).</w:t>
      </w:r>
    </w:p>
    <w:p w14:paraId="0C7AA96E" w14:textId="77777777" w:rsidR="00C31263" w:rsidRDefault="00C31263" w:rsidP="00C31263">
      <w:pPr>
        <w:spacing w:after="80"/>
      </w:pPr>
      <w:r>
        <w:rPr>
          <w:b/>
          <w:bCs/>
          <w:color w:val="000000"/>
        </w:rPr>
        <w:t>Critical evaluation of contemporary functioning</w:t>
      </w:r>
    </w:p>
    <w:p w14:paraId="58C28E5E" w14:textId="77777777" w:rsidR="00C31263" w:rsidRDefault="00C31263" w:rsidP="00C31263">
      <w:pPr>
        <w:spacing w:after="160" w:line="288" w:lineRule="auto"/>
        <w:jc w:val="both"/>
      </w:pPr>
      <w:r w:rsidRPr="0086205D">
        <w:rPr>
          <w:color w:val="000000"/>
        </w:rPr>
        <w:t>In reality, today's domiciliary care services struggle to reconcile the management of care with care for the individual. Today many local authorities commission home care in a very transactional way – sometimes known as ‘task and finish visits’ – and allocate a carer just 15 minutes to assist a client. In Bengtsson's (2024) opinion, this commerciali</w:t>
      </w:r>
      <w:r>
        <w:rPr>
          <w:color w:val="000000"/>
        </w:rPr>
        <w:t>s</w:t>
      </w:r>
      <w:r w:rsidRPr="0086205D">
        <w:rPr>
          <w:color w:val="000000"/>
        </w:rPr>
        <w:t xml:space="preserve">ed way of connecting can result in older individuals feeling isolated, as it is more about speed than about social interaction. Low pay and high turnover of care staff </w:t>
      </w:r>
      <w:r>
        <w:rPr>
          <w:color w:val="000000"/>
        </w:rPr>
        <w:t>exacerbate</w:t>
      </w:r>
      <w:r w:rsidRPr="0086205D">
        <w:rPr>
          <w:color w:val="000000"/>
        </w:rPr>
        <w:t xml:space="preserve"> this. Palmer (2026) uses personal accounts to illustrate that for many service users, a lack of continuity in their daily lives and a sense of less safety can result from a succession of different carers. These failures also have a direct impact on the overall healthcare system. If community home care is not available, vulnerable people lack support, which puts them at risk of major incidents like falls. This in turn increases the amount of emergency 999 calls and overloads ambulance crews and inadequate care packages means that hospitals don't have the capacity to discharge patients safely, leading to bed blockages and delayed handovers. Consequently, the ineffective functioning of modern domiciliary care has a direct negative impact on the efficiency and safety of the whole health and social care network.</w:t>
      </w:r>
    </w:p>
    <w:p w14:paraId="3ADC88D6" w14:textId="77777777" w:rsidR="00C31263" w:rsidRDefault="00C31263" w:rsidP="00C31263">
      <w:pPr>
        <w:spacing w:after="80"/>
      </w:pPr>
      <w:r>
        <w:rPr>
          <w:b/>
          <w:bCs/>
          <w:color w:val="000000"/>
        </w:rPr>
        <w:t>The impact on service user quality of life</w:t>
      </w:r>
    </w:p>
    <w:p w14:paraId="397A47AB" w14:textId="77777777" w:rsidR="00C31263" w:rsidRDefault="00C31263" w:rsidP="00C31263">
      <w:pPr>
        <w:spacing w:after="80" w:line="288" w:lineRule="auto"/>
        <w:jc w:val="both"/>
      </w:pPr>
      <w:r w:rsidRPr="0086205D">
        <w:rPr>
          <w:color w:val="000000"/>
        </w:rPr>
        <w:t>Despite these challenges, the impact of effective domiciliary care is enormous in the quality of life of those who receive the services. Keeping older people in their own homes helps to preserve their independence, identity and dignity, which are most likely to be lost when they move into residential care. Care at home allows a person to maintain their identity and control over their daily activities, both of which are an important part of emotional health in old age, according to Hughes (2023). Additionally, home care is a crucial part of preventive care, allowing individuals to remain physically active in their own environment. Genaro et al. (2024) show that structured home care visits can help maintain cognitive ability and slow physical decline in older populations, reducing the need for more intensive institutional care. Home care workers can help prevent depression and physical deterioration by providing assistance with daily activities and regular socialisation. The importance of domiciliary care is thus more than just a convenient service; it is a vital part of a long-term strategy to maintain vulnerable people healthy, happy and independent.</w:t>
      </w:r>
    </w:p>
    <w:p w14:paraId="231C415E" w14:textId="77777777" w:rsidR="00C31263" w:rsidRDefault="00C31263" w:rsidP="00C31263">
      <w:pPr>
        <w:pageBreakBefore/>
        <w:spacing w:after="160"/>
      </w:pPr>
      <w:r>
        <w:rPr>
          <w:b/>
          <w:bCs/>
          <w:color w:val="000000"/>
          <w:sz w:val="28"/>
          <w:szCs w:val="28"/>
        </w:rPr>
        <w:lastRenderedPageBreak/>
        <w:t>References</w:t>
      </w:r>
    </w:p>
    <w:p w14:paraId="0E046940" w14:textId="77777777" w:rsidR="00C31263" w:rsidRPr="005E122A" w:rsidRDefault="00C31263" w:rsidP="00C31263">
      <w:pPr>
        <w:spacing w:after="120"/>
        <w:jc w:val="both"/>
      </w:pPr>
      <w:r w:rsidRPr="005E122A">
        <w:t>Ambulance CPD (2025) The history of the UK paramedic.</w:t>
      </w:r>
    </w:p>
    <w:p w14:paraId="5A467545" w14:textId="77777777" w:rsidR="00C31263" w:rsidRPr="005E122A" w:rsidRDefault="00C31263" w:rsidP="00C31263">
      <w:pPr>
        <w:spacing w:after="120"/>
        <w:jc w:val="both"/>
      </w:pPr>
      <w:r w:rsidRPr="005E122A">
        <w:t xml:space="preserve">Association of Ambulance Chief Executives (AACE) (2024) Latest UK NHS ambulance sector data shows there can be no complacency over hospital handover delays. Available at: </w:t>
      </w:r>
      <w:hyperlink r:id="rId6" w:history="1">
        <w:r w:rsidRPr="00D0224E">
          <w:rPr>
            <w:color w:val="0563C1"/>
            <w:u w:val="single"/>
          </w:rPr>
          <w:t>https://aace.org.uk/news/latest-uk-nhs-ambulance-sector-data-shows-there-can-be-no-complacency-over-hospital-handover-delays-as-32000-people-estimated-to-have-come-to-potential-harm-in-may-2024/</w:t>
        </w:r>
      </w:hyperlink>
      <w:r w:rsidRPr="005E122A">
        <w:t xml:space="preserve"> (Accessed: 17 June 2026).</w:t>
      </w:r>
    </w:p>
    <w:p w14:paraId="5C0DBAAC" w14:textId="77777777" w:rsidR="00C31263" w:rsidRPr="005E122A" w:rsidRDefault="00C31263" w:rsidP="00C31263">
      <w:pPr>
        <w:spacing w:after="120"/>
        <w:jc w:val="both"/>
      </w:pPr>
      <w:r w:rsidRPr="005E122A">
        <w:t>Bengtsson, M.N. (2024) An exploration of older people's perspectives of future homecare in the United Kingdom and principles for its design: a participatory approach. Doctoral dissertation. Bournemouth University.</w:t>
      </w:r>
    </w:p>
    <w:p w14:paraId="15BF33D3" w14:textId="77777777" w:rsidR="00C31263" w:rsidRPr="005E122A" w:rsidRDefault="00C31263" w:rsidP="00C31263">
      <w:pPr>
        <w:spacing w:after="120"/>
        <w:jc w:val="both"/>
      </w:pPr>
      <w:r w:rsidRPr="005E122A">
        <w:t xml:space="preserve">Care Quality Commission (2025) The state of health care and adult social care in England 2024/25: secondary care. Available at: </w:t>
      </w:r>
      <w:hyperlink r:id="rId7" w:history="1">
        <w:r w:rsidRPr="00D0224E">
          <w:rPr>
            <w:color w:val="0563C1"/>
            <w:u w:val="single"/>
          </w:rPr>
          <w:t>https://www.cqc.org.uk/publications/major-report/state-care/2024-2025/access/secondary</w:t>
        </w:r>
      </w:hyperlink>
      <w:r w:rsidRPr="005E122A">
        <w:t xml:space="preserve"> (Accessed: 17 June 2026).</w:t>
      </w:r>
    </w:p>
    <w:p w14:paraId="6333E93C" w14:textId="77777777" w:rsidR="00C31263" w:rsidRPr="005E122A" w:rsidRDefault="00C31263" w:rsidP="00C31263">
      <w:pPr>
        <w:spacing w:after="120"/>
        <w:jc w:val="both"/>
      </w:pPr>
      <w:r w:rsidRPr="005E122A">
        <w:t xml:space="preserve">East Midlands Ambulance Service NHS Trust (2024) #999wise emergency awareness campaign. Available at: </w:t>
      </w:r>
      <w:hyperlink r:id="rId8" w:history="1">
        <w:r w:rsidRPr="00D0224E">
          <w:rPr>
            <w:color w:val="0563C1"/>
            <w:u w:val="single"/>
          </w:rPr>
          <w:t>https://www.emas.nhs.uk/</w:t>
        </w:r>
      </w:hyperlink>
      <w:r w:rsidRPr="005E122A">
        <w:t xml:space="preserve"> (Accessed: 17 June 2026).</w:t>
      </w:r>
    </w:p>
    <w:p w14:paraId="59879CDB" w14:textId="77777777" w:rsidR="00C31263" w:rsidRPr="005E122A" w:rsidRDefault="00C31263" w:rsidP="00C31263">
      <w:pPr>
        <w:spacing w:after="120"/>
        <w:jc w:val="both"/>
      </w:pPr>
      <w:r w:rsidRPr="005E122A">
        <w:t>Genaro, L.E., Marconato, J.V., Tagliaferro, E.P.D.S., Pinotti, F.E., Valsecki Júnior, A., Adas Saliba, T. and Rosell, F.L. (2024) 'Home care for the elderly: an integrated approach to perception, quality of life, and cognition', International Journal of Environmental Research and Public Health, 21(5), p.539.</w:t>
      </w:r>
    </w:p>
    <w:p w14:paraId="42995347" w14:textId="77777777" w:rsidR="00C31263" w:rsidRPr="005E122A" w:rsidRDefault="00C31263" w:rsidP="00C31263">
      <w:pPr>
        <w:spacing w:after="120"/>
        <w:jc w:val="both"/>
      </w:pPr>
      <w:r w:rsidRPr="005E122A">
        <w:t>Glasby, J. (2026) Understanding health and social care. Bristol: Policy Press.</w:t>
      </w:r>
    </w:p>
    <w:p w14:paraId="0F1C9CD8" w14:textId="77777777" w:rsidR="00C31263" w:rsidRPr="005E122A" w:rsidRDefault="00C31263" w:rsidP="00C31263">
      <w:pPr>
        <w:spacing w:after="120"/>
        <w:jc w:val="both"/>
      </w:pPr>
      <w:r w:rsidRPr="005E122A">
        <w:t>Hughes, S. (2023) Domiciliary care, self and older age. Doctoral dissertation. Anglia Ruskin Research Online (ARRO).</w:t>
      </w:r>
    </w:p>
    <w:p w14:paraId="57B9B9F9" w14:textId="77777777" w:rsidR="00C31263" w:rsidRPr="005E122A" w:rsidRDefault="00C31263" w:rsidP="00C31263">
      <w:pPr>
        <w:spacing w:after="120"/>
        <w:jc w:val="both"/>
      </w:pPr>
      <w:r w:rsidRPr="005E122A">
        <w:t xml:space="preserve">London Ambulance Service NHS Trust (2024) Ambulance response categories. Available at: </w:t>
      </w:r>
      <w:hyperlink r:id="rId9" w:history="1">
        <w:r w:rsidRPr="00D0224E">
          <w:rPr>
            <w:color w:val="0563C1"/>
            <w:u w:val="single"/>
          </w:rPr>
          <w:t>https://www.londonambulance.nhs.uk/calling-us/ambulance-response-categories/</w:t>
        </w:r>
      </w:hyperlink>
      <w:r w:rsidRPr="005E122A">
        <w:t xml:space="preserve"> (Accessed: 17 June 2026).</w:t>
      </w:r>
    </w:p>
    <w:p w14:paraId="0B206572" w14:textId="77777777" w:rsidR="00C31263" w:rsidRPr="005E122A" w:rsidRDefault="00C31263" w:rsidP="00C31263">
      <w:pPr>
        <w:spacing w:after="120"/>
        <w:jc w:val="both"/>
      </w:pPr>
      <w:r w:rsidRPr="005E122A">
        <w:t xml:space="preserve">London Ambulance Service NHS Trust (2025) Our history: a timeline. Available at: </w:t>
      </w:r>
      <w:hyperlink r:id="rId10" w:history="1">
        <w:r w:rsidRPr="00D0224E">
          <w:rPr>
            <w:color w:val="0563C1"/>
            <w:u w:val="single"/>
          </w:rPr>
          <w:t>https://www.londonambulance.nhs.uk/about-us/our-history/our-history-a-timeline/</w:t>
        </w:r>
      </w:hyperlink>
      <w:r w:rsidRPr="005E122A">
        <w:t xml:space="preserve"> (Accessed: 17 June 2026).</w:t>
      </w:r>
    </w:p>
    <w:p w14:paraId="74E06DAC" w14:textId="77777777" w:rsidR="00C31263" w:rsidRPr="005E122A" w:rsidRDefault="00C31263" w:rsidP="00C31263">
      <w:pPr>
        <w:spacing w:after="120"/>
        <w:jc w:val="both"/>
      </w:pPr>
      <w:r w:rsidRPr="005E122A">
        <w:t xml:space="preserve">NHS England (2024) Monthly operational statistics – September 2024. Available at: </w:t>
      </w:r>
      <w:hyperlink r:id="rId11" w:history="1">
        <w:r w:rsidRPr="00D0224E">
          <w:rPr>
            <w:color w:val="0563C1"/>
            <w:u w:val="single"/>
          </w:rPr>
          <w:t>https://www.england.nhs.uk/long-read/monthly-operational-statistics-september-2024/</w:t>
        </w:r>
      </w:hyperlink>
      <w:r w:rsidRPr="005E122A">
        <w:t xml:space="preserve"> (Accessed: 17 June 2026).</w:t>
      </w:r>
    </w:p>
    <w:p w14:paraId="60DC6694" w14:textId="77777777" w:rsidR="00C31263" w:rsidRPr="005E122A" w:rsidRDefault="00C31263" w:rsidP="00C31263">
      <w:pPr>
        <w:spacing w:after="120"/>
        <w:jc w:val="both"/>
      </w:pPr>
      <w:r w:rsidRPr="005E122A">
        <w:t xml:space="preserve">NHS Providers (2024) NHS activity tracker 2024/25: ambulance sector. Available at: </w:t>
      </w:r>
      <w:hyperlink r:id="rId12" w:history="1">
        <w:r w:rsidRPr="00D0224E">
          <w:rPr>
            <w:color w:val="0563C1"/>
            <w:u w:val="single"/>
          </w:rPr>
          <w:t>https://nhsproviders.org/nhs-activity-tracker-202425/july-2024/ambulance-sector</w:t>
        </w:r>
      </w:hyperlink>
      <w:r w:rsidRPr="005E122A">
        <w:t xml:space="preserve"> (Accessed: 17 June 2026).</w:t>
      </w:r>
    </w:p>
    <w:p w14:paraId="025828CA" w14:textId="77777777" w:rsidR="00C31263" w:rsidRPr="005E122A" w:rsidRDefault="00C31263" w:rsidP="00C31263">
      <w:pPr>
        <w:spacing w:after="120"/>
        <w:jc w:val="both"/>
      </w:pPr>
      <w:r w:rsidRPr="005E122A">
        <w:t xml:space="preserve">Nuffield Trust (2026) Ambulance response times. Available at: </w:t>
      </w:r>
      <w:hyperlink r:id="rId13" w:history="1">
        <w:r w:rsidRPr="00D0224E">
          <w:rPr>
            <w:color w:val="0563C1"/>
            <w:u w:val="single"/>
          </w:rPr>
          <w:t>https://www.nuffieldtrust.org.uk/resource/ambulance-response-times</w:t>
        </w:r>
      </w:hyperlink>
      <w:r w:rsidRPr="005E122A">
        <w:t xml:space="preserve"> (Accessed: 17 June 2026).</w:t>
      </w:r>
    </w:p>
    <w:p w14:paraId="0B218BE0" w14:textId="77777777" w:rsidR="00C31263" w:rsidRPr="005E122A" w:rsidRDefault="00C31263" w:rsidP="00C31263">
      <w:pPr>
        <w:spacing w:after="120"/>
        <w:jc w:val="both"/>
      </w:pPr>
      <w:r w:rsidRPr="005E122A">
        <w:t>Palmer, D. (2026) ‘"Behind every visit is a life, my life": listening to home care recipients through oral history', International Journal of Ageing and Later Life.</w:t>
      </w:r>
    </w:p>
    <w:p w14:paraId="20FFD696" w14:textId="77777777" w:rsidR="00C31263" w:rsidRPr="005E122A" w:rsidRDefault="00C31263" w:rsidP="00C31263">
      <w:pPr>
        <w:spacing w:after="120"/>
        <w:jc w:val="both"/>
      </w:pPr>
      <w:r w:rsidRPr="005E122A">
        <w:t xml:space="preserve">The King's Fund (2025) NHS key facts and figures. Available at: </w:t>
      </w:r>
      <w:hyperlink r:id="rId14" w:history="1">
        <w:r w:rsidRPr="00D0224E">
          <w:rPr>
            <w:color w:val="0563C1"/>
            <w:u w:val="single"/>
          </w:rPr>
          <w:t>https://www.kingsfund.org.uk/insight-and-analysis/data-and-charts/key-facts-figures-nhs</w:t>
        </w:r>
      </w:hyperlink>
      <w:r w:rsidRPr="005E122A">
        <w:t xml:space="preserve"> (Accessed: 17 June 2026).</w:t>
      </w:r>
    </w:p>
    <w:p w14:paraId="0F460160" w14:textId="77777777" w:rsidR="00F151F6" w:rsidRDefault="00F151F6"/>
    <w:sectPr w:rsidR="00F151F6" w:rsidSect="00C31263">
      <w:footerReference w:type="default" r:id="rId15"/>
      <w:pgSz w:w="11906" w:h="16838"/>
      <w:pgMar w:top="1152" w:right="1152" w:bottom="1152" w:left="1152"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FBA48" w14:textId="77777777" w:rsidR="005859E9" w:rsidRDefault="005859E9">
      <w:r>
        <w:separator/>
      </w:r>
    </w:p>
  </w:endnote>
  <w:endnote w:type="continuationSeparator" w:id="0">
    <w:p w14:paraId="59DCD64C" w14:textId="77777777" w:rsidR="005859E9" w:rsidRDefault="005859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80A88" w14:textId="77777777" w:rsidR="00C31263" w:rsidRDefault="00C31263">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6F23B" w14:textId="77777777" w:rsidR="005859E9" w:rsidRDefault="005859E9">
      <w:r>
        <w:separator/>
      </w:r>
    </w:p>
  </w:footnote>
  <w:footnote w:type="continuationSeparator" w:id="0">
    <w:p w14:paraId="1D6537A4" w14:textId="77777777" w:rsidR="005859E9" w:rsidRDefault="005859E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63"/>
    <w:rsid w:val="0002467B"/>
    <w:rsid w:val="002D337A"/>
    <w:rsid w:val="005859E9"/>
    <w:rsid w:val="00BA372C"/>
    <w:rsid w:val="00C31263"/>
    <w:rsid w:val="00C36C8D"/>
    <w:rsid w:val="00F01505"/>
    <w:rsid w:val="00F1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61200"/>
  <w15:chartTrackingRefBased/>
  <w15:docId w15:val="{0C6C2CDD-79A7-4207-94E7-ACB177635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263"/>
    <w:pPr>
      <w:spacing w:after="0" w:line="240" w:lineRule="auto"/>
    </w:pPr>
    <w:rPr>
      <w:rFonts w:ascii="Arial" w:eastAsia="Arial" w:hAnsi="Arial" w:cs="Arial"/>
      <w:kern w:val="0"/>
      <w:sz w:val="22"/>
      <w:szCs w:val="22"/>
      <w:lang w:eastAsia="en-GB" w:bidi="bn-IN"/>
      <w14:ligatures w14:val="none"/>
    </w:rPr>
  </w:style>
  <w:style w:type="paragraph" w:styleId="Heading1">
    <w:name w:val="heading 1"/>
    <w:basedOn w:val="Normal"/>
    <w:next w:val="Normal"/>
    <w:link w:val="Heading1Char"/>
    <w:uiPriority w:val="9"/>
    <w:qFormat/>
    <w:rsid w:val="00C31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1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1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26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26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26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26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1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1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1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1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1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1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1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1263"/>
    <w:rPr>
      <w:rFonts w:eastAsiaTheme="majorEastAsia" w:cstheme="majorBidi"/>
      <w:color w:val="272727" w:themeColor="text1" w:themeTint="D8"/>
    </w:rPr>
  </w:style>
  <w:style w:type="paragraph" w:styleId="Title">
    <w:name w:val="Title"/>
    <w:basedOn w:val="Normal"/>
    <w:next w:val="Normal"/>
    <w:link w:val="TitleChar"/>
    <w:uiPriority w:val="10"/>
    <w:qFormat/>
    <w:rsid w:val="00C3126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1263"/>
    <w:pPr>
      <w:spacing w:before="160"/>
      <w:jc w:val="center"/>
    </w:pPr>
    <w:rPr>
      <w:i/>
      <w:iCs/>
      <w:color w:val="404040" w:themeColor="text1" w:themeTint="BF"/>
    </w:rPr>
  </w:style>
  <w:style w:type="character" w:customStyle="1" w:styleId="QuoteChar">
    <w:name w:val="Quote Char"/>
    <w:basedOn w:val="DefaultParagraphFont"/>
    <w:link w:val="Quote"/>
    <w:uiPriority w:val="29"/>
    <w:rsid w:val="00C31263"/>
    <w:rPr>
      <w:i/>
      <w:iCs/>
      <w:color w:val="404040" w:themeColor="text1" w:themeTint="BF"/>
    </w:rPr>
  </w:style>
  <w:style w:type="paragraph" w:styleId="ListParagraph">
    <w:name w:val="List Paragraph"/>
    <w:basedOn w:val="Normal"/>
    <w:uiPriority w:val="34"/>
    <w:qFormat/>
    <w:rsid w:val="00C31263"/>
    <w:pPr>
      <w:ind w:left="720"/>
      <w:contextualSpacing/>
    </w:pPr>
  </w:style>
  <w:style w:type="character" w:styleId="IntenseEmphasis">
    <w:name w:val="Intense Emphasis"/>
    <w:basedOn w:val="DefaultParagraphFont"/>
    <w:uiPriority w:val="21"/>
    <w:qFormat/>
    <w:rsid w:val="00C31263"/>
    <w:rPr>
      <w:i/>
      <w:iCs/>
      <w:color w:val="0F4761" w:themeColor="accent1" w:themeShade="BF"/>
    </w:rPr>
  </w:style>
  <w:style w:type="paragraph" w:styleId="IntenseQuote">
    <w:name w:val="Intense Quote"/>
    <w:basedOn w:val="Normal"/>
    <w:next w:val="Normal"/>
    <w:link w:val="IntenseQuoteChar"/>
    <w:uiPriority w:val="30"/>
    <w:qFormat/>
    <w:rsid w:val="00C31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263"/>
    <w:rPr>
      <w:i/>
      <w:iCs/>
      <w:color w:val="0F4761" w:themeColor="accent1" w:themeShade="BF"/>
    </w:rPr>
  </w:style>
  <w:style w:type="character" w:styleId="IntenseReference">
    <w:name w:val="Intense Reference"/>
    <w:basedOn w:val="DefaultParagraphFont"/>
    <w:uiPriority w:val="32"/>
    <w:qFormat/>
    <w:rsid w:val="00C312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as.nhs.uk/" TargetMode="External"/><Relationship Id="rId13" Type="http://schemas.openxmlformats.org/officeDocument/2006/relationships/hyperlink" Target="https://www.nuffieldtrust.org.uk/resource/ambulance-response-times" TargetMode="External"/><Relationship Id="rId3" Type="http://schemas.openxmlformats.org/officeDocument/2006/relationships/webSettings" Target="webSettings.xml"/><Relationship Id="rId7" Type="http://schemas.openxmlformats.org/officeDocument/2006/relationships/hyperlink" Target="https://www.cqc.org.uk/publications/major-report/state-care/2024-2025/access/secondary" TargetMode="External"/><Relationship Id="rId12" Type="http://schemas.openxmlformats.org/officeDocument/2006/relationships/hyperlink" Target="https://nhsproviders.org/nhs-activity-tracker-202425/july-2024/ambulance-sector"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ace.org.uk/news/latest-uk-nhs-ambulance-sector-data-shows-there-can-be-no-complacency-over-hospital-handover-delays-as-32000-people-estimated-to-have-come-to-potential-harm-in-may-2024/" TargetMode="External"/><Relationship Id="rId11" Type="http://schemas.openxmlformats.org/officeDocument/2006/relationships/hyperlink" Target="https://www.england.nhs.uk/long-read/monthly-operational-statistics-september-2024/"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londonambulance.nhs.uk/about-us/our-history/our-history-a-timeline/" TargetMode="External"/><Relationship Id="rId4" Type="http://schemas.openxmlformats.org/officeDocument/2006/relationships/footnotes" Target="footnotes.xml"/><Relationship Id="rId9" Type="http://schemas.openxmlformats.org/officeDocument/2006/relationships/hyperlink" Target="https://www.londonambulance.nhs.uk/calling-us/ambulance-response-categories/" TargetMode="External"/><Relationship Id="rId14" Type="http://schemas.openxmlformats.org/officeDocument/2006/relationships/hyperlink" Target="https://www.kingsfund.org.uk/insight-and-analysis/data-and-charts/key-facts-figures-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1131</Words>
  <Characters>6452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Nisreen Mubarik (2506382)</dc:creator>
  <cp:keywords/>
  <dc:description/>
  <cp:lastModifiedBy>Nisreen Mubarik (2506382)</cp:lastModifiedBy>
  <cp:revision>3</cp:revision>
  <dcterms:created xsi:type="dcterms:W3CDTF">2026-06-20T11:06:00Z</dcterms:created>
  <dcterms:modified xsi:type="dcterms:W3CDTF">2026-06-20T17:14:00Z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0b5a55f0-d9a4-419c-98ea-2ce1feb8aefa</vt:lpwstr>
  </property>
</Properties>
</file>