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sdt>
      <w:sdtPr>
        <w:id w:val="-2034024453"/>
        <w:docPartObj>
          <w:docPartGallery w:val="Cover Pages"/>
          <w:docPartUnique/>
        </w:docPartObj>
      </w:sdtPr>
      <w:sdtEndPr>
        <w:rPr>
          <w:b/>
          <w:bCs/>
          <w:kern w:val="48"/>
        </w:rPr>
      </w:sdtEndPr>
      <w:sdtContent>
        <w:p w14:paraId="227C251C" w14:textId="46DDBB29" w:rsidR="0095626E" w:rsidRDefault="0095626E"/>
        <w:tbl>
          <w:tblPr>
            <w:tblpPr w:leftFromText="187" w:rightFromText="187" w:horzAnchor="margin" w:tblpXSpec="center" w:tblpYSpec="bottom"/>
            <w:tblW w:w="77.0%" w:type="pct"/>
            <w:tblLook w:firstRow="1" w:lastRow="0" w:firstColumn="1" w:lastColumn="0" w:noHBand="0" w:noVBand="1"/>
          </w:tblPr>
          <w:tblGrid>
            <w:gridCol w:w="7792"/>
          </w:tblGrid>
          <w:tr w:rsidR="0095626E" w14:paraId="1CA63068" w14:textId="77777777" w:rsidTr="00ED4F29">
            <w:tc>
              <w:tcPr>
                <w:tcW w:w="390.35pt" w:type="dxa"/>
                <w:tcMar>
                  <w:top w:w="10.80pt" w:type="dxa"/>
                  <w:start w:w="5.75pt" w:type="dxa"/>
                  <w:bottom w:w="10.80pt" w:type="dxa"/>
                  <w:end w:w="5.75pt" w:type="dxa"/>
                </w:tcMar>
              </w:tcPr>
              <w:p w14:paraId="1AC542F3" w14:textId="77777777" w:rsidR="0095626E" w:rsidRDefault="0095626E">
                <w:pPr>
                  <w:pStyle w:val="NoSpacing"/>
                  <w:rPr>
                    <w:color w:val="5B9BD5" w:themeColor="accent1"/>
                  </w:rPr>
                </w:pPr>
              </w:p>
            </w:tc>
          </w:tr>
        </w:tbl>
        <w:tbl>
          <w:tblPr>
            <w:tblpPr w:leftFromText="187" w:rightFromText="187" w:vertAnchor="page" w:horzAnchor="margin" w:tblpY="2080"/>
            <w:tblW w:w="89.0%" w:type="pct"/>
            <w:tblBorders>
              <w:start w:val="single" w:sz="12" w:space="0" w:color="5B9BD5" w:themeColor="accent1"/>
            </w:tblBorders>
            <w:tblCellMar>
              <w:start w:w="7.20pt" w:type="dxa"/>
              <w:end w:w="5.75pt" w:type="dxa"/>
            </w:tblCellMar>
            <w:tblLook w:firstRow="1" w:lastRow="0" w:firstColumn="1" w:lastColumn="0" w:noHBand="0" w:noVBand="1"/>
          </w:tblPr>
          <w:tblGrid>
            <w:gridCol w:w="8993"/>
          </w:tblGrid>
          <w:tr w:rsidR="00ED4F29" w14:paraId="36898175" w14:textId="77777777" w:rsidTr="00ED4F29">
            <w:tc>
              <w:tcPr>
                <w:tcW w:w="452.80pt" w:type="dxa"/>
                <w:tcMar>
                  <w:top w:w="10.80pt" w:type="dxa"/>
                  <w:start w:w="5.75pt" w:type="dxa"/>
                  <w:bottom w:w="10.80pt" w:type="dxa"/>
                  <w:end w:w="5.75pt" w:type="dxa"/>
                </w:tcMar>
              </w:tcPr>
              <w:p w14:paraId="0EA58F63" w14:textId="77777777" w:rsidR="00ED4F29" w:rsidRDefault="00ED4F29" w:rsidP="00ED4F29">
                <w:pPr>
                  <w:pStyle w:val="NoSpacing"/>
                  <w:rPr>
                    <w:rFonts w:ascii="Arial" w:hAnsi="Arial" w:cs="Arial"/>
                    <w:b/>
                    <w:sz w:val="48"/>
                    <w:szCs w:val="48"/>
                  </w:rPr>
                </w:pPr>
                <w:r>
                  <w:rPr>
                    <w:rFonts w:ascii="Arial" w:hAnsi="Arial" w:cs="Arial"/>
                    <w:b/>
                    <w:noProof/>
                    <w:sz w:val="48"/>
                    <w:szCs w:val="48"/>
                  </w:rPr>
                  <w:drawing>
                    <wp:inline distT="0" distB="0" distL="0" distR="0" wp14:anchorId="72D39249" wp14:editId="399FFAB9">
                      <wp:extent cx="3718755" cy="1656668"/>
                      <wp:effectExtent l="0" t="0" r="0" b="1270"/>
                      <wp:docPr id="1362364487"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1260" cy="1662239"/>
                              </a:xfrm>
                              <a:prstGeom prst="rect">
                                <a:avLst/>
                              </a:prstGeom>
                              <a:noFill/>
                            </pic:spPr>
                          </pic:pic>
                        </a:graphicData>
                      </a:graphic>
                    </wp:inline>
                  </w:drawing>
                </w:r>
              </w:p>
              <w:p w14:paraId="007A8FB4" w14:textId="77777777" w:rsidR="00ED4F29" w:rsidRDefault="00ED4F29" w:rsidP="00ED4F29">
                <w:pPr>
                  <w:pStyle w:val="NoSpacing"/>
                  <w:jc w:val="center"/>
                  <w:rPr>
                    <w:rFonts w:ascii="Arial" w:hAnsi="Arial" w:cs="Arial"/>
                    <w:b/>
                    <w:sz w:val="48"/>
                    <w:szCs w:val="48"/>
                  </w:rPr>
                </w:pPr>
              </w:p>
              <w:p w14:paraId="7FE75E22" w14:textId="77777777" w:rsidR="000F318D" w:rsidRDefault="000F318D" w:rsidP="00C62BC2">
                <w:pPr>
                  <w:pStyle w:val="NoSpacing"/>
                  <w:jc w:val="center"/>
                  <w:rPr>
                    <w:rFonts w:ascii="Arial" w:hAnsi="Arial" w:cs="Arial"/>
                    <w:b/>
                    <w:sz w:val="56"/>
                    <w:szCs w:val="56"/>
                  </w:rPr>
                </w:pPr>
              </w:p>
              <w:p w14:paraId="78E78B7C" w14:textId="2BE80A7E" w:rsidR="00ED4F29" w:rsidRPr="00C62BC2" w:rsidRDefault="00ED4F29" w:rsidP="00C62BC2">
                <w:pPr>
                  <w:pStyle w:val="NoSpacing"/>
                  <w:jc w:val="center"/>
                  <w:rPr>
                    <w:rFonts w:ascii="Arial" w:hAnsi="Arial" w:cs="Arial"/>
                    <w:b/>
                    <w:sz w:val="56"/>
                    <w:szCs w:val="56"/>
                  </w:rPr>
                </w:pPr>
                <w:r w:rsidRPr="00C62BC2">
                  <w:rPr>
                    <w:rFonts w:ascii="Arial" w:hAnsi="Arial" w:cs="Arial"/>
                    <w:b/>
                    <w:sz w:val="56"/>
                    <w:szCs w:val="56"/>
                  </w:rPr>
                  <w:t>Research and case scenario in Data Security and Compliance</w:t>
                </w:r>
              </w:p>
              <w:p w14:paraId="29093293" w14:textId="77777777" w:rsidR="00C62BC2" w:rsidRDefault="00C62BC2" w:rsidP="00ED4F29">
                <w:pPr>
                  <w:pStyle w:val="NoSpacing"/>
                  <w:rPr>
                    <w:rFonts w:ascii="Arial" w:hAnsi="Arial" w:cs="Arial"/>
                    <w:b/>
                    <w:sz w:val="52"/>
                    <w:szCs w:val="52"/>
                  </w:rPr>
                </w:pPr>
              </w:p>
              <w:p w14:paraId="65DEFC7F" w14:textId="77777777" w:rsidR="00ED4F29" w:rsidRPr="007C553B" w:rsidRDefault="00ED4F29" w:rsidP="00ED4F29">
                <w:pPr>
                  <w:pStyle w:val="NoSpacing"/>
                  <w:rPr>
                    <w:color w:val="2E74B5" w:themeColor="accent1" w:themeShade="BF"/>
                    <w:sz w:val="52"/>
                    <w:szCs w:val="52"/>
                  </w:rPr>
                </w:pPr>
              </w:p>
            </w:tc>
          </w:tr>
          <w:tr w:rsidR="00ED4F29" w14:paraId="6D5862CF" w14:textId="77777777" w:rsidTr="00ED4F29">
            <w:tc>
              <w:tcPr>
                <w:tcW w:w="452.80pt" w:type="dxa"/>
                <w:tcMar>
                  <w:top w:w="10.80pt" w:type="dxa"/>
                  <w:start w:w="5.75pt" w:type="dxa"/>
                  <w:bottom w:w="10.80pt" w:type="dxa"/>
                  <w:end w:w="5.75pt" w:type="dxa"/>
                </w:tcMar>
              </w:tcPr>
              <w:p w14:paraId="54383FDE" w14:textId="77777777" w:rsidR="00ED4F29" w:rsidRPr="008173D7" w:rsidRDefault="00ED4F29" w:rsidP="00ED4F29">
                <w:pPr>
                  <w:spacing w:line="18pt" w:lineRule="auto"/>
                  <w:jc w:val="start"/>
                  <w:rPr>
                    <w:sz w:val="28"/>
                    <w:szCs w:val="28"/>
                    <w:lang w:val="en-GB"/>
                  </w:rPr>
                </w:pPr>
                <w:r w:rsidRPr="008173D7">
                  <w:rPr>
                    <w:b/>
                    <w:bCs/>
                    <w:sz w:val="28"/>
                    <w:szCs w:val="28"/>
                    <w:lang w:val="en-GB"/>
                  </w:rPr>
                  <w:t>Module:</w:t>
                </w:r>
                <w:r w:rsidRPr="008173D7">
                  <w:rPr>
                    <w:sz w:val="28"/>
                    <w:szCs w:val="28"/>
                    <w:lang w:val="en-GB"/>
                  </w:rPr>
                  <w:t xml:space="preserve"> ACCA5034 Data Security and Compliance</w:t>
                </w:r>
              </w:p>
              <w:p w14:paraId="0CF703BD" w14:textId="77777777" w:rsidR="00ED4F29" w:rsidRPr="008173D7" w:rsidRDefault="00ED4F29" w:rsidP="00ED4F29">
                <w:pPr>
                  <w:spacing w:line="18pt" w:lineRule="auto"/>
                  <w:jc w:val="start"/>
                  <w:rPr>
                    <w:sz w:val="28"/>
                    <w:szCs w:val="28"/>
                    <w:lang w:val="en-GB"/>
                  </w:rPr>
                </w:pPr>
                <w:r w:rsidRPr="008173D7">
                  <w:rPr>
                    <w:b/>
                    <w:bCs/>
                    <w:sz w:val="28"/>
                    <w:szCs w:val="28"/>
                    <w:lang w:val="en-GB"/>
                  </w:rPr>
                  <w:t>Student Name:</w:t>
                </w:r>
                <w:r w:rsidRPr="008173D7">
                  <w:rPr>
                    <w:sz w:val="28"/>
                    <w:szCs w:val="28"/>
                    <w:lang w:val="en-GB"/>
                  </w:rPr>
                  <w:t xml:space="preserve"> Sonya Vakarelova</w:t>
                </w:r>
              </w:p>
              <w:p w14:paraId="7B572633" w14:textId="77777777" w:rsidR="00ED4F29" w:rsidRPr="008173D7" w:rsidRDefault="00ED4F29" w:rsidP="00ED4F29">
                <w:pPr>
                  <w:spacing w:line="18pt" w:lineRule="auto"/>
                  <w:jc w:val="start"/>
                  <w:rPr>
                    <w:sz w:val="28"/>
                    <w:szCs w:val="28"/>
                    <w:lang w:val="en-GB"/>
                  </w:rPr>
                </w:pPr>
                <w:r w:rsidRPr="008173D7">
                  <w:rPr>
                    <w:b/>
                    <w:bCs/>
                    <w:sz w:val="28"/>
                    <w:szCs w:val="28"/>
                    <w:lang w:val="en-GB"/>
                  </w:rPr>
                  <w:t>Student ID:</w:t>
                </w:r>
                <w:r w:rsidRPr="008173D7">
                  <w:rPr>
                    <w:sz w:val="28"/>
                    <w:szCs w:val="28"/>
                    <w:lang w:val="en-GB"/>
                  </w:rPr>
                  <w:t xml:space="preserve"> 2426532</w:t>
                </w:r>
              </w:p>
              <w:p w14:paraId="596169BD" w14:textId="77777777" w:rsidR="00ED4F29" w:rsidRPr="008173D7" w:rsidRDefault="00ED4F29" w:rsidP="00ED4F29">
                <w:pPr>
                  <w:spacing w:line="18pt" w:lineRule="auto"/>
                  <w:jc w:val="start"/>
                  <w:rPr>
                    <w:sz w:val="28"/>
                    <w:szCs w:val="28"/>
                    <w:lang w:val="en-GB"/>
                  </w:rPr>
                </w:pPr>
                <w:r w:rsidRPr="008173D7">
                  <w:rPr>
                    <w:b/>
                    <w:bCs/>
                    <w:sz w:val="28"/>
                    <w:szCs w:val="28"/>
                    <w:lang w:val="en-GB"/>
                  </w:rPr>
                  <w:t>Lecturer:  </w:t>
                </w:r>
                <w:r w:rsidRPr="008173D7">
                  <w:rPr>
                    <w:sz w:val="28"/>
                    <w:szCs w:val="28"/>
                    <w:lang w:val="en-GB"/>
                  </w:rPr>
                  <w:t>Dr Mohamed Ben Farah</w:t>
                </w:r>
              </w:p>
              <w:p w14:paraId="09225134" w14:textId="0D673C40" w:rsidR="00ED4F29" w:rsidRPr="008173D7" w:rsidRDefault="00ED4F29" w:rsidP="00ED4F29">
                <w:pPr>
                  <w:spacing w:line="18pt" w:lineRule="auto"/>
                  <w:jc w:val="start"/>
                  <w:rPr>
                    <w:sz w:val="28"/>
                    <w:szCs w:val="28"/>
                    <w:lang w:val="en-GB"/>
                  </w:rPr>
                </w:pPr>
                <w:r w:rsidRPr="008173D7">
                  <w:rPr>
                    <w:b/>
                    <w:bCs/>
                    <w:sz w:val="28"/>
                    <w:szCs w:val="28"/>
                    <w:lang w:val="en-GB"/>
                  </w:rPr>
                  <w:t>Submission Date:</w:t>
                </w:r>
                <w:r w:rsidRPr="008173D7">
                  <w:rPr>
                    <w:sz w:val="28"/>
                    <w:szCs w:val="28"/>
                    <w:lang w:val="en-GB"/>
                  </w:rPr>
                  <w:t xml:space="preserve"> </w:t>
                </w:r>
                <w:r w:rsidR="008A1C5E">
                  <w:rPr>
                    <w:sz w:val="28"/>
                    <w:szCs w:val="28"/>
                    <w:lang w:val="en-GB"/>
                  </w:rPr>
                  <w:t>21</w:t>
                </w:r>
                <w:r w:rsidR="000B0DEA">
                  <w:rPr>
                    <w:sz w:val="28"/>
                    <w:szCs w:val="28"/>
                    <w:lang w:val="en-GB"/>
                  </w:rPr>
                  <w:t>/07/2026</w:t>
                </w:r>
              </w:p>
              <w:p w14:paraId="0491EDB1" w14:textId="77777777" w:rsidR="00ED4F29" w:rsidRDefault="00ED4F29" w:rsidP="00ED4F29">
                <w:pPr>
                  <w:pStyle w:val="NoSpacing"/>
                  <w:rPr>
                    <w:color w:val="2E74B5" w:themeColor="accent1" w:themeShade="BF"/>
                    <w:sz w:val="24"/>
                  </w:rPr>
                </w:pPr>
              </w:p>
            </w:tc>
          </w:tr>
        </w:tbl>
        <w:p w14:paraId="073A3AB6" w14:textId="77777777" w:rsidR="00A62DF6" w:rsidRDefault="0095626E" w:rsidP="00A2401F">
          <w:pPr>
            <w:jc w:val="start"/>
            <w:rPr>
              <w:b/>
              <w:bCs/>
              <w:kern w:val="48"/>
            </w:rPr>
          </w:pPr>
          <w:r>
            <w:rPr>
              <w:b/>
              <w:bCs/>
              <w:kern w:val="48"/>
            </w:rPr>
            <w:br w:type="page"/>
          </w:r>
        </w:p>
      </w:sdtContent>
    </w:sdt>
    <w:p w14:paraId="576A423E" w14:textId="1EA3A694" w:rsidR="00B660C7" w:rsidRDefault="00A2401F" w:rsidP="00A2401F">
      <w:pPr>
        <w:jc w:val="start"/>
        <w:rPr>
          <w:b/>
          <w:bCs/>
          <w:sz w:val="24"/>
          <w:szCs w:val="24"/>
        </w:rPr>
      </w:pPr>
      <w:r w:rsidRPr="00A2401F">
        <w:rPr>
          <w:b/>
          <w:bCs/>
          <w:sz w:val="24"/>
          <w:szCs w:val="24"/>
        </w:rPr>
        <w:lastRenderedPageBreak/>
        <w:t xml:space="preserve">TASK 1 – </w:t>
      </w:r>
      <w:r>
        <w:rPr>
          <w:b/>
          <w:bCs/>
          <w:sz w:val="24"/>
          <w:szCs w:val="24"/>
        </w:rPr>
        <w:t>RESEARCH</w:t>
      </w:r>
      <w:r w:rsidRPr="00A2401F">
        <w:rPr>
          <w:b/>
          <w:bCs/>
          <w:sz w:val="24"/>
          <w:szCs w:val="24"/>
        </w:rPr>
        <w:t xml:space="preserve"> PAPER</w:t>
      </w:r>
    </w:p>
    <w:p w14:paraId="39CF2D48" w14:textId="77777777" w:rsidR="00B95AA0" w:rsidRPr="00A62DF6" w:rsidRDefault="00B95AA0" w:rsidP="00A2401F">
      <w:pPr>
        <w:jc w:val="start"/>
        <w:rPr>
          <w:rFonts w:eastAsia="MS Mincho"/>
          <w:b/>
          <w:bCs/>
          <w:noProof/>
          <w:kern w:val="48"/>
          <w:sz w:val="48"/>
          <w:szCs w:val="48"/>
        </w:rPr>
      </w:pPr>
    </w:p>
    <w:p w14:paraId="419B2E68" w14:textId="1E1BC4A4" w:rsidR="00F344B9" w:rsidRPr="00B95AA0" w:rsidRDefault="00F344B9" w:rsidP="00603D2E">
      <w:pPr>
        <w:pStyle w:val="Author"/>
        <w:spacing w:before="5pt" w:beforeAutospacing="1" w:after="5pt" w:afterAutospacing="1"/>
        <w:rPr>
          <w:b/>
          <w:bCs/>
          <w:sz w:val="44"/>
          <w:szCs w:val="44"/>
          <w:lang w:val="en-GB"/>
        </w:rPr>
      </w:pPr>
      <w:r w:rsidRPr="00B95AA0">
        <w:rPr>
          <w:b/>
          <w:bCs/>
          <w:sz w:val="44"/>
          <w:szCs w:val="44"/>
          <w:lang w:val="en-GB"/>
        </w:rPr>
        <w:t>The Zero Trust Architecture: A Critical Analysis of Its Principles, Implementation Challenges, and Efficacy Compared to Traditional Security Models</w:t>
      </w:r>
    </w:p>
    <w:p w14:paraId="40F91408" w14:textId="77777777" w:rsidR="000C12F1" w:rsidRDefault="000C12F1" w:rsidP="00C822CB">
      <w:pPr>
        <w:pStyle w:val="Author"/>
        <w:spacing w:before="5pt" w:beforeAutospacing="1" w:after="5pt" w:afterAutospacing="1" w:line="6pt" w:lineRule="auto"/>
        <w:jc w:val="both"/>
        <w:rPr>
          <w:b/>
          <w:bCs/>
          <w:lang w:val="en-GB"/>
        </w:rPr>
      </w:pPr>
    </w:p>
    <w:p w14:paraId="557D174F" w14:textId="77777777" w:rsidR="00CC6044" w:rsidRDefault="00CC6044" w:rsidP="00CC6044">
      <w:pPr>
        <w:pStyle w:val="Author"/>
        <w:spacing w:before="5pt" w:beforeAutospacing="1" w:after="5pt" w:afterAutospacing="1" w:line="6pt" w:lineRule="auto"/>
        <w:rPr>
          <w:b/>
          <w:bCs/>
          <w:lang w:val="en-GB"/>
        </w:rPr>
      </w:pPr>
    </w:p>
    <w:p w14:paraId="5DB1179D" w14:textId="77777777" w:rsidR="009443FB" w:rsidRPr="00B743AE" w:rsidRDefault="009443FB" w:rsidP="005121D0">
      <w:pPr>
        <w:jc w:val="start"/>
        <w:rPr>
          <w:sz w:val="24"/>
          <w:szCs w:val="24"/>
          <w:lang w:val="en-GB"/>
        </w:rPr>
      </w:pPr>
      <w:r w:rsidRPr="00B743AE">
        <w:rPr>
          <w:sz w:val="24"/>
          <w:szCs w:val="24"/>
          <w:lang w:val="en-GB"/>
        </w:rPr>
        <w:t>Sonya Vakarelova</w:t>
      </w:r>
    </w:p>
    <w:p w14:paraId="24769BD7" w14:textId="15D9C040" w:rsidR="00C822CB" w:rsidRPr="00B743AE" w:rsidRDefault="00C822CB" w:rsidP="005121D0">
      <w:pPr>
        <w:jc w:val="start"/>
        <w:rPr>
          <w:sz w:val="24"/>
          <w:szCs w:val="24"/>
          <w:lang w:val="en-GB"/>
        </w:rPr>
      </w:pPr>
      <w:r w:rsidRPr="00B743AE">
        <w:rPr>
          <w:sz w:val="24"/>
          <w:szCs w:val="24"/>
          <w:lang w:val="en-GB"/>
        </w:rPr>
        <w:t>BSc Applied Computing</w:t>
      </w:r>
    </w:p>
    <w:p w14:paraId="754555DA" w14:textId="77777777" w:rsidR="00C822CB" w:rsidRPr="00B743AE" w:rsidRDefault="00C822CB" w:rsidP="005121D0">
      <w:pPr>
        <w:jc w:val="start"/>
        <w:rPr>
          <w:sz w:val="24"/>
          <w:szCs w:val="24"/>
          <w:lang w:val="en-GB"/>
        </w:rPr>
      </w:pPr>
      <w:r w:rsidRPr="00B743AE">
        <w:rPr>
          <w:sz w:val="24"/>
          <w:szCs w:val="24"/>
          <w:lang w:val="en-GB"/>
        </w:rPr>
        <w:t>University of Wales Trinity Saint David</w:t>
      </w:r>
    </w:p>
    <w:p w14:paraId="7FFB88B9" w14:textId="77777777" w:rsidR="00C822CB" w:rsidRPr="00B743AE" w:rsidRDefault="00C822CB" w:rsidP="005121D0">
      <w:pPr>
        <w:jc w:val="start"/>
        <w:rPr>
          <w:sz w:val="24"/>
          <w:szCs w:val="24"/>
          <w:lang w:val="en-GB"/>
        </w:rPr>
      </w:pPr>
      <w:r w:rsidRPr="00B743AE">
        <w:rPr>
          <w:sz w:val="24"/>
          <w:szCs w:val="24"/>
          <w:lang w:val="en-GB"/>
        </w:rPr>
        <w:t>Birmingham, United Kingdom</w:t>
      </w:r>
    </w:p>
    <w:p w14:paraId="0C4826E3" w14:textId="1FAF1FB2" w:rsidR="00C822CB" w:rsidRPr="00B743AE" w:rsidRDefault="00C822CB" w:rsidP="005121D0">
      <w:pPr>
        <w:jc w:val="start"/>
        <w:rPr>
          <w:sz w:val="24"/>
          <w:szCs w:val="24"/>
          <w:lang w:val="en-GB"/>
        </w:rPr>
      </w:pPr>
      <w:r w:rsidRPr="00B743AE">
        <w:rPr>
          <w:sz w:val="24"/>
          <w:szCs w:val="24"/>
          <w:lang w:val="en-GB"/>
        </w:rPr>
        <w:t>Student ID:</w:t>
      </w:r>
      <w:r w:rsidR="007F395B" w:rsidRPr="00B743AE">
        <w:rPr>
          <w:sz w:val="24"/>
          <w:szCs w:val="24"/>
          <w:lang w:val="en-GB"/>
        </w:rPr>
        <w:t xml:space="preserve"> 2426532</w:t>
      </w:r>
    </w:p>
    <w:p w14:paraId="4A841014" w14:textId="77777777" w:rsidR="002E53B2" w:rsidRPr="00C822CB" w:rsidRDefault="002E53B2" w:rsidP="005121D0">
      <w:pPr>
        <w:pStyle w:val="Author"/>
        <w:spacing w:before="5pt" w:beforeAutospacing="1" w:after="5pt" w:afterAutospacing="1" w:line="6pt" w:lineRule="auto"/>
        <w:jc w:val="start"/>
        <w:rPr>
          <w:sz w:val="20"/>
          <w:szCs w:val="20"/>
        </w:rPr>
      </w:pPr>
    </w:p>
    <w:p w14:paraId="1F960E65"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95626E">
          <w:headerReference w:type="even" r:id="rId9"/>
          <w:headerReference w:type="default" r:id="rId10"/>
          <w:footerReference w:type="even" r:id="rId11"/>
          <w:footerReference w:type="default" r:id="rId12"/>
          <w:headerReference w:type="first" r:id="rId13"/>
          <w:footerReference w:type="first" r:id="rId14"/>
          <w:pgSz w:w="595.30pt" w:h="841.90pt" w:code="9"/>
          <w:pgMar w:top="27pt" w:right="44.65pt" w:bottom="72pt" w:left="44.65pt" w:header="36pt" w:footer="36pt" w:gutter="0pt"/>
          <w:pgNumType w:start="0"/>
          <w:cols w:space="36pt"/>
          <w:titlePg/>
          <w:docGrid w:linePitch="360"/>
        </w:sectPr>
      </w:pPr>
    </w:p>
    <w:p w14:paraId="0316535E" w14:textId="4BFFBCBA" w:rsidR="009F1D79" w:rsidRDefault="00BD670B" w:rsidP="002E53B2">
      <w:pPr>
        <w:pStyle w:val="Author"/>
        <w:spacing w:before="5pt" w:beforeAutospacing="1"/>
        <w:sectPr w:rsidR="009F1D79" w:rsidSect="003B4E04">
          <w:type w:val="continuous"/>
          <w:pgSz w:w="595.30pt" w:h="841.90pt" w:code="9"/>
          <w:pgMar w:top="22.50pt" w:right="44.65pt" w:bottom="72pt" w:left="44.65pt" w:header="36pt" w:footer="36pt" w:gutter="0pt"/>
          <w:cols w:num="3" w:space="36pt"/>
          <w:docGrid w:linePitch="360"/>
        </w:sectPr>
      </w:pPr>
      <w:r>
        <w:rPr>
          <w:sz w:val="18"/>
          <w:szCs w:val="18"/>
        </w:rPr>
        <w:br w:type="column"/>
      </w:r>
    </w:p>
    <w:p w14:paraId="0A88E65D"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br w:type="column"/>
      </w:r>
    </w:p>
    <w:p w14:paraId="2BC69744" w14:textId="77777777" w:rsidR="0057414A" w:rsidRDefault="009303D9" w:rsidP="0057414A">
      <w:pPr>
        <w:pStyle w:val="Abstract"/>
        <w:rPr>
          <w:i/>
          <w:iCs/>
          <w:sz w:val="24"/>
          <w:szCs w:val="24"/>
        </w:rPr>
      </w:pPr>
      <w:r w:rsidRPr="00896E36">
        <w:rPr>
          <w:i/>
          <w:iCs/>
          <w:sz w:val="24"/>
          <w:szCs w:val="24"/>
        </w:rPr>
        <w:t>Abstract</w:t>
      </w:r>
    </w:p>
    <w:p w14:paraId="0E086FD6" w14:textId="77777777" w:rsidR="00F57359" w:rsidRPr="008543E9" w:rsidRDefault="00F57359" w:rsidP="00F57359">
      <w:pPr>
        <w:pStyle w:val="Abstract"/>
        <w:rPr>
          <w:b w:val="0"/>
          <w:bCs w:val="0"/>
          <w:i/>
          <w:iCs/>
          <w:sz w:val="20"/>
          <w:szCs w:val="20"/>
          <w:lang w:val="en-GB"/>
        </w:rPr>
      </w:pPr>
      <w:r w:rsidRPr="008543E9">
        <w:rPr>
          <w:b w:val="0"/>
          <w:bCs w:val="0"/>
          <w:i/>
          <w:iCs/>
          <w:sz w:val="20"/>
          <w:szCs w:val="20"/>
          <w:lang w:val="en-GB"/>
        </w:rPr>
        <w:t>Zero Trust Architecture (ZTA) has emerged as an effective cybersecurity framework that addresses the limitations of traditional perimeter-based security. This paper examines the principles of Zero Trust, including continuous verification, least-privilege access, micro-segmentation, and continuous monitoring. It also discusses the technical, financial, and organisational challenges associated with implementation and compares Zero Trust with traditional security models. The evaluation shows that Zero Trust improves organisational security by reducing implicit trust and strengthening access control in modern digital environments. However, successful implementation requires appropriate governance, employee awareness, ongoing investment, and continuous risk assessment. Overall, Zero Trust provides a practical long-term strategy for improving organisational resilience against evolving cyber threats.</w:t>
      </w:r>
    </w:p>
    <w:p w14:paraId="49EC8000" w14:textId="77777777" w:rsidR="00176551" w:rsidRDefault="00176551" w:rsidP="00176551">
      <w:pPr>
        <w:pStyle w:val="Keywords"/>
        <w:rPr>
          <w:lang w:val="en-GB"/>
        </w:rPr>
      </w:pPr>
    </w:p>
    <w:p w14:paraId="7BEACA8E" w14:textId="3C5FFFFE" w:rsidR="00176551" w:rsidRPr="00910B9D" w:rsidRDefault="00176551" w:rsidP="00176551">
      <w:pPr>
        <w:pStyle w:val="Keywords"/>
        <w:rPr>
          <w:b w:val="0"/>
          <w:bCs w:val="0"/>
          <w:sz w:val="20"/>
          <w:szCs w:val="20"/>
          <w:lang w:val="en-GB"/>
        </w:rPr>
      </w:pPr>
      <w:r w:rsidRPr="00910B9D">
        <w:rPr>
          <w:sz w:val="20"/>
          <w:szCs w:val="20"/>
          <w:lang w:val="en-GB"/>
        </w:rPr>
        <w:t>Keywords:</w:t>
      </w:r>
      <w:r w:rsidRPr="00910B9D">
        <w:rPr>
          <w:b w:val="0"/>
          <w:bCs w:val="0"/>
          <w:sz w:val="20"/>
          <w:szCs w:val="20"/>
          <w:lang w:val="en-GB"/>
        </w:rPr>
        <w:t xml:space="preserve"> Zero Trust Architecture, cybersecurity, information security, identity and access management, least privilege, continuous monitoring.</w:t>
      </w:r>
    </w:p>
    <w:p w14:paraId="2F999A4A" w14:textId="77777777" w:rsidR="00F57359" w:rsidRPr="00896E36" w:rsidRDefault="00F57359" w:rsidP="00076FCD">
      <w:pPr>
        <w:pStyle w:val="Abstract"/>
        <w:ind w:firstLine="0pt"/>
        <w:rPr>
          <w:sz w:val="24"/>
          <w:szCs w:val="24"/>
        </w:rPr>
      </w:pPr>
    </w:p>
    <w:p w14:paraId="1A521F3C" w14:textId="53F518E4" w:rsidR="009303D9" w:rsidRPr="00704FBC" w:rsidRDefault="009303D9" w:rsidP="00A032B0">
      <w:pPr>
        <w:pStyle w:val="Heading1"/>
        <w:jc w:val="start"/>
        <w:rPr>
          <w:b/>
          <w:bCs/>
          <w:sz w:val="24"/>
          <w:szCs w:val="24"/>
        </w:rPr>
      </w:pPr>
      <w:r w:rsidRPr="00704FBC">
        <w:rPr>
          <w:b/>
          <w:bCs/>
          <w:sz w:val="24"/>
          <w:szCs w:val="24"/>
        </w:rPr>
        <w:t xml:space="preserve">Introduction </w:t>
      </w:r>
    </w:p>
    <w:p w14:paraId="3CB6A211" w14:textId="77777777" w:rsidR="00333B14" w:rsidRPr="00333B14" w:rsidRDefault="00333B14" w:rsidP="00333B14">
      <w:pPr>
        <w:jc w:val="start"/>
        <w:rPr>
          <w:rFonts w:eastAsia="Times New Roman"/>
          <w:lang w:val="en-GB" w:eastAsia="en-GB"/>
        </w:rPr>
      </w:pPr>
      <w:r w:rsidRPr="00333B14">
        <w:rPr>
          <w:rFonts w:eastAsia="Times New Roman"/>
          <w:lang w:val="en-GB" w:eastAsia="en-GB"/>
        </w:rPr>
        <w:t xml:space="preserve">The increasing adoption of cloud computing, hybrid working, mobile technologies, and digital transformation has significantly changed the way organisations manage and protect their information assets. While these developments have improved operational efficiency and flexibility, they have also expanded the cyberattack surface, making organisations more vulnerable to ransomware, phishing, </w:t>
      </w:r>
      <w:r w:rsidRPr="00333B14">
        <w:rPr>
          <w:rFonts w:eastAsia="Times New Roman"/>
          <w:lang w:val="en-GB" w:eastAsia="en-GB"/>
        </w:rPr>
        <w:t>insider threats, and data breaches [2], [7]. Traditional security models were designed to protect resources within a defined network perimeter; however, this approach has become less effective as users, devices, and applications now operate across multiple environments beyond the corporate network [1], [2].</w:t>
      </w:r>
    </w:p>
    <w:p w14:paraId="45743992" w14:textId="77777777" w:rsidR="00333B14" w:rsidRPr="00333B14" w:rsidRDefault="00333B14" w:rsidP="00333B14">
      <w:pPr>
        <w:jc w:val="start"/>
        <w:rPr>
          <w:rFonts w:eastAsia="Times New Roman"/>
          <w:lang w:val="en-GB" w:eastAsia="en-GB"/>
        </w:rPr>
      </w:pPr>
      <w:r w:rsidRPr="00333B14">
        <w:rPr>
          <w:rFonts w:eastAsia="Times New Roman"/>
          <w:lang w:val="en-GB" w:eastAsia="en-GB"/>
        </w:rPr>
        <w:t>To address these challenges, many organisations are adopting Zero Trust Architecture (ZTA), a modern cybersecurity model based on the principle of "never trust, always verify" [1], [5]. Rather than assuming that users or devices inside a network are trustworthy, Zero Trust requires continuous verification of identity, device health, and access privileges before access to organisational resources is granted [1], [3], [5]. This approach reduces the risk of unauthorised access and supports stronger protection of sensitive information [1], [5].</w:t>
      </w:r>
    </w:p>
    <w:p w14:paraId="16D17640" w14:textId="77777777" w:rsidR="00333B14" w:rsidRPr="00333B14" w:rsidRDefault="00333B14" w:rsidP="00333B14">
      <w:pPr>
        <w:jc w:val="start"/>
        <w:rPr>
          <w:rFonts w:eastAsia="Times New Roman"/>
          <w:lang w:val="en-GB" w:eastAsia="en-GB"/>
        </w:rPr>
      </w:pPr>
      <w:r w:rsidRPr="00333B14">
        <w:rPr>
          <w:rFonts w:eastAsia="Times New Roman"/>
          <w:lang w:val="en-GB" w:eastAsia="en-GB"/>
        </w:rPr>
        <w:t>Despite its growing adoption, implementing Zero Trust is not without challenges. Organisations must invest in identity and access management, multi-factor authentication, network segmentation, continuous monitoring, and employee awareness while balancing operational costs and legacy system compatibility [3], [4], [6]. These factors make the transition to Zero Trust a complex but increasingly necessary strategic decision.</w:t>
      </w:r>
    </w:p>
    <w:p w14:paraId="7CB2316A" w14:textId="77777777" w:rsidR="00333B14" w:rsidRPr="00333B14" w:rsidRDefault="00333B14" w:rsidP="00333B14">
      <w:pPr>
        <w:jc w:val="start"/>
        <w:rPr>
          <w:rFonts w:eastAsia="Times New Roman"/>
          <w:lang w:val="en-GB" w:eastAsia="en-GB"/>
        </w:rPr>
      </w:pPr>
      <w:r w:rsidRPr="00333B14">
        <w:rPr>
          <w:rFonts w:eastAsia="Times New Roman"/>
          <w:lang w:val="en-GB" w:eastAsia="en-GB"/>
        </w:rPr>
        <w:t>This paper critically analyses the principles of Zero Trust Architecture, examines the challenges organisations face during implementation, and evaluates its effectiveness compared with traditional perimeter-based security models. The discussion also considers how Zero Trust contributes to improving organisational resilience, reducing cyber risk, and supporting modern information security strategies.</w:t>
      </w:r>
    </w:p>
    <w:p w14:paraId="2BF91F13" w14:textId="77777777" w:rsidR="00C047E8" w:rsidRPr="00C047E8" w:rsidRDefault="00C047E8" w:rsidP="00C047E8"/>
    <w:p w14:paraId="270745AD" w14:textId="7706A705" w:rsidR="00BF0AE9" w:rsidRPr="00704FBC" w:rsidRDefault="00BF0AE9" w:rsidP="008F40B9">
      <w:pPr>
        <w:pStyle w:val="Heading1"/>
        <w:jc w:val="start"/>
        <w:rPr>
          <w:b/>
          <w:bCs/>
          <w:sz w:val="24"/>
          <w:szCs w:val="24"/>
        </w:rPr>
      </w:pPr>
      <w:r w:rsidRPr="00704FBC">
        <w:rPr>
          <w:b/>
          <w:bCs/>
          <w:sz w:val="24"/>
          <w:szCs w:val="24"/>
        </w:rPr>
        <w:lastRenderedPageBreak/>
        <w:t xml:space="preserve"> Understanding Zero Trust Architecture</w:t>
      </w:r>
    </w:p>
    <w:p w14:paraId="328DBC53" w14:textId="77777777" w:rsidR="0055251E" w:rsidRPr="00621553" w:rsidRDefault="0055251E" w:rsidP="0055251E">
      <w:pPr>
        <w:jc w:val="start"/>
        <w:rPr>
          <w:rFonts w:eastAsia="Times New Roman"/>
          <w:lang w:val="en-GB" w:eastAsia="en-GB"/>
        </w:rPr>
      </w:pPr>
      <w:r w:rsidRPr="00621553">
        <w:rPr>
          <w:rFonts w:eastAsia="Times New Roman"/>
          <w:lang w:val="en-GB" w:eastAsia="en-GB"/>
        </w:rPr>
        <w:t>Zero Trust Architecture (ZTA) is a modern cybersecurity framework that is designed to protect organisational data, applications, and systems by removing the assumption that users or devices should automatically be trusted simply because they are located inside a corporate network. Unlike traditional security models, Zero Trust follows the principle of "never trust, always verify," meaning that every user, device, and application must be continuously authenticated and authorised before access to organisational resources is granted [1], [5]. This approach helps reduce the risk of unauthorised access and limits the impact of cyberattacks [1], [5].</w:t>
      </w:r>
    </w:p>
    <w:p w14:paraId="027E93E6" w14:textId="77777777" w:rsidR="0055251E" w:rsidRPr="00621553" w:rsidRDefault="0055251E" w:rsidP="0055251E">
      <w:pPr>
        <w:jc w:val="start"/>
        <w:rPr>
          <w:rFonts w:eastAsia="Times New Roman"/>
          <w:lang w:val="en-GB" w:eastAsia="en-GB"/>
        </w:rPr>
      </w:pPr>
      <w:r w:rsidRPr="00621553">
        <w:rPr>
          <w:rFonts w:eastAsia="Times New Roman"/>
          <w:lang w:val="en-GB" w:eastAsia="en-GB"/>
        </w:rPr>
        <w:t>Traditional network security was developed around the concept of a secure network perimeter, where firewalls and Virtual Private Networks (VPNs) were used to protect internal systems from external threats. Once a user successfully entered the network, they were often given broad access to multiple resources. However, this model has become increasingly ineffective due to the widespread adoption of cloud computing, remote working, mobile devices, and Software as a Service (SaaS) [1], [2], [6]. As organisational data is no longer stored solely within on-premises networks, attackers can exploit compromised user credentials or vulnerable devices to gain access without needing to bypass the network perimeter [5], [6].</w:t>
      </w:r>
    </w:p>
    <w:p w14:paraId="4CFC8691" w14:textId="77777777" w:rsidR="0055251E" w:rsidRPr="00621553" w:rsidRDefault="0055251E" w:rsidP="0055251E">
      <w:pPr>
        <w:jc w:val="start"/>
        <w:rPr>
          <w:rFonts w:eastAsia="Times New Roman"/>
          <w:lang w:val="en-GB" w:eastAsia="en-GB"/>
        </w:rPr>
      </w:pPr>
      <w:r w:rsidRPr="00621553">
        <w:rPr>
          <w:rFonts w:eastAsia="Times New Roman"/>
          <w:lang w:val="en-GB" w:eastAsia="en-GB"/>
        </w:rPr>
        <w:t>Zero Trust was introduced to address these evolving security challenges by shifting the focus from network location to identity verification and continuous monitoring [1], [5]. Every access request is evaluated based on multiple factors, including user identity, device health, location, behaviour, and the sensitivity of the requested resource. Access is granted only after these factors have been verified and only for the minimum level of access required to perform a specific task [1], [3]. This principle, known as least privilege access, reduces the opportunity for attackers to move laterally across the network if an account or device becomes compromised [1], [5].</w:t>
      </w:r>
    </w:p>
    <w:p w14:paraId="0EC3425F" w14:textId="77777777" w:rsidR="0055251E" w:rsidRPr="00621553" w:rsidRDefault="0055251E" w:rsidP="0055251E">
      <w:pPr>
        <w:jc w:val="start"/>
        <w:rPr>
          <w:rFonts w:eastAsia="Times New Roman"/>
          <w:lang w:val="en-GB" w:eastAsia="en-GB"/>
        </w:rPr>
      </w:pPr>
      <w:r w:rsidRPr="00621553">
        <w:rPr>
          <w:rFonts w:eastAsia="Times New Roman"/>
          <w:lang w:val="en-GB" w:eastAsia="en-GB"/>
        </w:rPr>
        <w:t>Modern organisations are increasingly adopting Zero Trust because it provides greater protection against sophisticated cyber threats while supporting flexible working environments [3], [5]. It also strengthens data security by integrating technologies such as Multi-Factor Authentication (MFA), identity and access management, endpoint protection, and continuous monitoring. These controls work together to improve visibility across the organisation's digital environment and enable faster detection and response to potential security incidents [3], [4], [5]. This aligns with the principles of effective information security management, where security is considered an ongoing process rather than a single defensive technology [4].</w:t>
      </w:r>
    </w:p>
    <w:p w14:paraId="24647C77" w14:textId="77777777" w:rsidR="00A032B0" w:rsidRDefault="00A032B0" w:rsidP="00DC62A3"/>
    <w:p w14:paraId="2BC2D6F7" w14:textId="5B20D774" w:rsidR="00A032B0" w:rsidRDefault="00D14E42" w:rsidP="008F40B9">
      <w:pPr>
        <w:pStyle w:val="Heading1"/>
        <w:jc w:val="start"/>
        <w:rPr>
          <w:b/>
          <w:bCs/>
          <w:sz w:val="24"/>
          <w:szCs w:val="24"/>
        </w:rPr>
      </w:pPr>
      <w:r w:rsidRPr="005D2B31">
        <w:rPr>
          <w:b/>
          <w:bCs/>
          <w:sz w:val="24"/>
          <w:szCs w:val="24"/>
        </w:rPr>
        <w:t xml:space="preserve"> </w:t>
      </w:r>
      <w:r w:rsidR="00A032B0" w:rsidRPr="005D2B31">
        <w:rPr>
          <w:b/>
          <w:bCs/>
          <w:sz w:val="24"/>
          <w:szCs w:val="24"/>
        </w:rPr>
        <w:t xml:space="preserve"> Core Principles of Zero Trust Architecture</w:t>
      </w:r>
    </w:p>
    <w:p w14:paraId="4CB0BA17" w14:textId="77777777" w:rsidR="004321F0" w:rsidRPr="00226718" w:rsidRDefault="004321F0" w:rsidP="004321F0">
      <w:pPr>
        <w:jc w:val="start"/>
        <w:rPr>
          <w:rFonts w:eastAsia="Times New Roman"/>
          <w:lang w:val="en-GB" w:eastAsia="en-GB"/>
        </w:rPr>
      </w:pPr>
      <w:r w:rsidRPr="00226718">
        <w:rPr>
          <w:rFonts w:eastAsia="Times New Roman"/>
          <w:lang w:val="en-GB" w:eastAsia="en-GB"/>
        </w:rPr>
        <w:t xml:space="preserve">Zero Trust Architecture is built upon several fundamental principles that collectively strengthen an organisation's security posture by ensuring that access to information and systems is continuously verified rather than automatically </w:t>
      </w:r>
      <w:r w:rsidRPr="00226718">
        <w:rPr>
          <w:rFonts w:eastAsia="Times New Roman"/>
          <w:lang w:val="en-GB" w:eastAsia="en-GB"/>
        </w:rPr>
        <w:t>trusted. These principles provide a proactive approach to cybersecurity by reducing the likelihood of unauthorised access and limiting the potential impact of security breaches [1], [5].</w:t>
      </w:r>
    </w:p>
    <w:p w14:paraId="32DFE5FD" w14:textId="77777777" w:rsidR="004321F0" w:rsidRPr="00226718" w:rsidRDefault="004321F0" w:rsidP="004321F0">
      <w:pPr>
        <w:jc w:val="start"/>
        <w:rPr>
          <w:rFonts w:eastAsia="Times New Roman"/>
          <w:lang w:val="en-GB" w:eastAsia="en-GB"/>
        </w:rPr>
      </w:pPr>
      <w:r w:rsidRPr="00226718">
        <w:rPr>
          <w:rFonts w:eastAsia="Times New Roman"/>
          <w:lang w:val="en-GB" w:eastAsia="en-GB"/>
        </w:rPr>
        <w:t>One of the most important principles is continuous identity verification. Every user and device requesting access to organisational resources must be authenticated regardless of whether they are located inside or outside the corporate network. Authentication is no longer treated as a one-time event during login but is continuously evaluated throughout a user's session [1], [3]. This enables organisations to identify suspicious behaviour and revoke access if abnormal activity is detected. Multi-Factor Authentication (MFA) further strengthens this process by requiring users to verify their identity using two or more authentication factors, significantly reducing the risk of compromised passwords being used to gain unauthorised access [3], [5]. This approach aligns with modern access control mechanisms that protect information systems by ensuring that only authorised users gain access to sensitive resources [1], [4].</w:t>
      </w:r>
    </w:p>
    <w:p w14:paraId="5286E863" w14:textId="77777777" w:rsidR="004321F0" w:rsidRPr="00226718" w:rsidRDefault="004321F0" w:rsidP="004321F0">
      <w:pPr>
        <w:jc w:val="start"/>
        <w:rPr>
          <w:rFonts w:eastAsia="Times New Roman"/>
          <w:lang w:val="en-GB" w:eastAsia="en-GB"/>
        </w:rPr>
      </w:pPr>
      <w:r w:rsidRPr="00226718">
        <w:rPr>
          <w:rFonts w:eastAsia="Times New Roman"/>
          <w:lang w:val="en-GB" w:eastAsia="en-GB"/>
        </w:rPr>
        <w:t>Another key principle is the principle of least privilege, which limits users to the minimum level of access necessary to perform their job responsibilities. Rather than providing broad access across organisational systems, permissions are granted based on job roles and operational requirements [1], [5]. This reduces the attack surface and minimises the damage that can occur if an attacker compromises a user account. For example, an employee working in finance should not automatically have access to human resources or software development systems unless there is a legitimate business requirement [5], [6].</w:t>
      </w:r>
    </w:p>
    <w:p w14:paraId="1C8DF0C3" w14:textId="77777777" w:rsidR="004321F0" w:rsidRPr="00226718" w:rsidRDefault="004321F0" w:rsidP="004321F0">
      <w:pPr>
        <w:jc w:val="start"/>
        <w:rPr>
          <w:rFonts w:eastAsia="Times New Roman"/>
          <w:lang w:val="en-GB" w:eastAsia="en-GB"/>
        </w:rPr>
      </w:pPr>
      <w:r w:rsidRPr="00226718">
        <w:rPr>
          <w:rFonts w:eastAsia="Times New Roman"/>
          <w:lang w:val="en-GB" w:eastAsia="en-GB"/>
        </w:rPr>
        <w:t>Zero Trust also promotes micro-segmentation, where networks are divided into smaller, isolated sections. This prevents attackers from moving laterally across the network after gaining initial access to one system. Instead of allowing unrestricted communication between internal systems, access is controlled between individual applications, servers, and devices [1], [5]. As a result, a compromised endpoint is less likely to lead to a large-scale organisational breach [5], [6].</w:t>
      </w:r>
    </w:p>
    <w:p w14:paraId="0C5A37AB" w14:textId="77777777" w:rsidR="004321F0" w:rsidRPr="00226718" w:rsidRDefault="004321F0" w:rsidP="004321F0">
      <w:pPr>
        <w:jc w:val="start"/>
        <w:rPr>
          <w:rFonts w:eastAsia="Times New Roman"/>
          <w:lang w:val="en-GB" w:eastAsia="en-GB"/>
        </w:rPr>
      </w:pPr>
      <w:r w:rsidRPr="00226718">
        <w:rPr>
          <w:rFonts w:eastAsia="Times New Roman"/>
          <w:lang w:val="en-GB" w:eastAsia="en-GB"/>
        </w:rPr>
        <w:t>A further principle is continuous monitoring and risk assessment. Organisations continuously collect and analyse security information from users, devices, applications, and network traffic to identify unusual behaviour and respond to threats quickly. Technologies such as Security Information and Event Management (SIEM), Endpoint Detection and Response (EDR), and Security Orchestration, Automation, and Response (SOAR) enable organisations to detect suspicious activity, automate incident response, and reduce the time attackers remain undetected within the network [3], [4], [5]. Continuous monitoring also supports effective risk management by allowing organisations to identify vulnerabilities, prioritise threats, and implement appropriate security controls [2], [4].</w:t>
      </w:r>
    </w:p>
    <w:p w14:paraId="7C1651E4" w14:textId="77777777" w:rsidR="004321F0" w:rsidRPr="00226718" w:rsidRDefault="004321F0" w:rsidP="004321F0">
      <w:pPr>
        <w:jc w:val="start"/>
        <w:rPr>
          <w:rFonts w:eastAsia="Times New Roman"/>
          <w:lang w:val="en-GB" w:eastAsia="en-GB"/>
        </w:rPr>
      </w:pPr>
      <w:r w:rsidRPr="00226718">
        <w:rPr>
          <w:rFonts w:eastAsia="Times New Roman"/>
          <w:lang w:val="en-GB" w:eastAsia="en-GB"/>
        </w:rPr>
        <w:t xml:space="preserve">Finally, Zero Trust operates on the principle of assuming that a breach has already occurred. Rather than focusing solely on preventing attacks, organisations design security controls that limit the impact of successful intrusions through continuous verification, segmentation, encryption, and rapid incident response [1], [5], [6]. This mindset encourages organisations to prepare for cyber incidents </w:t>
      </w:r>
      <w:r w:rsidRPr="00226718">
        <w:rPr>
          <w:rFonts w:eastAsia="Times New Roman"/>
          <w:lang w:val="en-GB" w:eastAsia="en-GB"/>
        </w:rPr>
        <w:lastRenderedPageBreak/>
        <w:t>instead of relying solely on preventative measures, resulting in greater resilience against evolving cyber threats [2], [5].</w:t>
      </w:r>
    </w:p>
    <w:p w14:paraId="0439DAE7" w14:textId="77777777" w:rsidR="004321F0" w:rsidRPr="004321F0" w:rsidRDefault="004321F0" w:rsidP="004321F0"/>
    <w:p w14:paraId="044B9974" w14:textId="77777777" w:rsidR="00E11A5A" w:rsidRPr="005D157B" w:rsidRDefault="00E11A5A" w:rsidP="008F40B9">
      <w:pPr>
        <w:pStyle w:val="Heading1"/>
        <w:jc w:val="start"/>
        <w:rPr>
          <w:b/>
          <w:bCs/>
          <w:sz w:val="24"/>
          <w:szCs w:val="24"/>
        </w:rPr>
      </w:pPr>
      <w:r w:rsidRPr="005D157B">
        <w:rPr>
          <w:b/>
          <w:bCs/>
          <w:sz w:val="24"/>
          <w:szCs w:val="24"/>
        </w:rPr>
        <w:t>Implementation Challenges of Zero Trust Architecture</w:t>
      </w:r>
    </w:p>
    <w:p w14:paraId="25C0C013" w14:textId="77777777" w:rsidR="00020AA9" w:rsidRPr="00020AA9" w:rsidRDefault="00020AA9" w:rsidP="00020AA9">
      <w:pPr>
        <w:jc w:val="start"/>
        <w:rPr>
          <w:rFonts w:eastAsia="Times New Roman"/>
          <w:lang w:val="en-GB" w:eastAsia="en-GB"/>
        </w:rPr>
      </w:pPr>
      <w:r w:rsidRPr="00020AA9">
        <w:rPr>
          <w:rFonts w:eastAsia="Times New Roman"/>
          <w:lang w:val="en-GB" w:eastAsia="en-GB"/>
        </w:rPr>
        <w:t>Although Zero Trust Architecture (ZTA) provides a more effective approach to protecting organisational data and systems, its implementation presents several technical, financial, and organisational challenges. Many organisations recognise its benefits but struggle to integrate new security technologies with existing infrastructure [3], [5], [6]. As a result, successful implementation requires careful planning, investment, and ongoing management rather than simply deploying new security tools [3], [6].</w:t>
      </w:r>
    </w:p>
    <w:p w14:paraId="6E955D4F" w14:textId="77777777" w:rsidR="00020AA9" w:rsidRPr="00020AA9" w:rsidRDefault="00020AA9" w:rsidP="00020AA9">
      <w:pPr>
        <w:jc w:val="start"/>
        <w:rPr>
          <w:rFonts w:eastAsia="Times New Roman"/>
          <w:lang w:val="en-GB" w:eastAsia="en-GB"/>
        </w:rPr>
      </w:pPr>
      <w:r w:rsidRPr="00020AA9">
        <w:rPr>
          <w:rFonts w:eastAsia="Times New Roman"/>
          <w:lang w:val="en-GB" w:eastAsia="en-GB"/>
        </w:rPr>
        <w:t>One of the main challenges is the presence of legacy systems. Many organisations continue to rely on older hardware and software that were not designed to support modern identity management, continuous authentication, or cloud-based security solutions. These systems often lack compatibility with Zero Trust technologies, making implementation more difficult and expensive [3], [6]. Replacing outdated infrastructure may also disrupt business operations [6].</w:t>
      </w:r>
    </w:p>
    <w:p w14:paraId="732999AE" w14:textId="77777777" w:rsidR="00020AA9" w:rsidRPr="00020AA9" w:rsidRDefault="00020AA9" w:rsidP="00020AA9">
      <w:pPr>
        <w:jc w:val="start"/>
        <w:rPr>
          <w:rFonts w:eastAsia="Times New Roman"/>
          <w:lang w:val="en-GB" w:eastAsia="en-GB"/>
        </w:rPr>
      </w:pPr>
      <w:r w:rsidRPr="00020AA9">
        <w:rPr>
          <w:rFonts w:eastAsia="Times New Roman"/>
          <w:lang w:val="en-GB" w:eastAsia="en-GB"/>
        </w:rPr>
        <w:t>Another significant challenge is the financial cost of implementation. Organisations may need to invest in technologies such as Identity and Access Management (IAM), Multi-Factor Authentication (MFA), Endpoint Detection and Response (EDR), Security Information and Event Management (SIEM), and continuous monitoring solutions [3], [5]. Additional costs include employee training, system maintenance, and regular security assessments, which can be particularly challenging for small and medium-sized organisations [3], [6].</w:t>
      </w:r>
    </w:p>
    <w:p w14:paraId="1DF99D54" w14:textId="77777777" w:rsidR="00020AA9" w:rsidRPr="00020AA9" w:rsidRDefault="00020AA9" w:rsidP="00020AA9">
      <w:pPr>
        <w:jc w:val="start"/>
        <w:rPr>
          <w:rFonts w:eastAsia="Times New Roman"/>
          <w:lang w:val="en-GB" w:eastAsia="en-GB"/>
        </w:rPr>
      </w:pPr>
      <w:r w:rsidRPr="00020AA9">
        <w:rPr>
          <w:rFonts w:eastAsia="Times New Roman"/>
          <w:lang w:val="en-GB" w:eastAsia="en-GB"/>
        </w:rPr>
        <w:t>Organisational culture and employee resistance can also affect adoption. Employees may see continuous authentication and additional security checks as inconvenient, and without effective communication and security awareness training they may attempt to bypass security controls [3], [4], [6]. As highlighted in the module lectures, information security depends not only on technology but also on effective policies, management support, and user awareness.</w:t>
      </w:r>
    </w:p>
    <w:p w14:paraId="0C154F66" w14:textId="77777777" w:rsidR="00020AA9" w:rsidRPr="00020AA9" w:rsidRDefault="00020AA9" w:rsidP="00020AA9">
      <w:pPr>
        <w:jc w:val="start"/>
        <w:rPr>
          <w:rFonts w:eastAsia="Times New Roman"/>
          <w:lang w:val="en-GB" w:eastAsia="en-GB"/>
        </w:rPr>
      </w:pPr>
      <w:r w:rsidRPr="00020AA9">
        <w:rPr>
          <w:rFonts w:eastAsia="Times New Roman"/>
          <w:lang w:val="en-GB" w:eastAsia="en-GB"/>
        </w:rPr>
        <w:t>Managing identity and access permissions across large organisations is another challenge. Businesses often have thousands of employees, contractors, suppliers, and cloud services requiring different levels of access. Maintaining least-privilege access requires continuous monitoring and regular reviews to prevent unnecessary permissions that attackers could exploit [1], [3], [5], [6].</w:t>
      </w:r>
    </w:p>
    <w:p w14:paraId="2893B228" w14:textId="77777777" w:rsidR="00020AA9" w:rsidRPr="00020AA9" w:rsidRDefault="00020AA9" w:rsidP="00020AA9">
      <w:pPr>
        <w:jc w:val="start"/>
        <w:rPr>
          <w:rFonts w:eastAsia="Times New Roman"/>
          <w:lang w:val="en-GB" w:eastAsia="en-GB"/>
        </w:rPr>
      </w:pPr>
      <w:r w:rsidRPr="00020AA9">
        <w:rPr>
          <w:rFonts w:eastAsia="Times New Roman"/>
          <w:lang w:val="en-GB" w:eastAsia="en-GB"/>
        </w:rPr>
        <w:t>Finally, Zero Trust requires continuous monitoring of users, devices, and network activity, generating large volumes of security data. Analysing this information requires skilled cybersecurity professionals and advanced automation technologies, both of which remain in short supply [3], [5], [6].</w:t>
      </w:r>
    </w:p>
    <w:p w14:paraId="4526618D" w14:textId="77777777" w:rsidR="00020AA9" w:rsidRPr="00020AA9" w:rsidRDefault="00020AA9" w:rsidP="00020AA9">
      <w:pPr>
        <w:jc w:val="start"/>
        <w:rPr>
          <w:rFonts w:eastAsia="Times New Roman"/>
          <w:lang w:val="en-GB" w:eastAsia="en-GB"/>
        </w:rPr>
      </w:pPr>
      <w:r w:rsidRPr="00020AA9">
        <w:rPr>
          <w:rFonts w:eastAsia="Times New Roman"/>
          <w:lang w:val="en-GB" w:eastAsia="en-GB"/>
        </w:rPr>
        <w:t xml:space="preserve">Despite these challenges, many organisations consider Zero Trust a worthwhile long-term investment because it improves security, strengthens resilience against cyber threats, and supports modern cloud-based business environments [3], [5], [6]. Successful implementation </w:t>
      </w:r>
      <w:r w:rsidRPr="00020AA9">
        <w:rPr>
          <w:rFonts w:eastAsia="Times New Roman"/>
          <w:lang w:val="en-GB" w:eastAsia="en-GB"/>
        </w:rPr>
        <w:t>depends on a phased approach that aligns security improvements with organisational objectives, available resources, and effective governance [3], [4].</w:t>
      </w:r>
    </w:p>
    <w:p w14:paraId="15DA9936" w14:textId="77777777" w:rsidR="0037564B" w:rsidRDefault="0037564B" w:rsidP="00E11A5A"/>
    <w:p w14:paraId="62F763F8" w14:textId="77777777" w:rsidR="0037564B" w:rsidRPr="0037564B" w:rsidRDefault="002A136A" w:rsidP="008F40B9">
      <w:pPr>
        <w:pStyle w:val="Heading1"/>
        <w:spacing w:before="6pt" w:after="6pt"/>
        <w:jc w:val="start"/>
        <w:rPr>
          <w:b/>
          <w:bCs/>
          <w:sz w:val="24"/>
          <w:szCs w:val="24"/>
        </w:rPr>
      </w:pPr>
      <w:r w:rsidRPr="0037564B">
        <w:rPr>
          <w:b/>
          <w:bCs/>
          <w:sz w:val="24"/>
          <w:szCs w:val="24"/>
        </w:rPr>
        <w:t xml:space="preserve"> </w:t>
      </w:r>
      <w:r w:rsidR="0037564B" w:rsidRPr="0037564B">
        <w:rPr>
          <w:b/>
          <w:bCs/>
          <w:sz w:val="24"/>
          <w:szCs w:val="24"/>
        </w:rPr>
        <w:t>Zero Trust Architecture Compared with Traditional Security Models</w:t>
      </w:r>
    </w:p>
    <w:p w14:paraId="7FC8F756" w14:textId="77777777" w:rsidR="006E3DE6" w:rsidRPr="006E3DE6" w:rsidRDefault="006E3DE6" w:rsidP="006E3DE6">
      <w:pPr>
        <w:jc w:val="start"/>
        <w:rPr>
          <w:rFonts w:eastAsia="Times New Roman"/>
          <w:lang w:val="en-GB" w:eastAsia="en-GB"/>
        </w:rPr>
      </w:pPr>
      <w:r w:rsidRPr="006E3DE6">
        <w:rPr>
          <w:rFonts w:eastAsia="Times New Roman"/>
          <w:lang w:val="en-GB" w:eastAsia="en-GB"/>
        </w:rPr>
        <w:t>The traditional approach to cybersecurity has historically relied on perimeter-based security, where firewalls, Virtual Private Networks (VPNs), and intrusion prevention systems protect an organisation's internal network from external threats. This model assumes that users and devices operating within the network perimeter can generally be trusted after successful authentication [1], [2]. While effective when employees worked primarily in offices and data was stored on internal servers, this approach has become increasingly inadequate due to the growth of cloud computing, remote working, Bring Your Own Device (BYOD) policies, and Software as a Service (SaaS) [1], [2], [6].</w:t>
      </w:r>
    </w:p>
    <w:p w14:paraId="5BC59933" w14:textId="77777777" w:rsidR="006E3DE6" w:rsidRPr="006E3DE6" w:rsidRDefault="006E3DE6" w:rsidP="006E3DE6">
      <w:pPr>
        <w:jc w:val="start"/>
        <w:rPr>
          <w:rFonts w:eastAsia="Times New Roman"/>
          <w:lang w:val="en-GB" w:eastAsia="en-GB"/>
        </w:rPr>
      </w:pPr>
      <w:r w:rsidRPr="006E3DE6">
        <w:rPr>
          <w:rFonts w:eastAsia="Times New Roman"/>
          <w:lang w:val="en-GB" w:eastAsia="en-GB"/>
        </w:rPr>
        <w:t>Zero Trust Architecture addresses these limitations by replacing implicit trust with continuous verification [1], [5]. Instead of granting broad network access after a single authentication event, Zero Trust evaluates every access request based on user identity, device health, location, behaviour, and the sensitivity of the requested resource [1], [3], [5]. This reduces the risk of compromised credentials being exploited and limits an attacker's ability to move laterally across organisational systems [5], [6].</w:t>
      </w:r>
    </w:p>
    <w:p w14:paraId="1CBA6ABB" w14:textId="77777777" w:rsidR="009779EC" w:rsidRPr="006E3DE6" w:rsidRDefault="009779EC" w:rsidP="009779EC">
      <w:pPr>
        <w:pStyle w:val="figurecaption"/>
        <w:numPr>
          <w:ilvl w:val="0"/>
          <w:numId w:val="0"/>
        </w:numPr>
        <w:rPr>
          <w:b/>
          <w:bCs/>
          <w:i/>
          <w:iCs/>
          <w:sz w:val="20"/>
          <w:szCs w:val="20"/>
        </w:rPr>
      </w:pPr>
    </w:p>
    <w:p w14:paraId="0A9F395C" w14:textId="423C41F0" w:rsidR="009779EC" w:rsidRPr="00061B49" w:rsidRDefault="009779EC" w:rsidP="009779EC">
      <w:pPr>
        <w:pStyle w:val="figurecaption"/>
        <w:numPr>
          <w:ilvl w:val="0"/>
          <w:numId w:val="0"/>
        </w:numPr>
        <w:rPr>
          <w:b/>
          <w:bCs/>
          <w:i/>
          <w:iCs/>
        </w:rPr>
      </w:pPr>
      <w:r w:rsidRPr="00061B49">
        <w:rPr>
          <w:b/>
          <w:bCs/>
          <w:i/>
          <w:iCs/>
        </w:rPr>
        <w:t>TABLE I</w:t>
      </w:r>
      <w:r w:rsidRPr="00061B49">
        <w:rPr>
          <w:b/>
          <w:bCs/>
          <w:i/>
          <w:iCs/>
        </w:rPr>
        <w:br/>
        <w:t>COMPARISON OF TRADITIONAL SECURITY AND ZERO TRUST ARCHITECTURE</w:t>
      </w:r>
    </w:p>
    <w:p w14:paraId="1B0DA671" w14:textId="77777777" w:rsidR="0052445B" w:rsidRDefault="0052445B" w:rsidP="0037564B"/>
    <w:tbl>
      <w:tblPr>
        <w:tblStyle w:val="TableGrid"/>
        <w:tblW w:w="219.75pt" w:type="dxa"/>
        <w:tblCellMar>
          <w:top w:w="1.40pt" w:type="dxa"/>
          <w:bottom w:w="1.40pt" w:type="dxa"/>
        </w:tblCellMar>
        <w:tblLook w:firstRow="1" w:lastRow="0" w:firstColumn="1" w:lastColumn="0" w:noHBand="0" w:noVBand="1"/>
      </w:tblPr>
      <w:tblGrid>
        <w:gridCol w:w="1386"/>
        <w:gridCol w:w="1644"/>
        <w:gridCol w:w="1365"/>
      </w:tblGrid>
      <w:tr w:rsidR="00FC35B1" w:rsidRPr="00FC35B1" w14:paraId="1640177E" w14:textId="77777777" w:rsidTr="0023478D">
        <w:tc>
          <w:tcPr>
            <w:tcW w:w="69.30pt" w:type="dxa"/>
            <w:tcBorders>
              <w:top w:val="single" w:sz="4" w:space="0" w:color="auto"/>
              <w:start w:val="single" w:sz="4" w:space="0" w:color="auto"/>
              <w:bottom w:val="single" w:sz="4" w:space="0" w:color="auto"/>
              <w:end w:val="single" w:sz="4" w:space="0" w:color="auto"/>
            </w:tcBorders>
            <w:hideMark/>
          </w:tcPr>
          <w:p w14:paraId="087C63D0" w14:textId="77777777" w:rsidR="00FC35B1" w:rsidRPr="00FC35B1" w:rsidRDefault="00FC35B1" w:rsidP="00FC35B1">
            <w:pPr>
              <w:pStyle w:val="tablehead"/>
              <w:numPr>
                <w:ilvl w:val="0"/>
                <w:numId w:val="0"/>
              </w:numPr>
              <w:jc w:val="both"/>
            </w:pPr>
            <w:r w:rsidRPr="00FC35B1">
              <w:rPr>
                <w:b/>
              </w:rPr>
              <w:t>Feature</w:t>
            </w:r>
          </w:p>
        </w:tc>
        <w:tc>
          <w:tcPr>
            <w:tcW w:w="82.20pt" w:type="dxa"/>
            <w:tcBorders>
              <w:top w:val="single" w:sz="4" w:space="0" w:color="auto"/>
              <w:start w:val="single" w:sz="4" w:space="0" w:color="auto"/>
              <w:bottom w:val="single" w:sz="4" w:space="0" w:color="auto"/>
              <w:end w:val="single" w:sz="4" w:space="0" w:color="auto"/>
            </w:tcBorders>
            <w:hideMark/>
          </w:tcPr>
          <w:p w14:paraId="270DD584" w14:textId="77777777" w:rsidR="00FC35B1" w:rsidRPr="00FC35B1" w:rsidRDefault="00FC35B1" w:rsidP="0023478D">
            <w:pPr>
              <w:pStyle w:val="tablehead"/>
              <w:numPr>
                <w:ilvl w:val="0"/>
                <w:numId w:val="0"/>
              </w:numPr>
            </w:pPr>
            <w:r w:rsidRPr="00FC35B1">
              <w:rPr>
                <w:b/>
              </w:rPr>
              <w:t>Traditional</w:t>
            </w:r>
          </w:p>
        </w:tc>
        <w:tc>
          <w:tcPr>
            <w:tcW w:w="68.25pt" w:type="dxa"/>
            <w:tcBorders>
              <w:top w:val="single" w:sz="4" w:space="0" w:color="auto"/>
              <w:start w:val="single" w:sz="4" w:space="0" w:color="auto"/>
              <w:bottom w:val="single" w:sz="4" w:space="0" w:color="auto"/>
              <w:end w:val="single" w:sz="4" w:space="0" w:color="auto"/>
            </w:tcBorders>
            <w:hideMark/>
          </w:tcPr>
          <w:p w14:paraId="58C4F035" w14:textId="77777777" w:rsidR="00FC35B1" w:rsidRPr="00FC35B1" w:rsidRDefault="00FC35B1" w:rsidP="0023478D">
            <w:pPr>
              <w:pStyle w:val="tablehead"/>
              <w:numPr>
                <w:ilvl w:val="0"/>
                <w:numId w:val="0"/>
              </w:numPr>
            </w:pPr>
            <w:r w:rsidRPr="00FC35B1">
              <w:rPr>
                <w:b/>
              </w:rPr>
              <w:t>Zero Trust</w:t>
            </w:r>
          </w:p>
        </w:tc>
      </w:tr>
      <w:tr w:rsidR="00FC35B1" w:rsidRPr="00FC35B1" w14:paraId="07B5CE25" w14:textId="77777777" w:rsidTr="003C6B21">
        <w:tc>
          <w:tcPr>
            <w:tcW w:w="69.30pt" w:type="dxa"/>
            <w:tcBorders>
              <w:top w:val="single" w:sz="4" w:space="0" w:color="auto"/>
              <w:start w:val="single" w:sz="4" w:space="0" w:color="auto"/>
              <w:bottom w:val="single" w:sz="4" w:space="0" w:color="auto"/>
              <w:end w:val="single" w:sz="4" w:space="0" w:color="auto"/>
            </w:tcBorders>
            <w:hideMark/>
          </w:tcPr>
          <w:p w14:paraId="33D20861" w14:textId="77777777" w:rsidR="00FC35B1" w:rsidRPr="00FC35B1" w:rsidRDefault="00FC35B1" w:rsidP="00FC35B1">
            <w:pPr>
              <w:pStyle w:val="tablehead"/>
              <w:numPr>
                <w:ilvl w:val="0"/>
                <w:numId w:val="0"/>
              </w:numPr>
              <w:jc w:val="both"/>
            </w:pPr>
            <w:r w:rsidRPr="00FC35B1">
              <w:t>Trust</w:t>
            </w:r>
          </w:p>
        </w:tc>
        <w:tc>
          <w:tcPr>
            <w:tcW w:w="82.20pt" w:type="dxa"/>
            <w:tcBorders>
              <w:top w:val="single" w:sz="4" w:space="0" w:color="auto"/>
              <w:start w:val="single" w:sz="4" w:space="0" w:color="auto"/>
              <w:bottom w:val="single" w:sz="4" w:space="0" w:color="auto"/>
              <w:end w:val="single" w:sz="4" w:space="0" w:color="auto"/>
            </w:tcBorders>
            <w:hideMark/>
          </w:tcPr>
          <w:p w14:paraId="1B982F48" w14:textId="77777777" w:rsidR="00FC35B1" w:rsidRPr="00FC35B1" w:rsidRDefault="00FC35B1" w:rsidP="0016028A">
            <w:pPr>
              <w:pStyle w:val="tablehead"/>
              <w:numPr>
                <w:ilvl w:val="0"/>
                <w:numId w:val="0"/>
              </w:numPr>
              <w:jc w:val="both"/>
            </w:pPr>
            <w:r w:rsidRPr="00FC35B1">
              <w:t>Inside network trusted</w:t>
            </w:r>
          </w:p>
        </w:tc>
        <w:tc>
          <w:tcPr>
            <w:tcW w:w="68.25pt" w:type="dxa"/>
            <w:tcBorders>
              <w:top w:val="single" w:sz="4" w:space="0" w:color="auto"/>
              <w:start w:val="single" w:sz="4" w:space="0" w:color="auto"/>
              <w:bottom w:val="single" w:sz="4" w:space="0" w:color="auto"/>
              <w:end w:val="single" w:sz="4" w:space="0" w:color="auto"/>
            </w:tcBorders>
            <w:hideMark/>
          </w:tcPr>
          <w:p w14:paraId="385A9FEB" w14:textId="0FB8F54A" w:rsidR="00FC35B1" w:rsidRPr="00FC35B1" w:rsidRDefault="00FC35B1" w:rsidP="0016028A">
            <w:pPr>
              <w:pStyle w:val="tablehead"/>
              <w:numPr>
                <w:ilvl w:val="0"/>
                <w:numId w:val="0"/>
              </w:numPr>
              <w:jc w:val="both"/>
            </w:pPr>
            <w:r w:rsidRPr="00FC35B1">
              <w:t>Never</w:t>
            </w:r>
            <w:r w:rsidR="0016028A">
              <w:t xml:space="preserve"> </w:t>
            </w:r>
            <w:r w:rsidRPr="00FC35B1">
              <w:t>trust; always verify</w:t>
            </w:r>
          </w:p>
        </w:tc>
      </w:tr>
      <w:tr w:rsidR="00FC35B1" w:rsidRPr="00FC35B1" w14:paraId="2D0423E6" w14:textId="77777777" w:rsidTr="003C6B21">
        <w:tc>
          <w:tcPr>
            <w:tcW w:w="69.30pt" w:type="dxa"/>
            <w:tcBorders>
              <w:top w:val="single" w:sz="4" w:space="0" w:color="auto"/>
              <w:start w:val="single" w:sz="4" w:space="0" w:color="auto"/>
              <w:bottom w:val="single" w:sz="4" w:space="0" w:color="auto"/>
              <w:end w:val="single" w:sz="4" w:space="0" w:color="auto"/>
            </w:tcBorders>
            <w:hideMark/>
          </w:tcPr>
          <w:p w14:paraId="64B217C3" w14:textId="362A523A" w:rsidR="00FC35B1" w:rsidRPr="00FC35B1" w:rsidRDefault="00851471" w:rsidP="00FC35B1">
            <w:pPr>
              <w:pStyle w:val="tablehead"/>
              <w:numPr>
                <w:ilvl w:val="0"/>
                <w:numId w:val="0"/>
              </w:numPr>
              <w:jc w:val="both"/>
            </w:pPr>
            <w:r w:rsidRPr="00851471">
              <w:t>Authentication</w:t>
            </w:r>
          </w:p>
        </w:tc>
        <w:tc>
          <w:tcPr>
            <w:tcW w:w="82.20pt" w:type="dxa"/>
            <w:tcBorders>
              <w:top w:val="single" w:sz="4" w:space="0" w:color="auto"/>
              <w:start w:val="single" w:sz="4" w:space="0" w:color="auto"/>
              <w:bottom w:val="single" w:sz="4" w:space="0" w:color="auto"/>
              <w:end w:val="single" w:sz="4" w:space="0" w:color="auto"/>
            </w:tcBorders>
            <w:hideMark/>
          </w:tcPr>
          <w:p w14:paraId="1F468822" w14:textId="77777777" w:rsidR="00FC35B1" w:rsidRPr="00FC35B1" w:rsidRDefault="00FC35B1" w:rsidP="0016028A">
            <w:pPr>
              <w:pStyle w:val="tablehead"/>
              <w:numPr>
                <w:ilvl w:val="0"/>
                <w:numId w:val="0"/>
              </w:numPr>
              <w:jc w:val="both"/>
            </w:pPr>
            <w:r w:rsidRPr="00FC35B1">
              <w:t>One-time login</w:t>
            </w:r>
          </w:p>
        </w:tc>
        <w:tc>
          <w:tcPr>
            <w:tcW w:w="68.25pt" w:type="dxa"/>
            <w:tcBorders>
              <w:top w:val="single" w:sz="4" w:space="0" w:color="auto"/>
              <w:start w:val="single" w:sz="4" w:space="0" w:color="auto"/>
              <w:bottom w:val="single" w:sz="4" w:space="0" w:color="auto"/>
              <w:end w:val="single" w:sz="4" w:space="0" w:color="auto"/>
            </w:tcBorders>
            <w:hideMark/>
          </w:tcPr>
          <w:p w14:paraId="6FE1303A" w14:textId="77777777" w:rsidR="00FC35B1" w:rsidRPr="00FC35B1" w:rsidRDefault="00FC35B1" w:rsidP="0016028A">
            <w:pPr>
              <w:pStyle w:val="tablehead"/>
              <w:numPr>
                <w:ilvl w:val="0"/>
                <w:numId w:val="0"/>
              </w:numPr>
              <w:jc w:val="both"/>
            </w:pPr>
            <w:r w:rsidRPr="00FC35B1">
              <w:t>Continuous authentication</w:t>
            </w:r>
          </w:p>
        </w:tc>
      </w:tr>
      <w:tr w:rsidR="00FC35B1" w:rsidRPr="00FC35B1" w14:paraId="546CB53E" w14:textId="77777777" w:rsidTr="003C6B21">
        <w:tc>
          <w:tcPr>
            <w:tcW w:w="69.30pt" w:type="dxa"/>
            <w:tcBorders>
              <w:top w:val="single" w:sz="4" w:space="0" w:color="auto"/>
              <w:start w:val="single" w:sz="4" w:space="0" w:color="auto"/>
              <w:bottom w:val="single" w:sz="4" w:space="0" w:color="auto"/>
              <w:end w:val="single" w:sz="4" w:space="0" w:color="auto"/>
            </w:tcBorders>
            <w:hideMark/>
          </w:tcPr>
          <w:p w14:paraId="12E1E7BA" w14:textId="77777777" w:rsidR="00FC35B1" w:rsidRPr="00FC35B1" w:rsidRDefault="00FC35B1" w:rsidP="00FC35B1">
            <w:pPr>
              <w:pStyle w:val="tablehead"/>
              <w:numPr>
                <w:ilvl w:val="0"/>
                <w:numId w:val="0"/>
              </w:numPr>
              <w:jc w:val="both"/>
            </w:pPr>
            <w:r w:rsidRPr="00FC35B1">
              <w:t>Access</w:t>
            </w:r>
          </w:p>
        </w:tc>
        <w:tc>
          <w:tcPr>
            <w:tcW w:w="82.20pt" w:type="dxa"/>
            <w:tcBorders>
              <w:top w:val="single" w:sz="4" w:space="0" w:color="auto"/>
              <w:start w:val="single" w:sz="4" w:space="0" w:color="auto"/>
              <w:bottom w:val="single" w:sz="4" w:space="0" w:color="auto"/>
              <w:end w:val="single" w:sz="4" w:space="0" w:color="auto"/>
            </w:tcBorders>
            <w:hideMark/>
          </w:tcPr>
          <w:p w14:paraId="7F8394BF" w14:textId="77777777" w:rsidR="00FC35B1" w:rsidRPr="00FC35B1" w:rsidRDefault="00FC35B1" w:rsidP="004255C2">
            <w:pPr>
              <w:pStyle w:val="tablehead"/>
              <w:numPr>
                <w:ilvl w:val="0"/>
                <w:numId w:val="0"/>
              </w:numPr>
              <w:jc w:val="both"/>
            </w:pPr>
            <w:r w:rsidRPr="00FC35B1">
              <w:t>Broad permissions</w:t>
            </w:r>
          </w:p>
        </w:tc>
        <w:tc>
          <w:tcPr>
            <w:tcW w:w="68.25pt" w:type="dxa"/>
            <w:tcBorders>
              <w:top w:val="single" w:sz="4" w:space="0" w:color="auto"/>
              <w:start w:val="single" w:sz="4" w:space="0" w:color="auto"/>
              <w:bottom w:val="single" w:sz="4" w:space="0" w:color="auto"/>
              <w:end w:val="single" w:sz="4" w:space="0" w:color="auto"/>
            </w:tcBorders>
            <w:hideMark/>
          </w:tcPr>
          <w:p w14:paraId="75EE5CD8" w14:textId="77777777" w:rsidR="00FC35B1" w:rsidRPr="00FC35B1" w:rsidRDefault="00FC35B1" w:rsidP="004255C2">
            <w:pPr>
              <w:pStyle w:val="tablehead"/>
              <w:numPr>
                <w:ilvl w:val="0"/>
                <w:numId w:val="0"/>
              </w:numPr>
              <w:jc w:val="both"/>
            </w:pPr>
            <w:r w:rsidRPr="00FC35B1">
              <w:t>Least privilege</w:t>
            </w:r>
          </w:p>
        </w:tc>
      </w:tr>
      <w:tr w:rsidR="00FC35B1" w:rsidRPr="00FC35B1" w14:paraId="39CCADCA" w14:textId="77777777" w:rsidTr="003C6B21">
        <w:tc>
          <w:tcPr>
            <w:tcW w:w="69.30pt" w:type="dxa"/>
            <w:tcBorders>
              <w:top w:val="single" w:sz="4" w:space="0" w:color="auto"/>
              <w:start w:val="single" w:sz="4" w:space="0" w:color="auto"/>
              <w:bottom w:val="single" w:sz="4" w:space="0" w:color="auto"/>
              <w:end w:val="single" w:sz="4" w:space="0" w:color="auto"/>
            </w:tcBorders>
            <w:hideMark/>
          </w:tcPr>
          <w:p w14:paraId="6971DF37" w14:textId="77777777" w:rsidR="00FC35B1" w:rsidRPr="00FC35B1" w:rsidRDefault="00FC35B1" w:rsidP="00FC35B1">
            <w:pPr>
              <w:pStyle w:val="tablehead"/>
              <w:numPr>
                <w:ilvl w:val="0"/>
                <w:numId w:val="0"/>
              </w:numPr>
              <w:jc w:val="both"/>
            </w:pPr>
            <w:r w:rsidRPr="00FC35B1">
              <w:t>Threats</w:t>
            </w:r>
          </w:p>
        </w:tc>
        <w:tc>
          <w:tcPr>
            <w:tcW w:w="82.20pt" w:type="dxa"/>
            <w:tcBorders>
              <w:top w:val="single" w:sz="4" w:space="0" w:color="auto"/>
              <w:start w:val="single" w:sz="4" w:space="0" w:color="auto"/>
              <w:bottom w:val="single" w:sz="4" w:space="0" w:color="auto"/>
              <w:end w:val="single" w:sz="4" w:space="0" w:color="auto"/>
            </w:tcBorders>
            <w:hideMark/>
          </w:tcPr>
          <w:p w14:paraId="508D3D10" w14:textId="77777777" w:rsidR="00FC35B1" w:rsidRPr="00FC35B1" w:rsidRDefault="00FC35B1" w:rsidP="004255C2">
            <w:pPr>
              <w:pStyle w:val="tablehead"/>
              <w:numPr>
                <w:ilvl w:val="0"/>
                <w:numId w:val="0"/>
              </w:numPr>
              <w:jc w:val="both"/>
            </w:pPr>
            <w:r w:rsidRPr="00FC35B1">
              <w:t>Mainly external</w:t>
            </w:r>
          </w:p>
        </w:tc>
        <w:tc>
          <w:tcPr>
            <w:tcW w:w="68.25pt" w:type="dxa"/>
            <w:tcBorders>
              <w:top w:val="single" w:sz="4" w:space="0" w:color="auto"/>
              <w:start w:val="single" w:sz="4" w:space="0" w:color="auto"/>
              <w:bottom w:val="single" w:sz="4" w:space="0" w:color="auto"/>
              <w:end w:val="single" w:sz="4" w:space="0" w:color="auto"/>
            </w:tcBorders>
            <w:hideMark/>
          </w:tcPr>
          <w:p w14:paraId="556C60DC" w14:textId="64298FC1" w:rsidR="00FC35B1" w:rsidRPr="003900C6" w:rsidRDefault="00FC35B1" w:rsidP="004255C2">
            <w:pPr>
              <w:pStyle w:val="tablehead"/>
              <w:numPr>
                <w:ilvl w:val="0"/>
                <w:numId w:val="0"/>
              </w:numPr>
              <w:jc w:val="both"/>
            </w:pPr>
            <w:r w:rsidRPr="003900C6">
              <w:t>Internal</w:t>
            </w:r>
            <w:r w:rsidR="004255C2" w:rsidRPr="003900C6">
              <w:t xml:space="preserve"> </w:t>
            </w:r>
            <w:r w:rsidR="003900C6" w:rsidRPr="003900C6">
              <w:t>AND</w:t>
            </w:r>
            <w:r w:rsidRPr="003900C6">
              <w:t xml:space="preserve"> external</w:t>
            </w:r>
          </w:p>
        </w:tc>
      </w:tr>
      <w:tr w:rsidR="00FC35B1" w:rsidRPr="00FC35B1" w14:paraId="2E8A4D6B" w14:textId="77777777" w:rsidTr="003C6B21">
        <w:trPr>
          <w:trHeight w:val="510"/>
        </w:trPr>
        <w:tc>
          <w:tcPr>
            <w:tcW w:w="69.30pt" w:type="dxa"/>
            <w:tcBorders>
              <w:top w:val="single" w:sz="4" w:space="0" w:color="auto"/>
              <w:start w:val="single" w:sz="4" w:space="0" w:color="auto"/>
              <w:bottom w:val="single" w:sz="4" w:space="0" w:color="auto"/>
              <w:end w:val="single" w:sz="4" w:space="0" w:color="auto"/>
            </w:tcBorders>
            <w:hideMark/>
          </w:tcPr>
          <w:p w14:paraId="7C33FE5D" w14:textId="77777777" w:rsidR="00FC35B1" w:rsidRPr="00FC35B1" w:rsidRDefault="00FC35B1" w:rsidP="0016028A">
            <w:pPr>
              <w:pStyle w:val="tablehead"/>
              <w:numPr>
                <w:ilvl w:val="0"/>
                <w:numId w:val="0"/>
              </w:numPr>
              <w:jc w:val="both"/>
            </w:pPr>
            <w:r w:rsidRPr="00FC35B1">
              <w:t>Network</w:t>
            </w:r>
          </w:p>
        </w:tc>
        <w:tc>
          <w:tcPr>
            <w:tcW w:w="82.20pt" w:type="dxa"/>
            <w:tcBorders>
              <w:top w:val="single" w:sz="4" w:space="0" w:color="auto"/>
              <w:start w:val="single" w:sz="4" w:space="0" w:color="auto"/>
              <w:bottom w:val="single" w:sz="4" w:space="0" w:color="auto"/>
              <w:end w:val="single" w:sz="4" w:space="0" w:color="auto"/>
            </w:tcBorders>
            <w:hideMark/>
          </w:tcPr>
          <w:p w14:paraId="71B229C5" w14:textId="77777777" w:rsidR="00FC35B1" w:rsidRPr="00FC35B1" w:rsidRDefault="00FC35B1" w:rsidP="004255C2">
            <w:pPr>
              <w:pStyle w:val="tablehead"/>
              <w:numPr>
                <w:ilvl w:val="0"/>
                <w:numId w:val="0"/>
              </w:numPr>
              <w:jc w:val="both"/>
            </w:pPr>
            <w:r w:rsidRPr="00FC35B1">
              <w:t>Perimeter-based</w:t>
            </w:r>
          </w:p>
        </w:tc>
        <w:tc>
          <w:tcPr>
            <w:tcW w:w="68.25pt" w:type="dxa"/>
            <w:tcBorders>
              <w:top w:val="single" w:sz="4" w:space="0" w:color="auto"/>
              <w:start w:val="single" w:sz="4" w:space="0" w:color="auto"/>
              <w:bottom w:val="single" w:sz="4" w:space="0" w:color="auto"/>
              <w:end w:val="single" w:sz="4" w:space="0" w:color="auto"/>
            </w:tcBorders>
            <w:hideMark/>
          </w:tcPr>
          <w:p w14:paraId="5AF971A9" w14:textId="77777777" w:rsidR="00FC35B1" w:rsidRPr="00FC35B1" w:rsidRDefault="00FC35B1" w:rsidP="004255C2">
            <w:pPr>
              <w:pStyle w:val="tablehead"/>
              <w:numPr>
                <w:ilvl w:val="0"/>
                <w:numId w:val="0"/>
              </w:numPr>
              <w:jc w:val="both"/>
            </w:pPr>
            <w:r w:rsidRPr="00FC35B1">
              <w:t>Micro-segmentation</w:t>
            </w:r>
          </w:p>
        </w:tc>
      </w:tr>
      <w:tr w:rsidR="00FC35B1" w:rsidRPr="00FC35B1" w14:paraId="62F35C25" w14:textId="77777777" w:rsidTr="003C6B21">
        <w:tc>
          <w:tcPr>
            <w:tcW w:w="69.30pt" w:type="dxa"/>
            <w:tcBorders>
              <w:top w:val="single" w:sz="4" w:space="0" w:color="auto"/>
              <w:start w:val="single" w:sz="4" w:space="0" w:color="auto"/>
              <w:bottom w:val="single" w:sz="4" w:space="0" w:color="auto"/>
              <w:end w:val="single" w:sz="4" w:space="0" w:color="auto"/>
            </w:tcBorders>
            <w:hideMark/>
          </w:tcPr>
          <w:p w14:paraId="0AC8C05D" w14:textId="77777777" w:rsidR="00FC35B1" w:rsidRPr="00FC35B1" w:rsidRDefault="00FC35B1" w:rsidP="0016028A">
            <w:pPr>
              <w:pStyle w:val="tablehead"/>
              <w:numPr>
                <w:ilvl w:val="0"/>
                <w:numId w:val="0"/>
              </w:numPr>
              <w:jc w:val="both"/>
            </w:pPr>
            <w:r w:rsidRPr="00FC35B1">
              <w:t>Remote</w:t>
            </w:r>
          </w:p>
        </w:tc>
        <w:tc>
          <w:tcPr>
            <w:tcW w:w="82.20pt" w:type="dxa"/>
            <w:tcBorders>
              <w:top w:val="single" w:sz="4" w:space="0" w:color="auto"/>
              <w:start w:val="single" w:sz="4" w:space="0" w:color="auto"/>
              <w:bottom w:val="single" w:sz="4" w:space="0" w:color="auto"/>
              <w:end w:val="single" w:sz="4" w:space="0" w:color="auto"/>
            </w:tcBorders>
            <w:hideMark/>
          </w:tcPr>
          <w:p w14:paraId="528875FE" w14:textId="77777777" w:rsidR="00FC35B1" w:rsidRPr="00FC35B1" w:rsidRDefault="00FC35B1" w:rsidP="004255C2">
            <w:pPr>
              <w:pStyle w:val="tablehead"/>
              <w:numPr>
                <w:ilvl w:val="0"/>
                <w:numId w:val="0"/>
              </w:numPr>
              <w:jc w:val="both"/>
            </w:pPr>
            <w:r w:rsidRPr="00FC35B1">
              <w:t>VPN</w:t>
            </w:r>
          </w:p>
        </w:tc>
        <w:tc>
          <w:tcPr>
            <w:tcW w:w="68.25pt" w:type="dxa"/>
            <w:tcBorders>
              <w:top w:val="single" w:sz="4" w:space="0" w:color="auto"/>
              <w:start w:val="single" w:sz="4" w:space="0" w:color="auto"/>
              <w:bottom w:val="single" w:sz="4" w:space="0" w:color="auto"/>
              <w:end w:val="single" w:sz="4" w:space="0" w:color="auto"/>
            </w:tcBorders>
            <w:hideMark/>
          </w:tcPr>
          <w:p w14:paraId="582372AE" w14:textId="77777777" w:rsidR="00FC35B1" w:rsidRPr="00FC35B1" w:rsidRDefault="00FC35B1" w:rsidP="004255C2">
            <w:pPr>
              <w:pStyle w:val="tablehead"/>
              <w:numPr>
                <w:ilvl w:val="0"/>
                <w:numId w:val="0"/>
              </w:numPr>
              <w:jc w:val="both"/>
            </w:pPr>
            <w:r w:rsidRPr="00FC35B1">
              <w:t>Cloud &amp; hybrid ready</w:t>
            </w:r>
          </w:p>
        </w:tc>
      </w:tr>
      <w:tr w:rsidR="00FC35B1" w:rsidRPr="00FC35B1" w14:paraId="33DDD067" w14:textId="77777777" w:rsidTr="003C6B21">
        <w:tc>
          <w:tcPr>
            <w:tcW w:w="69.30pt" w:type="dxa"/>
            <w:tcBorders>
              <w:top w:val="single" w:sz="4" w:space="0" w:color="auto"/>
              <w:start w:val="single" w:sz="4" w:space="0" w:color="auto"/>
              <w:bottom w:val="single" w:sz="4" w:space="0" w:color="auto"/>
              <w:end w:val="single" w:sz="4" w:space="0" w:color="auto"/>
            </w:tcBorders>
            <w:hideMark/>
          </w:tcPr>
          <w:p w14:paraId="2D22D69A" w14:textId="77777777" w:rsidR="00FC35B1" w:rsidRPr="00FC35B1" w:rsidRDefault="00FC35B1" w:rsidP="00C164C4">
            <w:pPr>
              <w:pStyle w:val="tablehead"/>
              <w:numPr>
                <w:ilvl w:val="0"/>
                <w:numId w:val="0"/>
              </w:numPr>
              <w:jc w:val="both"/>
            </w:pPr>
            <w:r w:rsidRPr="00FC35B1">
              <w:t>Response</w:t>
            </w:r>
          </w:p>
        </w:tc>
        <w:tc>
          <w:tcPr>
            <w:tcW w:w="82.20pt" w:type="dxa"/>
            <w:tcBorders>
              <w:top w:val="single" w:sz="4" w:space="0" w:color="auto"/>
              <w:start w:val="single" w:sz="4" w:space="0" w:color="auto"/>
              <w:bottom w:val="single" w:sz="4" w:space="0" w:color="auto"/>
              <w:end w:val="single" w:sz="4" w:space="0" w:color="auto"/>
            </w:tcBorders>
            <w:hideMark/>
          </w:tcPr>
          <w:p w14:paraId="2C8F9FA6" w14:textId="77777777" w:rsidR="00FC35B1" w:rsidRPr="00FC35B1" w:rsidRDefault="00FC35B1" w:rsidP="004255C2">
            <w:pPr>
              <w:pStyle w:val="tablehead"/>
              <w:numPr>
                <w:ilvl w:val="0"/>
                <w:numId w:val="0"/>
              </w:numPr>
              <w:jc w:val="both"/>
            </w:pPr>
            <w:r w:rsidRPr="00FC35B1">
              <w:t>Reactive</w:t>
            </w:r>
          </w:p>
        </w:tc>
        <w:tc>
          <w:tcPr>
            <w:tcW w:w="68.25pt" w:type="dxa"/>
            <w:tcBorders>
              <w:top w:val="single" w:sz="4" w:space="0" w:color="auto"/>
              <w:start w:val="single" w:sz="4" w:space="0" w:color="auto"/>
              <w:bottom w:val="single" w:sz="4" w:space="0" w:color="auto"/>
              <w:end w:val="single" w:sz="4" w:space="0" w:color="auto"/>
            </w:tcBorders>
            <w:hideMark/>
          </w:tcPr>
          <w:p w14:paraId="1CEC64A5" w14:textId="77777777" w:rsidR="00FC35B1" w:rsidRPr="00FC35B1" w:rsidRDefault="00FC35B1" w:rsidP="004255C2">
            <w:pPr>
              <w:pStyle w:val="tablehead"/>
              <w:numPr>
                <w:ilvl w:val="0"/>
                <w:numId w:val="0"/>
              </w:numPr>
              <w:jc w:val="both"/>
            </w:pPr>
            <w:r w:rsidRPr="00FC35B1">
              <w:t>Continuous monitoring</w:t>
            </w:r>
          </w:p>
        </w:tc>
      </w:tr>
    </w:tbl>
    <w:p w14:paraId="6847B257" w14:textId="77777777" w:rsidR="00754A18" w:rsidRDefault="00754A18" w:rsidP="00FB2EFE"/>
    <w:p w14:paraId="7FC814EC" w14:textId="460927C6" w:rsidR="0080791D" w:rsidRPr="002A1CF5" w:rsidRDefault="00FB2EFE" w:rsidP="009B5496">
      <w:pPr>
        <w:jc w:val="start"/>
      </w:pPr>
      <w:r w:rsidRPr="002A1CF5">
        <w:lastRenderedPageBreak/>
        <w:t xml:space="preserve">As shown in Table I, the main difference between traditional security and Zero Trust Architecture lies in how trust and access are managed. Traditional perimeter-based security generally assumes that authenticated users within the network can be trusted, whereas Zero Trust requires continuous verification and applies </w:t>
      </w:r>
      <w:r w:rsidR="00375A0F" w:rsidRPr="002A1CF5">
        <w:t>least privilege</w:t>
      </w:r>
      <w:r w:rsidRPr="002A1CF5">
        <w:t xml:space="preserve"> access. Micro-segmentation and continuous monitoring also reduce the opportunity for attackers to move laterally across organisational systems. Therefore, Zero Trust may be more suitable for modern cloud and hybrid environments; however, its effectiveness depends on proper implementation, governance, and continuous management.</w:t>
      </w:r>
    </w:p>
    <w:p w14:paraId="59F7FC06" w14:textId="77777777" w:rsidR="00FB2EFE" w:rsidRDefault="00FB2EFE" w:rsidP="009B5496">
      <w:pPr>
        <w:jc w:val="start"/>
      </w:pPr>
    </w:p>
    <w:p w14:paraId="6BC85A14" w14:textId="77777777" w:rsidR="00F20B13" w:rsidRDefault="00F20B13" w:rsidP="00FB2847">
      <w:pPr>
        <w:pStyle w:val="Heading1"/>
        <w:spacing w:before="6pt" w:after="6pt"/>
        <w:jc w:val="start"/>
        <w:rPr>
          <w:b/>
          <w:bCs/>
          <w:sz w:val="24"/>
          <w:szCs w:val="24"/>
        </w:rPr>
      </w:pPr>
      <w:r w:rsidRPr="008058B1">
        <w:rPr>
          <w:b/>
          <w:bCs/>
          <w:sz w:val="24"/>
          <w:szCs w:val="24"/>
        </w:rPr>
        <w:t>Critical Evaluation of Zero Trust Architecture</w:t>
      </w:r>
    </w:p>
    <w:p w14:paraId="0F0E37A7" w14:textId="77777777" w:rsidR="001128B9" w:rsidRPr="001128B9" w:rsidRDefault="001128B9" w:rsidP="001128B9">
      <w:pPr>
        <w:jc w:val="start"/>
        <w:rPr>
          <w:rFonts w:eastAsia="Times New Roman"/>
          <w:lang w:val="en-GB" w:eastAsia="en-GB"/>
        </w:rPr>
      </w:pPr>
      <w:r w:rsidRPr="001128B9">
        <w:rPr>
          <w:rFonts w:eastAsia="Times New Roman"/>
          <w:lang w:val="en-GB" w:eastAsia="en-GB"/>
        </w:rPr>
        <w:t>While Zero Trust Architecture has become one of the most influential cybersecurity models in recent years, its effectiveness depends on successful implementation. Many researchers argue that Zero Trust provides stronger protection against modern cyber threats because it removes implicit trust and continuously verifies every access request [1], [3], [5]. This approach is particularly beneficial for organisations using cloud services and hybrid working, where users and devices regularly access resources from multiple locations. By combining identity verification, least-privilege access, and continuous monitoring, Zero Trust reduces the risk of unauthorised access and limits the impact of security breaches [1], [5], [6].</w:t>
      </w:r>
    </w:p>
    <w:p w14:paraId="2F79BA17" w14:textId="77777777" w:rsidR="001128B9" w:rsidRPr="001128B9" w:rsidRDefault="001128B9" w:rsidP="001128B9">
      <w:pPr>
        <w:jc w:val="start"/>
        <w:rPr>
          <w:rFonts w:eastAsia="Times New Roman"/>
          <w:lang w:val="en-GB" w:eastAsia="en-GB"/>
        </w:rPr>
      </w:pPr>
      <w:r w:rsidRPr="001128B9">
        <w:rPr>
          <w:rFonts w:eastAsia="Times New Roman"/>
          <w:lang w:val="en-GB" w:eastAsia="en-GB"/>
        </w:rPr>
        <w:t>However, Zero Trust should not be viewed as a complete replacement for traditional security controls. Firewalls, encryption, intrusion detection systems, and endpoint protection remain essential components of an effective cybersecurity strategy [2], [4], [6]. Rather than replacing these technologies, Zero Trust strengthens them by making identity, context, and risk central to access decisions [1], [3], [5]. This highlights the importance of a layered defence strategy instead of relying on a single security model.</w:t>
      </w:r>
    </w:p>
    <w:p w14:paraId="6BE4D593" w14:textId="77777777" w:rsidR="001128B9" w:rsidRPr="001128B9" w:rsidRDefault="001128B9" w:rsidP="001128B9">
      <w:pPr>
        <w:jc w:val="start"/>
        <w:rPr>
          <w:rFonts w:eastAsia="Times New Roman"/>
          <w:lang w:val="en-GB" w:eastAsia="en-GB"/>
        </w:rPr>
      </w:pPr>
      <w:r w:rsidRPr="001128B9">
        <w:rPr>
          <w:rFonts w:eastAsia="Times New Roman"/>
          <w:lang w:val="en-GB" w:eastAsia="en-GB"/>
        </w:rPr>
        <w:t>Despite its advantages, organisations may face barriers such as implementation costs, legacy systems, shortages of skilled cybersecurity professionals, and resistance to organisational change [3], [5], [6]. Smaller organisations may find it particularly difficult to justify the investment required for advanced identity management and continuous monitoring. As a result, adopting Zero Trust through a phased implementation that prioritises critical systems is often a more practical approach [3], [6].</w:t>
      </w:r>
    </w:p>
    <w:p w14:paraId="44E264B5" w14:textId="77777777" w:rsidR="001128B9" w:rsidRPr="001128B9" w:rsidRDefault="001128B9" w:rsidP="001128B9">
      <w:pPr>
        <w:jc w:val="start"/>
        <w:rPr>
          <w:rFonts w:eastAsia="Times New Roman"/>
          <w:lang w:val="en-GB" w:eastAsia="en-GB"/>
        </w:rPr>
      </w:pPr>
      <w:r w:rsidRPr="001128B9">
        <w:rPr>
          <w:rFonts w:eastAsia="Times New Roman"/>
          <w:lang w:val="en-GB" w:eastAsia="en-GB"/>
        </w:rPr>
        <w:t>Overall, Zero Trust represents a significant improvement over traditional perimeter-based security because it better reflects the realities of modern digital environments [1], [5]. However, it is not a standalone solution. Its success depends on effective governance, employee awareness, continuous risk assessment, and regular review of security controls [3], [4], [6]. Therefore, organisations should view Zero Trust as an evolving cybersecurity strategy that supports long-term resilience rather than a single technology capable of eliminating cyber risk.</w:t>
      </w:r>
    </w:p>
    <w:p w14:paraId="17BAB4A2" w14:textId="77777777" w:rsidR="001128B9" w:rsidRPr="001128B9" w:rsidRDefault="001128B9" w:rsidP="001128B9"/>
    <w:p w14:paraId="144D91D7" w14:textId="221B0F60" w:rsidR="009303D9" w:rsidRDefault="00BE71DE" w:rsidP="008F40B9">
      <w:pPr>
        <w:pStyle w:val="Heading1"/>
        <w:jc w:val="start"/>
        <w:rPr>
          <w:b/>
          <w:bCs/>
          <w:sz w:val="24"/>
          <w:szCs w:val="24"/>
        </w:rPr>
      </w:pPr>
      <w:r w:rsidRPr="00664743">
        <w:rPr>
          <w:b/>
          <w:bCs/>
          <w:sz w:val="24"/>
          <w:szCs w:val="24"/>
        </w:rPr>
        <w:t>C</w:t>
      </w:r>
      <w:r w:rsidR="001C20EE">
        <w:rPr>
          <w:b/>
          <w:bCs/>
          <w:sz w:val="24"/>
          <w:szCs w:val="24"/>
        </w:rPr>
        <w:t>onclusion</w:t>
      </w:r>
    </w:p>
    <w:p w14:paraId="2B70B357" w14:textId="56695D71" w:rsidR="005B2F59" w:rsidRPr="009B5496" w:rsidRDefault="005B2F59" w:rsidP="00D60F63">
      <w:pPr>
        <w:pStyle w:val="pdq2pgselectionanchorcontainer"/>
        <w:rPr>
          <w:sz w:val="20"/>
          <w:szCs w:val="20"/>
        </w:rPr>
      </w:pPr>
      <w:r w:rsidRPr="009B5496">
        <w:rPr>
          <w:sz w:val="20"/>
          <w:szCs w:val="20"/>
        </w:rPr>
        <w:t>Zero Trust Architecture provides a modern approach to cybersecurity by replacing implicit trust with continuous verification of users, devices, and applications. As organisations increasingly rely on cloud computing, remote working, and digital services, traditional perimeter-based security is no longer sufficient to protect information assets.</w:t>
      </w:r>
      <w:r w:rsidR="009B5496" w:rsidRPr="009B5496">
        <w:rPr>
          <w:sz w:val="20"/>
          <w:szCs w:val="20"/>
        </w:rPr>
        <w:t xml:space="preserve"> </w:t>
      </w:r>
      <w:r w:rsidRPr="009B5496">
        <w:rPr>
          <w:sz w:val="20"/>
          <w:szCs w:val="20"/>
        </w:rPr>
        <w:t>This paper has examined the key principles of Zero Trust, the challenges organisations face during implementation, and its advantages over traditional security models. Although implementation may require significant investment and organisational change, the benefits of improved access control, continuous monitoring, and reduced cyber risk make Zero Trust a valuable long-term strategy. Rather than replacing existing security technologies, Zero Trust strengthens them within a layered defence approach, helping organisations improve resilience and better protect their systems against evolving cyber threats.</w:t>
      </w:r>
    </w:p>
    <w:p w14:paraId="51A26489" w14:textId="77777777" w:rsidR="00147E74" w:rsidRDefault="00147E74" w:rsidP="009A34B1">
      <w:pPr>
        <w:jc w:val="both"/>
      </w:pPr>
    </w:p>
    <w:p w14:paraId="4DE3EF58" w14:textId="63EBC87C" w:rsidR="001005CA" w:rsidRPr="00147E74" w:rsidRDefault="001005CA" w:rsidP="008F40B9">
      <w:pPr>
        <w:jc w:val="start"/>
        <w:rPr>
          <w:b/>
          <w:bCs/>
          <w:sz w:val="24"/>
          <w:szCs w:val="24"/>
        </w:rPr>
      </w:pPr>
      <w:r w:rsidRPr="00147E74">
        <w:rPr>
          <w:b/>
          <w:bCs/>
          <w:sz w:val="24"/>
          <w:szCs w:val="24"/>
        </w:rPr>
        <w:t>Ref</w:t>
      </w:r>
      <w:r w:rsidR="00FD2739" w:rsidRPr="00147E74">
        <w:rPr>
          <w:b/>
          <w:bCs/>
          <w:sz w:val="24"/>
          <w:szCs w:val="24"/>
        </w:rPr>
        <w:t>erences</w:t>
      </w:r>
    </w:p>
    <w:p w14:paraId="21DAF726" w14:textId="77777777" w:rsidR="00B81A8E" w:rsidRDefault="00B81A8E" w:rsidP="00B743AE">
      <w:pPr>
        <w:rPr>
          <w:b/>
          <w:bCs/>
          <w:sz w:val="24"/>
          <w:szCs w:val="24"/>
        </w:rPr>
      </w:pPr>
    </w:p>
    <w:p w14:paraId="7E17DA64" w14:textId="77777777" w:rsidR="00AB56DC" w:rsidRPr="00AB56DC" w:rsidRDefault="00AB56DC" w:rsidP="001A5F32">
      <w:pPr>
        <w:jc w:val="start"/>
      </w:pPr>
      <w:r w:rsidRPr="00AB56DC">
        <w:t xml:space="preserve">[1] S. Rose, O. Borchert, S. Mitchell, and S. Connelly, </w:t>
      </w:r>
      <w:r w:rsidRPr="00AB56DC">
        <w:rPr>
          <w:i/>
          <w:iCs/>
        </w:rPr>
        <w:t>Zero Trust Architecture</w:t>
      </w:r>
      <w:r w:rsidRPr="00AB56DC">
        <w:t xml:space="preserve">, NIST Special Publication (SP) 800-207. Gaithersburg, MD, USA: National Institute of Standards and Technology, Aug. 2020. </w:t>
      </w:r>
    </w:p>
    <w:p w14:paraId="7422307A" w14:textId="77777777" w:rsidR="00AB56DC" w:rsidRPr="00AB56DC" w:rsidRDefault="00AB56DC" w:rsidP="001A5F32">
      <w:pPr>
        <w:jc w:val="start"/>
      </w:pPr>
      <w:r w:rsidRPr="00AB56DC">
        <w:t xml:space="preserve">[2] C. Pascoe, S. Quinn, and K. Scarfone, </w:t>
      </w:r>
      <w:r w:rsidRPr="00AB56DC">
        <w:rPr>
          <w:i/>
          <w:iCs/>
        </w:rPr>
        <w:t>The NIST Cybersecurity Framework (CSF) 2.0</w:t>
      </w:r>
      <w:r w:rsidRPr="00AB56DC">
        <w:t xml:space="preserve">, NIST Cybersecurity White Paper (CSWP) 29. Gaithersburg, MD, USA: National Institute of Standards and Technology, Feb. 2024. </w:t>
      </w:r>
    </w:p>
    <w:p w14:paraId="5EAAA5CA" w14:textId="77777777" w:rsidR="00AB56DC" w:rsidRPr="00AB56DC" w:rsidRDefault="00AB56DC" w:rsidP="001A5F32">
      <w:pPr>
        <w:jc w:val="start"/>
      </w:pPr>
      <w:r w:rsidRPr="00AB56DC">
        <w:t xml:space="preserve">[3] Cybersecurity and Infrastructure Security Agency (CISA), </w:t>
      </w:r>
      <w:r w:rsidRPr="00AB56DC">
        <w:rPr>
          <w:i/>
          <w:iCs/>
        </w:rPr>
        <w:t>Zero Trust Maturity Model Version 2.0</w:t>
      </w:r>
      <w:r w:rsidRPr="00AB56DC">
        <w:t xml:space="preserve">. Washington, DC, USA: CISA, 2023. </w:t>
      </w:r>
    </w:p>
    <w:p w14:paraId="53A71EC2" w14:textId="77653425" w:rsidR="00AB56DC" w:rsidRPr="00AB56DC" w:rsidRDefault="00AB56DC" w:rsidP="001A5F32">
      <w:pPr>
        <w:jc w:val="start"/>
      </w:pPr>
      <w:r w:rsidRPr="00AB56DC">
        <w:t xml:space="preserve">[4] International Organization for Standardization (ISO) and International Electrotechnical Commission (IEC), </w:t>
      </w:r>
      <w:r w:rsidRPr="00AB56DC">
        <w:rPr>
          <w:i/>
          <w:iCs/>
        </w:rPr>
        <w:t>Information Security, Cybersecurity and Privacy Protection- Information Security Management Systems- Requirements</w:t>
      </w:r>
      <w:r w:rsidRPr="00AB56DC">
        <w:t>, ISO/IEC 27001:2022, ISO, 2022.</w:t>
      </w:r>
    </w:p>
    <w:p w14:paraId="4D53D34A" w14:textId="77777777" w:rsidR="00AB56DC" w:rsidRPr="00AB56DC" w:rsidRDefault="00AB56DC" w:rsidP="001A5F32">
      <w:pPr>
        <w:jc w:val="start"/>
      </w:pPr>
      <w:r w:rsidRPr="00AB56DC">
        <w:t xml:space="preserve">[5] N. F. Syed, S. W. Shah, A. Shaghaghi, A. Anwar, Z. Baig, and R. Doss, "Zero Trust Architecture (ZTA): A Comprehensive Survey," </w:t>
      </w:r>
      <w:r w:rsidRPr="00AB56DC">
        <w:rPr>
          <w:i/>
          <w:iCs/>
        </w:rPr>
        <w:t>IEEE Access</w:t>
      </w:r>
      <w:r w:rsidRPr="00AB56DC">
        <w:t>, vol. 10, pp. 57143–57179, 2022.</w:t>
      </w:r>
    </w:p>
    <w:p w14:paraId="23DD9D6B" w14:textId="77777777" w:rsidR="00AB56DC" w:rsidRPr="00AB56DC" w:rsidRDefault="00AB56DC" w:rsidP="001A5F32">
      <w:pPr>
        <w:jc w:val="start"/>
      </w:pPr>
      <w:r w:rsidRPr="00AB56DC">
        <w:t xml:space="preserve">[6] C. Buck, C. Olenberger, A. Schweizer, F. Völter, and T. Eymann, "Never Trust, Always Verify: A Multivocal Literature Review on Current Knowledge and Research Gaps of Zero Trust," </w:t>
      </w:r>
      <w:r w:rsidRPr="00AB56DC">
        <w:rPr>
          <w:i/>
          <w:iCs/>
        </w:rPr>
        <w:t>Computers &amp; Security</w:t>
      </w:r>
      <w:r w:rsidRPr="00AB56DC">
        <w:t>, vol. 110, Art. no. 102436, 2021.</w:t>
      </w:r>
    </w:p>
    <w:p w14:paraId="07ECDC0E" w14:textId="77777777" w:rsidR="00AB56DC" w:rsidRPr="00AB56DC" w:rsidRDefault="00AB56DC" w:rsidP="001A5F32">
      <w:pPr>
        <w:jc w:val="start"/>
      </w:pPr>
      <w:r w:rsidRPr="00AB56DC">
        <w:t xml:space="preserve">[7] Microsoft, </w:t>
      </w:r>
      <w:r w:rsidRPr="00AB56DC">
        <w:rPr>
          <w:i/>
          <w:iCs/>
        </w:rPr>
        <w:t>Zero Trust Guidance Center</w:t>
      </w:r>
      <w:r w:rsidRPr="00AB56DC">
        <w:t>, Microsoft Learn, 2024.</w:t>
      </w:r>
    </w:p>
    <w:p w14:paraId="24C2B1D2" w14:textId="77777777" w:rsidR="00AB56DC" w:rsidRPr="00AB56DC" w:rsidRDefault="00AB56DC" w:rsidP="001A5F32">
      <w:pPr>
        <w:jc w:val="start"/>
      </w:pPr>
      <w:r w:rsidRPr="00AB56DC">
        <w:t xml:space="preserve">[8] IBM Security, </w:t>
      </w:r>
      <w:r w:rsidRPr="00AB56DC">
        <w:rPr>
          <w:i/>
          <w:iCs/>
        </w:rPr>
        <w:t>Cost of a Data Breach Report 2024</w:t>
      </w:r>
      <w:r w:rsidRPr="00AB56DC">
        <w:t>. IBM Corporation, 2024.</w:t>
      </w:r>
    </w:p>
    <w:p w14:paraId="5C2C899F" w14:textId="77777777" w:rsidR="00AB56DC" w:rsidRPr="00AB56DC" w:rsidRDefault="00AB56DC" w:rsidP="001A5F32">
      <w:pPr>
        <w:jc w:val="start"/>
      </w:pPr>
      <w:r w:rsidRPr="00AB56DC">
        <w:t>[9] Directive (EU) 2022/2555 of the European Parliament and of the Council of 14 December 2022 on measures for a high common level of cybersecurity across the Union (NIS2 Directive), Official Journal of the European Union, 2022.</w:t>
      </w:r>
    </w:p>
    <w:p w14:paraId="1FE55ED2" w14:textId="77777777" w:rsidR="006B37FE" w:rsidRDefault="00AB56DC" w:rsidP="001A5F32">
      <w:pPr>
        <w:jc w:val="start"/>
      </w:pPr>
      <w:r w:rsidRPr="00AB56DC">
        <w:t>[10] Regulation (EU) 2016/679 of the European Parliament and of the Council of 27 April 2016 (General Data Protection Regulation- GDPR), Official Journal of the European Union, 2016.</w:t>
      </w:r>
      <w:r w:rsidR="00A20C54">
        <w:t xml:space="preserve">  </w:t>
      </w:r>
    </w:p>
    <w:p w14:paraId="43323825" w14:textId="77777777" w:rsidR="004923B3" w:rsidRDefault="004923B3" w:rsidP="001A5F32">
      <w:pPr>
        <w:jc w:val="start"/>
        <w:sectPr w:rsidR="004923B3" w:rsidSect="003B4E04">
          <w:type w:val="continuous"/>
          <w:pgSz w:w="595.30pt" w:h="841.90pt" w:code="9"/>
          <w:pgMar w:top="54pt" w:right="45.35pt" w:bottom="72pt" w:left="45.35pt" w:header="36pt" w:footer="36pt" w:gutter="0pt"/>
          <w:cols w:num="2" w:space="18pt"/>
          <w:docGrid w:linePitch="360"/>
        </w:sectPr>
      </w:pPr>
    </w:p>
    <w:p w14:paraId="435B7970" w14:textId="344E85DD" w:rsidR="004923B3" w:rsidRDefault="00067147" w:rsidP="00AE6C8E">
      <w:pPr>
        <w:rPr>
          <w:rFonts w:ascii="Arial" w:hAnsi="Arial" w:cs="Arial"/>
          <w:b/>
          <w:bCs/>
          <w:sz w:val="40"/>
          <w:szCs w:val="40"/>
        </w:rPr>
      </w:pPr>
      <w:r w:rsidRPr="00AE6C8E">
        <w:rPr>
          <w:rFonts w:ascii="Arial" w:hAnsi="Arial" w:cs="Arial"/>
          <w:b/>
          <w:bCs/>
          <w:sz w:val="40"/>
          <w:szCs w:val="40"/>
        </w:rPr>
        <w:lastRenderedPageBreak/>
        <w:t>Task 2 – Case Scenario</w:t>
      </w:r>
    </w:p>
    <w:p w14:paraId="7E66E924" w14:textId="77777777" w:rsidR="00C36513" w:rsidRDefault="00C36513" w:rsidP="00C36513">
      <w:pPr>
        <w:jc w:val="start"/>
        <w:rPr>
          <w:rFonts w:ascii="Arial" w:hAnsi="Arial" w:cs="Arial"/>
          <w:b/>
          <w:bCs/>
          <w:sz w:val="40"/>
          <w:szCs w:val="40"/>
        </w:rPr>
      </w:pPr>
    </w:p>
    <w:p w14:paraId="396896FE" w14:textId="77777777" w:rsidR="00C36513" w:rsidRDefault="00C36513" w:rsidP="00C36513">
      <w:pPr>
        <w:jc w:val="start"/>
        <w:rPr>
          <w:rFonts w:ascii="Arial" w:hAnsi="Arial" w:cs="Arial"/>
          <w:b/>
          <w:bCs/>
          <w:sz w:val="40"/>
          <w:szCs w:val="40"/>
        </w:rPr>
      </w:pPr>
    </w:p>
    <w:p w14:paraId="716E7FF8" w14:textId="5ED06273" w:rsidR="00542484" w:rsidRDefault="00542484" w:rsidP="00C36513">
      <w:pPr>
        <w:jc w:val="start"/>
        <w:rPr>
          <w:rFonts w:ascii="Arial" w:hAnsi="Arial" w:cs="Arial"/>
          <w:b/>
          <w:bCs/>
          <w:sz w:val="32"/>
          <w:szCs w:val="32"/>
        </w:rPr>
      </w:pPr>
      <w:r w:rsidRPr="00542484">
        <w:rPr>
          <w:rFonts w:ascii="Arial" w:hAnsi="Arial" w:cs="Arial"/>
          <w:b/>
          <w:bCs/>
          <w:sz w:val="32"/>
          <w:szCs w:val="32"/>
        </w:rPr>
        <w:t>Introduction</w:t>
      </w:r>
    </w:p>
    <w:p w14:paraId="18CBA73D" w14:textId="77777777" w:rsidR="00D50CE1" w:rsidRDefault="00D50CE1" w:rsidP="00C36513">
      <w:pPr>
        <w:jc w:val="start"/>
        <w:rPr>
          <w:rFonts w:ascii="Arial" w:hAnsi="Arial" w:cs="Arial"/>
          <w:sz w:val="32"/>
          <w:szCs w:val="32"/>
        </w:rPr>
      </w:pPr>
    </w:p>
    <w:p w14:paraId="1C080501" w14:textId="4238D383" w:rsidR="00D97BDE" w:rsidRPr="00D97BDE" w:rsidRDefault="00D97BDE" w:rsidP="00D97BDE">
      <w:pPr>
        <w:spacing w:line="18pt" w:lineRule="auto"/>
        <w:jc w:val="start"/>
        <w:rPr>
          <w:rFonts w:ascii="Arial" w:hAnsi="Arial" w:cs="Arial"/>
          <w:sz w:val="24"/>
          <w:szCs w:val="24"/>
          <w:lang w:val="en-GB"/>
        </w:rPr>
      </w:pPr>
      <w:r w:rsidRPr="00D97BDE">
        <w:rPr>
          <w:rFonts w:ascii="Arial" w:hAnsi="Arial" w:cs="Arial"/>
          <w:sz w:val="24"/>
          <w:szCs w:val="24"/>
          <w:lang w:val="en-GB"/>
        </w:rPr>
        <w:t>The 2017 Equifax data breach remains one of the most significant cybersecurity incidents in recent history, exposing the personal information of approximately 147 million individuals</w:t>
      </w:r>
      <w:r w:rsidR="005451E6">
        <w:rPr>
          <w:rFonts w:ascii="Arial" w:hAnsi="Arial" w:cs="Arial"/>
          <w:sz w:val="24"/>
          <w:szCs w:val="24"/>
          <w:lang w:val="en-GB"/>
        </w:rPr>
        <w:t xml:space="preserve"> [2], [3]</w:t>
      </w:r>
      <w:r w:rsidRPr="00D97BDE">
        <w:rPr>
          <w:rFonts w:ascii="Arial" w:hAnsi="Arial" w:cs="Arial"/>
          <w:sz w:val="24"/>
          <w:szCs w:val="24"/>
          <w:lang w:val="en-GB"/>
        </w:rPr>
        <w:t>. The breach occurred after attackers exploited a known vulnerability in the Apache Struts web application framework that had not been patched despite a security update being available</w:t>
      </w:r>
      <w:r w:rsidR="000B0DEA">
        <w:rPr>
          <w:rFonts w:ascii="Arial" w:hAnsi="Arial" w:cs="Arial"/>
          <w:sz w:val="24"/>
          <w:szCs w:val="24"/>
          <w:lang w:val="en-GB"/>
        </w:rPr>
        <w:t xml:space="preserve"> </w:t>
      </w:r>
      <w:r w:rsidR="00DC505F">
        <w:rPr>
          <w:rFonts w:ascii="Arial" w:hAnsi="Arial" w:cs="Arial"/>
          <w:sz w:val="24"/>
          <w:szCs w:val="24"/>
          <w:lang w:val="en-GB"/>
        </w:rPr>
        <w:t>[2],</w:t>
      </w:r>
      <w:r w:rsidR="000B0DEA">
        <w:rPr>
          <w:rFonts w:ascii="Arial" w:hAnsi="Arial" w:cs="Arial"/>
          <w:sz w:val="24"/>
          <w:szCs w:val="24"/>
          <w:lang w:val="en-GB"/>
        </w:rPr>
        <w:t xml:space="preserve"> </w:t>
      </w:r>
      <w:r w:rsidR="00DC505F">
        <w:rPr>
          <w:rFonts w:ascii="Arial" w:hAnsi="Arial" w:cs="Arial"/>
          <w:sz w:val="24"/>
          <w:szCs w:val="24"/>
          <w:lang w:val="en-GB"/>
        </w:rPr>
        <w:t>[4]</w:t>
      </w:r>
      <w:r w:rsidRPr="00D97BDE">
        <w:rPr>
          <w:rFonts w:ascii="Arial" w:hAnsi="Arial" w:cs="Arial"/>
          <w:sz w:val="24"/>
          <w:szCs w:val="24"/>
          <w:lang w:val="en-GB"/>
        </w:rPr>
        <w:t>. However, the incident was not caused solely by a technical weakness. It also highlighted serious organisational failures in governance, risk management, asset visibility, security monitoring, and accountability, allowing attackers to remain undetected for more than two months.</w:t>
      </w:r>
    </w:p>
    <w:p w14:paraId="7AB4C642" w14:textId="6DA89DF6" w:rsidR="00D97BDE" w:rsidRDefault="00D97BDE" w:rsidP="00D97BDE">
      <w:pPr>
        <w:spacing w:line="18pt" w:lineRule="auto"/>
        <w:jc w:val="start"/>
        <w:rPr>
          <w:rFonts w:ascii="Arial" w:hAnsi="Arial" w:cs="Arial"/>
          <w:sz w:val="24"/>
          <w:szCs w:val="24"/>
          <w:lang w:val="en-GB"/>
        </w:rPr>
      </w:pPr>
      <w:r w:rsidRPr="00D97BDE">
        <w:rPr>
          <w:rFonts w:ascii="Arial" w:hAnsi="Arial" w:cs="Arial"/>
          <w:sz w:val="24"/>
          <w:szCs w:val="24"/>
          <w:lang w:val="en-GB"/>
        </w:rPr>
        <w:t xml:space="preserve">Building on the concepts discussed in Task 1, this report presents a structured cybersecurity programme designed to address the weaknesses identified in the Equifax case. The proposed programme focuses on establishing clear organisational responsibilities, implementing effective security policies and procedures, aligning cybersecurity with business objectives through recognised frameworks such as the </w:t>
      </w:r>
      <w:r w:rsidRPr="004353B7">
        <w:rPr>
          <w:rFonts w:ascii="Arial" w:hAnsi="Arial" w:cs="Arial"/>
          <w:b/>
          <w:bCs/>
          <w:sz w:val="24"/>
          <w:szCs w:val="24"/>
          <w:lang w:val="en-GB"/>
        </w:rPr>
        <w:t>NIST Cybersecurity Framework (CSF) 2.0</w:t>
      </w:r>
      <w:r w:rsidR="004353B7">
        <w:rPr>
          <w:rFonts w:ascii="Arial" w:hAnsi="Arial" w:cs="Arial"/>
          <w:sz w:val="24"/>
          <w:szCs w:val="24"/>
          <w:lang w:val="en-GB"/>
        </w:rPr>
        <w:t xml:space="preserve"> [1]</w:t>
      </w:r>
      <w:r w:rsidRPr="00D97BDE">
        <w:rPr>
          <w:rFonts w:ascii="Arial" w:hAnsi="Arial" w:cs="Arial"/>
          <w:sz w:val="24"/>
          <w:szCs w:val="24"/>
          <w:lang w:val="en-GB"/>
        </w:rPr>
        <w:t>, and adopting a risk-based approach to identifying and mitigating security threats. By strengthening governance, improving operational controls, and promoting continuous security improvement, the programme aims to enhance organisational resilience and reduce the likelihood and impact of future cyber incidents.</w:t>
      </w:r>
    </w:p>
    <w:p w14:paraId="275CCD03" w14:textId="77777777" w:rsidR="00DE034F" w:rsidRDefault="00DE034F" w:rsidP="00D97BDE">
      <w:pPr>
        <w:spacing w:line="18pt" w:lineRule="auto"/>
        <w:jc w:val="start"/>
        <w:rPr>
          <w:rFonts w:ascii="Arial" w:hAnsi="Arial" w:cs="Arial"/>
          <w:sz w:val="24"/>
          <w:szCs w:val="24"/>
          <w:lang w:val="en-GB"/>
        </w:rPr>
      </w:pPr>
    </w:p>
    <w:p w14:paraId="5E8A8C0B" w14:textId="12B1E482" w:rsidR="007E3C26" w:rsidRPr="007E3C26" w:rsidRDefault="007E3C26" w:rsidP="007E3C26">
      <w:pPr>
        <w:spacing w:line="18pt" w:lineRule="auto"/>
        <w:jc w:val="both"/>
        <w:rPr>
          <w:rFonts w:ascii="Arial" w:hAnsi="Arial" w:cs="Arial"/>
          <w:b/>
          <w:bCs/>
          <w:sz w:val="32"/>
          <w:szCs w:val="32"/>
          <w:lang w:val="en-GB"/>
        </w:rPr>
      </w:pPr>
      <w:r>
        <w:rPr>
          <w:rFonts w:ascii="Arial" w:hAnsi="Arial" w:cs="Arial"/>
          <w:b/>
          <w:bCs/>
          <w:sz w:val="32"/>
          <w:szCs w:val="32"/>
          <w:lang w:val="en-GB"/>
        </w:rPr>
        <w:t xml:space="preserve">1. </w:t>
      </w:r>
      <w:r w:rsidR="00C91A99" w:rsidRPr="007E3C26">
        <w:rPr>
          <w:rFonts w:ascii="Arial" w:hAnsi="Arial" w:cs="Arial"/>
          <w:b/>
          <w:bCs/>
          <w:sz w:val="32"/>
          <w:szCs w:val="32"/>
          <w:lang w:val="en-GB"/>
        </w:rPr>
        <w:t>Organisational Structure and Accountability</w:t>
      </w:r>
    </w:p>
    <w:p w14:paraId="64F380D4" w14:textId="77777777" w:rsidR="00717F06" w:rsidRPr="00717F06" w:rsidRDefault="00717F06" w:rsidP="00717F06">
      <w:pPr>
        <w:spacing w:line="18pt" w:lineRule="auto"/>
        <w:jc w:val="start"/>
        <w:rPr>
          <w:rFonts w:ascii="Arial" w:hAnsi="Arial" w:cs="Arial"/>
          <w:sz w:val="24"/>
          <w:szCs w:val="24"/>
          <w:lang w:val="en-GB"/>
        </w:rPr>
      </w:pPr>
      <w:r w:rsidRPr="00717F06">
        <w:rPr>
          <w:rFonts w:ascii="Arial" w:hAnsi="Arial" w:cs="Arial"/>
          <w:sz w:val="24"/>
          <w:szCs w:val="24"/>
          <w:lang w:val="en-GB"/>
        </w:rPr>
        <w:t>The Equifax data breach demonstrated that cybersecurity is not solely an IT responsibility but an organisation-wide issue requiring strong leadership, clearly defined responsibilities, and effective governance. Although the initial attack exploited an unpatched Apache Struts vulnerability, the incident was made significantly worse by weaknesses in accountability, delayed decision-making, and insufficient oversight of critical security processes. To reduce the likelihood of similar incidents, organisations should establish a governance structure that promotes responsibility, communication, and executive involvement in cybersecurity.</w:t>
      </w:r>
    </w:p>
    <w:p w14:paraId="6CA21EA1" w14:textId="77777777" w:rsidR="00717F06" w:rsidRPr="00717F06" w:rsidRDefault="00717F06" w:rsidP="00717F06">
      <w:pPr>
        <w:spacing w:line="18pt" w:lineRule="auto"/>
        <w:jc w:val="start"/>
        <w:rPr>
          <w:rFonts w:ascii="Arial" w:hAnsi="Arial" w:cs="Arial"/>
          <w:sz w:val="24"/>
          <w:szCs w:val="24"/>
          <w:lang w:val="en-GB"/>
        </w:rPr>
      </w:pPr>
      <w:r w:rsidRPr="00717F06">
        <w:rPr>
          <w:rFonts w:ascii="Arial" w:hAnsi="Arial" w:cs="Arial"/>
          <w:sz w:val="24"/>
          <w:szCs w:val="24"/>
          <w:lang w:val="en-GB"/>
        </w:rPr>
        <w:t xml:space="preserve">At the highest level, the </w:t>
      </w:r>
      <w:r w:rsidRPr="00717F06">
        <w:rPr>
          <w:rFonts w:ascii="Arial" w:hAnsi="Arial" w:cs="Arial"/>
          <w:b/>
          <w:bCs/>
          <w:sz w:val="24"/>
          <w:szCs w:val="24"/>
          <w:lang w:val="en-GB"/>
        </w:rPr>
        <w:t>Board of Directors</w:t>
      </w:r>
      <w:r w:rsidRPr="00717F06">
        <w:rPr>
          <w:rFonts w:ascii="Arial" w:hAnsi="Arial" w:cs="Arial"/>
          <w:sz w:val="24"/>
          <w:szCs w:val="24"/>
          <w:lang w:val="en-GB"/>
        </w:rPr>
        <w:t xml:space="preserve"> should provide strategic oversight by ensuring that cybersecurity is treated as a business priority rather than only a technical concern. The board should regularly review cyber risks, approve security strategies, and monitor compliance with </w:t>
      </w:r>
      <w:r w:rsidRPr="00717F06">
        <w:rPr>
          <w:rFonts w:ascii="Arial" w:hAnsi="Arial" w:cs="Arial"/>
          <w:sz w:val="24"/>
          <w:szCs w:val="24"/>
          <w:lang w:val="en-GB"/>
        </w:rPr>
        <w:lastRenderedPageBreak/>
        <w:t xml:space="preserve">legal and regulatory requirements. Reporting directly to the board, the </w:t>
      </w:r>
      <w:r w:rsidRPr="00717F06">
        <w:rPr>
          <w:rFonts w:ascii="Arial" w:hAnsi="Arial" w:cs="Arial"/>
          <w:b/>
          <w:bCs/>
          <w:sz w:val="24"/>
          <w:szCs w:val="24"/>
          <w:lang w:val="en-GB"/>
        </w:rPr>
        <w:t>Chief Information Security Officer (CISO)</w:t>
      </w:r>
      <w:r w:rsidRPr="00717F06">
        <w:rPr>
          <w:rFonts w:ascii="Arial" w:hAnsi="Arial" w:cs="Arial"/>
          <w:sz w:val="24"/>
          <w:szCs w:val="24"/>
          <w:lang w:val="en-GB"/>
        </w:rPr>
        <w:t xml:space="preserve"> should be responsible for developing and implementing the organisation's cybersecurity strategy while ensuring that security risks are communicated effectively to senior management. Direct reporting to the board strengthens accountability and allows security concerns to be addressed without unnecessary delays.</w:t>
      </w:r>
    </w:p>
    <w:p w14:paraId="227DE99F" w14:textId="77777777" w:rsidR="00717F06" w:rsidRPr="00717F06" w:rsidRDefault="00717F06" w:rsidP="00717F06">
      <w:pPr>
        <w:spacing w:line="18pt" w:lineRule="auto"/>
        <w:jc w:val="start"/>
        <w:rPr>
          <w:rFonts w:ascii="Arial" w:hAnsi="Arial" w:cs="Arial"/>
          <w:sz w:val="24"/>
          <w:szCs w:val="24"/>
          <w:lang w:val="en-GB"/>
        </w:rPr>
      </w:pPr>
      <w:r w:rsidRPr="00717F06">
        <w:rPr>
          <w:rFonts w:ascii="Arial" w:hAnsi="Arial" w:cs="Arial"/>
          <w:sz w:val="24"/>
          <w:szCs w:val="24"/>
          <w:lang w:val="en-GB"/>
        </w:rPr>
        <w:t xml:space="preserve">Supporting the CISO, the </w:t>
      </w:r>
      <w:r w:rsidRPr="00717F06">
        <w:rPr>
          <w:rFonts w:ascii="Arial" w:hAnsi="Arial" w:cs="Arial"/>
          <w:b/>
          <w:bCs/>
          <w:sz w:val="24"/>
          <w:szCs w:val="24"/>
          <w:lang w:val="en-GB"/>
        </w:rPr>
        <w:t>Chief Information Officer (CIO)</w:t>
      </w:r>
      <w:r w:rsidRPr="00717F06">
        <w:rPr>
          <w:rFonts w:ascii="Arial" w:hAnsi="Arial" w:cs="Arial"/>
          <w:sz w:val="24"/>
          <w:szCs w:val="24"/>
          <w:lang w:val="en-GB"/>
        </w:rPr>
        <w:t xml:space="preserve"> should oversee the organisation's IT infrastructure and ensure that operational activities align with security objectives. A dedicated </w:t>
      </w:r>
      <w:r w:rsidRPr="00717F06">
        <w:rPr>
          <w:rFonts w:ascii="Arial" w:hAnsi="Arial" w:cs="Arial"/>
          <w:b/>
          <w:bCs/>
          <w:sz w:val="24"/>
          <w:szCs w:val="24"/>
          <w:lang w:val="en-GB"/>
        </w:rPr>
        <w:t>Security Architecture Team</w:t>
      </w:r>
      <w:r w:rsidRPr="00717F06">
        <w:rPr>
          <w:rFonts w:ascii="Arial" w:hAnsi="Arial" w:cs="Arial"/>
          <w:sz w:val="24"/>
          <w:szCs w:val="24"/>
          <w:lang w:val="en-GB"/>
        </w:rPr>
        <w:t xml:space="preserve"> should be responsible for designing secure systems, reviewing network architecture, and ensuring that security controls are integrated into both existing and new technologies. At the same time, a </w:t>
      </w:r>
      <w:r w:rsidRPr="00717F06">
        <w:rPr>
          <w:rFonts w:ascii="Arial" w:hAnsi="Arial" w:cs="Arial"/>
          <w:b/>
          <w:bCs/>
          <w:sz w:val="24"/>
          <w:szCs w:val="24"/>
          <w:lang w:val="en-GB"/>
        </w:rPr>
        <w:t>Vulnerability and Patch Management Team</w:t>
      </w:r>
      <w:r w:rsidRPr="00717F06">
        <w:rPr>
          <w:rFonts w:ascii="Arial" w:hAnsi="Arial" w:cs="Arial"/>
          <w:sz w:val="24"/>
          <w:szCs w:val="24"/>
          <w:lang w:val="en-GB"/>
        </w:rPr>
        <w:t xml:space="preserve"> should continuously identify vulnerabilities, assess their severity, and ensure that critical security updates are applied within defined timescales.</w:t>
      </w:r>
    </w:p>
    <w:p w14:paraId="5378383A" w14:textId="77777777" w:rsidR="00717F06" w:rsidRPr="00717F06" w:rsidRDefault="00717F06" w:rsidP="00717F06">
      <w:pPr>
        <w:spacing w:line="18pt" w:lineRule="auto"/>
        <w:jc w:val="start"/>
        <w:rPr>
          <w:rFonts w:ascii="Arial" w:hAnsi="Arial" w:cs="Arial"/>
          <w:sz w:val="24"/>
          <w:szCs w:val="24"/>
          <w:lang w:val="en-GB"/>
        </w:rPr>
      </w:pPr>
      <w:r w:rsidRPr="00717F06">
        <w:rPr>
          <w:rFonts w:ascii="Arial" w:hAnsi="Arial" w:cs="Arial"/>
          <w:sz w:val="24"/>
          <w:szCs w:val="24"/>
          <w:lang w:val="en-GB"/>
        </w:rPr>
        <w:t xml:space="preserve">Secure software development should be managed by a </w:t>
      </w:r>
      <w:r w:rsidRPr="00717F06">
        <w:rPr>
          <w:rFonts w:ascii="Arial" w:hAnsi="Arial" w:cs="Arial"/>
          <w:b/>
          <w:bCs/>
          <w:sz w:val="24"/>
          <w:szCs w:val="24"/>
          <w:lang w:val="en-GB"/>
        </w:rPr>
        <w:t>Secure Development Team</w:t>
      </w:r>
      <w:r w:rsidRPr="00717F06">
        <w:rPr>
          <w:rFonts w:ascii="Arial" w:hAnsi="Arial" w:cs="Arial"/>
          <w:sz w:val="24"/>
          <w:szCs w:val="24"/>
          <w:lang w:val="en-GB"/>
        </w:rPr>
        <w:t xml:space="preserve">, which integrates security throughout the Software Development Life Cycle (SDLC). This includes conducting secure code reviews, vulnerability testing, and implementing secure coding practices before software is deployed. Continuous monitoring should be carried out by a </w:t>
      </w:r>
      <w:r w:rsidRPr="00717F06">
        <w:rPr>
          <w:rFonts w:ascii="Arial" w:hAnsi="Arial" w:cs="Arial"/>
          <w:b/>
          <w:bCs/>
          <w:sz w:val="24"/>
          <w:szCs w:val="24"/>
          <w:lang w:val="en-GB"/>
        </w:rPr>
        <w:t>Security Operations Centre (SOC)</w:t>
      </w:r>
      <w:r w:rsidRPr="00717F06">
        <w:rPr>
          <w:rFonts w:ascii="Arial" w:hAnsi="Arial" w:cs="Arial"/>
          <w:sz w:val="24"/>
          <w:szCs w:val="24"/>
          <w:lang w:val="en-GB"/>
        </w:rPr>
        <w:t>, which analyses security events, detects suspicious activity, and coordinates incident response to minimise the impact of potential attacks.</w:t>
      </w:r>
    </w:p>
    <w:p w14:paraId="4611DD24" w14:textId="77777777" w:rsidR="00717F06" w:rsidRPr="00717F06" w:rsidRDefault="00717F06" w:rsidP="00717F06">
      <w:pPr>
        <w:spacing w:line="18pt" w:lineRule="auto"/>
        <w:jc w:val="start"/>
        <w:rPr>
          <w:rFonts w:ascii="Arial" w:hAnsi="Arial" w:cs="Arial"/>
          <w:sz w:val="24"/>
          <w:szCs w:val="24"/>
          <w:lang w:val="en-GB"/>
        </w:rPr>
      </w:pPr>
      <w:r w:rsidRPr="00717F06">
        <w:rPr>
          <w:rFonts w:ascii="Arial" w:hAnsi="Arial" w:cs="Arial"/>
          <w:sz w:val="24"/>
          <w:szCs w:val="24"/>
          <w:lang w:val="en-GB"/>
        </w:rPr>
        <w:t xml:space="preserve">A </w:t>
      </w:r>
      <w:r w:rsidRPr="00717F06">
        <w:rPr>
          <w:rFonts w:ascii="Arial" w:hAnsi="Arial" w:cs="Arial"/>
          <w:b/>
          <w:bCs/>
          <w:sz w:val="24"/>
          <w:szCs w:val="24"/>
          <w:lang w:val="en-GB"/>
        </w:rPr>
        <w:t>Data Protection Officer (DPO)</w:t>
      </w:r>
      <w:r w:rsidRPr="00717F06">
        <w:rPr>
          <w:rFonts w:ascii="Arial" w:hAnsi="Arial" w:cs="Arial"/>
          <w:sz w:val="24"/>
          <w:szCs w:val="24"/>
          <w:lang w:val="en-GB"/>
        </w:rPr>
        <w:t xml:space="preserve"> should oversee compliance with data protection legislation, ensuring that personal information is processed securely and that regulatory obligations are met. In addition, an </w:t>
      </w:r>
      <w:r w:rsidRPr="00717F06">
        <w:rPr>
          <w:rFonts w:ascii="Arial" w:hAnsi="Arial" w:cs="Arial"/>
          <w:b/>
          <w:bCs/>
          <w:sz w:val="24"/>
          <w:szCs w:val="24"/>
          <w:lang w:val="en-GB"/>
        </w:rPr>
        <w:t>Internal Audit and Compliance Team</w:t>
      </w:r>
      <w:r w:rsidRPr="00717F06">
        <w:rPr>
          <w:rFonts w:ascii="Arial" w:hAnsi="Arial" w:cs="Arial"/>
          <w:sz w:val="24"/>
          <w:szCs w:val="24"/>
          <w:lang w:val="en-GB"/>
        </w:rPr>
        <w:t xml:space="preserve"> should independently assess the effectiveness of security controls, verify policy compliance, and report findings to senior management, supporting continuous improvement across the organisation. </w:t>
      </w:r>
    </w:p>
    <w:p w14:paraId="365D8046" w14:textId="3E93679E" w:rsidR="00717F06" w:rsidRPr="00717F06" w:rsidRDefault="00717F06" w:rsidP="00717F06">
      <w:pPr>
        <w:spacing w:line="18pt" w:lineRule="auto"/>
        <w:jc w:val="start"/>
        <w:rPr>
          <w:rFonts w:ascii="Arial" w:hAnsi="Arial" w:cs="Arial"/>
          <w:sz w:val="24"/>
          <w:szCs w:val="24"/>
          <w:lang w:val="en-GB"/>
        </w:rPr>
      </w:pPr>
      <w:r w:rsidRPr="00717F06">
        <w:rPr>
          <w:rFonts w:ascii="Arial" w:hAnsi="Arial" w:cs="Arial"/>
          <w:sz w:val="24"/>
          <w:szCs w:val="24"/>
          <w:lang w:val="en-GB"/>
        </w:rPr>
        <w:t xml:space="preserve">This governance structure establishes clear accountability at every organisational level, strengthens communication between technical teams and executive management, and ensures that cybersecurity is integrated into strategic decision-making. By assigning defined responsibilities and reporting lines, organisations can respond more effectively to emerging threats while reducing the likelihood of governance failures </w:t>
      </w:r>
      <w:proofErr w:type="gramStart"/>
      <w:r w:rsidRPr="00717F06">
        <w:rPr>
          <w:rFonts w:ascii="Arial" w:hAnsi="Arial" w:cs="Arial"/>
          <w:sz w:val="24"/>
          <w:szCs w:val="24"/>
          <w:lang w:val="en-GB"/>
        </w:rPr>
        <w:t>similar to</w:t>
      </w:r>
      <w:proofErr w:type="gramEnd"/>
      <w:r w:rsidRPr="00717F06">
        <w:rPr>
          <w:rFonts w:ascii="Arial" w:hAnsi="Arial" w:cs="Arial"/>
          <w:sz w:val="24"/>
          <w:szCs w:val="24"/>
          <w:lang w:val="en-GB"/>
        </w:rPr>
        <w:t xml:space="preserve"> those experienced during the Equifax breach</w:t>
      </w:r>
      <w:r w:rsidR="006C55E5">
        <w:rPr>
          <w:rFonts w:ascii="Arial" w:hAnsi="Arial" w:cs="Arial"/>
          <w:sz w:val="24"/>
          <w:szCs w:val="24"/>
          <w:lang w:val="en-GB"/>
        </w:rPr>
        <w:t xml:space="preserve">  </w:t>
      </w:r>
      <w:r w:rsidR="005005BA">
        <w:rPr>
          <w:rFonts w:ascii="Arial" w:hAnsi="Arial" w:cs="Arial"/>
          <w:sz w:val="24"/>
          <w:szCs w:val="24"/>
          <w:lang w:val="en-GB"/>
        </w:rPr>
        <w:t>[1],</w:t>
      </w:r>
      <w:r w:rsidR="00281AC9">
        <w:rPr>
          <w:rFonts w:ascii="Arial" w:hAnsi="Arial" w:cs="Arial"/>
          <w:sz w:val="24"/>
          <w:szCs w:val="24"/>
          <w:lang w:val="en-GB"/>
        </w:rPr>
        <w:t xml:space="preserve"> </w:t>
      </w:r>
      <w:r w:rsidR="005005BA">
        <w:rPr>
          <w:rFonts w:ascii="Arial" w:hAnsi="Arial" w:cs="Arial"/>
          <w:sz w:val="24"/>
          <w:szCs w:val="24"/>
          <w:lang w:val="en-GB"/>
        </w:rPr>
        <w:t>[10]</w:t>
      </w:r>
      <w:r w:rsidRPr="00717F06">
        <w:rPr>
          <w:rFonts w:ascii="Arial" w:hAnsi="Arial" w:cs="Arial"/>
          <w:sz w:val="24"/>
          <w:szCs w:val="24"/>
          <w:lang w:val="en-GB"/>
        </w:rPr>
        <w:t>.</w:t>
      </w:r>
    </w:p>
    <w:p w14:paraId="4EDC4857" w14:textId="77777777" w:rsidR="00D97BDE" w:rsidRPr="00D97BDE" w:rsidRDefault="00D97BDE" w:rsidP="00717F06">
      <w:pPr>
        <w:spacing w:line="18pt" w:lineRule="auto"/>
        <w:jc w:val="start"/>
        <w:rPr>
          <w:rFonts w:ascii="Arial" w:hAnsi="Arial" w:cs="Arial"/>
          <w:sz w:val="24"/>
          <w:szCs w:val="24"/>
        </w:rPr>
      </w:pPr>
    </w:p>
    <w:p w14:paraId="54A2AC82" w14:textId="77777777" w:rsidR="00542484" w:rsidRPr="00542484" w:rsidRDefault="00542484" w:rsidP="00542484">
      <w:pPr>
        <w:spacing w:line="18pt" w:lineRule="auto"/>
        <w:jc w:val="start"/>
        <w:rPr>
          <w:rFonts w:ascii="Arial" w:hAnsi="Arial" w:cs="Arial"/>
          <w:b/>
          <w:bCs/>
          <w:sz w:val="32"/>
          <w:szCs w:val="32"/>
        </w:rPr>
      </w:pPr>
    </w:p>
    <w:p w14:paraId="58EB232D" w14:textId="77777777" w:rsidR="00373D67" w:rsidRDefault="003C2D7B" w:rsidP="00373D67">
      <w:pPr>
        <w:keepNext/>
        <w:jc w:val="start"/>
      </w:pPr>
      <w:r>
        <w:rPr>
          <w:rFonts w:ascii="Arial" w:hAnsi="Arial" w:cs="Arial"/>
          <w:noProof/>
          <w:sz w:val="24"/>
          <w:szCs w:val="24"/>
        </w:rPr>
        <w:lastRenderedPageBreak/>
        <w:drawing>
          <wp:inline distT="0" distB="0" distL="0" distR="0" wp14:anchorId="685394CD" wp14:editId="19331EE3">
            <wp:extent cx="6408420" cy="4038600"/>
            <wp:effectExtent l="0" t="0" r="0" b="0"/>
            <wp:docPr id="594906050"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94906050" name="Picture 594906050"/>
                    <pic:cNvPicPr/>
                  </pic:nvPicPr>
                  <pic:blipFill>
                    <a:blip r:embed="rId15">
                      <a:extLst>
                        <a:ext uri="{28A0092B-C50C-407E-A947-70E740481C1C}">
                          <a14:useLocalDpi xmlns:a14="http://schemas.microsoft.com/office/drawing/2010/main" val="0"/>
                        </a:ext>
                      </a:extLst>
                    </a:blip>
                    <a:stretch>
                      <a:fillRect/>
                    </a:stretch>
                  </pic:blipFill>
                  <pic:spPr>
                    <a:xfrm>
                      <a:off x="0" y="0"/>
                      <a:ext cx="6408420" cy="4038600"/>
                    </a:xfrm>
                    <a:prstGeom prst="rect">
                      <a:avLst/>
                    </a:prstGeom>
                  </pic:spPr>
                </pic:pic>
              </a:graphicData>
            </a:graphic>
          </wp:inline>
        </w:drawing>
      </w:r>
    </w:p>
    <w:p w14:paraId="0BDE0056" w14:textId="77777777" w:rsidR="009421DA" w:rsidRDefault="009421DA" w:rsidP="001A5F32">
      <w:pPr>
        <w:jc w:val="start"/>
      </w:pPr>
    </w:p>
    <w:p w14:paraId="77310093" w14:textId="77777777" w:rsidR="009421DA" w:rsidRDefault="009421DA" w:rsidP="001A5F32">
      <w:pPr>
        <w:jc w:val="start"/>
      </w:pPr>
    </w:p>
    <w:p w14:paraId="23545F2F" w14:textId="77777777" w:rsidR="00373D67" w:rsidRDefault="00373D67" w:rsidP="00373D67">
      <w:pPr>
        <w:jc w:val="start"/>
      </w:pPr>
    </w:p>
    <w:p w14:paraId="76D45BEC" w14:textId="77777777" w:rsidR="00373D67" w:rsidRDefault="00373D67" w:rsidP="00373D67">
      <w:pPr>
        <w:jc w:val="start"/>
      </w:pPr>
    </w:p>
    <w:p w14:paraId="68CBA03C" w14:textId="106698ED" w:rsidR="009421DA" w:rsidRPr="000A06DA" w:rsidRDefault="00373D67" w:rsidP="00373D67">
      <w:pPr>
        <w:jc w:val="start"/>
        <w:rPr>
          <w:rFonts w:ascii="Arial" w:hAnsi="Arial" w:cs="Arial"/>
          <w:b/>
          <w:bCs/>
          <w:i/>
          <w:iCs/>
        </w:rPr>
      </w:pPr>
      <w:r w:rsidRPr="000A06DA">
        <w:rPr>
          <w:rFonts w:ascii="Arial" w:hAnsi="Arial" w:cs="Arial"/>
          <w:b/>
          <w:bCs/>
          <w:i/>
          <w:iCs/>
        </w:rPr>
        <w:t>Figure 1: Proposed organisational structure and reporting lines for the cybersecurity programme.</w:t>
      </w:r>
    </w:p>
    <w:p w14:paraId="2E7788F2" w14:textId="77777777" w:rsidR="009421DA" w:rsidRDefault="009421DA" w:rsidP="001A5F32">
      <w:pPr>
        <w:jc w:val="start"/>
      </w:pPr>
    </w:p>
    <w:p w14:paraId="79157458" w14:textId="77777777" w:rsidR="009421DA" w:rsidRDefault="009421DA" w:rsidP="001A5F32">
      <w:pPr>
        <w:jc w:val="start"/>
      </w:pPr>
    </w:p>
    <w:p w14:paraId="48F127CD" w14:textId="77777777" w:rsidR="009421DA" w:rsidRDefault="009421DA" w:rsidP="001A5F32">
      <w:pPr>
        <w:jc w:val="start"/>
      </w:pPr>
    </w:p>
    <w:p w14:paraId="59681B7C" w14:textId="77777777" w:rsidR="009421DA" w:rsidRDefault="009421DA" w:rsidP="001A5F32">
      <w:pPr>
        <w:jc w:val="start"/>
      </w:pPr>
    </w:p>
    <w:p w14:paraId="54325848" w14:textId="77777777" w:rsidR="009421DA" w:rsidRDefault="009421DA" w:rsidP="001A5F32">
      <w:pPr>
        <w:jc w:val="start"/>
      </w:pPr>
    </w:p>
    <w:p w14:paraId="652C63C7" w14:textId="77777777" w:rsidR="009421DA" w:rsidRPr="00324447" w:rsidRDefault="009421DA" w:rsidP="00324447">
      <w:pPr>
        <w:jc w:val="start"/>
        <w:rPr>
          <w:rFonts w:ascii="Arial" w:hAnsi="Arial" w:cs="Arial"/>
        </w:rPr>
      </w:pPr>
    </w:p>
    <w:p w14:paraId="6574CE32" w14:textId="77777777" w:rsidR="009421DA" w:rsidRDefault="009421DA" w:rsidP="001A5F32">
      <w:pPr>
        <w:jc w:val="start"/>
      </w:pPr>
    </w:p>
    <w:p w14:paraId="2685BFE0" w14:textId="77777777" w:rsidR="007F739F" w:rsidRPr="007F739F" w:rsidRDefault="007F739F" w:rsidP="007F739F">
      <w:pPr>
        <w:jc w:val="start"/>
        <w:rPr>
          <w:rFonts w:ascii="Arial" w:hAnsi="Arial" w:cs="Arial"/>
          <w:b/>
          <w:bCs/>
          <w:sz w:val="32"/>
          <w:szCs w:val="32"/>
        </w:rPr>
      </w:pPr>
      <w:r w:rsidRPr="007F739F">
        <w:rPr>
          <w:rFonts w:ascii="Arial" w:hAnsi="Arial" w:cs="Arial"/>
          <w:b/>
          <w:bCs/>
          <w:sz w:val="32"/>
          <w:szCs w:val="32"/>
        </w:rPr>
        <w:t>2. Policies and Procedures</w:t>
      </w:r>
    </w:p>
    <w:p w14:paraId="741EBE07" w14:textId="77777777" w:rsidR="007F739F" w:rsidRDefault="007F739F" w:rsidP="007F739F">
      <w:pPr>
        <w:jc w:val="start"/>
      </w:pPr>
    </w:p>
    <w:p w14:paraId="11231E34" w14:textId="77777777" w:rsidR="001E65BC" w:rsidRDefault="001E65BC" w:rsidP="007F739F">
      <w:pPr>
        <w:jc w:val="start"/>
        <w:rPr>
          <w:rFonts w:ascii="Arial" w:hAnsi="Arial" w:cs="Arial"/>
          <w:b/>
          <w:bCs/>
          <w:sz w:val="28"/>
          <w:szCs w:val="28"/>
        </w:rPr>
      </w:pPr>
    </w:p>
    <w:p w14:paraId="5A6D0196" w14:textId="3F934DF9" w:rsidR="007F739F" w:rsidRPr="007F739F" w:rsidRDefault="007F739F" w:rsidP="007F739F">
      <w:pPr>
        <w:jc w:val="start"/>
        <w:rPr>
          <w:rFonts w:ascii="Arial" w:hAnsi="Arial" w:cs="Arial"/>
          <w:b/>
          <w:bCs/>
          <w:sz w:val="28"/>
          <w:szCs w:val="28"/>
        </w:rPr>
      </w:pPr>
      <w:r w:rsidRPr="007F739F">
        <w:rPr>
          <w:rFonts w:ascii="Arial" w:hAnsi="Arial" w:cs="Arial"/>
          <w:b/>
          <w:bCs/>
          <w:sz w:val="28"/>
          <w:szCs w:val="28"/>
        </w:rPr>
        <w:t>2.1 Introduction</w:t>
      </w:r>
    </w:p>
    <w:p w14:paraId="22E2B8D3" w14:textId="77777777" w:rsidR="007F739F" w:rsidRDefault="007F739F" w:rsidP="007F739F">
      <w:pPr>
        <w:jc w:val="start"/>
      </w:pPr>
    </w:p>
    <w:p w14:paraId="6ED94E9E" w14:textId="77777777" w:rsidR="007F739F" w:rsidRPr="007F739F" w:rsidRDefault="007F739F" w:rsidP="007F739F">
      <w:pPr>
        <w:spacing w:line="18pt" w:lineRule="auto"/>
        <w:jc w:val="start"/>
        <w:rPr>
          <w:rFonts w:ascii="Arial" w:hAnsi="Arial" w:cs="Arial"/>
          <w:sz w:val="24"/>
          <w:szCs w:val="24"/>
        </w:rPr>
      </w:pPr>
      <w:r w:rsidRPr="007F739F">
        <w:rPr>
          <w:rFonts w:ascii="Arial" w:hAnsi="Arial" w:cs="Arial"/>
          <w:sz w:val="24"/>
          <w:szCs w:val="24"/>
        </w:rPr>
        <w:t>The Equifax data breach highlighted that effective cybersecurity depends not only on technical controls but also on well-defined policies and procedures. Security policies establish consistent standards across the organisation, while procedures ensure that security activities are implemented, monitored, and reviewed effectively. To reduce organisational risk, these policies should be measurable, auditable, and aligned with business objectives. The following policies are designed to improve security, strengthen compliance, and reduce the likelihood of future cyber incidents.</w:t>
      </w:r>
    </w:p>
    <w:p w14:paraId="21A9E6AE" w14:textId="77777777" w:rsidR="007F739F" w:rsidRPr="00670339" w:rsidRDefault="007F739F" w:rsidP="007F739F">
      <w:pPr>
        <w:spacing w:line="18pt" w:lineRule="auto"/>
        <w:jc w:val="start"/>
        <w:rPr>
          <w:rFonts w:ascii="Arial" w:hAnsi="Arial" w:cs="Arial"/>
          <w:b/>
          <w:bCs/>
          <w:sz w:val="28"/>
          <w:szCs w:val="28"/>
        </w:rPr>
      </w:pPr>
    </w:p>
    <w:p w14:paraId="628BDC32" w14:textId="77777777" w:rsidR="001E65BC" w:rsidRDefault="001E65BC" w:rsidP="007F739F">
      <w:pPr>
        <w:jc w:val="start"/>
        <w:rPr>
          <w:rFonts w:ascii="Arial" w:hAnsi="Arial" w:cs="Arial"/>
          <w:b/>
          <w:bCs/>
          <w:sz w:val="28"/>
          <w:szCs w:val="28"/>
        </w:rPr>
      </w:pPr>
    </w:p>
    <w:p w14:paraId="408814D0" w14:textId="77777777" w:rsidR="001E65BC" w:rsidRDefault="001E65BC" w:rsidP="007F739F">
      <w:pPr>
        <w:jc w:val="start"/>
        <w:rPr>
          <w:rFonts w:ascii="Arial" w:hAnsi="Arial" w:cs="Arial"/>
          <w:b/>
          <w:bCs/>
          <w:sz w:val="28"/>
          <w:szCs w:val="28"/>
        </w:rPr>
      </w:pPr>
    </w:p>
    <w:p w14:paraId="0E036E9E" w14:textId="2A8B6400" w:rsidR="007F739F" w:rsidRPr="00670339" w:rsidRDefault="007F739F" w:rsidP="007F739F">
      <w:pPr>
        <w:jc w:val="start"/>
        <w:rPr>
          <w:rFonts w:ascii="Arial" w:hAnsi="Arial" w:cs="Arial"/>
          <w:b/>
          <w:bCs/>
          <w:sz w:val="28"/>
          <w:szCs w:val="28"/>
        </w:rPr>
      </w:pPr>
      <w:r w:rsidRPr="00670339">
        <w:rPr>
          <w:rFonts w:ascii="Arial" w:hAnsi="Arial" w:cs="Arial"/>
          <w:b/>
          <w:bCs/>
          <w:sz w:val="28"/>
          <w:szCs w:val="28"/>
        </w:rPr>
        <w:t>2.2 Vulnerability Management Policy</w:t>
      </w:r>
    </w:p>
    <w:p w14:paraId="34B748DD" w14:textId="77777777" w:rsidR="007F739F" w:rsidRDefault="007F739F" w:rsidP="007F739F">
      <w:pPr>
        <w:jc w:val="start"/>
      </w:pPr>
    </w:p>
    <w:p w14:paraId="7673193A" w14:textId="77777777" w:rsidR="007F739F" w:rsidRPr="001E65BC" w:rsidRDefault="007F739F" w:rsidP="001E65BC">
      <w:pPr>
        <w:spacing w:line="18pt" w:lineRule="auto"/>
        <w:jc w:val="start"/>
        <w:rPr>
          <w:rFonts w:ascii="Arial" w:hAnsi="Arial" w:cs="Arial"/>
          <w:sz w:val="24"/>
          <w:szCs w:val="24"/>
        </w:rPr>
      </w:pPr>
      <w:r w:rsidRPr="001E65BC">
        <w:rPr>
          <w:rFonts w:ascii="Arial" w:hAnsi="Arial" w:cs="Arial"/>
          <w:sz w:val="24"/>
          <w:szCs w:val="24"/>
        </w:rPr>
        <w:t>The organisation should implement a Vulnerability Management Policy to identify, assess, and remediate security weaknesses before they can be exploited. Regular vulnerability scans should be performed on all internet-facing and internal systems, with risks prioritised using the Common Vulnerability Scoring System (CVSS). The Vulnerability and Patch Management Team should review results weekly and report progress to the Chief Information Security Officer (CISO). Compliance should be monitored through vulnerability reports and internal audits. This policy would have reduced the risk of the Equifax breach by ensuring known vulnerabilities were addressed promptly.</w:t>
      </w:r>
    </w:p>
    <w:p w14:paraId="389BC932" w14:textId="77777777" w:rsidR="007F739F" w:rsidRDefault="007F739F" w:rsidP="007F739F">
      <w:pPr>
        <w:jc w:val="start"/>
      </w:pPr>
    </w:p>
    <w:p w14:paraId="3E6BB08F" w14:textId="77777777" w:rsidR="001E65BC" w:rsidRDefault="001E65BC" w:rsidP="007F739F">
      <w:pPr>
        <w:jc w:val="start"/>
      </w:pPr>
    </w:p>
    <w:p w14:paraId="4B825835" w14:textId="77777777" w:rsidR="007F739F" w:rsidRPr="001E65BC" w:rsidRDefault="007F739F" w:rsidP="001E65BC">
      <w:pPr>
        <w:spacing w:line="18pt" w:lineRule="auto"/>
        <w:jc w:val="start"/>
        <w:rPr>
          <w:rFonts w:ascii="Arial" w:hAnsi="Arial" w:cs="Arial"/>
          <w:b/>
          <w:bCs/>
          <w:sz w:val="28"/>
          <w:szCs w:val="28"/>
        </w:rPr>
      </w:pPr>
      <w:r w:rsidRPr="001E65BC">
        <w:rPr>
          <w:rFonts w:ascii="Arial" w:hAnsi="Arial" w:cs="Arial"/>
          <w:b/>
          <w:bCs/>
          <w:sz w:val="28"/>
          <w:szCs w:val="28"/>
        </w:rPr>
        <w:t>2.3 Patch Management Policy</w:t>
      </w:r>
    </w:p>
    <w:p w14:paraId="34FDD6A8" w14:textId="273D3AFC" w:rsidR="007F739F" w:rsidRPr="001E65BC" w:rsidRDefault="007F739F" w:rsidP="001E65BC">
      <w:pPr>
        <w:spacing w:line="18pt" w:lineRule="auto"/>
        <w:jc w:val="start"/>
        <w:rPr>
          <w:rFonts w:ascii="Arial" w:hAnsi="Arial" w:cs="Arial"/>
          <w:sz w:val="24"/>
          <w:szCs w:val="24"/>
        </w:rPr>
      </w:pPr>
      <w:r w:rsidRPr="001E65BC">
        <w:rPr>
          <w:rFonts w:ascii="Arial" w:hAnsi="Arial" w:cs="Arial"/>
          <w:sz w:val="24"/>
          <w:szCs w:val="24"/>
        </w:rPr>
        <w:t xml:space="preserve">A Patch Management Policy should ensure that software updates are tested, approved, and deployed according to their level of risk. Critical security patches should be installed within 72 hours, while high-risk updates should be completed within seven days. The Vulnerability and Patch Management Team should maintain patch records and monitor compliance through monthly reports and audits. Timely patch management would have prevented the exploitation of the Apache Struts vulnerability that led to the Equifax </w:t>
      </w:r>
      <w:r w:rsidR="009B622C" w:rsidRPr="001E65BC">
        <w:rPr>
          <w:rFonts w:ascii="Arial" w:hAnsi="Arial" w:cs="Arial"/>
          <w:sz w:val="24"/>
          <w:szCs w:val="24"/>
        </w:rPr>
        <w:t>breach</w:t>
      </w:r>
      <w:r w:rsidR="009B622C">
        <w:rPr>
          <w:rFonts w:ascii="Arial" w:hAnsi="Arial" w:cs="Arial"/>
          <w:sz w:val="24"/>
          <w:szCs w:val="24"/>
        </w:rPr>
        <w:t xml:space="preserve"> [</w:t>
      </w:r>
      <w:r w:rsidR="00BC76EF">
        <w:rPr>
          <w:rFonts w:ascii="Arial" w:hAnsi="Arial" w:cs="Arial"/>
          <w:sz w:val="24"/>
          <w:szCs w:val="24"/>
        </w:rPr>
        <w:t>2],</w:t>
      </w:r>
      <w:r w:rsidR="00D33C9A">
        <w:rPr>
          <w:rFonts w:ascii="Arial" w:hAnsi="Arial" w:cs="Arial"/>
          <w:sz w:val="24"/>
          <w:szCs w:val="24"/>
        </w:rPr>
        <w:t xml:space="preserve"> </w:t>
      </w:r>
      <w:r w:rsidR="00BC76EF">
        <w:rPr>
          <w:rFonts w:ascii="Arial" w:hAnsi="Arial" w:cs="Arial"/>
          <w:sz w:val="24"/>
          <w:szCs w:val="24"/>
        </w:rPr>
        <w:t>[</w:t>
      </w:r>
      <w:r w:rsidR="00FC3E1E">
        <w:rPr>
          <w:rFonts w:ascii="Arial" w:hAnsi="Arial" w:cs="Arial"/>
          <w:sz w:val="24"/>
          <w:szCs w:val="24"/>
        </w:rPr>
        <w:t>4</w:t>
      </w:r>
      <w:r w:rsidR="00BC76EF">
        <w:rPr>
          <w:rFonts w:ascii="Arial" w:hAnsi="Arial" w:cs="Arial"/>
          <w:sz w:val="24"/>
          <w:szCs w:val="24"/>
        </w:rPr>
        <w:t>]</w:t>
      </w:r>
      <w:r w:rsidRPr="001E65BC">
        <w:rPr>
          <w:rFonts w:ascii="Arial" w:hAnsi="Arial" w:cs="Arial"/>
          <w:sz w:val="24"/>
          <w:szCs w:val="24"/>
        </w:rPr>
        <w:t>.</w:t>
      </w:r>
    </w:p>
    <w:p w14:paraId="0920C7A5" w14:textId="77777777" w:rsidR="007F739F" w:rsidRPr="001E65BC" w:rsidRDefault="007F739F" w:rsidP="001E65BC">
      <w:pPr>
        <w:spacing w:line="18pt" w:lineRule="auto"/>
        <w:jc w:val="start"/>
        <w:rPr>
          <w:rFonts w:ascii="Arial" w:hAnsi="Arial" w:cs="Arial"/>
          <w:sz w:val="24"/>
          <w:szCs w:val="24"/>
        </w:rPr>
      </w:pPr>
    </w:p>
    <w:p w14:paraId="4997CBE6" w14:textId="77777777" w:rsidR="007F739F" w:rsidRPr="001E65BC" w:rsidRDefault="007F739F" w:rsidP="001E65BC">
      <w:pPr>
        <w:spacing w:line="18pt" w:lineRule="auto"/>
        <w:jc w:val="start"/>
        <w:rPr>
          <w:rFonts w:ascii="Arial" w:hAnsi="Arial" w:cs="Arial"/>
          <w:b/>
          <w:bCs/>
          <w:sz w:val="28"/>
          <w:szCs w:val="28"/>
        </w:rPr>
      </w:pPr>
      <w:r w:rsidRPr="001E65BC">
        <w:rPr>
          <w:rFonts w:ascii="Arial" w:hAnsi="Arial" w:cs="Arial"/>
          <w:b/>
          <w:bCs/>
          <w:sz w:val="28"/>
          <w:szCs w:val="28"/>
        </w:rPr>
        <w:t>2.4 Secure Software Development Policy</w:t>
      </w:r>
    </w:p>
    <w:p w14:paraId="4F73E375" w14:textId="77777777" w:rsidR="007F739F" w:rsidRPr="001E65BC" w:rsidRDefault="007F739F" w:rsidP="001E65BC">
      <w:pPr>
        <w:spacing w:line="18pt" w:lineRule="auto"/>
        <w:jc w:val="start"/>
        <w:rPr>
          <w:rFonts w:ascii="Arial" w:hAnsi="Arial" w:cs="Arial"/>
          <w:sz w:val="24"/>
          <w:szCs w:val="24"/>
        </w:rPr>
      </w:pPr>
      <w:r w:rsidRPr="001E65BC">
        <w:rPr>
          <w:rFonts w:ascii="Arial" w:hAnsi="Arial" w:cs="Arial"/>
          <w:sz w:val="24"/>
          <w:szCs w:val="24"/>
        </w:rPr>
        <w:t xml:space="preserve">The organisation should adopt a Secure Software Development Life Cycle (SSDLC) Policy to integrate security throughout software development. Secure coding standards, code reviews, vulnerability assessments, and penetration testing should be completed before deployment. Developers should receive regular secure coding training, while compliance should be verified through documented testing and management approval. Integrating security </w:t>
      </w:r>
      <w:proofErr w:type="gramStart"/>
      <w:r w:rsidRPr="001E65BC">
        <w:rPr>
          <w:rFonts w:ascii="Arial" w:hAnsi="Arial" w:cs="Arial"/>
          <w:sz w:val="24"/>
          <w:szCs w:val="24"/>
        </w:rPr>
        <w:t>throughout</w:t>
      </w:r>
      <w:proofErr w:type="gramEnd"/>
      <w:r w:rsidRPr="001E65BC">
        <w:rPr>
          <w:rFonts w:ascii="Arial" w:hAnsi="Arial" w:cs="Arial"/>
          <w:sz w:val="24"/>
          <w:szCs w:val="24"/>
        </w:rPr>
        <w:t xml:space="preserve"> development reduces software vulnerabilities and strengthens overall system security.</w:t>
      </w:r>
    </w:p>
    <w:p w14:paraId="2BE9E269" w14:textId="77777777" w:rsidR="007F739F" w:rsidRPr="001E65BC" w:rsidRDefault="007F739F" w:rsidP="001E65BC">
      <w:pPr>
        <w:spacing w:line="18pt" w:lineRule="auto"/>
        <w:jc w:val="start"/>
        <w:rPr>
          <w:rFonts w:ascii="Arial" w:hAnsi="Arial" w:cs="Arial"/>
          <w:sz w:val="24"/>
          <w:szCs w:val="24"/>
        </w:rPr>
      </w:pPr>
    </w:p>
    <w:p w14:paraId="469FA6FE" w14:textId="77777777" w:rsidR="007F739F" w:rsidRPr="001E65BC" w:rsidRDefault="007F739F" w:rsidP="001E65BC">
      <w:pPr>
        <w:spacing w:line="18pt" w:lineRule="auto"/>
        <w:jc w:val="start"/>
        <w:rPr>
          <w:rFonts w:ascii="Arial" w:hAnsi="Arial" w:cs="Arial"/>
          <w:b/>
          <w:bCs/>
          <w:sz w:val="28"/>
          <w:szCs w:val="28"/>
        </w:rPr>
      </w:pPr>
      <w:r w:rsidRPr="001E65BC">
        <w:rPr>
          <w:rFonts w:ascii="Arial" w:hAnsi="Arial" w:cs="Arial"/>
          <w:b/>
          <w:bCs/>
          <w:sz w:val="28"/>
          <w:szCs w:val="28"/>
        </w:rPr>
        <w:t>2.5 Asset Management Policy</w:t>
      </w:r>
    </w:p>
    <w:p w14:paraId="362522DB" w14:textId="77777777" w:rsidR="007F739F" w:rsidRPr="001E65BC" w:rsidRDefault="007F739F" w:rsidP="001E65BC">
      <w:pPr>
        <w:spacing w:line="18pt" w:lineRule="auto"/>
        <w:jc w:val="start"/>
        <w:rPr>
          <w:rFonts w:ascii="Arial" w:hAnsi="Arial" w:cs="Arial"/>
          <w:sz w:val="24"/>
          <w:szCs w:val="24"/>
        </w:rPr>
      </w:pPr>
      <w:r w:rsidRPr="001E65BC">
        <w:rPr>
          <w:rFonts w:ascii="Arial" w:hAnsi="Arial" w:cs="Arial"/>
          <w:sz w:val="24"/>
          <w:szCs w:val="24"/>
        </w:rPr>
        <w:t>An Asset Management Policy should maintain an accurate inventory of all hardware, software, cloud services, and internet-facing systems. Each asset should have an assigned owner responsible for security updates and maintenance. The inventory should be reviewed quarterly to identify missing or unmanaged assets, with compliance verified through regular audits. Effective asset management improves visibility and reduces the likelihood of vulnerable systems remaining unnoticed.</w:t>
      </w:r>
    </w:p>
    <w:p w14:paraId="49B6F344" w14:textId="77777777" w:rsidR="007F739F" w:rsidRPr="001E65BC" w:rsidRDefault="007F739F" w:rsidP="001E65BC">
      <w:pPr>
        <w:spacing w:line="18pt" w:lineRule="auto"/>
        <w:jc w:val="start"/>
        <w:rPr>
          <w:rFonts w:ascii="Arial" w:hAnsi="Arial" w:cs="Arial"/>
          <w:sz w:val="24"/>
          <w:szCs w:val="24"/>
        </w:rPr>
      </w:pPr>
    </w:p>
    <w:p w14:paraId="0A9F4B07" w14:textId="77777777" w:rsidR="007F739F" w:rsidRPr="000E7368" w:rsidRDefault="007F739F" w:rsidP="001E65BC">
      <w:pPr>
        <w:spacing w:line="18pt" w:lineRule="auto"/>
        <w:jc w:val="start"/>
        <w:rPr>
          <w:rFonts w:ascii="Arial" w:hAnsi="Arial" w:cs="Arial"/>
          <w:b/>
          <w:bCs/>
          <w:sz w:val="28"/>
          <w:szCs w:val="28"/>
        </w:rPr>
      </w:pPr>
      <w:r w:rsidRPr="000E7368">
        <w:rPr>
          <w:rFonts w:ascii="Arial" w:hAnsi="Arial" w:cs="Arial"/>
          <w:b/>
          <w:bCs/>
          <w:sz w:val="28"/>
          <w:szCs w:val="28"/>
        </w:rPr>
        <w:t>2.6 Security Monitoring and Incident Response Policy</w:t>
      </w:r>
    </w:p>
    <w:p w14:paraId="5FE63585" w14:textId="77777777" w:rsidR="007F739F" w:rsidRPr="001E65BC" w:rsidRDefault="007F739F" w:rsidP="001E65BC">
      <w:pPr>
        <w:spacing w:line="18pt" w:lineRule="auto"/>
        <w:jc w:val="start"/>
        <w:rPr>
          <w:rFonts w:ascii="Arial" w:hAnsi="Arial" w:cs="Arial"/>
          <w:sz w:val="24"/>
          <w:szCs w:val="24"/>
        </w:rPr>
      </w:pPr>
      <w:r w:rsidRPr="001E65BC">
        <w:rPr>
          <w:rFonts w:ascii="Arial" w:hAnsi="Arial" w:cs="Arial"/>
          <w:sz w:val="24"/>
          <w:szCs w:val="24"/>
        </w:rPr>
        <w:t>A Security Monitoring and Incident Response Policy should support continuous monitoring and rapid response to security incidents. The Security Operations Centre (SOC) should monitor security events, investigate suspicious activity, and coordinate incident response using defined escalation procedures. Regular incident response exercises and internal audits should measure the effectiveness of the policy. Early detection and rapid response help minimise the impact of cyberattacks and improve organisational resilience.</w:t>
      </w:r>
    </w:p>
    <w:p w14:paraId="1DA029AD" w14:textId="77777777" w:rsidR="007F739F" w:rsidRPr="001E65BC" w:rsidRDefault="007F739F" w:rsidP="001E65BC">
      <w:pPr>
        <w:spacing w:line="18pt" w:lineRule="auto"/>
        <w:jc w:val="start"/>
        <w:rPr>
          <w:rFonts w:ascii="Arial" w:hAnsi="Arial" w:cs="Arial"/>
          <w:sz w:val="24"/>
          <w:szCs w:val="24"/>
        </w:rPr>
      </w:pPr>
    </w:p>
    <w:p w14:paraId="246B9D14" w14:textId="77777777" w:rsidR="007F739F" w:rsidRPr="000E7368" w:rsidRDefault="007F739F" w:rsidP="001E65BC">
      <w:pPr>
        <w:spacing w:line="18pt" w:lineRule="auto"/>
        <w:jc w:val="start"/>
        <w:rPr>
          <w:rFonts w:ascii="Arial" w:hAnsi="Arial" w:cs="Arial"/>
          <w:b/>
          <w:bCs/>
          <w:sz w:val="28"/>
          <w:szCs w:val="28"/>
        </w:rPr>
      </w:pPr>
      <w:r w:rsidRPr="000E7368">
        <w:rPr>
          <w:rFonts w:ascii="Arial" w:hAnsi="Arial" w:cs="Arial"/>
          <w:b/>
          <w:bCs/>
          <w:sz w:val="28"/>
          <w:szCs w:val="28"/>
        </w:rPr>
        <w:t>2.7 Data Protection Policy</w:t>
      </w:r>
    </w:p>
    <w:p w14:paraId="6186FA6B" w14:textId="77777777" w:rsidR="00BF1661" w:rsidRDefault="007F739F" w:rsidP="001E65BC">
      <w:pPr>
        <w:spacing w:line="18pt" w:lineRule="auto"/>
        <w:jc w:val="start"/>
        <w:rPr>
          <w:rFonts w:ascii="Arial" w:hAnsi="Arial" w:cs="Arial"/>
          <w:sz w:val="24"/>
          <w:szCs w:val="24"/>
        </w:rPr>
      </w:pPr>
      <w:r w:rsidRPr="001E65BC">
        <w:rPr>
          <w:rFonts w:ascii="Arial" w:hAnsi="Arial" w:cs="Arial"/>
          <w:sz w:val="24"/>
          <w:szCs w:val="24"/>
        </w:rPr>
        <w:t>A Data Protection Policy should ensure that sensitive information is processed, stored, and shared securely throughout its lifecycle. Appropriate access controls, encryption, data classification, and retention procedures should protect confidential data and support compliance with legal requirements. Employees should receive regular data protection training, while periodic audits and access reviews should verify compliance. Strengthening data protection reduces the impact of data breaches and helps maintain customer trust.</w:t>
      </w:r>
    </w:p>
    <w:p w14:paraId="0202CAA6" w14:textId="77777777" w:rsidR="00E224D4" w:rsidRDefault="00E224D4" w:rsidP="001E65BC">
      <w:pPr>
        <w:spacing w:line="18pt" w:lineRule="auto"/>
        <w:jc w:val="start"/>
        <w:rPr>
          <w:rFonts w:ascii="Arial" w:hAnsi="Arial" w:cs="Arial"/>
          <w:sz w:val="24"/>
          <w:szCs w:val="24"/>
        </w:rPr>
      </w:pPr>
    </w:p>
    <w:p w14:paraId="65ED0035" w14:textId="77777777" w:rsidR="00E224D4" w:rsidRDefault="00E224D4" w:rsidP="001E65BC">
      <w:pPr>
        <w:spacing w:line="18pt" w:lineRule="auto"/>
        <w:jc w:val="start"/>
        <w:rPr>
          <w:rFonts w:ascii="Arial" w:hAnsi="Arial" w:cs="Arial"/>
          <w:sz w:val="24"/>
          <w:szCs w:val="24"/>
        </w:rPr>
      </w:pPr>
    </w:p>
    <w:p w14:paraId="09D7B23F" w14:textId="77777777" w:rsidR="00E224D4" w:rsidRDefault="00E224D4" w:rsidP="001E65BC">
      <w:pPr>
        <w:spacing w:line="18pt" w:lineRule="auto"/>
        <w:jc w:val="start"/>
        <w:rPr>
          <w:rFonts w:ascii="Arial" w:hAnsi="Arial" w:cs="Arial"/>
          <w:sz w:val="24"/>
          <w:szCs w:val="24"/>
        </w:rPr>
      </w:pPr>
    </w:p>
    <w:p w14:paraId="18635DD9" w14:textId="77777777" w:rsidR="00E224D4" w:rsidRPr="00A552E4" w:rsidRDefault="00E224D4" w:rsidP="00E224D4">
      <w:pPr>
        <w:spacing w:line="18pt" w:lineRule="auto"/>
        <w:jc w:val="start"/>
        <w:rPr>
          <w:rFonts w:ascii="Arial" w:hAnsi="Arial" w:cs="Arial"/>
          <w:b/>
          <w:bCs/>
          <w:sz w:val="32"/>
          <w:szCs w:val="32"/>
          <w:lang w:val="en-GB"/>
        </w:rPr>
      </w:pPr>
      <w:r w:rsidRPr="00A552E4">
        <w:rPr>
          <w:rFonts w:ascii="Arial" w:hAnsi="Arial" w:cs="Arial"/>
          <w:b/>
          <w:bCs/>
          <w:sz w:val="32"/>
          <w:szCs w:val="32"/>
          <w:lang w:val="en-GB"/>
        </w:rPr>
        <w:t>3. Governance and Strategic Alignment</w:t>
      </w:r>
    </w:p>
    <w:p w14:paraId="37141DC8" w14:textId="77777777" w:rsidR="00E224D4" w:rsidRPr="00A552E4" w:rsidRDefault="00E224D4" w:rsidP="00E224D4">
      <w:pPr>
        <w:spacing w:line="18pt" w:lineRule="auto"/>
        <w:jc w:val="start"/>
        <w:rPr>
          <w:rFonts w:ascii="Arial" w:hAnsi="Arial" w:cs="Arial"/>
          <w:b/>
          <w:bCs/>
          <w:sz w:val="28"/>
          <w:szCs w:val="28"/>
          <w:lang w:val="en-GB"/>
        </w:rPr>
      </w:pPr>
      <w:r w:rsidRPr="00A552E4">
        <w:rPr>
          <w:rFonts w:ascii="Arial" w:hAnsi="Arial" w:cs="Arial"/>
          <w:b/>
          <w:bCs/>
          <w:sz w:val="28"/>
          <w:szCs w:val="28"/>
          <w:lang w:val="en-GB"/>
        </w:rPr>
        <w:t>3.1 Introduction</w:t>
      </w:r>
    </w:p>
    <w:p w14:paraId="19C7543B" w14:textId="77777777" w:rsidR="00E224D4" w:rsidRPr="00E224D4" w:rsidRDefault="00E224D4" w:rsidP="00E224D4">
      <w:pPr>
        <w:spacing w:line="18pt" w:lineRule="auto"/>
        <w:jc w:val="start"/>
        <w:rPr>
          <w:rFonts w:ascii="Arial" w:hAnsi="Arial" w:cs="Arial"/>
          <w:sz w:val="24"/>
          <w:szCs w:val="24"/>
          <w:lang w:val="en-GB"/>
        </w:rPr>
      </w:pPr>
      <w:r w:rsidRPr="00E224D4">
        <w:rPr>
          <w:rFonts w:ascii="Arial" w:hAnsi="Arial" w:cs="Arial"/>
          <w:sz w:val="24"/>
          <w:szCs w:val="24"/>
          <w:lang w:val="en-GB"/>
        </w:rPr>
        <w:t>The Equifax data breach demonstrated that cybersecurity should be integrated into organisational governance rather than treated solely as a technical function. An effective cybersecurity strategy supports business objectives by protecting sensitive information, maintaining customer trust, ensuring regulatory compliance, and improving operational resilience. To achieve these objectives, organisations should adopt recognised frameworks that provide a structured approach to managing cybersecurity risks. The National Institute of Standards and Technology Cybersecurity Framework (NIST CSF) 2.0 offers guidance for developing a risk-based cybersecurity programme that aligns security activities with organisational goals.</w:t>
      </w:r>
    </w:p>
    <w:p w14:paraId="0EF7155B" w14:textId="77777777" w:rsidR="00E224D4" w:rsidRPr="00E224D4" w:rsidRDefault="00E224D4" w:rsidP="00E224D4">
      <w:pPr>
        <w:spacing w:line="18pt" w:lineRule="auto"/>
        <w:jc w:val="start"/>
        <w:rPr>
          <w:rFonts w:ascii="Arial" w:hAnsi="Arial" w:cs="Arial"/>
          <w:sz w:val="24"/>
          <w:szCs w:val="24"/>
          <w:lang w:val="en-GB"/>
        </w:rPr>
      </w:pPr>
    </w:p>
    <w:p w14:paraId="6E32E9C2" w14:textId="77777777" w:rsidR="007E3C26" w:rsidRDefault="007E3C26" w:rsidP="00E224D4">
      <w:pPr>
        <w:spacing w:line="18pt" w:lineRule="auto"/>
        <w:jc w:val="start"/>
        <w:rPr>
          <w:rFonts w:ascii="Arial" w:hAnsi="Arial" w:cs="Arial"/>
          <w:b/>
          <w:bCs/>
          <w:sz w:val="28"/>
          <w:szCs w:val="28"/>
          <w:lang w:val="en-GB"/>
        </w:rPr>
      </w:pPr>
    </w:p>
    <w:p w14:paraId="284AC04A" w14:textId="77777777" w:rsidR="007E3C26" w:rsidRDefault="007E3C26" w:rsidP="00E224D4">
      <w:pPr>
        <w:spacing w:line="18pt" w:lineRule="auto"/>
        <w:jc w:val="start"/>
        <w:rPr>
          <w:rFonts w:ascii="Arial" w:hAnsi="Arial" w:cs="Arial"/>
          <w:b/>
          <w:bCs/>
          <w:sz w:val="28"/>
          <w:szCs w:val="28"/>
          <w:lang w:val="en-GB"/>
        </w:rPr>
      </w:pPr>
    </w:p>
    <w:p w14:paraId="37FB0732" w14:textId="323EA4F3" w:rsidR="00E224D4" w:rsidRPr="00A552E4" w:rsidRDefault="00E224D4" w:rsidP="00E224D4">
      <w:pPr>
        <w:spacing w:line="18pt" w:lineRule="auto"/>
        <w:jc w:val="start"/>
        <w:rPr>
          <w:rFonts w:ascii="Arial" w:hAnsi="Arial" w:cs="Arial"/>
          <w:b/>
          <w:bCs/>
          <w:sz w:val="28"/>
          <w:szCs w:val="28"/>
          <w:lang w:val="en-GB"/>
        </w:rPr>
      </w:pPr>
      <w:r w:rsidRPr="00A552E4">
        <w:rPr>
          <w:rFonts w:ascii="Arial" w:hAnsi="Arial" w:cs="Arial"/>
          <w:b/>
          <w:bCs/>
          <w:sz w:val="28"/>
          <w:szCs w:val="28"/>
          <w:lang w:val="en-GB"/>
        </w:rPr>
        <w:lastRenderedPageBreak/>
        <w:t>3.2 Applying the NIST Cybersecurity Framework (CSF) 2.0</w:t>
      </w:r>
    </w:p>
    <w:p w14:paraId="344FD96A" w14:textId="77777777" w:rsidR="00E224D4" w:rsidRPr="00E224D4" w:rsidRDefault="00E224D4" w:rsidP="00E224D4">
      <w:pPr>
        <w:spacing w:line="18pt" w:lineRule="auto"/>
        <w:jc w:val="start"/>
        <w:rPr>
          <w:rFonts w:ascii="Arial" w:hAnsi="Arial" w:cs="Arial"/>
          <w:sz w:val="24"/>
          <w:szCs w:val="24"/>
          <w:lang w:val="en-GB"/>
        </w:rPr>
      </w:pPr>
      <w:r w:rsidRPr="00E224D4">
        <w:rPr>
          <w:rFonts w:ascii="Arial" w:hAnsi="Arial" w:cs="Arial"/>
          <w:sz w:val="24"/>
          <w:szCs w:val="24"/>
          <w:lang w:val="en-GB"/>
        </w:rPr>
        <w:t xml:space="preserve">The proposed cybersecurity programme should be aligned with the six core functions of the NIST Cybersecurity Framework (CSF) 2.0: </w:t>
      </w:r>
      <w:r w:rsidRPr="00E224D4">
        <w:rPr>
          <w:rFonts w:ascii="Arial" w:hAnsi="Arial" w:cs="Arial"/>
          <w:b/>
          <w:bCs/>
          <w:sz w:val="24"/>
          <w:szCs w:val="24"/>
          <w:lang w:val="en-GB"/>
        </w:rPr>
        <w:t>Govern, Identify, Protect, Detect, Respond, and Recover.</w:t>
      </w:r>
      <w:r w:rsidRPr="00E224D4">
        <w:rPr>
          <w:rFonts w:ascii="Arial" w:hAnsi="Arial" w:cs="Arial"/>
          <w:sz w:val="24"/>
          <w:szCs w:val="24"/>
          <w:lang w:val="en-GB"/>
        </w:rPr>
        <w:t xml:space="preserve"> Together, these functions help organisations manage cybersecurity risks while supporting long-term business resilience.</w:t>
      </w:r>
    </w:p>
    <w:p w14:paraId="76547F96" w14:textId="77777777" w:rsidR="00E224D4" w:rsidRPr="00E224D4" w:rsidRDefault="00E224D4" w:rsidP="00E224D4">
      <w:pPr>
        <w:spacing w:line="18pt" w:lineRule="auto"/>
        <w:jc w:val="start"/>
        <w:rPr>
          <w:rFonts w:ascii="Arial" w:hAnsi="Arial" w:cs="Arial"/>
          <w:sz w:val="24"/>
          <w:szCs w:val="24"/>
          <w:lang w:val="en-GB"/>
        </w:rPr>
      </w:pPr>
    </w:p>
    <w:p w14:paraId="22AF93A8" w14:textId="77777777" w:rsidR="00E224D4" w:rsidRPr="00E224D4" w:rsidRDefault="00E224D4" w:rsidP="00E224D4">
      <w:pPr>
        <w:spacing w:line="18pt" w:lineRule="auto"/>
        <w:jc w:val="start"/>
        <w:rPr>
          <w:rFonts w:ascii="Arial" w:hAnsi="Arial" w:cs="Arial"/>
          <w:b/>
          <w:bCs/>
          <w:sz w:val="24"/>
          <w:szCs w:val="24"/>
          <w:lang w:val="en-GB"/>
        </w:rPr>
      </w:pPr>
      <w:r w:rsidRPr="00E224D4">
        <w:rPr>
          <w:rFonts w:ascii="Arial" w:hAnsi="Arial" w:cs="Arial"/>
          <w:b/>
          <w:bCs/>
          <w:sz w:val="24"/>
          <w:szCs w:val="24"/>
          <w:lang w:val="en-GB"/>
        </w:rPr>
        <w:t>3.2.1 Govern</w:t>
      </w:r>
    </w:p>
    <w:p w14:paraId="22193A28" w14:textId="326D2502" w:rsidR="00E224D4" w:rsidRPr="00E224D4" w:rsidRDefault="00E224D4" w:rsidP="00E224D4">
      <w:pPr>
        <w:spacing w:line="18pt" w:lineRule="auto"/>
        <w:jc w:val="start"/>
        <w:rPr>
          <w:rFonts w:ascii="Arial" w:hAnsi="Arial" w:cs="Arial"/>
          <w:sz w:val="24"/>
          <w:szCs w:val="24"/>
          <w:lang w:val="en-GB"/>
        </w:rPr>
      </w:pPr>
      <w:r w:rsidRPr="00E224D4">
        <w:rPr>
          <w:rFonts w:ascii="Arial" w:hAnsi="Arial" w:cs="Arial"/>
          <w:sz w:val="24"/>
          <w:szCs w:val="24"/>
          <w:lang w:val="en-GB"/>
        </w:rPr>
        <w:t xml:space="preserve">The </w:t>
      </w:r>
      <w:r w:rsidRPr="005B0F39">
        <w:rPr>
          <w:rFonts w:ascii="Arial" w:hAnsi="Arial" w:cs="Arial"/>
          <w:sz w:val="24"/>
          <w:szCs w:val="24"/>
          <w:lang w:val="en-GB"/>
        </w:rPr>
        <w:t>Govern</w:t>
      </w:r>
      <w:r w:rsidRPr="00E224D4">
        <w:rPr>
          <w:rFonts w:ascii="Arial" w:hAnsi="Arial" w:cs="Arial"/>
          <w:sz w:val="24"/>
          <w:szCs w:val="24"/>
          <w:lang w:val="en-GB"/>
        </w:rPr>
        <w:t xml:space="preserve"> </w:t>
      </w:r>
      <w:r w:rsidR="00C72738">
        <w:rPr>
          <w:rFonts w:ascii="Arial" w:hAnsi="Arial" w:cs="Arial"/>
          <w:sz w:val="24"/>
          <w:szCs w:val="24"/>
          <w:lang w:val="en-GB"/>
        </w:rPr>
        <w:t>element</w:t>
      </w:r>
      <w:r w:rsidRPr="00E224D4">
        <w:rPr>
          <w:rFonts w:ascii="Arial" w:hAnsi="Arial" w:cs="Arial"/>
          <w:sz w:val="24"/>
          <w:szCs w:val="24"/>
          <w:lang w:val="en-GB"/>
        </w:rPr>
        <w:t xml:space="preserve"> establishes accountability for cybersecurity through clear leadership, policies, and risk management processes. Senior management and the Board of Directors should oversee cybersecurity strategy, approve security policies, and regularly review organisational cyber risks. This ensures that cybersecurity decisions support business objectives and comply with legal and regulatory requirements.</w:t>
      </w:r>
    </w:p>
    <w:p w14:paraId="3CD8CECC" w14:textId="77777777" w:rsidR="00E224D4" w:rsidRPr="00E224D4" w:rsidRDefault="00E224D4" w:rsidP="00E224D4">
      <w:pPr>
        <w:spacing w:line="18pt" w:lineRule="auto"/>
        <w:jc w:val="start"/>
        <w:rPr>
          <w:rFonts w:ascii="Arial" w:hAnsi="Arial" w:cs="Arial"/>
          <w:sz w:val="24"/>
          <w:szCs w:val="24"/>
          <w:lang w:val="en-GB"/>
        </w:rPr>
      </w:pPr>
    </w:p>
    <w:p w14:paraId="64823FC6" w14:textId="77777777" w:rsidR="00E224D4" w:rsidRPr="00E224D4" w:rsidRDefault="00E224D4" w:rsidP="00E224D4">
      <w:pPr>
        <w:spacing w:line="18pt" w:lineRule="auto"/>
        <w:jc w:val="start"/>
        <w:rPr>
          <w:rFonts w:ascii="Arial" w:hAnsi="Arial" w:cs="Arial"/>
          <w:b/>
          <w:bCs/>
          <w:sz w:val="24"/>
          <w:szCs w:val="24"/>
          <w:lang w:val="en-GB"/>
        </w:rPr>
      </w:pPr>
      <w:r w:rsidRPr="00E224D4">
        <w:rPr>
          <w:rFonts w:ascii="Arial" w:hAnsi="Arial" w:cs="Arial"/>
          <w:b/>
          <w:bCs/>
          <w:sz w:val="24"/>
          <w:szCs w:val="24"/>
          <w:lang w:val="en-GB"/>
        </w:rPr>
        <w:t>3.2.2 Identify</w:t>
      </w:r>
    </w:p>
    <w:p w14:paraId="601DBCD6" w14:textId="2526791E" w:rsidR="00E224D4" w:rsidRPr="00E224D4" w:rsidRDefault="00E224D4" w:rsidP="00E224D4">
      <w:pPr>
        <w:spacing w:line="18pt" w:lineRule="auto"/>
        <w:jc w:val="start"/>
        <w:rPr>
          <w:rFonts w:ascii="Arial" w:hAnsi="Arial" w:cs="Arial"/>
          <w:sz w:val="24"/>
          <w:szCs w:val="24"/>
          <w:lang w:val="en-GB"/>
        </w:rPr>
      </w:pPr>
      <w:r w:rsidRPr="00E224D4">
        <w:rPr>
          <w:rFonts w:ascii="Arial" w:hAnsi="Arial" w:cs="Arial"/>
          <w:sz w:val="24"/>
          <w:szCs w:val="24"/>
          <w:lang w:val="en-GB"/>
        </w:rPr>
        <w:t>Th</w:t>
      </w:r>
      <w:r w:rsidR="005B0F39">
        <w:rPr>
          <w:rFonts w:ascii="Arial" w:hAnsi="Arial" w:cs="Arial"/>
          <w:sz w:val="24"/>
          <w:szCs w:val="24"/>
          <w:lang w:val="en-GB"/>
        </w:rPr>
        <w:t xml:space="preserve">is </w:t>
      </w:r>
      <w:r w:rsidRPr="00E224D4">
        <w:rPr>
          <w:rFonts w:ascii="Arial" w:hAnsi="Arial" w:cs="Arial"/>
          <w:sz w:val="24"/>
          <w:szCs w:val="24"/>
          <w:lang w:val="en-GB"/>
        </w:rPr>
        <w:t>function focuses on understanding organisational assets, business processes, and potential risks. Maintaining an accurate inventory of hardware, software, cloud services, and internet-facing systems enables organisations to identify vulnerabilities and prioritise security improvements. If Equifax had maintained better asset visibility, the vulnerable Apache Struts system could have been identified and updated more quickly.</w:t>
      </w:r>
    </w:p>
    <w:p w14:paraId="6FE24777" w14:textId="77777777" w:rsidR="00E224D4" w:rsidRPr="00E224D4" w:rsidRDefault="00E224D4" w:rsidP="00E224D4">
      <w:pPr>
        <w:spacing w:line="18pt" w:lineRule="auto"/>
        <w:jc w:val="start"/>
        <w:rPr>
          <w:rFonts w:ascii="Arial" w:hAnsi="Arial" w:cs="Arial"/>
          <w:sz w:val="24"/>
          <w:szCs w:val="24"/>
          <w:lang w:val="en-GB"/>
        </w:rPr>
      </w:pPr>
    </w:p>
    <w:p w14:paraId="56DC8562" w14:textId="77777777" w:rsidR="00E224D4" w:rsidRPr="00E224D4" w:rsidRDefault="00E224D4" w:rsidP="00E224D4">
      <w:pPr>
        <w:spacing w:line="18pt" w:lineRule="auto"/>
        <w:jc w:val="start"/>
        <w:rPr>
          <w:rFonts w:ascii="Arial" w:hAnsi="Arial" w:cs="Arial"/>
          <w:b/>
          <w:bCs/>
          <w:sz w:val="24"/>
          <w:szCs w:val="24"/>
          <w:lang w:val="en-GB"/>
        </w:rPr>
      </w:pPr>
      <w:r w:rsidRPr="00E224D4">
        <w:rPr>
          <w:rFonts w:ascii="Arial" w:hAnsi="Arial" w:cs="Arial"/>
          <w:b/>
          <w:bCs/>
          <w:sz w:val="24"/>
          <w:szCs w:val="24"/>
          <w:lang w:val="en-GB"/>
        </w:rPr>
        <w:t>3.2.3 Protect</w:t>
      </w:r>
    </w:p>
    <w:p w14:paraId="64F5E2D5" w14:textId="77777777" w:rsidR="00E224D4" w:rsidRPr="00E224D4" w:rsidRDefault="00E224D4" w:rsidP="00E224D4">
      <w:pPr>
        <w:spacing w:line="18pt" w:lineRule="auto"/>
        <w:jc w:val="start"/>
        <w:rPr>
          <w:rFonts w:ascii="Arial" w:hAnsi="Arial" w:cs="Arial"/>
          <w:sz w:val="24"/>
          <w:szCs w:val="24"/>
          <w:lang w:val="en-GB"/>
        </w:rPr>
      </w:pPr>
      <w:r w:rsidRPr="00E224D4">
        <w:rPr>
          <w:rFonts w:ascii="Arial" w:hAnsi="Arial" w:cs="Arial"/>
          <w:sz w:val="24"/>
          <w:szCs w:val="24"/>
          <w:lang w:val="en-GB"/>
        </w:rPr>
        <w:t xml:space="preserve">The </w:t>
      </w:r>
      <w:r w:rsidRPr="00B42DB6">
        <w:rPr>
          <w:rFonts w:ascii="Arial" w:hAnsi="Arial" w:cs="Arial"/>
          <w:sz w:val="24"/>
          <w:szCs w:val="24"/>
          <w:lang w:val="en-GB"/>
        </w:rPr>
        <w:t>Protect</w:t>
      </w:r>
      <w:r w:rsidRPr="00E224D4">
        <w:rPr>
          <w:rFonts w:ascii="Arial" w:hAnsi="Arial" w:cs="Arial"/>
          <w:sz w:val="24"/>
          <w:szCs w:val="24"/>
          <w:lang w:val="en-GB"/>
        </w:rPr>
        <w:t xml:space="preserve"> function aims to reduce the likelihood of successful cyberattacks by implementing appropriate security controls. These include access controls, encryption, employee awareness training, secure software development practices, and timely patch management. Protecting critical systems and sensitive data reduces business disruption and supports customer confidence.</w:t>
      </w:r>
    </w:p>
    <w:p w14:paraId="480BE43D" w14:textId="77777777" w:rsidR="00E224D4" w:rsidRPr="00E224D4" w:rsidRDefault="00E224D4" w:rsidP="00E224D4">
      <w:pPr>
        <w:spacing w:line="18pt" w:lineRule="auto"/>
        <w:jc w:val="start"/>
        <w:rPr>
          <w:rFonts w:ascii="Arial" w:hAnsi="Arial" w:cs="Arial"/>
          <w:sz w:val="24"/>
          <w:szCs w:val="24"/>
          <w:lang w:val="en-GB"/>
        </w:rPr>
      </w:pPr>
    </w:p>
    <w:p w14:paraId="0B3FD05B" w14:textId="77777777" w:rsidR="00E224D4" w:rsidRPr="00E224D4" w:rsidRDefault="00E224D4" w:rsidP="00E224D4">
      <w:pPr>
        <w:spacing w:line="18pt" w:lineRule="auto"/>
        <w:jc w:val="start"/>
        <w:rPr>
          <w:rFonts w:ascii="Arial" w:hAnsi="Arial" w:cs="Arial"/>
          <w:b/>
          <w:bCs/>
          <w:sz w:val="24"/>
          <w:szCs w:val="24"/>
          <w:lang w:val="en-GB"/>
        </w:rPr>
      </w:pPr>
      <w:r w:rsidRPr="00E224D4">
        <w:rPr>
          <w:rFonts w:ascii="Arial" w:hAnsi="Arial" w:cs="Arial"/>
          <w:b/>
          <w:bCs/>
          <w:sz w:val="24"/>
          <w:szCs w:val="24"/>
          <w:lang w:val="en-GB"/>
        </w:rPr>
        <w:t>3.2.4 Detect</w:t>
      </w:r>
    </w:p>
    <w:p w14:paraId="2A28DE85" w14:textId="4D31D01F" w:rsidR="00E224D4" w:rsidRPr="00E224D4" w:rsidRDefault="00E224D4" w:rsidP="00E224D4">
      <w:pPr>
        <w:spacing w:line="18pt" w:lineRule="auto"/>
        <w:jc w:val="start"/>
        <w:rPr>
          <w:rFonts w:ascii="Arial" w:hAnsi="Arial" w:cs="Arial"/>
          <w:sz w:val="24"/>
          <w:szCs w:val="24"/>
          <w:lang w:val="en-GB"/>
        </w:rPr>
      </w:pPr>
      <w:r w:rsidRPr="00E224D4">
        <w:rPr>
          <w:rFonts w:ascii="Arial" w:hAnsi="Arial" w:cs="Arial"/>
          <w:sz w:val="24"/>
          <w:szCs w:val="24"/>
          <w:lang w:val="en-GB"/>
        </w:rPr>
        <w:t xml:space="preserve">The </w:t>
      </w:r>
      <w:r w:rsidRPr="00B42DB6">
        <w:rPr>
          <w:rFonts w:ascii="Arial" w:hAnsi="Arial" w:cs="Arial"/>
          <w:sz w:val="24"/>
          <w:szCs w:val="24"/>
          <w:lang w:val="en-GB"/>
        </w:rPr>
        <w:t>Detect</w:t>
      </w:r>
      <w:r w:rsidRPr="00E224D4">
        <w:rPr>
          <w:rFonts w:ascii="Arial" w:hAnsi="Arial" w:cs="Arial"/>
          <w:sz w:val="24"/>
          <w:szCs w:val="24"/>
          <w:lang w:val="en-GB"/>
        </w:rPr>
        <w:t xml:space="preserve"> </w:t>
      </w:r>
      <w:r w:rsidR="006636AA">
        <w:rPr>
          <w:rFonts w:ascii="Arial" w:hAnsi="Arial" w:cs="Arial"/>
          <w:sz w:val="24"/>
          <w:szCs w:val="24"/>
          <w:lang w:val="en-GB"/>
        </w:rPr>
        <w:t>element</w:t>
      </w:r>
      <w:r w:rsidRPr="00E224D4">
        <w:rPr>
          <w:rFonts w:ascii="Arial" w:hAnsi="Arial" w:cs="Arial"/>
          <w:sz w:val="24"/>
          <w:szCs w:val="24"/>
          <w:lang w:val="en-GB"/>
        </w:rPr>
        <w:t xml:space="preserve"> ensures that security events are identified as quickly as possible through continuous monitoring, log analysis, and threat detection. A Security Operations Centre (SOC) should continuously monitor network activity and investigate suspicious behaviour. Earlier detection could have reduced the time attackers remained inside the Equifax network.</w:t>
      </w:r>
    </w:p>
    <w:p w14:paraId="7CED5547" w14:textId="77777777" w:rsidR="00E224D4" w:rsidRPr="00E224D4" w:rsidRDefault="00E224D4" w:rsidP="00E224D4">
      <w:pPr>
        <w:spacing w:line="18pt" w:lineRule="auto"/>
        <w:jc w:val="start"/>
        <w:rPr>
          <w:rFonts w:ascii="Arial" w:hAnsi="Arial" w:cs="Arial"/>
          <w:sz w:val="24"/>
          <w:szCs w:val="24"/>
          <w:lang w:val="en-GB"/>
        </w:rPr>
      </w:pPr>
    </w:p>
    <w:p w14:paraId="1310D933" w14:textId="77777777" w:rsidR="007E3C26" w:rsidRDefault="007E3C26" w:rsidP="00E224D4">
      <w:pPr>
        <w:spacing w:line="18pt" w:lineRule="auto"/>
        <w:jc w:val="start"/>
        <w:rPr>
          <w:rFonts w:ascii="Arial" w:hAnsi="Arial" w:cs="Arial"/>
          <w:b/>
          <w:bCs/>
          <w:sz w:val="24"/>
          <w:szCs w:val="24"/>
          <w:lang w:val="en-GB"/>
        </w:rPr>
      </w:pPr>
    </w:p>
    <w:p w14:paraId="37ED7124" w14:textId="56BFB1B2" w:rsidR="00E224D4" w:rsidRPr="00E224D4" w:rsidRDefault="00E224D4" w:rsidP="00E224D4">
      <w:pPr>
        <w:spacing w:line="18pt" w:lineRule="auto"/>
        <w:jc w:val="start"/>
        <w:rPr>
          <w:rFonts w:ascii="Arial" w:hAnsi="Arial" w:cs="Arial"/>
          <w:b/>
          <w:bCs/>
          <w:sz w:val="24"/>
          <w:szCs w:val="24"/>
          <w:lang w:val="en-GB"/>
        </w:rPr>
      </w:pPr>
      <w:r w:rsidRPr="00E224D4">
        <w:rPr>
          <w:rFonts w:ascii="Arial" w:hAnsi="Arial" w:cs="Arial"/>
          <w:b/>
          <w:bCs/>
          <w:sz w:val="24"/>
          <w:szCs w:val="24"/>
          <w:lang w:val="en-GB"/>
        </w:rPr>
        <w:lastRenderedPageBreak/>
        <w:t>3.2.5 Respond</w:t>
      </w:r>
    </w:p>
    <w:p w14:paraId="2B1A3EBB" w14:textId="77777777" w:rsidR="00E224D4" w:rsidRPr="00E224D4" w:rsidRDefault="00E224D4" w:rsidP="00E224D4">
      <w:pPr>
        <w:spacing w:line="18pt" w:lineRule="auto"/>
        <w:jc w:val="start"/>
        <w:rPr>
          <w:rFonts w:ascii="Arial" w:hAnsi="Arial" w:cs="Arial"/>
          <w:sz w:val="24"/>
          <w:szCs w:val="24"/>
          <w:lang w:val="en-GB"/>
        </w:rPr>
      </w:pPr>
      <w:r w:rsidRPr="00E224D4">
        <w:rPr>
          <w:rFonts w:ascii="Arial" w:hAnsi="Arial" w:cs="Arial"/>
          <w:sz w:val="24"/>
          <w:szCs w:val="24"/>
          <w:lang w:val="en-GB"/>
        </w:rPr>
        <w:t xml:space="preserve">The </w:t>
      </w:r>
      <w:r w:rsidRPr="00B42DB6">
        <w:rPr>
          <w:rFonts w:ascii="Arial" w:hAnsi="Arial" w:cs="Arial"/>
          <w:sz w:val="24"/>
          <w:szCs w:val="24"/>
          <w:lang w:val="en-GB"/>
        </w:rPr>
        <w:t>Respond</w:t>
      </w:r>
      <w:r w:rsidRPr="00E224D4">
        <w:rPr>
          <w:rFonts w:ascii="Arial" w:hAnsi="Arial" w:cs="Arial"/>
          <w:sz w:val="24"/>
          <w:szCs w:val="24"/>
          <w:lang w:val="en-GB"/>
        </w:rPr>
        <w:t xml:space="preserve"> function defines the actions required to contain and manage cybersecurity incidents. Clearly documented incident response procedures, communication plans, and defined responsibilities enable organisations to minimise operational disruption and reduce the impact of security breaches.</w:t>
      </w:r>
    </w:p>
    <w:p w14:paraId="28E55ECE" w14:textId="77777777" w:rsidR="00E224D4" w:rsidRPr="00E224D4" w:rsidRDefault="00E224D4" w:rsidP="00E224D4">
      <w:pPr>
        <w:spacing w:line="18pt" w:lineRule="auto"/>
        <w:jc w:val="start"/>
        <w:rPr>
          <w:rFonts w:ascii="Arial" w:hAnsi="Arial" w:cs="Arial"/>
          <w:sz w:val="24"/>
          <w:szCs w:val="24"/>
          <w:lang w:val="en-GB"/>
        </w:rPr>
      </w:pPr>
    </w:p>
    <w:p w14:paraId="0272DAA2" w14:textId="77777777" w:rsidR="00E224D4" w:rsidRPr="00E224D4" w:rsidRDefault="00E224D4" w:rsidP="00E224D4">
      <w:pPr>
        <w:spacing w:line="18pt" w:lineRule="auto"/>
        <w:jc w:val="start"/>
        <w:rPr>
          <w:rFonts w:ascii="Arial" w:hAnsi="Arial" w:cs="Arial"/>
          <w:b/>
          <w:bCs/>
          <w:sz w:val="24"/>
          <w:szCs w:val="24"/>
          <w:lang w:val="en-GB"/>
        </w:rPr>
      </w:pPr>
      <w:r w:rsidRPr="00E224D4">
        <w:rPr>
          <w:rFonts w:ascii="Arial" w:hAnsi="Arial" w:cs="Arial"/>
          <w:b/>
          <w:bCs/>
          <w:sz w:val="24"/>
          <w:szCs w:val="24"/>
          <w:lang w:val="en-GB"/>
        </w:rPr>
        <w:t>3.2.6 Recover</w:t>
      </w:r>
    </w:p>
    <w:p w14:paraId="0B3A2B82" w14:textId="77777777" w:rsidR="00E224D4" w:rsidRPr="00E224D4" w:rsidRDefault="00E224D4" w:rsidP="00E224D4">
      <w:pPr>
        <w:spacing w:line="18pt" w:lineRule="auto"/>
        <w:jc w:val="start"/>
        <w:rPr>
          <w:rFonts w:ascii="Arial" w:hAnsi="Arial" w:cs="Arial"/>
          <w:sz w:val="24"/>
          <w:szCs w:val="24"/>
          <w:lang w:val="en-GB"/>
        </w:rPr>
      </w:pPr>
      <w:r w:rsidRPr="00E224D4">
        <w:rPr>
          <w:rFonts w:ascii="Arial" w:hAnsi="Arial" w:cs="Arial"/>
          <w:sz w:val="24"/>
          <w:szCs w:val="24"/>
          <w:lang w:val="en-GB"/>
        </w:rPr>
        <w:t xml:space="preserve">The </w:t>
      </w:r>
      <w:r w:rsidRPr="00B42DB6">
        <w:rPr>
          <w:rFonts w:ascii="Arial" w:hAnsi="Arial" w:cs="Arial"/>
          <w:sz w:val="24"/>
          <w:szCs w:val="24"/>
          <w:lang w:val="en-GB"/>
        </w:rPr>
        <w:t>Recover</w:t>
      </w:r>
      <w:r w:rsidRPr="00E224D4">
        <w:rPr>
          <w:rFonts w:ascii="Arial" w:hAnsi="Arial" w:cs="Arial"/>
          <w:sz w:val="24"/>
          <w:szCs w:val="24"/>
          <w:lang w:val="en-GB"/>
        </w:rPr>
        <w:t xml:space="preserve"> function focuses on restoring systems, improving resilience, and learning from security incidents. Recovery planning should include secure backups, post-incident reviews, and continuous improvement of security controls. Lessons learned from incidents should be incorporated into future cybersecurity planning to strengthen the organisation's overall security posture.</w:t>
      </w:r>
    </w:p>
    <w:p w14:paraId="51A3C59D" w14:textId="77777777" w:rsidR="00E224D4" w:rsidRPr="00E224D4" w:rsidRDefault="00E224D4" w:rsidP="00E224D4">
      <w:pPr>
        <w:spacing w:line="18pt" w:lineRule="auto"/>
        <w:jc w:val="start"/>
        <w:rPr>
          <w:rFonts w:ascii="Arial" w:hAnsi="Arial" w:cs="Arial"/>
          <w:sz w:val="24"/>
          <w:szCs w:val="24"/>
          <w:lang w:val="en-GB"/>
        </w:rPr>
      </w:pPr>
    </w:p>
    <w:p w14:paraId="12E0E907" w14:textId="77777777" w:rsidR="00E224D4" w:rsidRPr="00CE78D8" w:rsidRDefault="00E224D4" w:rsidP="00E224D4">
      <w:pPr>
        <w:spacing w:line="18pt" w:lineRule="auto"/>
        <w:jc w:val="start"/>
        <w:rPr>
          <w:rFonts w:ascii="Arial" w:hAnsi="Arial" w:cs="Arial"/>
          <w:b/>
          <w:bCs/>
          <w:sz w:val="28"/>
          <w:szCs w:val="28"/>
          <w:lang w:val="en-GB"/>
        </w:rPr>
      </w:pPr>
      <w:r w:rsidRPr="00CE78D8">
        <w:rPr>
          <w:rFonts w:ascii="Arial" w:hAnsi="Arial" w:cs="Arial"/>
          <w:b/>
          <w:bCs/>
          <w:sz w:val="28"/>
          <w:szCs w:val="28"/>
          <w:lang w:val="en-GB"/>
        </w:rPr>
        <w:t>3.3 Strategic Alignment with Business Objectives</w:t>
      </w:r>
    </w:p>
    <w:p w14:paraId="5958634B" w14:textId="0A1D4673" w:rsidR="00E224D4" w:rsidRPr="00E224D4" w:rsidRDefault="00E224D4" w:rsidP="00E224D4">
      <w:pPr>
        <w:spacing w:line="18pt" w:lineRule="auto"/>
        <w:jc w:val="start"/>
        <w:rPr>
          <w:rFonts w:ascii="Arial" w:hAnsi="Arial" w:cs="Arial"/>
          <w:sz w:val="24"/>
          <w:szCs w:val="24"/>
          <w:lang w:val="en-GB"/>
        </w:rPr>
      </w:pPr>
      <w:r w:rsidRPr="00E224D4">
        <w:rPr>
          <w:rFonts w:ascii="Arial" w:hAnsi="Arial" w:cs="Arial"/>
          <w:sz w:val="24"/>
          <w:szCs w:val="24"/>
          <w:lang w:val="en-GB"/>
        </w:rPr>
        <w:t>Aligning cybersecurity with organisational objectives ensures that security supports long-term business success rather than acting as a barrier to operations. Protecting customer information helps maintain trust and the organisation's reputation, while compliance with legal and regulatory requirements reduces the risk of financial penalties. Effective cybersecurity also supports business continuity by reducing operational disruption and enabling organisations to respond more effectively to cyber threats. By applying the NIST CSF 2.0, organisations can integrate cybersecurity into strategic decision-making, strengthen resilience, and better manage evolving cyber risks</w:t>
      </w:r>
      <w:r w:rsidR="004C4743">
        <w:rPr>
          <w:rFonts w:ascii="Arial" w:hAnsi="Arial" w:cs="Arial"/>
          <w:sz w:val="24"/>
          <w:szCs w:val="24"/>
          <w:lang w:val="en-GB"/>
        </w:rPr>
        <w:t xml:space="preserve"> </w:t>
      </w:r>
      <w:r w:rsidR="00F74D44">
        <w:rPr>
          <w:rFonts w:ascii="Arial" w:hAnsi="Arial" w:cs="Arial"/>
          <w:sz w:val="24"/>
          <w:szCs w:val="24"/>
          <w:lang w:val="en-GB"/>
        </w:rPr>
        <w:t>[1]</w:t>
      </w:r>
      <w:r w:rsidRPr="00E224D4">
        <w:rPr>
          <w:rFonts w:ascii="Arial" w:hAnsi="Arial" w:cs="Arial"/>
          <w:sz w:val="24"/>
          <w:szCs w:val="24"/>
          <w:lang w:val="en-GB"/>
        </w:rPr>
        <w:t>.</w:t>
      </w:r>
    </w:p>
    <w:p w14:paraId="2EE62577" w14:textId="77777777" w:rsidR="00E224D4" w:rsidRPr="00E224D4" w:rsidRDefault="00E224D4" w:rsidP="00E224D4">
      <w:pPr>
        <w:spacing w:line="18pt" w:lineRule="auto"/>
        <w:jc w:val="start"/>
        <w:rPr>
          <w:rFonts w:ascii="Arial" w:hAnsi="Arial" w:cs="Arial"/>
          <w:sz w:val="24"/>
          <w:szCs w:val="24"/>
        </w:rPr>
      </w:pPr>
    </w:p>
    <w:p w14:paraId="2F7B9ED2" w14:textId="77777777" w:rsidR="00E224D4" w:rsidRDefault="00E224D4" w:rsidP="001E65BC">
      <w:pPr>
        <w:spacing w:line="18pt" w:lineRule="auto"/>
        <w:jc w:val="start"/>
        <w:rPr>
          <w:rFonts w:ascii="Arial" w:hAnsi="Arial" w:cs="Arial"/>
          <w:sz w:val="24"/>
          <w:szCs w:val="24"/>
        </w:rPr>
      </w:pPr>
    </w:p>
    <w:p w14:paraId="0EBCFABC" w14:textId="77777777" w:rsidR="007F4C72" w:rsidRPr="007F4C72" w:rsidRDefault="007F4C72" w:rsidP="007F4C72">
      <w:pPr>
        <w:spacing w:line="18pt" w:lineRule="auto"/>
        <w:jc w:val="start"/>
        <w:rPr>
          <w:rFonts w:ascii="Arial" w:hAnsi="Arial" w:cs="Arial"/>
          <w:b/>
          <w:bCs/>
          <w:sz w:val="32"/>
          <w:szCs w:val="32"/>
        </w:rPr>
      </w:pPr>
      <w:r w:rsidRPr="007F4C72">
        <w:rPr>
          <w:rFonts w:ascii="Arial" w:hAnsi="Arial" w:cs="Arial"/>
          <w:b/>
          <w:bCs/>
          <w:sz w:val="32"/>
          <w:szCs w:val="32"/>
        </w:rPr>
        <w:t>4. Risk Management and Assessment</w:t>
      </w:r>
    </w:p>
    <w:p w14:paraId="02EBAABC" w14:textId="77777777" w:rsidR="007F4C72" w:rsidRPr="007F4C72" w:rsidRDefault="007F4C72" w:rsidP="007F4C72">
      <w:pPr>
        <w:spacing w:line="18pt" w:lineRule="auto"/>
        <w:jc w:val="start"/>
        <w:rPr>
          <w:rFonts w:ascii="Arial" w:hAnsi="Arial" w:cs="Arial"/>
          <w:sz w:val="24"/>
          <w:szCs w:val="24"/>
        </w:rPr>
      </w:pPr>
    </w:p>
    <w:p w14:paraId="260196C3" w14:textId="77777777" w:rsidR="007F4C72" w:rsidRPr="007F4C72" w:rsidRDefault="007F4C72" w:rsidP="007F4C72">
      <w:pPr>
        <w:spacing w:line="18pt" w:lineRule="auto"/>
        <w:jc w:val="start"/>
        <w:rPr>
          <w:rFonts w:ascii="Arial" w:hAnsi="Arial" w:cs="Arial"/>
          <w:b/>
          <w:bCs/>
          <w:sz w:val="28"/>
          <w:szCs w:val="28"/>
        </w:rPr>
      </w:pPr>
      <w:r w:rsidRPr="007F4C72">
        <w:rPr>
          <w:rFonts w:ascii="Arial" w:hAnsi="Arial" w:cs="Arial"/>
          <w:b/>
          <w:bCs/>
          <w:sz w:val="28"/>
          <w:szCs w:val="28"/>
        </w:rPr>
        <w:t>4.1 Introduction</w:t>
      </w:r>
    </w:p>
    <w:p w14:paraId="005C0444" w14:textId="730C97A1" w:rsidR="007F4C72" w:rsidRDefault="007F4C72" w:rsidP="007F4C72">
      <w:pPr>
        <w:spacing w:line="18pt" w:lineRule="auto"/>
        <w:jc w:val="start"/>
        <w:rPr>
          <w:rFonts w:ascii="Arial" w:hAnsi="Arial" w:cs="Arial"/>
          <w:sz w:val="24"/>
          <w:szCs w:val="24"/>
        </w:rPr>
      </w:pPr>
      <w:r w:rsidRPr="007F4C72">
        <w:rPr>
          <w:rFonts w:ascii="Arial" w:hAnsi="Arial" w:cs="Arial"/>
          <w:sz w:val="24"/>
          <w:szCs w:val="24"/>
        </w:rPr>
        <w:t>Effective risk management enables organisations to identify, assess, and prioritise cybersecurity threats before they lead to significant business disruption. The Equifax data breach demonstrated how weaknesses in patch management, asset visibility, network security, and monitoring increased organisational risk</w:t>
      </w:r>
      <w:r w:rsidR="00696BF5">
        <w:rPr>
          <w:rFonts w:ascii="Arial" w:hAnsi="Arial" w:cs="Arial"/>
          <w:sz w:val="24"/>
          <w:szCs w:val="24"/>
        </w:rPr>
        <w:t xml:space="preserve"> </w:t>
      </w:r>
      <w:r w:rsidR="00476395">
        <w:rPr>
          <w:rFonts w:ascii="Arial" w:hAnsi="Arial" w:cs="Arial"/>
          <w:sz w:val="24"/>
          <w:szCs w:val="24"/>
        </w:rPr>
        <w:t>[2],</w:t>
      </w:r>
      <w:r w:rsidR="00D33C9A">
        <w:rPr>
          <w:rFonts w:ascii="Arial" w:hAnsi="Arial" w:cs="Arial"/>
          <w:sz w:val="24"/>
          <w:szCs w:val="24"/>
        </w:rPr>
        <w:t xml:space="preserve"> </w:t>
      </w:r>
      <w:r w:rsidR="00476395">
        <w:rPr>
          <w:rFonts w:ascii="Arial" w:hAnsi="Arial" w:cs="Arial"/>
          <w:sz w:val="24"/>
          <w:szCs w:val="24"/>
        </w:rPr>
        <w:t>[3]</w:t>
      </w:r>
      <w:r w:rsidRPr="007F4C72">
        <w:rPr>
          <w:rFonts w:ascii="Arial" w:hAnsi="Arial" w:cs="Arial"/>
          <w:sz w:val="24"/>
          <w:szCs w:val="24"/>
        </w:rPr>
        <w:t>. Conducting a structured risk assessment allows organisations to implement appropriate controls, allocate resources effectively, and strengthen overall resilience</w:t>
      </w:r>
      <w:r w:rsidR="0012557E">
        <w:rPr>
          <w:rFonts w:ascii="Arial" w:hAnsi="Arial" w:cs="Arial"/>
          <w:sz w:val="24"/>
          <w:szCs w:val="24"/>
        </w:rPr>
        <w:t xml:space="preserve"> </w:t>
      </w:r>
      <w:r w:rsidR="00D63AF0">
        <w:rPr>
          <w:rFonts w:ascii="Arial" w:hAnsi="Arial" w:cs="Arial"/>
          <w:sz w:val="24"/>
          <w:szCs w:val="24"/>
        </w:rPr>
        <w:t>[1]</w:t>
      </w:r>
      <w:r w:rsidRPr="007F4C72">
        <w:rPr>
          <w:rFonts w:ascii="Arial" w:hAnsi="Arial" w:cs="Arial"/>
          <w:sz w:val="24"/>
          <w:szCs w:val="24"/>
        </w:rPr>
        <w:t xml:space="preserve">. Table 1 presents the key cybersecurity risks identified from </w:t>
      </w:r>
      <w:r w:rsidRPr="007F4C72">
        <w:rPr>
          <w:rFonts w:ascii="Arial" w:hAnsi="Arial" w:cs="Arial"/>
          <w:sz w:val="24"/>
          <w:szCs w:val="24"/>
        </w:rPr>
        <w:lastRenderedPageBreak/>
        <w:t>the Equifax case, together with their likelihood, impact, priority, and proposed mitigation measures.</w:t>
      </w:r>
    </w:p>
    <w:p w14:paraId="0A981816" w14:textId="77777777" w:rsidR="001C3040" w:rsidRDefault="001C3040" w:rsidP="007F4C72">
      <w:pPr>
        <w:spacing w:line="18pt" w:lineRule="auto"/>
        <w:jc w:val="start"/>
        <w:rPr>
          <w:rFonts w:ascii="Arial" w:hAnsi="Arial" w:cs="Arial"/>
          <w:sz w:val="24"/>
          <w:szCs w:val="24"/>
        </w:rPr>
      </w:pPr>
    </w:p>
    <w:p w14:paraId="71CDF356" w14:textId="77777777" w:rsidR="002B0FC1" w:rsidRPr="002B0FC1" w:rsidRDefault="002B0FC1" w:rsidP="002B0FC1">
      <w:pPr>
        <w:spacing w:line="18pt" w:lineRule="auto"/>
        <w:jc w:val="start"/>
        <w:rPr>
          <w:rFonts w:ascii="Arial" w:hAnsi="Arial" w:cs="Arial"/>
          <w:b/>
          <w:bCs/>
          <w:i/>
          <w:iCs/>
          <w:sz w:val="24"/>
          <w:szCs w:val="24"/>
        </w:rPr>
      </w:pPr>
      <w:r w:rsidRPr="002B0FC1">
        <w:rPr>
          <w:rFonts w:ascii="Arial" w:hAnsi="Arial" w:cs="Arial"/>
          <w:b/>
          <w:bCs/>
          <w:i/>
          <w:iCs/>
          <w:sz w:val="24"/>
          <w:szCs w:val="24"/>
        </w:rPr>
        <w:t>Table 1. High-Level Cybersecurity Risk Assessment</w:t>
      </w:r>
    </w:p>
    <w:p w14:paraId="55554C76" w14:textId="77777777" w:rsidR="001C3040" w:rsidRDefault="001C3040" w:rsidP="007F4C72">
      <w:pPr>
        <w:spacing w:line="18pt" w:lineRule="auto"/>
        <w:jc w:val="start"/>
        <w:rPr>
          <w:rFonts w:ascii="Arial" w:hAnsi="Arial" w:cs="Arial"/>
          <w:sz w:val="24"/>
          <w:szCs w:val="24"/>
        </w:rPr>
      </w:pPr>
    </w:p>
    <w:tbl>
      <w:tblPr>
        <w:tblStyle w:val="TableGrid"/>
        <w:tblW w:w="0pt" w:type="dxa"/>
        <w:tblLook w:firstRow="1" w:lastRow="0" w:firstColumn="1" w:lastColumn="0" w:noHBand="0" w:noVBand="1"/>
      </w:tblPr>
      <w:tblGrid>
        <w:gridCol w:w="2016"/>
        <w:gridCol w:w="2016"/>
        <w:gridCol w:w="2016"/>
        <w:gridCol w:w="2017"/>
        <w:gridCol w:w="2017"/>
      </w:tblGrid>
      <w:tr w:rsidR="00AD7742" w14:paraId="29FDDDE5" w14:textId="77777777" w:rsidTr="002011E8">
        <w:tc>
          <w:tcPr>
            <w:tcW w:w="100.80pt" w:type="dxa"/>
            <w:shd w:val="clear" w:color="auto" w:fill="D0CECE" w:themeFill="background2" w:themeFillShade="E6"/>
          </w:tcPr>
          <w:p w14:paraId="74AB2DAD" w14:textId="247C88E2" w:rsidR="00AD7742" w:rsidRPr="00F85642" w:rsidRDefault="00F23353" w:rsidP="00F85642">
            <w:pPr>
              <w:spacing w:line="18pt" w:lineRule="auto"/>
              <w:rPr>
                <w:rFonts w:ascii="Arial" w:hAnsi="Arial" w:cs="Arial"/>
                <w:b/>
                <w:bCs/>
                <w:sz w:val="24"/>
                <w:szCs w:val="24"/>
              </w:rPr>
            </w:pPr>
            <w:r w:rsidRPr="0097344E">
              <w:rPr>
                <w:rFonts w:ascii="Arial" w:hAnsi="Arial" w:cs="Arial"/>
                <w:b/>
                <w:bCs/>
                <w:color w:val="000000" w:themeColor="text1"/>
                <w:sz w:val="24"/>
                <w:szCs w:val="24"/>
              </w:rPr>
              <w:t>Risk</w:t>
            </w:r>
          </w:p>
        </w:tc>
        <w:tc>
          <w:tcPr>
            <w:tcW w:w="100.80pt" w:type="dxa"/>
            <w:shd w:val="clear" w:color="auto" w:fill="D0CECE" w:themeFill="background2" w:themeFillShade="E6"/>
          </w:tcPr>
          <w:p w14:paraId="6604478C" w14:textId="7C4D33F5" w:rsidR="00AD7742" w:rsidRPr="00F85642" w:rsidRDefault="00383D6B" w:rsidP="00F85642">
            <w:pPr>
              <w:spacing w:line="18pt" w:lineRule="auto"/>
              <w:rPr>
                <w:rFonts w:ascii="Arial" w:hAnsi="Arial" w:cs="Arial"/>
                <w:b/>
                <w:bCs/>
                <w:sz w:val="24"/>
                <w:szCs w:val="24"/>
              </w:rPr>
            </w:pPr>
            <w:r w:rsidRPr="00F85642">
              <w:rPr>
                <w:rFonts w:ascii="Arial" w:hAnsi="Arial" w:cs="Arial"/>
                <w:b/>
                <w:bCs/>
                <w:color w:val="000000" w:themeColor="text1"/>
                <w:sz w:val="24"/>
                <w:szCs w:val="24"/>
                <w:lang w:val="en-GB"/>
              </w:rPr>
              <w:t>Likelihood</w:t>
            </w:r>
          </w:p>
        </w:tc>
        <w:tc>
          <w:tcPr>
            <w:tcW w:w="100.80pt" w:type="dxa"/>
            <w:shd w:val="clear" w:color="auto" w:fill="D0CECE" w:themeFill="background2" w:themeFillShade="E6"/>
          </w:tcPr>
          <w:p w14:paraId="4D39AFE2" w14:textId="157F7482" w:rsidR="00AD7742" w:rsidRPr="00F85642" w:rsidRDefault="00383D6B" w:rsidP="00F85642">
            <w:pPr>
              <w:spacing w:line="18pt" w:lineRule="auto"/>
              <w:rPr>
                <w:rFonts w:ascii="Arial" w:hAnsi="Arial" w:cs="Arial"/>
                <w:b/>
                <w:bCs/>
                <w:sz w:val="24"/>
                <w:szCs w:val="24"/>
              </w:rPr>
            </w:pPr>
            <w:r w:rsidRPr="00F85642">
              <w:rPr>
                <w:rFonts w:ascii="Arial" w:hAnsi="Arial" w:cs="Arial"/>
                <w:b/>
                <w:bCs/>
                <w:color w:val="000000" w:themeColor="text1"/>
                <w:sz w:val="24"/>
                <w:szCs w:val="24"/>
                <w:lang w:val="en-GB"/>
              </w:rPr>
              <w:t>Impact</w:t>
            </w:r>
          </w:p>
        </w:tc>
        <w:tc>
          <w:tcPr>
            <w:tcW w:w="100.85pt" w:type="dxa"/>
            <w:shd w:val="clear" w:color="auto" w:fill="D0CECE" w:themeFill="background2" w:themeFillShade="E6"/>
          </w:tcPr>
          <w:p w14:paraId="391D4BC4" w14:textId="6C0C84B2" w:rsidR="00AD7742" w:rsidRPr="00F85642" w:rsidRDefault="00383D6B" w:rsidP="00F85642">
            <w:pPr>
              <w:spacing w:line="18pt" w:lineRule="auto"/>
              <w:rPr>
                <w:rFonts w:ascii="Arial" w:hAnsi="Arial" w:cs="Arial"/>
                <w:b/>
                <w:bCs/>
                <w:sz w:val="24"/>
                <w:szCs w:val="24"/>
              </w:rPr>
            </w:pPr>
            <w:r w:rsidRPr="00F85642">
              <w:rPr>
                <w:rFonts w:ascii="Arial" w:hAnsi="Arial" w:cs="Arial"/>
                <w:b/>
                <w:bCs/>
                <w:color w:val="000000" w:themeColor="text1"/>
                <w:sz w:val="24"/>
                <w:szCs w:val="24"/>
                <w:lang w:val="en-GB"/>
              </w:rPr>
              <w:t>Priority</w:t>
            </w:r>
          </w:p>
        </w:tc>
        <w:tc>
          <w:tcPr>
            <w:tcW w:w="100.85pt" w:type="dxa"/>
            <w:shd w:val="clear" w:color="auto" w:fill="D0CECE" w:themeFill="background2" w:themeFillShade="E6"/>
          </w:tcPr>
          <w:p w14:paraId="33F06FCD" w14:textId="396E92E9" w:rsidR="00AD7742" w:rsidRPr="00F85642" w:rsidRDefault="00383D6B" w:rsidP="00F85642">
            <w:pPr>
              <w:spacing w:line="18pt" w:lineRule="auto"/>
              <w:rPr>
                <w:rFonts w:ascii="Arial" w:hAnsi="Arial" w:cs="Arial"/>
                <w:b/>
                <w:bCs/>
                <w:sz w:val="24"/>
                <w:szCs w:val="24"/>
              </w:rPr>
            </w:pPr>
            <w:r w:rsidRPr="00F85642">
              <w:rPr>
                <w:rFonts w:ascii="Arial" w:hAnsi="Arial" w:cs="Arial"/>
                <w:b/>
                <w:bCs/>
                <w:color w:val="000000" w:themeColor="text1"/>
                <w:sz w:val="24"/>
                <w:szCs w:val="24"/>
                <w:lang w:val="en-GB"/>
              </w:rPr>
              <w:t>Proposed Mitigation</w:t>
            </w:r>
          </w:p>
        </w:tc>
      </w:tr>
      <w:tr w:rsidR="00F23353" w:rsidRPr="00F23353" w14:paraId="0B09634E" w14:textId="77777777" w:rsidTr="002011E8">
        <w:tc>
          <w:tcPr>
            <w:tcW w:w="0pt" w:type="dxa"/>
            <w:hideMark/>
          </w:tcPr>
          <w:p w14:paraId="68CE19A8" w14:textId="589C0424" w:rsidR="00F23353" w:rsidRPr="00F23353" w:rsidRDefault="00F23353" w:rsidP="00F23353">
            <w:pPr>
              <w:rPr>
                <w:rFonts w:eastAsia="Times New Roman"/>
                <w:b/>
                <w:bCs/>
                <w:sz w:val="24"/>
                <w:szCs w:val="24"/>
                <w:lang w:val="en-GB" w:eastAsia="en-GB"/>
              </w:rPr>
            </w:pPr>
          </w:p>
        </w:tc>
        <w:tc>
          <w:tcPr>
            <w:tcW w:w="0pt" w:type="dxa"/>
            <w:hideMark/>
          </w:tcPr>
          <w:p w14:paraId="45BB1E6B" w14:textId="2A7E8C2B" w:rsidR="00F23353" w:rsidRPr="00F23353" w:rsidRDefault="00F23353" w:rsidP="00F23353">
            <w:pPr>
              <w:rPr>
                <w:rFonts w:eastAsia="Times New Roman"/>
                <w:b/>
                <w:bCs/>
                <w:sz w:val="24"/>
                <w:szCs w:val="24"/>
                <w:lang w:val="en-GB" w:eastAsia="en-GB"/>
              </w:rPr>
            </w:pPr>
          </w:p>
        </w:tc>
        <w:tc>
          <w:tcPr>
            <w:tcW w:w="0pt" w:type="dxa"/>
            <w:hideMark/>
          </w:tcPr>
          <w:p w14:paraId="368AC74A" w14:textId="424B9619" w:rsidR="00F23353" w:rsidRPr="00F23353" w:rsidRDefault="00F23353" w:rsidP="00F23353">
            <w:pPr>
              <w:rPr>
                <w:rFonts w:eastAsia="Times New Roman"/>
                <w:b/>
                <w:bCs/>
                <w:sz w:val="24"/>
                <w:szCs w:val="24"/>
                <w:lang w:val="en-GB" w:eastAsia="en-GB"/>
              </w:rPr>
            </w:pPr>
          </w:p>
        </w:tc>
        <w:tc>
          <w:tcPr>
            <w:tcW w:w="0pt" w:type="dxa"/>
            <w:hideMark/>
          </w:tcPr>
          <w:p w14:paraId="050C2240" w14:textId="161615A9" w:rsidR="00F23353" w:rsidRPr="00F23353" w:rsidRDefault="00F23353" w:rsidP="00F23353">
            <w:pPr>
              <w:rPr>
                <w:rFonts w:eastAsia="Times New Roman"/>
                <w:b/>
                <w:bCs/>
                <w:sz w:val="24"/>
                <w:szCs w:val="24"/>
                <w:lang w:val="en-GB" w:eastAsia="en-GB"/>
              </w:rPr>
            </w:pPr>
          </w:p>
        </w:tc>
        <w:tc>
          <w:tcPr>
            <w:tcW w:w="0pt" w:type="dxa"/>
            <w:hideMark/>
          </w:tcPr>
          <w:p w14:paraId="3D8AA5DA" w14:textId="55C23272" w:rsidR="00F23353" w:rsidRPr="00F23353" w:rsidRDefault="00F23353" w:rsidP="00F23353">
            <w:pPr>
              <w:rPr>
                <w:rFonts w:eastAsia="Times New Roman"/>
                <w:b/>
                <w:bCs/>
                <w:sz w:val="24"/>
                <w:szCs w:val="24"/>
                <w:lang w:val="en-GB" w:eastAsia="en-GB"/>
              </w:rPr>
            </w:pPr>
          </w:p>
        </w:tc>
      </w:tr>
      <w:tr w:rsidR="00F23353" w:rsidRPr="00F23353" w14:paraId="6CBD137F" w14:textId="77777777" w:rsidTr="002011E8">
        <w:tc>
          <w:tcPr>
            <w:tcW w:w="0pt" w:type="dxa"/>
            <w:hideMark/>
          </w:tcPr>
          <w:p w14:paraId="02336947" w14:textId="77777777" w:rsidR="00F23353" w:rsidRPr="00F23353" w:rsidRDefault="00F23353" w:rsidP="00F23353">
            <w:pPr>
              <w:rPr>
                <w:rFonts w:eastAsia="Times New Roman"/>
                <w:b/>
                <w:bCs/>
                <w:sz w:val="24"/>
                <w:szCs w:val="24"/>
                <w:lang w:val="en-GB" w:eastAsia="en-GB"/>
              </w:rPr>
            </w:pPr>
          </w:p>
        </w:tc>
        <w:tc>
          <w:tcPr>
            <w:tcW w:w="0pt" w:type="dxa"/>
            <w:hideMark/>
          </w:tcPr>
          <w:p w14:paraId="095A7647" w14:textId="77777777" w:rsidR="00F23353" w:rsidRPr="00F23353" w:rsidRDefault="00F23353" w:rsidP="00F23353">
            <w:pPr>
              <w:jc w:val="start"/>
              <w:rPr>
                <w:rFonts w:eastAsia="Times New Roman"/>
                <w:lang w:val="en-GB" w:eastAsia="en-GB"/>
              </w:rPr>
            </w:pPr>
          </w:p>
        </w:tc>
        <w:tc>
          <w:tcPr>
            <w:tcW w:w="0pt" w:type="dxa"/>
            <w:hideMark/>
          </w:tcPr>
          <w:p w14:paraId="6E783F16" w14:textId="77777777" w:rsidR="00F23353" w:rsidRPr="00F23353" w:rsidRDefault="00F23353" w:rsidP="00F23353">
            <w:pPr>
              <w:jc w:val="start"/>
              <w:rPr>
                <w:rFonts w:eastAsia="Times New Roman"/>
                <w:lang w:val="en-GB" w:eastAsia="en-GB"/>
              </w:rPr>
            </w:pPr>
          </w:p>
        </w:tc>
        <w:tc>
          <w:tcPr>
            <w:tcW w:w="0pt" w:type="dxa"/>
            <w:hideMark/>
          </w:tcPr>
          <w:p w14:paraId="16190FCB" w14:textId="77777777" w:rsidR="00F23353" w:rsidRPr="00F23353" w:rsidRDefault="00F23353" w:rsidP="00F23353">
            <w:pPr>
              <w:jc w:val="start"/>
              <w:rPr>
                <w:rFonts w:eastAsia="Times New Roman"/>
                <w:lang w:val="en-GB" w:eastAsia="en-GB"/>
              </w:rPr>
            </w:pPr>
          </w:p>
        </w:tc>
        <w:tc>
          <w:tcPr>
            <w:tcW w:w="0pt" w:type="dxa"/>
            <w:hideMark/>
          </w:tcPr>
          <w:p w14:paraId="5A7F9D29" w14:textId="77777777" w:rsidR="00F23353" w:rsidRPr="00F23353" w:rsidRDefault="00F23353" w:rsidP="00F23353">
            <w:pPr>
              <w:jc w:val="start"/>
              <w:rPr>
                <w:rFonts w:eastAsia="Times New Roman"/>
                <w:lang w:val="en-GB" w:eastAsia="en-GB"/>
              </w:rPr>
            </w:pPr>
          </w:p>
        </w:tc>
      </w:tr>
      <w:tr w:rsidR="00F23353" w:rsidRPr="00F23353" w14:paraId="37983939" w14:textId="77777777" w:rsidTr="002011E8">
        <w:tc>
          <w:tcPr>
            <w:tcW w:w="0pt" w:type="dxa"/>
            <w:hideMark/>
          </w:tcPr>
          <w:p w14:paraId="2CA1D4AB" w14:textId="77777777" w:rsidR="00F23353" w:rsidRPr="00F23353" w:rsidRDefault="00F23353" w:rsidP="00F23353">
            <w:pPr>
              <w:jc w:val="start"/>
              <w:rPr>
                <w:rFonts w:eastAsia="Times New Roman"/>
                <w:lang w:val="en-GB" w:eastAsia="en-GB"/>
              </w:rPr>
            </w:pPr>
          </w:p>
        </w:tc>
        <w:tc>
          <w:tcPr>
            <w:tcW w:w="0pt" w:type="dxa"/>
            <w:hideMark/>
          </w:tcPr>
          <w:p w14:paraId="57685C64" w14:textId="77777777" w:rsidR="00F23353" w:rsidRPr="00F23353" w:rsidRDefault="00F23353" w:rsidP="00F23353">
            <w:pPr>
              <w:jc w:val="start"/>
              <w:rPr>
                <w:rFonts w:eastAsia="Times New Roman"/>
                <w:lang w:val="en-GB" w:eastAsia="en-GB"/>
              </w:rPr>
            </w:pPr>
          </w:p>
        </w:tc>
        <w:tc>
          <w:tcPr>
            <w:tcW w:w="0pt" w:type="dxa"/>
            <w:hideMark/>
          </w:tcPr>
          <w:p w14:paraId="59AD51FA" w14:textId="77777777" w:rsidR="00F23353" w:rsidRPr="00F23353" w:rsidRDefault="00F23353" w:rsidP="00F23353">
            <w:pPr>
              <w:jc w:val="start"/>
              <w:rPr>
                <w:rFonts w:eastAsia="Times New Roman"/>
                <w:lang w:val="en-GB" w:eastAsia="en-GB"/>
              </w:rPr>
            </w:pPr>
          </w:p>
        </w:tc>
        <w:tc>
          <w:tcPr>
            <w:tcW w:w="0pt" w:type="dxa"/>
            <w:hideMark/>
          </w:tcPr>
          <w:p w14:paraId="692EC201" w14:textId="77777777" w:rsidR="00F23353" w:rsidRPr="00F23353" w:rsidRDefault="00F23353" w:rsidP="00F23353">
            <w:pPr>
              <w:jc w:val="start"/>
              <w:rPr>
                <w:rFonts w:eastAsia="Times New Roman"/>
                <w:lang w:val="en-GB" w:eastAsia="en-GB"/>
              </w:rPr>
            </w:pPr>
          </w:p>
        </w:tc>
        <w:tc>
          <w:tcPr>
            <w:tcW w:w="0pt" w:type="dxa"/>
            <w:hideMark/>
          </w:tcPr>
          <w:p w14:paraId="41D58691" w14:textId="77777777" w:rsidR="00F23353" w:rsidRPr="00F23353" w:rsidRDefault="00F23353" w:rsidP="00F23353">
            <w:pPr>
              <w:jc w:val="start"/>
              <w:rPr>
                <w:rFonts w:eastAsia="Times New Roman"/>
                <w:lang w:val="en-GB" w:eastAsia="en-GB"/>
              </w:rPr>
            </w:pPr>
          </w:p>
        </w:tc>
      </w:tr>
      <w:tr w:rsidR="00F23353" w:rsidRPr="00F23353" w14:paraId="7043B3FC" w14:textId="77777777" w:rsidTr="002011E8">
        <w:tc>
          <w:tcPr>
            <w:tcW w:w="0pt" w:type="dxa"/>
            <w:hideMark/>
          </w:tcPr>
          <w:p w14:paraId="65D823A9" w14:textId="77777777" w:rsidR="00F23353" w:rsidRPr="00F23353" w:rsidRDefault="00F23353" w:rsidP="00F23353">
            <w:pPr>
              <w:jc w:val="start"/>
              <w:rPr>
                <w:rFonts w:eastAsia="Times New Roman"/>
                <w:lang w:val="en-GB" w:eastAsia="en-GB"/>
              </w:rPr>
            </w:pPr>
          </w:p>
        </w:tc>
        <w:tc>
          <w:tcPr>
            <w:tcW w:w="0pt" w:type="dxa"/>
            <w:hideMark/>
          </w:tcPr>
          <w:p w14:paraId="2FDCF013" w14:textId="77777777" w:rsidR="00F23353" w:rsidRPr="00F23353" w:rsidRDefault="00F23353" w:rsidP="00F23353">
            <w:pPr>
              <w:jc w:val="start"/>
              <w:rPr>
                <w:rFonts w:eastAsia="Times New Roman"/>
                <w:lang w:val="en-GB" w:eastAsia="en-GB"/>
              </w:rPr>
            </w:pPr>
          </w:p>
        </w:tc>
        <w:tc>
          <w:tcPr>
            <w:tcW w:w="0pt" w:type="dxa"/>
            <w:hideMark/>
          </w:tcPr>
          <w:p w14:paraId="49F2CF09" w14:textId="77777777" w:rsidR="00F23353" w:rsidRPr="00F23353" w:rsidRDefault="00F23353" w:rsidP="00F23353">
            <w:pPr>
              <w:jc w:val="start"/>
              <w:rPr>
                <w:rFonts w:eastAsia="Times New Roman"/>
                <w:lang w:val="en-GB" w:eastAsia="en-GB"/>
              </w:rPr>
            </w:pPr>
          </w:p>
        </w:tc>
        <w:tc>
          <w:tcPr>
            <w:tcW w:w="0pt" w:type="dxa"/>
            <w:hideMark/>
          </w:tcPr>
          <w:p w14:paraId="02FD66B6" w14:textId="77777777" w:rsidR="00F23353" w:rsidRPr="00F23353" w:rsidRDefault="00F23353" w:rsidP="00F23353">
            <w:pPr>
              <w:jc w:val="start"/>
              <w:rPr>
                <w:rFonts w:eastAsia="Times New Roman"/>
                <w:lang w:val="en-GB" w:eastAsia="en-GB"/>
              </w:rPr>
            </w:pPr>
          </w:p>
        </w:tc>
        <w:tc>
          <w:tcPr>
            <w:tcW w:w="0pt" w:type="dxa"/>
            <w:hideMark/>
          </w:tcPr>
          <w:p w14:paraId="4E5A10CF" w14:textId="77777777" w:rsidR="00F23353" w:rsidRPr="00F23353" w:rsidRDefault="00F23353" w:rsidP="00F23353">
            <w:pPr>
              <w:jc w:val="start"/>
              <w:rPr>
                <w:rFonts w:eastAsia="Times New Roman"/>
                <w:lang w:val="en-GB" w:eastAsia="en-GB"/>
              </w:rPr>
            </w:pPr>
          </w:p>
        </w:tc>
      </w:tr>
      <w:tr w:rsidR="00F23353" w:rsidRPr="00F23353" w14:paraId="20C22E58" w14:textId="77777777" w:rsidTr="002011E8">
        <w:tc>
          <w:tcPr>
            <w:tcW w:w="0pt" w:type="dxa"/>
            <w:hideMark/>
          </w:tcPr>
          <w:p w14:paraId="705CB2C5" w14:textId="77777777" w:rsidR="00F23353" w:rsidRPr="00F23353" w:rsidRDefault="00F23353" w:rsidP="00F23353">
            <w:pPr>
              <w:jc w:val="start"/>
              <w:rPr>
                <w:rFonts w:eastAsia="Times New Roman"/>
                <w:lang w:val="en-GB" w:eastAsia="en-GB"/>
              </w:rPr>
            </w:pPr>
          </w:p>
        </w:tc>
        <w:tc>
          <w:tcPr>
            <w:tcW w:w="0pt" w:type="dxa"/>
            <w:hideMark/>
          </w:tcPr>
          <w:p w14:paraId="2F4322E2" w14:textId="77777777" w:rsidR="00F23353" w:rsidRPr="00F23353" w:rsidRDefault="00F23353" w:rsidP="00F23353">
            <w:pPr>
              <w:jc w:val="start"/>
              <w:rPr>
                <w:rFonts w:eastAsia="Times New Roman"/>
                <w:lang w:val="en-GB" w:eastAsia="en-GB"/>
              </w:rPr>
            </w:pPr>
          </w:p>
        </w:tc>
        <w:tc>
          <w:tcPr>
            <w:tcW w:w="0pt" w:type="dxa"/>
            <w:hideMark/>
          </w:tcPr>
          <w:p w14:paraId="3D9E008F" w14:textId="77777777" w:rsidR="00F23353" w:rsidRPr="00F23353" w:rsidRDefault="00F23353" w:rsidP="00F23353">
            <w:pPr>
              <w:jc w:val="start"/>
              <w:rPr>
                <w:rFonts w:eastAsia="Times New Roman"/>
                <w:lang w:val="en-GB" w:eastAsia="en-GB"/>
              </w:rPr>
            </w:pPr>
          </w:p>
        </w:tc>
        <w:tc>
          <w:tcPr>
            <w:tcW w:w="0pt" w:type="dxa"/>
            <w:hideMark/>
          </w:tcPr>
          <w:p w14:paraId="71883A39" w14:textId="77777777" w:rsidR="00F23353" w:rsidRPr="00F23353" w:rsidRDefault="00F23353" w:rsidP="00F23353">
            <w:pPr>
              <w:jc w:val="start"/>
              <w:rPr>
                <w:rFonts w:eastAsia="Times New Roman"/>
                <w:lang w:val="en-GB" w:eastAsia="en-GB"/>
              </w:rPr>
            </w:pPr>
          </w:p>
        </w:tc>
        <w:tc>
          <w:tcPr>
            <w:tcW w:w="0pt" w:type="dxa"/>
            <w:hideMark/>
          </w:tcPr>
          <w:p w14:paraId="122E9977" w14:textId="77777777" w:rsidR="00F23353" w:rsidRPr="00F23353" w:rsidRDefault="00F23353" w:rsidP="00F23353">
            <w:pPr>
              <w:jc w:val="start"/>
              <w:rPr>
                <w:rFonts w:eastAsia="Times New Roman"/>
                <w:lang w:val="en-GB" w:eastAsia="en-GB"/>
              </w:rPr>
            </w:pPr>
          </w:p>
        </w:tc>
      </w:tr>
      <w:tr w:rsidR="00F23353" w:rsidRPr="00F23353" w14:paraId="7DF58114" w14:textId="77777777" w:rsidTr="002011E8">
        <w:tc>
          <w:tcPr>
            <w:tcW w:w="0pt" w:type="dxa"/>
            <w:hideMark/>
          </w:tcPr>
          <w:p w14:paraId="54789DB7" w14:textId="77777777" w:rsidR="00F23353" w:rsidRPr="00F23353" w:rsidRDefault="00F23353" w:rsidP="00F23353">
            <w:pPr>
              <w:jc w:val="start"/>
              <w:rPr>
                <w:rFonts w:eastAsia="Times New Roman"/>
                <w:lang w:val="en-GB" w:eastAsia="en-GB"/>
              </w:rPr>
            </w:pPr>
          </w:p>
        </w:tc>
        <w:tc>
          <w:tcPr>
            <w:tcW w:w="0pt" w:type="dxa"/>
            <w:hideMark/>
          </w:tcPr>
          <w:p w14:paraId="324754B7" w14:textId="77777777" w:rsidR="00F23353" w:rsidRPr="00F23353" w:rsidRDefault="00F23353" w:rsidP="00F23353">
            <w:pPr>
              <w:jc w:val="start"/>
              <w:rPr>
                <w:rFonts w:eastAsia="Times New Roman"/>
                <w:lang w:val="en-GB" w:eastAsia="en-GB"/>
              </w:rPr>
            </w:pPr>
          </w:p>
        </w:tc>
        <w:tc>
          <w:tcPr>
            <w:tcW w:w="0pt" w:type="dxa"/>
            <w:hideMark/>
          </w:tcPr>
          <w:p w14:paraId="7589C526" w14:textId="77777777" w:rsidR="00F23353" w:rsidRPr="00F23353" w:rsidRDefault="00F23353" w:rsidP="00F23353">
            <w:pPr>
              <w:jc w:val="start"/>
              <w:rPr>
                <w:rFonts w:eastAsia="Times New Roman"/>
                <w:lang w:val="en-GB" w:eastAsia="en-GB"/>
              </w:rPr>
            </w:pPr>
          </w:p>
        </w:tc>
        <w:tc>
          <w:tcPr>
            <w:tcW w:w="0pt" w:type="dxa"/>
            <w:hideMark/>
          </w:tcPr>
          <w:p w14:paraId="415D2662" w14:textId="77777777" w:rsidR="00F23353" w:rsidRPr="00F23353" w:rsidRDefault="00F23353" w:rsidP="00F23353">
            <w:pPr>
              <w:jc w:val="start"/>
              <w:rPr>
                <w:rFonts w:eastAsia="Times New Roman"/>
                <w:lang w:val="en-GB" w:eastAsia="en-GB"/>
              </w:rPr>
            </w:pPr>
          </w:p>
        </w:tc>
        <w:tc>
          <w:tcPr>
            <w:tcW w:w="0pt" w:type="dxa"/>
            <w:hideMark/>
          </w:tcPr>
          <w:p w14:paraId="2D9666E1" w14:textId="77777777" w:rsidR="00F23353" w:rsidRPr="00F23353" w:rsidRDefault="00F23353" w:rsidP="00F23353">
            <w:pPr>
              <w:jc w:val="start"/>
              <w:rPr>
                <w:rFonts w:eastAsia="Times New Roman"/>
                <w:lang w:val="en-GB" w:eastAsia="en-GB"/>
              </w:rPr>
            </w:pPr>
          </w:p>
        </w:tc>
      </w:tr>
      <w:tr w:rsidR="00AD7742" w14:paraId="59791DC4" w14:textId="77777777" w:rsidTr="00DD01E1">
        <w:trPr>
          <w:trHeight w:val="715"/>
        </w:trPr>
        <w:tc>
          <w:tcPr>
            <w:tcW w:w="100.80pt" w:type="dxa"/>
          </w:tcPr>
          <w:p w14:paraId="0B366C8B" w14:textId="18DABA90" w:rsidR="00AD7742" w:rsidRPr="00331D01" w:rsidRDefault="002D3AFC" w:rsidP="007F4C72">
            <w:pPr>
              <w:spacing w:line="18pt" w:lineRule="auto"/>
              <w:jc w:val="start"/>
              <w:rPr>
                <w:rFonts w:ascii="Arial" w:hAnsi="Arial" w:cs="Arial"/>
              </w:rPr>
            </w:pPr>
            <w:r w:rsidRPr="00331D01">
              <w:rPr>
                <w:rFonts w:ascii="Arial" w:hAnsi="Arial" w:cs="Arial"/>
                <w:lang w:val="en-GB"/>
              </w:rPr>
              <w:t>Unpatched internet-facing systems</w:t>
            </w:r>
          </w:p>
        </w:tc>
        <w:tc>
          <w:tcPr>
            <w:tcW w:w="100.80pt" w:type="dxa"/>
            <w:vAlign w:val="center"/>
          </w:tcPr>
          <w:p w14:paraId="41EEB583" w14:textId="7E7A438F" w:rsidR="00AD7742" w:rsidRPr="00331D01" w:rsidRDefault="00A97841" w:rsidP="00DD01E1">
            <w:pPr>
              <w:spacing w:line="18pt" w:lineRule="auto"/>
              <w:rPr>
                <w:rFonts w:ascii="Arial" w:hAnsi="Arial" w:cs="Arial"/>
              </w:rPr>
            </w:pPr>
            <w:r w:rsidRPr="00331D01">
              <w:rPr>
                <w:rFonts w:ascii="Arial" w:hAnsi="Arial" w:cs="Arial"/>
              </w:rPr>
              <w:t>High</w:t>
            </w:r>
          </w:p>
        </w:tc>
        <w:tc>
          <w:tcPr>
            <w:tcW w:w="100.80pt" w:type="dxa"/>
            <w:vAlign w:val="center"/>
          </w:tcPr>
          <w:p w14:paraId="7DB63216" w14:textId="330AB623" w:rsidR="00AD7742" w:rsidRPr="00331D01" w:rsidRDefault="00A97841" w:rsidP="00DD01E1">
            <w:pPr>
              <w:spacing w:line="18pt" w:lineRule="auto"/>
              <w:rPr>
                <w:rFonts w:ascii="Arial" w:hAnsi="Arial" w:cs="Arial"/>
              </w:rPr>
            </w:pPr>
            <w:r w:rsidRPr="00331D01">
              <w:rPr>
                <w:rFonts w:ascii="Arial" w:hAnsi="Arial" w:cs="Arial"/>
              </w:rPr>
              <w:t>Critical</w:t>
            </w:r>
          </w:p>
        </w:tc>
        <w:tc>
          <w:tcPr>
            <w:tcW w:w="100.85pt" w:type="dxa"/>
            <w:vAlign w:val="center"/>
          </w:tcPr>
          <w:p w14:paraId="51AC6B7B" w14:textId="16FF846E" w:rsidR="00AD7742" w:rsidRPr="00331D01" w:rsidRDefault="00A97841" w:rsidP="00DD01E1">
            <w:pPr>
              <w:spacing w:line="18pt" w:lineRule="auto"/>
              <w:rPr>
                <w:rFonts w:ascii="Arial" w:hAnsi="Arial" w:cs="Arial"/>
              </w:rPr>
            </w:pPr>
            <w:r w:rsidRPr="00331D01">
              <w:rPr>
                <w:rFonts w:ascii="Arial" w:hAnsi="Arial" w:cs="Arial"/>
              </w:rPr>
              <w:t>High</w:t>
            </w:r>
          </w:p>
        </w:tc>
        <w:tc>
          <w:tcPr>
            <w:tcW w:w="100.85pt" w:type="dxa"/>
          </w:tcPr>
          <w:p w14:paraId="5EA42054" w14:textId="4555A00E" w:rsidR="00AD7742" w:rsidRPr="00331D01" w:rsidRDefault="00F70CCA" w:rsidP="007F4C72">
            <w:pPr>
              <w:spacing w:line="18pt" w:lineRule="auto"/>
              <w:jc w:val="start"/>
              <w:rPr>
                <w:rFonts w:ascii="Arial" w:hAnsi="Arial" w:cs="Arial"/>
              </w:rPr>
            </w:pPr>
            <w:r w:rsidRPr="00331D01">
              <w:rPr>
                <w:rFonts w:ascii="Arial" w:hAnsi="Arial" w:cs="Arial"/>
                <w:lang w:val="en-GB"/>
              </w:rPr>
              <w:t>Automated vulnerability scanning and critical patching within 72 hours.</w:t>
            </w:r>
          </w:p>
        </w:tc>
      </w:tr>
      <w:tr w:rsidR="00AD7742" w14:paraId="58B8ECC7" w14:textId="77777777" w:rsidTr="00DD01E1">
        <w:trPr>
          <w:trHeight w:val="697"/>
        </w:trPr>
        <w:tc>
          <w:tcPr>
            <w:tcW w:w="100.80pt" w:type="dxa"/>
          </w:tcPr>
          <w:p w14:paraId="1677CD95" w14:textId="644A1CAB" w:rsidR="00AD7742" w:rsidRPr="00331D01" w:rsidRDefault="00CB62EA" w:rsidP="007F4C72">
            <w:pPr>
              <w:spacing w:line="18pt" w:lineRule="auto"/>
              <w:jc w:val="start"/>
              <w:rPr>
                <w:rFonts w:ascii="Arial" w:hAnsi="Arial" w:cs="Arial"/>
              </w:rPr>
            </w:pPr>
            <w:r w:rsidRPr="00331D01">
              <w:rPr>
                <w:rFonts w:ascii="Arial" w:hAnsi="Arial" w:cs="Arial"/>
                <w:lang w:val="en-GB"/>
              </w:rPr>
              <w:t>Poor asset visibility</w:t>
            </w:r>
          </w:p>
        </w:tc>
        <w:tc>
          <w:tcPr>
            <w:tcW w:w="100.80pt" w:type="dxa"/>
            <w:vAlign w:val="center"/>
          </w:tcPr>
          <w:p w14:paraId="0D169DC1" w14:textId="533C6734" w:rsidR="00AD7742" w:rsidRPr="00331D01" w:rsidRDefault="00A97841" w:rsidP="00DD01E1">
            <w:pPr>
              <w:spacing w:line="18pt" w:lineRule="auto"/>
              <w:rPr>
                <w:rFonts w:ascii="Arial" w:hAnsi="Arial" w:cs="Arial"/>
              </w:rPr>
            </w:pPr>
            <w:r w:rsidRPr="00331D01">
              <w:rPr>
                <w:rFonts w:ascii="Arial" w:hAnsi="Arial" w:cs="Arial"/>
              </w:rPr>
              <w:t>High</w:t>
            </w:r>
          </w:p>
        </w:tc>
        <w:tc>
          <w:tcPr>
            <w:tcW w:w="100.80pt" w:type="dxa"/>
            <w:vAlign w:val="center"/>
          </w:tcPr>
          <w:p w14:paraId="37AEB9AC" w14:textId="43394E3C" w:rsidR="00AD7742" w:rsidRPr="00331D01" w:rsidRDefault="00EA5945" w:rsidP="00DD01E1">
            <w:pPr>
              <w:spacing w:line="18pt" w:lineRule="auto"/>
              <w:rPr>
                <w:rFonts w:ascii="Arial" w:hAnsi="Arial" w:cs="Arial"/>
              </w:rPr>
            </w:pPr>
            <w:r w:rsidRPr="00331D01">
              <w:rPr>
                <w:rFonts w:ascii="Arial" w:hAnsi="Arial" w:cs="Arial"/>
              </w:rPr>
              <w:t>High</w:t>
            </w:r>
          </w:p>
        </w:tc>
        <w:tc>
          <w:tcPr>
            <w:tcW w:w="100.85pt" w:type="dxa"/>
            <w:vAlign w:val="center"/>
          </w:tcPr>
          <w:p w14:paraId="4515DD0B" w14:textId="5258ECB1" w:rsidR="00AD7742" w:rsidRPr="00331D01" w:rsidRDefault="00C41375" w:rsidP="00DD01E1">
            <w:pPr>
              <w:spacing w:line="18pt" w:lineRule="auto"/>
              <w:rPr>
                <w:rFonts w:ascii="Arial" w:hAnsi="Arial" w:cs="Arial"/>
              </w:rPr>
            </w:pPr>
            <w:r w:rsidRPr="00331D01">
              <w:rPr>
                <w:rFonts w:ascii="Arial" w:hAnsi="Arial" w:cs="Arial"/>
              </w:rPr>
              <w:t>High</w:t>
            </w:r>
          </w:p>
        </w:tc>
        <w:tc>
          <w:tcPr>
            <w:tcW w:w="100.85pt" w:type="dxa"/>
          </w:tcPr>
          <w:p w14:paraId="72CDB580" w14:textId="3A69FE93" w:rsidR="00AD7742" w:rsidRPr="00331D01" w:rsidRDefault="00AA1690" w:rsidP="007F4C72">
            <w:pPr>
              <w:spacing w:line="18pt" w:lineRule="auto"/>
              <w:jc w:val="start"/>
              <w:rPr>
                <w:rFonts w:ascii="Arial" w:hAnsi="Arial" w:cs="Arial"/>
              </w:rPr>
            </w:pPr>
            <w:r w:rsidRPr="00331D01">
              <w:rPr>
                <w:rFonts w:ascii="Arial" w:hAnsi="Arial" w:cs="Arial"/>
                <w:lang w:val="en-GB"/>
              </w:rPr>
              <w:t>Centralised asset inventory with assigned ownership and quarterly reviews.</w:t>
            </w:r>
          </w:p>
        </w:tc>
      </w:tr>
      <w:tr w:rsidR="00AD7742" w14:paraId="50FF6ACD" w14:textId="77777777" w:rsidTr="00DD01E1">
        <w:trPr>
          <w:trHeight w:val="707"/>
        </w:trPr>
        <w:tc>
          <w:tcPr>
            <w:tcW w:w="100.80pt" w:type="dxa"/>
          </w:tcPr>
          <w:p w14:paraId="4960831B" w14:textId="219C790B" w:rsidR="00AD7742" w:rsidRPr="00331D01" w:rsidRDefault="00785A26" w:rsidP="007F4C72">
            <w:pPr>
              <w:spacing w:line="18pt" w:lineRule="auto"/>
              <w:jc w:val="start"/>
              <w:rPr>
                <w:rFonts w:ascii="Arial" w:hAnsi="Arial" w:cs="Arial"/>
              </w:rPr>
            </w:pPr>
            <w:r w:rsidRPr="00331D01">
              <w:rPr>
                <w:rFonts w:ascii="Arial" w:hAnsi="Arial" w:cs="Arial"/>
                <w:lang w:val="en-GB"/>
              </w:rPr>
              <w:t>Supply chain vulnerabilities</w:t>
            </w:r>
          </w:p>
        </w:tc>
        <w:tc>
          <w:tcPr>
            <w:tcW w:w="100.80pt" w:type="dxa"/>
            <w:vAlign w:val="center"/>
          </w:tcPr>
          <w:p w14:paraId="16928378" w14:textId="0E8C44D8" w:rsidR="00AD7742" w:rsidRPr="00331D01" w:rsidRDefault="00A97841" w:rsidP="00DD01E1">
            <w:pPr>
              <w:spacing w:line="18pt" w:lineRule="auto"/>
              <w:rPr>
                <w:rFonts w:ascii="Arial" w:hAnsi="Arial" w:cs="Arial"/>
              </w:rPr>
            </w:pPr>
            <w:r w:rsidRPr="00331D01">
              <w:rPr>
                <w:rFonts w:ascii="Arial" w:hAnsi="Arial" w:cs="Arial"/>
              </w:rPr>
              <w:t>Medium</w:t>
            </w:r>
          </w:p>
        </w:tc>
        <w:tc>
          <w:tcPr>
            <w:tcW w:w="100.80pt" w:type="dxa"/>
            <w:vAlign w:val="center"/>
          </w:tcPr>
          <w:p w14:paraId="0DCA5236" w14:textId="78687FEE" w:rsidR="00AD7742" w:rsidRPr="00331D01" w:rsidRDefault="00EA5945" w:rsidP="00DD01E1">
            <w:pPr>
              <w:spacing w:line="18pt" w:lineRule="auto"/>
              <w:rPr>
                <w:rFonts w:ascii="Arial" w:hAnsi="Arial" w:cs="Arial"/>
              </w:rPr>
            </w:pPr>
            <w:r w:rsidRPr="00331D01">
              <w:rPr>
                <w:rFonts w:ascii="Arial" w:hAnsi="Arial" w:cs="Arial"/>
              </w:rPr>
              <w:t>High</w:t>
            </w:r>
          </w:p>
        </w:tc>
        <w:tc>
          <w:tcPr>
            <w:tcW w:w="100.85pt" w:type="dxa"/>
            <w:vAlign w:val="center"/>
          </w:tcPr>
          <w:p w14:paraId="25C09D43" w14:textId="1CA7C37B" w:rsidR="00AD7742" w:rsidRPr="00331D01" w:rsidRDefault="00C41375" w:rsidP="00DD01E1">
            <w:pPr>
              <w:spacing w:line="18pt" w:lineRule="auto"/>
              <w:rPr>
                <w:rFonts w:ascii="Arial" w:hAnsi="Arial" w:cs="Arial"/>
              </w:rPr>
            </w:pPr>
            <w:r w:rsidRPr="00331D01">
              <w:rPr>
                <w:rFonts w:ascii="Arial" w:hAnsi="Arial" w:cs="Arial"/>
              </w:rPr>
              <w:t>Medium</w:t>
            </w:r>
          </w:p>
        </w:tc>
        <w:tc>
          <w:tcPr>
            <w:tcW w:w="100.85pt" w:type="dxa"/>
          </w:tcPr>
          <w:p w14:paraId="695DDD4B" w14:textId="3814507D" w:rsidR="00AD7742" w:rsidRPr="00331D01" w:rsidRDefault="0094075A" w:rsidP="007F4C72">
            <w:pPr>
              <w:spacing w:line="18pt" w:lineRule="auto"/>
              <w:jc w:val="start"/>
              <w:rPr>
                <w:rFonts w:ascii="Arial" w:hAnsi="Arial" w:cs="Arial"/>
              </w:rPr>
            </w:pPr>
            <w:r w:rsidRPr="00331D01">
              <w:rPr>
                <w:rFonts w:ascii="Arial" w:hAnsi="Arial" w:cs="Arial"/>
                <w:lang w:val="en-GB"/>
              </w:rPr>
              <w:t>Third-party security assessments and supplier risk monitoring.</w:t>
            </w:r>
          </w:p>
        </w:tc>
      </w:tr>
      <w:tr w:rsidR="002C6119" w14:paraId="46E06039" w14:textId="77777777" w:rsidTr="00DD01E1">
        <w:trPr>
          <w:trHeight w:val="688"/>
        </w:trPr>
        <w:tc>
          <w:tcPr>
            <w:tcW w:w="100.80pt" w:type="dxa"/>
          </w:tcPr>
          <w:p w14:paraId="71B10B2B" w14:textId="262D1F19" w:rsidR="002C6119" w:rsidRPr="00331D01" w:rsidRDefault="000E4E2A" w:rsidP="002C6119">
            <w:pPr>
              <w:spacing w:line="18pt" w:lineRule="auto"/>
              <w:jc w:val="start"/>
              <w:rPr>
                <w:rFonts w:ascii="Arial" w:hAnsi="Arial" w:cs="Arial"/>
              </w:rPr>
            </w:pPr>
            <w:r w:rsidRPr="00331D01">
              <w:rPr>
                <w:rFonts w:ascii="Arial" w:hAnsi="Arial" w:cs="Arial"/>
                <w:lang w:val="en-GB"/>
              </w:rPr>
              <w:t>Weak network segmentation</w:t>
            </w:r>
          </w:p>
        </w:tc>
        <w:tc>
          <w:tcPr>
            <w:tcW w:w="100.80pt" w:type="dxa"/>
            <w:vAlign w:val="center"/>
          </w:tcPr>
          <w:p w14:paraId="30066283" w14:textId="2DF30072" w:rsidR="002C6119" w:rsidRPr="00331D01" w:rsidRDefault="00EA5945" w:rsidP="00DD01E1">
            <w:pPr>
              <w:spacing w:line="18pt" w:lineRule="auto"/>
              <w:rPr>
                <w:rFonts w:ascii="Arial" w:hAnsi="Arial" w:cs="Arial"/>
              </w:rPr>
            </w:pPr>
            <w:r w:rsidRPr="00331D01">
              <w:rPr>
                <w:rFonts w:ascii="Arial" w:hAnsi="Arial" w:cs="Arial"/>
              </w:rPr>
              <w:t>Medium</w:t>
            </w:r>
          </w:p>
        </w:tc>
        <w:tc>
          <w:tcPr>
            <w:tcW w:w="100.80pt" w:type="dxa"/>
            <w:vAlign w:val="center"/>
          </w:tcPr>
          <w:p w14:paraId="7FFE1906" w14:textId="648A1C72" w:rsidR="002C6119" w:rsidRPr="00331D01" w:rsidRDefault="00EA5945" w:rsidP="00DD01E1">
            <w:pPr>
              <w:spacing w:line="18pt" w:lineRule="auto"/>
              <w:rPr>
                <w:rFonts w:ascii="Arial" w:hAnsi="Arial" w:cs="Arial"/>
              </w:rPr>
            </w:pPr>
            <w:r w:rsidRPr="00331D01">
              <w:rPr>
                <w:rFonts w:ascii="Arial" w:hAnsi="Arial" w:cs="Arial"/>
              </w:rPr>
              <w:t>Critical</w:t>
            </w:r>
          </w:p>
        </w:tc>
        <w:tc>
          <w:tcPr>
            <w:tcW w:w="100.85pt" w:type="dxa"/>
            <w:vAlign w:val="center"/>
          </w:tcPr>
          <w:p w14:paraId="5212E86D" w14:textId="200F197B" w:rsidR="002C6119" w:rsidRPr="00331D01" w:rsidRDefault="00C41375" w:rsidP="00DD01E1">
            <w:pPr>
              <w:spacing w:line="18pt" w:lineRule="auto"/>
              <w:rPr>
                <w:rFonts w:ascii="Arial" w:hAnsi="Arial" w:cs="Arial"/>
              </w:rPr>
            </w:pPr>
            <w:r w:rsidRPr="00331D01">
              <w:rPr>
                <w:rFonts w:ascii="Arial" w:hAnsi="Arial" w:cs="Arial"/>
              </w:rPr>
              <w:t>High</w:t>
            </w:r>
          </w:p>
        </w:tc>
        <w:tc>
          <w:tcPr>
            <w:tcW w:w="100.85pt" w:type="dxa"/>
          </w:tcPr>
          <w:p w14:paraId="3A6B7125" w14:textId="0B3A4BF1" w:rsidR="002C6119" w:rsidRPr="00331D01" w:rsidRDefault="000F034A" w:rsidP="002C6119">
            <w:pPr>
              <w:spacing w:line="18pt" w:lineRule="auto"/>
              <w:jc w:val="start"/>
              <w:rPr>
                <w:rFonts w:ascii="Arial" w:hAnsi="Arial" w:cs="Arial"/>
              </w:rPr>
            </w:pPr>
            <w:r w:rsidRPr="00331D01">
              <w:rPr>
                <w:rFonts w:ascii="Arial" w:hAnsi="Arial" w:cs="Arial"/>
                <w:lang w:val="en-GB"/>
              </w:rPr>
              <w:t>Segment critical systems and restrict lateral movement.</w:t>
            </w:r>
          </w:p>
        </w:tc>
      </w:tr>
      <w:tr w:rsidR="002C6119" w14:paraId="5577CC0D" w14:textId="77777777" w:rsidTr="00DD01E1">
        <w:trPr>
          <w:trHeight w:val="699"/>
        </w:trPr>
        <w:tc>
          <w:tcPr>
            <w:tcW w:w="100.80pt" w:type="dxa"/>
          </w:tcPr>
          <w:p w14:paraId="28D844FF" w14:textId="1EE1CC16" w:rsidR="002C6119" w:rsidRPr="00331D01" w:rsidRDefault="00D828FC" w:rsidP="002C6119">
            <w:pPr>
              <w:spacing w:line="18pt" w:lineRule="auto"/>
              <w:jc w:val="start"/>
              <w:rPr>
                <w:rFonts w:ascii="Arial" w:hAnsi="Arial" w:cs="Arial"/>
              </w:rPr>
            </w:pPr>
            <w:r w:rsidRPr="00331D01">
              <w:rPr>
                <w:rFonts w:ascii="Arial" w:hAnsi="Arial" w:cs="Arial"/>
                <w:lang w:val="en-GB"/>
              </w:rPr>
              <w:t>Inadequate security monitoring</w:t>
            </w:r>
          </w:p>
        </w:tc>
        <w:tc>
          <w:tcPr>
            <w:tcW w:w="100.80pt" w:type="dxa"/>
            <w:vAlign w:val="center"/>
          </w:tcPr>
          <w:p w14:paraId="0BDBBFC2" w14:textId="0FEC315A" w:rsidR="002C6119" w:rsidRPr="00331D01" w:rsidRDefault="00EA5945" w:rsidP="00DD01E1">
            <w:pPr>
              <w:spacing w:line="18pt" w:lineRule="auto"/>
              <w:rPr>
                <w:rFonts w:ascii="Arial" w:hAnsi="Arial" w:cs="Arial"/>
              </w:rPr>
            </w:pPr>
            <w:r w:rsidRPr="00331D01">
              <w:rPr>
                <w:rFonts w:ascii="Arial" w:hAnsi="Arial" w:cs="Arial"/>
              </w:rPr>
              <w:t>High</w:t>
            </w:r>
          </w:p>
        </w:tc>
        <w:tc>
          <w:tcPr>
            <w:tcW w:w="100.80pt" w:type="dxa"/>
            <w:vAlign w:val="center"/>
          </w:tcPr>
          <w:p w14:paraId="08583625" w14:textId="1AF10B89" w:rsidR="002C6119" w:rsidRPr="00331D01" w:rsidRDefault="00C41375" w:rsidP="00DD01E1">
            <w:pPr>
              <w:spacing w:line="18pt" w:lineRule="auto"/>
              <w:rPr>
                <w:rFonts w:ascii="Arial" w:hAnsi="Arial" w:cs="Arial"/>
              </w:rPr>
            </w:pPr>
            <w:r w:rsidRPr="00331D01">
              <w:rPr>
                <w:rFonts w:ascii="Arial" w:hAnsi="Arial" w:cs="Arial"/>
              </w:rPr>
              <w:t>Critical</w:t>
            </w:r>
          </w:p>
        </w:tc>
        <w:tc>
          <w:tcPr>
            <w:tcW w:w="100.85pt" w:type="dxa"/>
            <w:vAlign w:val="center"/>
          </w:tcPr>
          <w:p w14:paraId="3B21D38D" w14:textId="78C924A2" w:rsidR="002C6119" w:rsidRPr="00331D01" w:rsidRDefault="00C41375" w:rsidP="00DD01E1">
            <w:pPr>
              <w:spacing w:line="18pt" w:lineRule="auto"/>
              <w:rPr>
                <w:rFonts w:ascii="Arial" w:hAnsi="Arial" w:cs="Arial"/>
              </w:rPr>
            </w:pPr>
            <w:r w:rsidRPr="00331D01">
              <w:rPr>
                <w:rFonts w:ascii="Arial" w:hAnsi="Arial" w:cs="Arial"/>
              </w:rPr>
              <w:t>High</w:t>
            </w:r>
          </w:p>
        </w:tc>
        <w:tc>
          <w:tcPr>
            <w:tcW w:w="100.85pt" w:type="dxa"/>
          </w:tcPr>
          <w:p w14:paraId="1BBDA536" w14:textId="232146F9" w:rsidR="002C6119" w:rsidRPr="00331D01" w:rsidRDefault="00AE5CA2" w:rsidP="002C6119">
            <w:pPr>
              <w:spacing w:line="18pt" w:lineRule="auto"/>
              <w:jc w:val="start"/>
              <w:rPr>
                <w:rFonts w:ascii="Arial" w:hAnsi="Arial" w:cs="Arial"/>
              </w:rPr>
            </w:pPr>
            <w:r w:rsidRPr="00331D01">
              <w:rPr>
                <w:rFonts w:ascii="Arial" w:hAnsi="Arial" w:cs="Arial"/>
                <w:lang w:val="en-GB"/>
              </w:rPr>
              <w:t>Continuous monitoring through a Security Operations Centre (SOC) and centralised logging</w:t>
            </w:r>
          </w:p>
        </w:tc>
      </w:tr>
    </w:tbl>
    <w:p w14:paraId="5BA7B369" w14:textId="77777777" w:rsidR="001C3040" w:rsidRDefault="001C3040" w:rsidP="007F4C72">
      <w:pPr>
        <w:spacing w:line="18pt" w:lineRule="auto"/>
        <w:jc w:val="start"/>
        <w:rPr>
          <w:rFonts w:ascii="Arial" w:hAnsi="Arial" w:cs="Arial"/>
          <w:sz w:val="24"/>
          <w:szCs w:val="24"/>
        </w:rPr>
      </w:pPr>
    </w:p>
    <w:p w14:paraId="508C6C93" w14:textId="77777777" w:rsidR="003A4B08" w:rsidRDefault="003A4B08" w:rsidP="003A4B08">
      <w:pPr>
        <w:spacing w:line="18pt" w:lineRule="auto"/>
        <w:jc w:val="start"/>
        <w:rPr>
          <w:rFonts w:ascii="Arial" w:hAnsi="Arial" w:cs="Arial"/>
          <w:sz w:val="24"/>
          <w:szCs w:val="24"/>
          <w:lang w:val="en-GB"/>
        </w:rPr>
      </w:pPr>
      <w:r w:rsidRPr="003A4B08">
        <w:rPr>
          <w:rFonts w:ascii="Arial" w:hAnsi="Arial" w:cs="Arial"/>
          <w:b/>
          <w:bCs/>
          <w:sz w:val="24"/>
          <w:szCs w:val="24"/>
          <w:lang w:val="en-GB"/>
        </w:rPr>
        <w:t>Table 1</w:t>
      </w:r>
      <w:r w:rsidRPr="003A4B08">
        <w:rPr>
          <w:rFonts w:ascii="Arial" w:hAnsi="Arial" w:cs="Arial"/>
          <w:sz w:val="24"/>
          <w:szCs w:val="24"/>
          <w:lang w:val="en-GB"/>
        </w:rPr>
        <w:t xml:space="preserve"> summarises the main cybersecurity risks identified from the Equifax data breach. The assessment highlights the highest-priority risks and the recommended mitigation measures required to reduce organisational risk and improve cybersecurity resilience.</w:t>
      </w:r>
    </w:p>
    <w:p w14:paraId="3A50E8AB" w14:textId="77777777" w:rsidR="005C12E7" w:rsidRDefault="005C12E7" w:rsidP="003A4B08">
      <w:pPr>
        <w:spacing w:line="18pt" w:lineRule="auto"/>
        <w:jc w:val="start"/>
        <w:rPr>
          <w:rFonts w:ascii="Arial" w:hAnsi="Arial" w:cs="Arial"/>
          <w:sz w:val="24"/>
          <w:szCs w:val="24"/>
          <w:lang w:val="en-GB"/>
        </w:rPr>
      </w:pPr>
    </w:p>
    <w:p w14:paraId="4A1DF57B" w14:textId="77777777" w:rsidR="005C12E7" w:rsidRDefault="005C12E7" w:rsidP="003A4B08">
      <w:pPr>
        <w:spacing w:line="18pt" w:lineRule="auto"/>
        <w:jc w:val="start"/>
        <w:rPr>
          <w:rFonts w:ascii="Arial" w:hAnsi="Arial" w:cs="Arial"/>
          <w:sz w:val="24"/>
          <w:szCs w:val="24"/>
          <w:lang w:val="en-GB"/>
        </w:rPr>
      </w:pPr>
    </w:p>
    <w:p w14:paraId="6642EFAE" w14:textId="77777777" w:rsidR="00EF4C33" w:rsidRDefault="00EF4C33" w:rsidP="005C12E7">
      <w:pPr>
        <w:spacing w:line="18pt" w:lineRule="auto"/>
        <w:jc w:val="start"/>
        <w:rPr>
          <w:rFonts w:ascii="Arial" w:hAnsi="Arial" w:cs="Arial"/>
          <w:b/>
          <w:bCs/>
          <w:sz w:val="28"/>
          <w:szCs w:val="28"/>
          <w:lang w:val="en-GB"/>
        </w:rPr>
      </w:pPr>
    </w:p>
    <w:p w14:paraId="495749D9" w14:textId="77777777" w:rsidR="007E3C26" w:rsidRDefault="007E3C26" w:rsidP="005C12E7">
      <w:pPr>
        <w:spacing w:line="18pt" w:lineRule="auto"/>
        <w:jc w:val="start"/>
        <w:rPr>
          <w:rFonts w:ascii="Arial" w:hAnsi="Arial" w:cs="Arial"/>
          <w:b/>
          <w:bCs/>
          <w:sz w:val="28"/>
          <w:szCs w:val="28"/>
          <w:lang w:val="en-GB"/>
        </w:rPr>
      </w:pPr>
    </w:p>
    <w:p w14:paraId="1856DB79" w14:textId="086943B6" w:rsidR="005C12E7" w:rsidRPr="005C12E7" w:rsidRDefault="005C12E7" w:rsidP="005C12E7">
      <w:pPr>
        <w:spacing w:line="18pt" w:lineRule="auto"/>
        <w:jc w:val="start"/>
        <w:rPr>
          <w:rFonts w:ascii="Arial" w:hAnsi="Arial" w:cs="Arial"/>
          <w:b/>
          <w:bCs/>
          <w:sz w:val="28"/>
          <w:szCs w:val="28"/>
          <w:lang w:val="en-GB"/>
        </w:rPr>
      </w:pPr>
      <w:r w:rsidRPr="005C12E7">
        <w:rPr>
          <w:rFonts w:ascii="Arial" w:hAnsi="Arial" w:cs="Arial"/>
          <w:b/>
          <w:bCs/>
          <w:sz w:val="28"/>
          <w:szCs w:val="28"/>
          <w:lang w:val="en-GB"/>
        </w:rPr>
        <w:lastRenderedPageBreak/>
        <w:t>4.2 Risk Assessment</w:t>
      </w:r>
    </w:p>
    <w:p w14:paraId="572E6302" w14:textId="5CCA1490" w:rsidR="005C12E7" w:rsidRPr="005C12E7" w:rsidRDefault="005C12E7" w:rsidP="005C12E7">
      <w:pPr>
        <w:spacing w:line="18pt" w:lineRule="auto"/>
        <w:jc w:val="start"/>
        <w:rPr>
          <w:rFonts w:ascii="Arial" w:hAnsi="Arial" w:cs="Arial"/>
          <w:sz w:val="24"/>
          <w:szCs w:val="24"/>
          <w:lang w:val="en-GB"/>
        </w:rPr>
      </w:pPr>
      <w:r w:rsidRPr="005C12E7">
        <w:rPr>
          <w:rFonts w:ascii="Arial" w:hAnsi="Arial" w:cs="Arial"/>
          <w:sz w:val="24"/>
          <w:szCs w:val="24"/>
          <w:lang w:val="en-GB"/>
        </w:rPr>
        <w:t xml:space="preserve">The highest priority risk identified is </w:t>
      </w:r>
      <w:r w:rsidRPr="005C12E7">
        <w:rPr>
          <w:rFonts w:ascii="Arial" w:hAnsi="Arial" w:cs="Arial"/>
          <w:b/>
          <w:bCs/>
          <w:sz w:val="24"/>
          <w:szCs w:val="24"/>
          <w:lang w:val="en-GB"/>
        </w:rPr>
        <w:t>unpatched internet-facing systems</w:t>
      </w:r>
      <w:r w:rsidRPr="005C12E7">
        <w:rPr>
          <w:rFonts w:ascii="Arial" w:hAnsi="Arial" w:cs="Arial"/>
          <w:sz w:val="24"/>
          <w:szCs w:val="24"/>
          <w:lang w:val="en-GB"/>
        </w:rPr>
        <w:t>, as this was the primary cause of the Equifax data breach. Attackers exploited a known vulnerability in the Apache Struts framework that had not been patched despite an available security update. Implementing automated vulnerability scanning and applying critical security patches within defined timeframes would significantly reduce the likelihood of similar attacks</w:t>
      </w:r>
      <w:r w:rsidR="005F2F73">
        <w:rPr>
          <w:rFonts w:ascii="Arial" w:hAnsi="Arial" w:cs="Arial"/>
          <w:sz w:val="24"/>
          <w:szCs w:val="24"/>
          <w:lang w:val="en-GB"/>
        </w:rPr>
        <w:t xml:space="preserve"> [2], [4]</w:t>
      </w:r>
      <w:r w:rsidRPr="005C12E7">
        <w:rPr>
          <w:rFonts w:ascii="Arial" w:hAnsi="Arial" w:cs="Arial"/>
          <w:sz w:val="24"/>
          <w:szCs w:val="24"/>
          <w:lang w:val="en-GB"/>
        </w:rPr>
        <w:t>.</w:t>
      </w:r>
    </w:p>
    <w:p w14:paraId="29992A74" w14:textId="77777777" w:rsidR="005C12E7" w:rsidRPr="005C12E7" w:rsidRDefault="005C12E7" w:rsidP="005C12E7">
      <w:pPr>
        <w:spacing w:line="18pt" w:lineRule="auto"/>
        <w:jc w:val="start"/>
        <w:rPr>
          <w:rFonts w:ascii="Arial" w:hAnsi="Arial" w:cs="Arial"/>
          <w:sz w:val="24"/>
          <w:szCs w:val="24"/>
          <w:lang w:val="en-GB"/>
        </w:rPr>
      </w:pPr>
      <w:r w:rsidRPr="005C12E7">
        <w:rPr>
          <w:rFonts w:ascii="Arial" w:hAnsi="Arial" w:cs="Arial"/>
          <w:sz w:val="24"/>
          <w:szCs w:val="24"/>
          <w:lang w:val="en-GB"/>
        </w:rPr>
        <w:t xml:space="preserve">Another significant risk is </w:t>
      </w:r>
      <w:r w:rsidRPr="005C12E7">
        <w:rPr>
          <w:rFonts w:ascii="Arial" w:hAnsi="Arial" w:cs="Arial"/>
          <w:b/>
          <w:bCs/>
          <w:sz w:val="24"/>
          <w:szCs w:val="24"/>
          <w:lang w:val="en-GB"/>
        </w:rPr>
        <w:t>poor asset visibility</w:t>
      </w:r>
      <w:r w:rsidRPr="005C12E7">
        <w:rPr>
          <w:rFonts w:ascii="Arial" w:hAnsi="Arial" w:cs="Arial"/>
          <w:sz w:val="24"/>
          <w:szCs w:val="24"/>
          <w:lang w:val="en-GB"/>
        </w:rPr>
        <w:t>. Without an accurate inventory of hardware, software, cloud services, and internet-facing systems, organisations may fail to identify vulnerable assets or apply essential security updates. Maintaining a centralised asset inventory with assigned ownership improves accountability and supports effective vulnerability management.</w:t>
      </w:r>
    </w:p>
    <w:p w14:paraId="73FE7F1A" w14:textId="77777777" w:rsidR="005C12E7" w:rsidRPr="005C12E7" w:rsidRDefault="005C12E7" w:rsidP="005C12E7">
      <w:pPr>
        <w:spacing w:line="18pt" w:lineRule="auto"/>
        <w:jc w:val="start"/>
        <w:rPr>
          <w:rFonts w:ascii="Arial" w:hAnsi="Arial" w:cs="Arial"/>
          <w:sz w:val="24"/>
          <w:szCs w:val="24"/>
          <w:lang w:val="en-GB"/>
        </w:rPr>
      </w:pPr>
      <w:r w:rsidRPr="005C12E7">
        <w:rPr>
          <w:rFonts w:ascii="Arial" w:hAnsi="Arial" w:cs="Arial"/>
          <w:b/>
          <w:bCs/>
          <w:sz w:val="24"/>
          <w:szCs w:val="24"/>
          <w:lang w:val="en-GB"/>
        </w:rPr>
        <w:t>Supply chain vulnerabilities</w:t>
      </w:r>
      <w:r w:rsidRPr="005C12E7">
        <w:rPr>
          <w:rFonts w:ascii="Arial" w:hAnsi="Arial" w:cs="Arial"/>
          <w:sz w:val="24"/>
          <w:szCs w:val="24"/>
          <w:lang w:val="en-GB"/>
        </w:rPr>
        <w:t xml:space="preserve"> also present a considerable threat because organisations increasingly rely on third-party software and service providers. Weak security practices within the supply chain can expose organisations to cyberattacks. Conducting regular supplier security assessments and monitoring third-party risks helps reduce this exposure.</w:t>
      </w:r>
    </w:p>
    <w:p w14:paraId="055EF5EB" w14:textId="77777777" w:rsidR="005C12E7" w:rsidRPr="005C12E7" w:rsidRDefault="005C12E7" w:rsidP="005C12E7">
      <w:pPr>
        <w:spacing w:line="18pt" w:lineRule="auto"/>
        <w:jc w:val="start"/>
        <w:rPr>
          <w:rFonts w:ascii="Arial" w:hAnsi="Arial" w:cs="Arial"/>
          <w:sz w:val="24"/>
          <w:szCs w:val="24"/>
          <w:lang w:val="en-GB"/>
        </w:rPr>
      </w:pPr>
      <w:r w:rsidRPr="005C12E7">
        <w:rPr>
          <w:rFonts w:ascii="Arial" w:hAnsi="Arial" w:cs="Arial"/>
          <w:b/>
          <w:bCs/>
          <w:sz w:val="24"/>
          <w:szCs w:val="24"/>
          <w:lang w:val="en-GB"/>
        </w:rPr>
        <w:t>Weak network segmentation</w:t>
      </w:r>
      <w:r w:rsidRPr="005C12E7">
        <w:rPr>
          <w:rFonts w:ascii="Arial" w:hAnsi="Arial" w:cs="Arial"/>
          <w:sz w:val="24"/>
          <w:szCs w:val="24"/>
          <w:lang w:val="en-GB"/>
        </w:rPr>
        <w:t xml:space="preserve"> increases the potential impact of a cyberattack by allowing attackers to move laterally across organisational systems after gaining initial access. Separating critical systems from public-facing services and restricting unnecessary network access helps contain attacks and protect sensitive information.</w:t>
      </w:r>
    </w:p>
    <w:p w14:paraId="270CFA63" w14:textId="77777777" w:rsidR="005C12E7" w:rsidRPr="005C12E7" w:rsidRDefault="005C12E7" w:rsidP="005C12E7">
      <w:pPr>
        <w:spacing w:line="18pt" w:lineRule="auto"/>
        <w:jc w:val="start"/>
        <w:rPr>
          <w:rFonts w:ascii="Arial" w:hAnsi="Arial" w:cs="Arial"/>
          <w:sz w:val="24"/>
          <w:szCs w:val="24"/>
          <w:lang w:val="en-GB"/>
        </w:rPr>
      </w:pPr>
      <w:r w:rsidRPr="005C12E7">
        <w:rPr>
          <w:rFonts w:ascii="Arial" w:hAnsi="Arial" w:cs="Arial"/>
          <w:b/>
          <w:bCs/>
          <w:sz w:val="24"/>
          <w:szCs w:val="24"/>
          <w:lang w:val="en-GB"/>
        </w:rPr>
        <w:t>Inadequate security monitoring</w:t>
      </w:r>
      <w:r w:rsidRPr="005C12E7">
        <w:rPr>
          <w:rFonts w:ascii="Arial" w:hAnsi="Arial" w:cs="Arial"/>
          <w:sz w:val="24"/>
          <w:szCs w:val="24"/>
          <w:lang w:val="en-GB"/>
        </w:rPr>
        <w:t xml:space="preserve"> can delay the detection of malicious activity, allowing attackers to remain undetected for extended periods. Continuous monitoring, centralised logging, and a Security Operations Centre (SOC) improve threat detection and enable faster incident response, reducing the overall impact of security incidents.</w:t>
      </w:r>
    </w:p>
    <w:p w14:paraId="37EE5C6A" w14:textId="77777777" w:rsidR="005C12E7" w:rsidRDefault="005C12E7" w:rsidP="005C12E7">
      <w:pPr>
        <w:spacing w:line="18pt" w:lineRule="auto"/>
        <w:jc w:val="start"/>
        <w:rPr>
          <w:rFonts w:ascii="Arial" w:hAnsi="Arial" w:cs="Arial"/>
          <w:sz w:val="24"/>
          <w:szCs w:val="24"/>
          <w:lang w:val="en-GB"/>
        </w:rPr>
      </w:pPr>
    </w:p>
    <w:p w14:paraId="34DE75C8" w14:textId="77777777" w:rsidR="00AE6628" w:rsidRPr="00AE6628" w:rsidRDefault="00AE6628" w:rsidP="00AE6628">
      <w:pPr>
        <w:spacing w:line="18pt" w:lineRule="auto"/>
        <w:jc w:val="start"/>
        <w:rPr>
          <w:rFonts w:ascii="Arial" w:hAnsi="Arial" w:cs="Arial"/>
          <w:b/>
          <w:bCs/>
          <w:sz w:val="28"/>
          <w:szCs w:val="28"/>
          <w:lang w:val="en-GB"/>
        </w:rPr>
      </w:pPr>
      <w:r w:rsidRPr="00AE6628">
        <w:rPr>
          <w:rFonts w:ascii="Arial" w:hAnsi="Arial" w:cs="Arial"/>
          <w:b/>
          <w:bCs/>
          <w:sz w:val="28"/>
          <w:szCs w:val="28"/>
          <w:lang w:val="en-GB"/>
        </w:rPr>
        <w:t>4.3 Risk Prioritisation</w:t>
      </w:r>
    </w:p>
    <w:p w14:paraId="55593D64" w14:textId="77777777" w:rsidR="00AE6628" w:rsidRDefault="00AE6628" w:rsidP="00AE6628">
      <w:pPr>
        <w:spacing w:line="18pt" w:lineRule="auto"/>
        <w:jc w:val="start"/>
        <w:rPr>
          <w:rFonts w:ascii="Arial" w:hAnsi="Arial" w:cs="Arial"/>
          <w:sz w:val="24"/>
          <w:szCs w:val="24"/>
          <w:lang w:val="en-GB"/>
        </w:rPr>
      </w:pPr>
      <w:r w:rsidRPr="00AE6628">
        <w:rPr>
          <w:rFonts w:ascii="Arial" w:hAnsi="Arial" w:cs="Arial"/>
          <w:sz w:val="24"/>
          <w:szCs w:val="24"/>
          <w:lang w:val="en-GB"/>
        </w:rPr>
        <w:t xml:space="preserve">The risks identified in Table 1 have been prioritised based on their likelihood of occurrence and potential impact on the organisation. Risks associated with unpatched internet-facing systems, poor asset visibility, and inadequate security monitoring are classified as </w:t>
      </w:r>
      <w:r w:rsidRPr="00AE6628">
        <w:rPr>
          <w:rFonts w:ascii="Arial" w:hAnsi="Arial" w:cs="Arial"/>
          <w:b/>
          <w:bCs/>
          <w:sz w:val="24"/>
          <w:szCs w:val="24"/>
          <w:lang w:val="en-GB"/>
        </w:rPr>
        <w:t>high priority</w:t>
      </w:r>
      <w:r w:rsidRPr="00AE6628">
        <w:rPr>
          <w:rFonts w:ascii="Arial" w:hAnsi="Arial" w:cs="Arial"/>
          <w:sz w:val="24"/>
          <w:szCs w:val="24"/>
          <w:lang w:val="en-GB"/>
        </w:rPr>
        <w:t xml:space="preserve"> because they present the greatest threat to business operations and sensitive information. Although supply chain vulnerabilities and weak network segmentation are assessed as </w:t>
      </w:r>
      <w:r w:rsidRPr="00AE6628">
        <w:rPr>
          <w:rFonts w:ascii="Arial" w:hAnsi="Arial" w:cs="Arial"/>
          <w:b/>
          <w:bCs/>
          <w:sz w:val="24"/>
          <w:szCs w:val="24"/>
          <w:lang w:val="en-GB"/>
        </w:rPr>
        <w:t>medium likelihood</w:t>
      </w:r>
      <w:r w:rsidRPr="00AE6628">
        <w:rPr>
          <w:rFonts w:ascii="Arial" w:hAnsi="Arial" w:cs="Arial"/>
          <w:sz w:val="24"/>
          <w:szCs w:val="24"/>
          <w:lang w:val="en-GB"/>
        </w:rPr>
        <w:t>, their potential impact remains significant and should be addressed through ongoing risk assessments, regular security reviews, and continuous improvement. Adopting a risk-based approach enables organisations to focus resources on the most critical threats while strengthening overall cybersecurity resilience.</w:t>
      </w:r>
    </w:p>
    <w:p w14:paraId="2E6B9F85" w14:textId="77777777" w:rsidR="00281AC9" w:rsidRPr="00AE6628" w:rsidRDefault="00281AC9" w:rsidP="00AE6628">
      <w:pPr>
        <w:spacing w:line="18pt" w:lineRule="auto"/>
        <w:jc w:val="start"/>
        <w:rPr>
          <w:rFonts w:ascii="Arial" w:hAnsi="Arial" w:cs="Arial"/>
          <w:sz w:val="24"/>
          <w:szCs w:val="24"/>
          <w:lang w:val="en-GB"/>
        </w:rPr>
      </w:pPr>
    </w:p>
    <w:p w14:paraId="274BB8C6" w14:textId="77777777" w:rsidR="00EE7A92" w:rsidRPr="00A6658F" w:rsidRDefault="00EE7A92" w:rsidP="00EE7A92">
      <w:pPr>
        <w:spacing w:line="18pt" w:lineRule="auto"/>
        <w:jc w:val="start"/>
        <w:rPr>
          <w:rFonts w:ascii="Arial" w:hAnsi="Arial" w:cs="Arial"/>
          <w:b/>
          <w:bCs/>
          <w:sz w:val="32"/>
          <w:szCs w:val="32"/>
          <w:lang w:val="en-GB"/>
        </w:rPr>
      </w:pPr>
      <w:r w:rsidRPr="00A6658F">
        <w:rPr>
          <w:rFonts w:ascii="Arial" w:hAnsi="Arial" w:cs="Arial"/>
          <w:b/>
          <w:bCs/>
          <w:sz w:val="32"/>
          <w:szCs w:val="32"/>
          <w:lang w:val="en-GB"/>
        </w:rPr>
        <w:t>5. Compliance, Incident Response, and Protection Controls</w:t>
      </w:r>
    </w:p>
    <w:p w14:paraId="1EFC4532" w14:textId="77777777" w:rsidR="00EE7A92" w:rsidRPr="00A6658F" w:rsidRDefault="00EE7A92" w:rsidP="00EE7A92">
      <w:pPr>
        <w:spacing w:line="18pt" w:lineRule="auto"/>
        <w:jc w:val="start"/>
        <w:rPr>
          <w:rFonts w:ascii="Arial" w:hAnsi="Arial" w:cs="Arial"/>
          <w:b/>
          <w:bCs/>
          <w:sz w:val="28"/>
          <w:szCs w:val="28"/>
          <w:lang w:val="en-GB"/>
        </w:rPr>
      </w:pPr>
      <w:r w:rsidRPr="00A6658F">
        <w:rPr>
          <w:rFonts w:ascii="Arial" w:hAnsi="Arial" w:cs="Arial"/>
          <w:b/>
          <w:bCs/>
          <w:sz w:val="28"/>
          <w:szCs w:val="28"/>
          <w:lang w:val="en-GB"/>
        </w:rPr>
        <w:t>5.1 Introduction</w:t>
      </w:r>
    </w:p>
    <w:p w14:paraId="4EF74AA8" w14:textId="77777777" w:rsidR="00EE7A92" w:rsidRPr="00EE7A92" w:rsidRDefault="00EE7A92" w:rsidP="00EE7A92">
      <w:pPr>
        <w:spacing w:line="18pt" w:lineRule="auto"/>
        <w:jc w:val="start"/>
        <w:rPr>
          <w:rFonts w:ascii="Arial" w:hAnsi="Arial" w:cs="Arial"/>
          <w:sz w:val="24"/>
          <w:szCs w:val="24"/>
          <w:lang w:val="en-GB"/>
        </w:rPr>
      </w:pPr>
      <w:r w:rsidRPr="00EE7A92">
        <w:rPr>
          <w:rFonts w:ascii="Arial" w:hAnsi="Arial" w:cs="Arial"/>
          <w:sz w:val="24"/>
          <w:szCs w:val="24"/>
          <w:lang w:val="en-GB"/>
        </w:rPr>
        <w:t>The Equifax data breach highlighted the importance of combining regulatory compliance, effective incident response, and technical security controls to protect organisational information. A well-designed cybersecurity programme should ensure compliance with recognised standards, establish clear procedures for responding to security incidents, and implement technical safeguards that minimise cyber risks. Together, these measures strengthen organisational resilience, reduce the impact of security incidents, and support business continuity.</w:t>
      </w:r>
    </w:p>
    <w:p w14:paraId="2EB3E693" w14:textId="77777777" w:rsidR="00AE6628" w:rsidRPr="005C12E7" w:rsidRDefault="00AE6628" w:rsidP="005C12E7">
      <w:pPr>
        <w:spacing w:line="18pt" w:lineRule="auto"/>
        <w:jc w:val="start"/>
        <w:rPr>
          <w:rFonts w:ascii="Arial" w:hAnsi="Arial" w:cs="Arial"/>
          <w:sz w:val="24"/>
          <w:szCs w:val="24"/>
          <w:lang w:val="en-GB"/>
        </w:rPr>
      </w:pPr>
    </w:p>
    <w:p w14:paraId="170DBF51" w14:textId="77777777" w:rsidR="00617E00" w:rsidRPr="00186BD1" w:rsidRDefault="00617E00" w:rsidP="00186BD1">
      <w:pPr>
        <w:spacing w:line="18pt" w:lineRule="auto"/>
        <w:jc w:val="start"/>
        <w:rPr>
          <w:rFonts w:ascii="Arial" w:hAnsi="Arial" w:cs="Arial"/>
          <w:b/>
          <w:bCs/>
          <w:sz w:val="28"/>
          <w:szCs w:val="28"/>
          <w:lang w:val="en-GB"/>
        </w:rPr>
      </w:pPr>
      <w:r w:rsidRPr="00186BD1">
        <w:rPr>
          <w:rFonts w:ascii="Arial" w:hAnsi="Arial" w:cs="Arial"/>
          <w:b/>
          <w:bCs/>
          <w:sz w:val="28"/>
          <w:szCs w:val="28"/>
          <w:lang w:val="en-GB"/>
        </w:rPr>
        <w:t>5.2 Regulatory Compliance and Breach Notification</w:t>
      </w:r>
    </w:p>
    <w:p w14:paraId="0571557B" w14:textId="2C59BFBB" w:rsidR="00617E00" w:rsidRPr="00617E00" w:rsidRDefault="00617E00" w:rsidP="00617E00">
      <w:pPr>
        <w:spacing w:line="18pt" w:lineRule="auto"/>
        <w:jc w:val="start"/>
        <w:rPr>
          <w:rFonts w:ascii="Arial" w:hAnsi="Arial" w:cs="Arial"/>
          <w:sz w:val="24"/>
          <w:szCs w:val="24"/>
          <w:lang w:val="en-GB"/>
        </w:rPr>
      </w:pPr>
      <w:r w:rsidRPr="00617E00">
        <w:rPr>
          <w:rFonts w:ascii="Arial" w:hAnsi="Arial" w:cs="Arial"/>
          <w:sz w:val="24"/>
          <w:szCs w:val="24"/>
          <w:lang w:val="en-GB"/>
        </w:rPr>
        <w:t xml:space="preserve">The proposed cybersecurity programme should align with recognised frameworks and legal requirements, including the </w:t>
      </w:r>
      <w:r w:rsidRPr="00617E00">
        <w:rPr>
          <w:rFonts w:ascii="Arial" w:hAnsi="Arial" w:cs="Arial"/>
          <w:b/>
          <w:bCs/>
          <w:sz w:val="24"/>
          <w:szCs w:val="24"/>
          <w:lang w:val="en-GB"/>
        </w:rPr>
        <w:t>NIST Cybersecurity Framework (CSF) 2.0</w:t>
      </w:r>
      <w:r w:rsidRPr="00617E00">
        <w:rPr>
          <w:rFonts w:ascii="Arial" w:hAnsi="Arial" w:cs="Arial"/>
          <w:sz w:val="24"/>
          <w:szCs w:val="24"/>
          <w:lang w:val="en-GB"/>
        </w:rPr>
        <w:t xml:space="preserve">, </w:t>
      </w:r>
      <w:r w:rsidRPr="00617E00">
        <w:rPr>
          <w:rFonts w:ascii="Arial" w:hAnsi="Arial" w:cs="Arial"/>
          <w:b/>
          <w:bCs/>
          <w:sz w:val="24"/>
          <w:szCs w:val="24"/>
          <w:lang w:val="en-GB"/>
        </w:rPr>
        <w:t>ISO/IEC 27001:2022</w:t>
      </w:r>
      <w:r w:rsidRPr="00617E00">
        <w:rPr>
          <w:rFonts w:ascii="Arial" w:hAnsi="Arial" w:cs="Arial"/>
          <w:sz w:val="24"/>
          <w:szCs w:val="24"/>
          <w:lang w:val="en-GB"/>
        </w:rPr>
        <w:t xml:space="preserve">, the </w:t>
      </w:r>
      <w:r w:rsidRPr="00617E00">
        <w:rPr>
          <w:rFonts w:ascii="Arial" w:hAnsi="Arial" w:cs="Arial"/>
          <w:b/>
          <w:bCs/>
          <w:sz w:val="24"/>
          <w:szCs w:val="24"/>
          <w:lang w:val="en-GB"/>
        </w:rPr>
        <w:t>General Data Protection Regulation (GDPR)</w:t>
      </w:r>
      <w:r w:rsidRPr="00617E00">
        <w:rPr>
          <w:rFonts w:ascii="Arial" w:hAnsi="Arial" w:cs="Arial"/>
          <w:sz w:val="24"/>
          <w:szCs w:val="24"/>
          <w:lang w:val="en-GB"/>
        </w:rPr>
        <w:t xml:space="preserve">, and the </w:t>
      </w:r>
      <w:r w:rsidRPr="00617E00">
        <w:rPr>
          <w:rFonts w:ascii="Arial" w:hAnsi="Arial" w:cs="Arial"/>
          <w:b/>
          <w:bCs/>
          <w:sz w:val="24"/>
          <w:szCs w:val="24"/>
          <w:lang w:val="en-GB"/>
        </w:rPr>
        <w:t>NIS2 Directive</w:t>
      </w:r>
      <w:r w:rsidR="00A26184">
        <w:rPr>
          <w:rFonts w:ascii="Arial" w:hAnsi="Arial" w:cs="Arial"/>
          <w:b/>
          <w:bCs/>
          <w:sz w:val="24"/>
          <w:szCs w:val="24"/>
          <w:lang w:val="en-GB"/>
        </w:rPr>
        <w:t xml:space="preserve"> </w:t>
      </w:r>
      <w:r w:rsidR="00A26184" w:rsidRPr="00735B01">
        <w:rPr>
          <w:rFonts w:ascii="Arial" w:hAnsi="Arial" w:cs="Arial"/>
          <w:sz w:val="24"/>
          <w:szCs w:val="24"/>
          <w:lang w:val="en-GB"/>
        </w:rPr>
        <w:t>[</w:t>
      </w:r>
      <w:r w:rsidR="00735B01">
        <w:rPr>
          <w:rFonts w:ascii="Arial" w:hAnsi="Arial" w:cs="Arial"/>
          <w:sz w:val="24"/>
          <w:szCs w:val="24"/>
          <w:lang w:val="en-GB"/>
        </w:rPr>
        <w:t>1],</w:t>
      </w:r>
      <w:r w:rsidR="004C4743">
        <w:rPr>
          <w:rFonts w:ascii="Arial" w:hAnsi="Arial" w:cs="Arial"/>
          <w:sz w:val="24"/>
          <w:szCs w:val="24"/>
          <w:lang w:val="en-GB"/>
        </w:rPr>
        <w:t xml:space="preserve"> </w:t>
      </w:r>
      <w:r w:rsidR="00735B01">
        <w:rPr>
          <w:rFonts w:ascii="Arial" w:hAnsi="Arial" w:cs="Arial"/>
          <w:sz w:val="24"/>
          <w:szCs w:val="24"/>
          <w:lang w:val="en-GB"/>
        </w:rPr>
        <w:t>[5],</w:t>
      </w:r>
      <w:r w:rsidR="004C4743">
        <w:rPr>
          <w:rFonts w:ascii="Arial" w:hAnsi="Arial" w:cs="Arial"/>
          <w:sz w:val="24"/>
          <w:szCs w:val="24"/>
          <w:lang w:val="en-GB"/>
        </w:rPr>
        <w:t xml:space="preserve"> </w:t>
      </w:r>
      <w:r w:rsidR="00735B01">
        <w:rPr>
          <w:rFonts w:ascii="Arial" w:hAnsi="Arial" w:cs="Arial"/>
          <w:sz w:val="24"/>
          <w:szCs w:val="24"/>
          <w:lang w:val="en-GB"/>
        </w:rPr>
        <w:t>[6]</w:t>
      </w:r>
      <w:r w:rsidRPr="00617E00">
        <w:rPr>
          <w:rFonts w:ascii="Arial" w:hAnsi="Arial" w:cs="Arial"/>
          <w:sz w:val="24"/>
          <w:szCs w:val="24"/>
          <w:lang w:val="en-GB"/>
        </w:rPr>
        <w:t>. These frameworks provide guidance for managing cybersecurity risks, protecting sensitive information, and supporting continuous improvement.</w:t>
      </w:r>
    </w:p>
    <w:p w14:paraId="67E8F4FF" w14:textId="0669A7BC" w:rsidR="00617E00" w:rsidRDefault="00617E00" w:rsidP="00617E00">
      <w:pPr>
        <w:spacing w:line="18pt" w:lineRule="auto"/>
        <w:jc w:val="start"/>
        <w:rPr>
          <w:rFonts w:ascii="Arial" w:hAnsi="Arial" w:cs="Arial"/>
          <w:sz w:val="24"/>
          <w:szCs w:val="24"/>
          <w:lang w:val="en-GB"/>
        </w:rPr>
      </w:pPr>
      <w:r w:rsidRPr="00617E00">
        <w:rPr>
          <w:rFonts w:ascii="Arial" w:hAnsi="Arial" w:cs="Arial"/>
          <w:sz w:val="24"/>
          <w:szCs w:val="24"/>
          <w:lang w:val="en-GB"/>
        </w:rPr>
        <w:t xml:space="preserve">A formal breach notification procedure should ensure that all security incidents are reported immediately to the </w:t>
      </w:r>
      <w:r w:rsidRPr="00617E00">
        <w:rPr>
          <w:rFonts w:ascii="Arial" w:hAnsi="Arial" w:cs="Arial"/>
          <w:b/>
          <w:bCs/>
          <w:sz w:val="24"/>
          <w:szCs w:val="24"/>
          <w:lang w:val="en-GB"/>
        </w:rPr>
        <w:t>Security Operations Centre (SOC)</w:t>
      </w:r>
      <w:r w:rsidRPr="00617E00">
        <w:rPr>
          <w:rFonts w:ascii="Arial" w:hAnsi="Arial" w:cs="Arial"/>
          <w:sz w:val="24"/>
          <w:szCs w:val="24"/>
          <w:lang w:val="en-GB"/>
        </w:rPr>
        <w:t xml:space="preserve"> and the </w:t>
      </w:r>
      <w:r w:rsidRPr="00617E00">
        <w:rPr>
          <w:rFonts w:ascii="Arial" w:hAnsi="Arial" w:cs="Arial"/>
          <w:b/>
          <w:bCs/>
          <w:sz w:val="24"/>
          <w:szCs w:val="24"/>
          <w:lang w:val="en-GB"/>
        </w:rPr>
        <w:t>Chief Information Security Officer (CISO)</w:t>
      </w:r>
      <w:r w:rsidRPr="00617E00">
        <w:rPr>
          <w:rFonts w:ascii="Arial" w:hAnsi="Arial" w:cs="Arial"/>
          <w:sz w:val="24"/>
          <w:szCs w:val="24"/>
          <w:lang w:val="en-GB"/>
        </w:rPr>
        <w:t>. Where personal data has been compromised, the organisation should notify the appropriate supervisory authority within the legally required timeframe and communicate with affected individuals when necessary. A structured notification process improves transparency, supports regulatory compliance, and helps maintain customer trust</w:t>
      </w:r>
      <w:r w:rsidR="006D4EC2">
        <w:rPr>
          <w:rFonts w:ascii="Arial" w:hAnsi="Arial" w:cs="Arial"/>
          <w:sz w:val="24"/>
          <w:szCs w:val="24"/>
          <w:lang w:val="en-GB"/>
        </w:rPr>
        <w:t xml:space="preserve"> [5],</w:t>
      </w:r>
      <w:r w:rsidR="004C4743">
        <w:rPr>
          <w:rFonts w:ascii="Arial" w:hAnsi="Arial" w:cs="Arial"/>
          <w:sz w:val="24"/>
          <w:szCs w:val="24"/>
          <w:lang w:val="en-GB"/>
        </w:rPr>
        <w:t xml:space="preserve"> </w:t>
      </w:r>
      <w:r w:rsidR="006D4EC2">
        <w:rPr>
          <w:rFonts w:ascii="Arial" w:hAnsi="Arial" w:cs="Arial"/>
          <w:sz w:val="24"/>
          <w:szCs w:val="24"/>
          <w:lang w:val="en-GB"/>
        </w:rPr>
        <w:t>[6],</w:t>
      </w:r>
      <w:r w:rsidR="004C4743">
        <w:rPr>
          <w:rFonts w:ascii="Arial" w:hAnsi="Arial" w:cs="Arial"/>
          <w:sz w:val="24"/>
          <w:szCs w:val="24"/>
          <w:lang w:val="en-GB"/>
        </w:rPr>
        <w:t xml:space="preserve"> </w:t>
      </w:r>
      <w:r w:rsidR="006D4EC2">
        <w:rPr>
          <w:rFonts w:ascii="Arial" w:hAnsi="Arial" w:cs="Arial"/>
          <w:sz w:val="24"/>
          <w:szCs w:val="24"/>
          <w:lang w:val="en-GB"/>
        </w:rPr>
        <w:t>[7]</w:t>
      </w:r>
      <w:r w:rsidRPr="00617E00">
        <w:rPr>
          <w:rFonts w:ascii="Arial" w:hAnsi="Arial" w:cs="Arial"/>
          <w:sz w:val="24"/>
          <w:szCs w:val="24"/>
          <w:lang w:val="en-GB"/>
        </w:rPr>
        <w:t>.</w:t>
      </w:r>
    </w:p>
    <w:p w14:paraId="3312F4C8" w14:textId="77777777" w:rsidR="00AF4F91" w:rsidRDefault="00AF4F91" w:rsidP="00617E00">
      <w:pPr>
        <w:spacing w:line="18pt" w:lineRule="auto"/>
        <w:jc w:val="start"/>
        <w:rPr>
          <w:rFonts w:ascii="Arial" w:hAnsi="Arial" w:cs="Arial"/>
          <w:sz w:val="24"/>
          <w:szCs w:val="24"/>
          <w:lang w:val="en-GB"/>
        </w:rPr>
      </w:pPr>
    </w:p>
    <w:p w14:paraId="57B19B47" w14:textId="77777777" w:rsidR="00AF4F91" w:rsidRPr="00A8287D" w:rsidRDefault="00AF4F91" w:rsidP="00AF4F91">
      <w:pPr>
        <w:spacing w:line="18pt" w:lineRule="auto"/>
        <w:jc w:val="start"/>
        <w:rPr>
          <w:rFonts w:ascii="Arial" w:hAnsi="Arial" w:cs="Arial"/>
          <w:b/>
          <w:bCs/>
          <w:sz w:val="28"/>
          <w:szCs w:val="28"/>
          <w:lang w:val="en-GB"/>
        </w:rPr>
      </w:pPr>
      <w:r w:rsidRPr="00A8287D">
        <w:rPr>
          <w:rFonts w:ascii="Arial" w:hAnsi="Arial" w:cs="Arial"/>
          <w:b/>
          <w:bCs/>
          <w:sz w:val="28"/>
          <w:szCs w:val="28"/>
          <w:lang w:val="en-GB"/>
        </w:rPr>
        <w:t>5.3 Incident Response and Disaster Recovery</w:t>
      </w:r>
    </w:p>
    <w:p w14:paraId="0E9BAED6" w14:textId="77777777" w:rsidR="00AF4F91" w:rsidRPr="00AF4F91" w:rsidRDefault="00AF4F91" w:rsidP="00AF4F91">
      <w:pPr>
        <w:spacing w:line="18pt" w:lineRule="auto"/>
        <w:jc w:val="start"/>
        <w:rPr>
          <w:rFonts w:ascii="Arial" w:hAnsi="Arial" w:cs="Arial"/>
          <w:sz w:val="24"/>
          <w:szCs w:val="24"/>
          <w:lang w:val="en-GB"/>
        </w:rPr>
      </w:pPr>
      <w:r w:rsidRPr="00AF4F91">
        <w:rPr>
          <w:rFonts w:ascii="Arial" w:hAnsi="Arial" w:cs="Arial"/>
          <w:sz w:val="24"/>
          <w:szCs w:val="24"/>
          <w:lang w:val="en-GB"/>
        </w:rPr>
        <w:t>An Incident Response Plan should provide clear procedures for identifying, containing, investigating, and recovering from cybersecurity incidents. Roles and responsibilities should be clearly defined, and regular incident response exercises should be conducted to ensure staff are prepared to respond effectively.</w:t>
      </w:r>
    </w:p>
    <w:p w14:paraId="77D183F6" w14:textId="5AC993AF" w:rsidR="00AF4F91" w:rsidRPr="00617E00" w:rsidRDefault="00AF4F91" w:rsidP="00AF4F91">
      <w:pPr>
        <w:spacing w:line="18pt" w:lineRule="auto"/>
        <w:jc w:val="start"/>
        <w:rPr>
          <w:rFonts w:ascii="Arial" w:hAnsi="Arial" w:cs="Arial"/>
          <w:sz w:val="24"/>
          <w:szCs w:val="24"/>
          <w:lang w:val="en-GB"/>
        </w:rPr>
      </w:pPr>
      <w:r w:rsidRPr="00AF4F91">
        <w:rPr>
          <w:rFonts w:ascii="Arial" w:hAnsi="Arial" w:cs="Arial"/>
          <w:sz w:val="24"/>
          <w:szCs w:val="24"/>
          <w:lang w:val="en-GB"/>
        </w:rPr>
        <w:t>A Disaster Recovery Plan should ensure that critical systems and services can be restored quickly following a cyberattack. Secure backups, regular recovery testing, and clearly defined recovery objectives help minimise downtime and support business continuity. Together, these plans reduce operational disruption and improve organisational resilience.</w:t>
      </w:r>
    </w:p>
    <w:p w14:paraId="339A569B" w14:textId="77777777" w:rsidR="005C12E7" w:rsidRDefault="005C12E7" w:rsidP="003A4B08">
      <w:pPr>
        <w:spacing w:line="18pt" w:lineRule="auto"/>
        <w:jc w:val="start"/>
        <w:rPr>
          <w:rFonts w:ascii="Arial" w:hAnsi="Arial" w:cs="Arial"/>
          <w:sz w:val="24"/>
          <w:szCs w:val="24"/>
          <w:lang w:val="en-GB"/>
        </w:rPr>
      </w:pPr>
    </w:p>
    <w:p w14:paraId="4BD77486" w14:textId="77777777" w:rsidR="00BA70E5" w:rsidRDefault="00BA70E5" w:rsidP="003A4B08">
      <w:pPr>
        <w:spacing w:line="18pt" w:lineRule="auto"/>
        <w:jc w:val="start"/>
        <w:rPr>
          <w:rFonts w:ascii="Arial" w:hAnsi="Arial" w:cs="Arial"/>
          <w:sz w:val="24"/>
          <w:szCs w:val="24"/>
          <w:lang w:val="en-GB"/>
        </w:rPr>
      </w:pPr>
    </w:p>
    <w:p w14:paraId="0172F2EA" w14:textId="77777777" w:rsidR="00BA70E5" w:rsidRDefault="00BA70E5" w:rsidP="003A4B08">
      <w:pPr>
        <w:spacing w:line="18pt" w:lineRule="auto"/>
        <w:jc w:val="start"/>
        <w:rPr>
          <w:rFonts w:ascii="Arial" w:hAnsi="Arial" w:cs="Arial"/>
          <w:sz w:val="24"/>
          <w:szCs w:val="24"/>
          <w:lang w:val="en-GB"/>
        </w:rPr>
      </w:pPr>
    </w:p>
    <w:p w14:paraId="28329880" w14:textId="77777777" w:rsidR="00D540D8" w:rsidRDefault="00D540D8" w:rsidP="003A4B08">
      <w:pPr>
        <w:spacing w:line="18pt" w:lineRule="auto"/>
        <w:jc w:val="start"/>
        <w:rPr>
          <w:rFonts w:ascii="Arial" w:hAnsi="Arial" w:cs="Arial"/>
          <w:sz w:val="24"/>
          <w:szCs w:val="24"/>
          <w:lang w:val="en-GB"/>
        </w:rPr>
      </w:pPr>
    </w:p>
    <w:p w14:paraId="1A6099B0" w14:textId="77777777" w:rsidR="001E00CC" w:rsidRPr="001E00CC" w:rsidRDefault="001E00CC" w:rsidP="001E00CC">
      <w:pPr>
        <w:spacing w:line="18pt" w:lineRule="auto"/>
        <w:jc w:val="start"/>
        <w:rPr>
          <w:rFonts w:ascii="Arial" w:hAnsi="Arial" w:cs="Arial"/>
          <w:b/>
          <w:bCs/>
          <w:i/>
          <w:iCs/>
          <w:sz w:val="24"/>
          <w:szCs w:val="24"/>
        </w:rPr>
      </w:pPr>
      <w:r w:rsidRPr="001E00CC">
        <w:rPr>
          <w:rFonts w:ascii="Arial" w:hAnsi="Arial" w:cs="Arial"/>
          <w:b/>
          <w:bCs/>
          <w:i/>
          <w:iCs/>
          <w:sz w:val="24"/>
          <w:szCs w:val="24"/>
        </w:rPr>
        <w:t>Table 2. Technical Protection Controls</w:t>
      </w:r>
    </w:p>
    <w:p w14:paraId="6E31B473" w14:textId="77777777" w:rsidR="00D540D8" w:rsidRDefault="00D540D8" w:rsidP="003A4B08">
      <w:pPr>
        <w:spacing w:line="18pt" w:lineRule="auto"/>
        <w:jc w:val="start"/>
        <w:rPr>
          <w:rFonts w:ascii="Arial" w:hAnsi="Arial" w:cs="Arial"/>
          <w:sz w:val="24"/>
          <w:szCs w:val="24"/>
          <w:lang w:val="en-GB"/>
        </w:rPr>
      </w:pPr>
    </w:p>
    <w:tbl>
      <w:tblPr>
        <w:tblStyle w:val="TableGrid"/>
        <w:tblW w:w="0pt" w:type="dxa"/>
        <w:tblLook w:firstRow="1" w:lastRow="0" w:firstColumn="1" w:lastColumn="0" w:noHBand="0" w:noVBand="1"/>
      </w:tblPr>
      <w:tblGrid>
        <w:gridCol w:w="3537"/>
        <w:gridCol w:w="3637"/>
        <w:gridCol w:w="2908"/>
      </w:tblGrid>
      <w:tr w:rsidR="007C00AD" w:rsidRPr="005400E4" w14:paraId="48BA9FF7" w14:textId="77777777" w:rsidTr="00D51FAC">
        <w:trPr>
          <w:trHeight w:val="540"/>
        </w:trPr>
        <w:tc>
          <w:tcPr>
            <w:tcW w:w="176.85pt" w:type="dxa"/>
            <w:shd w:val="clear" w:color="auto" w:fill="D0CECE" w:themeFill="background2" w:themeFillShade="E6"/>
            <w:vAlign w:val="center"/>
          </w:tcPr>
          <w:p w14:paraId="5B120CD7" w14:textId="085EBC79" w:rsidR="007C00AD" w:rsidRPr="00D51FAC" w:rsidRDefault="00E57223" w:rsidP="00D51FAC">
            <w:pPr>
              <w:spacing w:line="18pt" w:lineRule="auto"/>
              <w:rPr>
                <w:rFonts w:ascii="Arial" w:hAnsi="Arial" w:cs="Arial"/>
                <w:b/>
                <w:bCs/>
                <w:sz w:val="24"/>
                <w:szCs w:val="24"/>
                <w:lang w:val="en-GB"/>
              </w:rPr>
            </w:pPr>
            <w:r w:rsidRPr="00D51FAC">
              <w:rPr>
                <w:rFonts w:ascii="Arial" w:hAnsi="Arial" w:cs="Arial"/>
                <w:b/>
                <w:bCs/>
                <w:sz w:val="24"/>
                <w:szCs w:val="24"/>
                <w:lang w:val="en-GB"/>
              </w:rPr>
              <w:t>Security Control</w:t>
            </w:r>
          </w:p>
        </w:tc>
        <w:tc>
          <w:tcPr>
            <w:tcW w:w="181.85pt" w:type="dxa"/>
            <w:shd w:val="clear" w:color="auto" w:fill="D0CECE" w:themeFill="background2" w:themeFillShade="E6"/>
            <w:vAlign w:val="center"/>
          </w:tcPr>
          <w:p w14:paraId="5E83761C" w14:textId="4CBBB751" w:rsidR="007C00AD" w:rsidRPr="00D51FAC" w:rsidRDefault="00D51FAC" w:rsidP="00D51FAC">
            <w:pPr>
              <w:spacing w:line="18pt" w:lineRule="auto"/>
              <w:rPr>
                <w:rFonts w:ascii="Arial" w:hAnsi="Arial" w:cs="Arial"/>
                <w:b/>
                <w:bCs/>
                <w:sz w:val="24"/>
                <w:szCs w:val="24"/>
                <w:lang w:val="en-GB"/>
              </w:rPr>
            </w:pPr>
            <w:r w:rsidRPr="00D51FAC">
              <w:rPr>
                <w:rFonts w:ascii="Arial" w:hAnsi="Arial" w:cs="Arial"/>
                <w:b/>
                <w:bCs/>
                <w:sz w:val="24"/>
                <w:szCs w:val="24"/>
                <w:lang w:val="en-GB"/>
              </w:rPr>
              <w:t>Purpose</w:t>
            </w:r>
          </w:p>
        </w:tc>
        <w:tc>
          <w:tcPr>
            <w:tcW w:w="145.40pt" w:type="dxa"/>
            <w:shd w:val="clear" w:color="auto" w:fill="D0CECE" w:themeFill="background2" w:themeFillShade="E6"/>
            <w:vAlign w:val="center"/>
          </w:tcPr>
          <w:p w14:paraId="7457007D" w14:textId="0D9A1B7F" w:rsidR="007C00AD" w:rsidRPr="00D51FAC" w:rsidRDefault="00D51FAC" w:rsidP="00D51FAC">
            <w:pPr>
              <w:spacing w:line="18pt" w:lineRule="auto"/>
              <w:rPr>
                <w:rFonts w:ascii="Arial" w:hAnsi="Arial" w:cs="Arial"/>
                <w:b/>
                <w:bCs/>
                <w:sz w:val="24"/>
                <w:szCs w:val="24"/>
                <w:lang w:val="en-GB"/>
              </w:rPr>
            </w:pPr>
            <w:r w:rsidRPr="00D51FAC">
              <w:rPr>
                <w:rFonts w:ascii="Arial" w:hAnsi="Arial" w:cs="Arial"/>
                <w:b/>
                <w:bCs/>
                <w:sz w:val="24"/>
                <w:szCs w:val="24"/>
                <w:lang w:val="en-GB"/>
              </w:rPr>
              <w:t>Benefit</w:t>
            </w:r>
          </w:p>
        </w:tc>
      </w:tr>
      <w:tr w:rsidR="005400E4" w:rsidRPr="005400E4" w14:paraId="3C485BBF" w14:textId="77777777" w:rsidTr="007C00AD">
        <w:trPr>
          <w:trHeight w:val="540"/>
        </w:trPr>
        <w:tc>
          <w:tcPr>
            <w:tcW w:w="176.85pt" w:type="dxa"/>
            <w:hideMark/>
          </w:tcPr>
          <w:p w14:paraId="0EB6BBD4"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Continuous monitoring</w:t>
            </w:r>
          </w:p>
        </w:tc>
        <w:tc>
          <w:tcPr>
            <w:tcW w:w="181.85pt" w:type="dxa"/>
            <w:hideMark/>
          </w:tcPr>
          <w:p w14:paraId="1350732F" w14:textId="6B7716F6" w:rsidR="005400E4" w:rsidRPr="005400E4" w:rsidRDefault="00280269" w:rsidP="005400E4">
            <w:pPr>
              <w:spacing w:line="18pt" w:lineRule="auto"/>
              <w:jc w:val="start"/>
              <w:rPr>
                <w:rFonts w:ascii="Arial" w:hAnsi="Arial" w:cs="Arial"/>
                <w:sz w:val="24"/>
                <w:szCs w:val="24"/>
                <w:lang w:val="en-GB"/>
              </w:rPr>
            </w:pPr>
            <w:r>
              <w:rPr>
                <w:rFonts w:ascii="Arial" w:hAnsi="Arial" w:cs="Arial"/>
                <w:sz w:val="24"/>
                <w:szCs w:val="24"/>
                <w:lang w:val="en-GB"/>
              </w:rPr>
              <w:t>Detects</w:t>
            </w:r>
            <w:r w:rsidR="005400E4" w:rsidRPr="005400E4">
              <w:rPr>
                <w:rFonts w:ascii="Arial" w:hAnsi="Arial" w:cs="Arial"/>
                <w:sz w:val="24"/>
                <w:szCs w:val="24"/>
                <w:lang w:val="en-GB"/>
              </w:rPr>
              <w:t xml:space="preserve"> suspicious activity in real time</w:t>
            </w:r>
          </w:p>
        </w:tc>
        <w:tc>
          <w:tcPr>
            <w:tcW w:w="145.40pt" w:type="dxa"/>
            <w:hideMark/>
          </w:tcPr>
          <w:p w14:paraId="105F8A46"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Reduces attacker dwell time</w:t>
            </w:r>
          </w:p>
        </w:tc>
      </w:tr>
      <w:tr w:rsidR="005400E4" w:rsidRPr="005400E4" w14:paraId="0FDE9BA6" w14:textId="77777777" w:rsidTr="007C00AD">
        <w:trPr>
          <w:trHeight w:val="540"/>
        </w:trPr>
        <w:tc>
          <w:tcPr>
            <w:tcW w:w="0pt" w:type="dxa"/>
            <w:hideMark/>
          </w:tcPr>
          <w:p w14:paraId="3EF490B1"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Automated vulnerability scanning</w:t>
            </w:r>
          </w:p>
        </w:tc>
        <w:tc>
          <w:tcPr>
            <w:tcW w:w="0pt" w:type="dxa"/>
            <w:hideMark/>
          </w:tcPr>
          <w:p w14:paraId="475FBC21"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Identifies security weaknesses</w:t>
            </w:r>
          </w:p>
        </w:tc>
        <w:tc>
          <w:tcPr>
            <w:tcW w:w="0pt" w:type="dxa"/>
            <w:hideMark/>
          </w:tcPr>
          <w:p w14:paraId="3EC1120F"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Enables faster remediation</w:t>
            </w:r>
          </w:p>
        </w:tc>
      </w:tr>
      <w:tr w:rsidR="005400E4" w:rsidRPr="005400E4" w14:paraId="02F4947B" w14:textId="77777777" w:rsidTr="007C00AD">
        <w:trPr>
          <w:trHeight w:val="540"/>
        </w:trPr>
        <w:tc>
          <w:tcPr>
            <w:tcW w:w="0pt" w:type="dxa"/>
            <w:hideMark/>
          </w:tcPr>
          <w:p w14:paraId="6A05ECBE"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Endpoint Detection and Response (EDR)</w:t>
            </w:r>
          </w:p>
        </w:tc>
        <w:tc>
          <w:tcPr>
            <w:tcW w:w="0pt" w:type="dxa"/>
            <w:hideMark/>
          </w:tcPr>
          <w:p w14:paraId="00583322"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Detects and isolates compromised devices</w:t>
            </w:r>
          </w:p>
        </w:tc>
        <w:tc>
          <w:tcPr>
            <w:tcW w:w="0pt" w:type="dxa"/>
            <w:hideMark/>
          </w:tcPr>
          <w:p w14:paraId="52AE475D"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Limits the spread of attacks</w:t>
            </w:r>
          </w:p>
        </w:tc>
      </w:tr>
      <w:tr w:rsidR="005400E4" w:rsidRPr="005400E4" w14:paraId="453AF5D0" w14:textId="77777777" w:rsidTr="007C00AD">
        <w:trPr>
          <w:trHeight w:val="540"/>
        </w:trPr>
        <w:tc>
          <w:tcPr>
            <w:tcW w:w="0pt" w:type="dxa"/>
            <w:hideMark/>
          </w:tcPr>
          <w:p w14:paraId="7BF0DE70"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Data encryption</w:t>
            </w:r>
          </w:p>
        </w:tc>
        <w:tc>
          <w:tcPr>
            <w:tcW w:w="0pt" w:type="dxa"/>
            <w:hideMark/>
          </w:tcPr>
          <w:p w14:paraId="629271E3"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Protects sensitive information</w:t>
            </w:r>
          </w:p>
        </w:tc>
        <w:tc>
          <w:tcPr>
            <w:tcW w:w="0pt" w:type="dxa"/>
            <w:hideMark/>
          </w:tcPr>
          <w:p w14:paraId="27280455"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Reduces the impact of data theft</w:t>
            </w:r>
          </w:p>
        </w:tc>
      </w:tr>
      <w:tr w:rsidR="005400E4" w:rsidRPr="005400E4" w14:paraId="208D75F9" w14:textId="77777777" w:rsidTr="007C00AD">
        <w:trPr>
          <w:trHeight w:val="540"/>
        </w:trPr>
        <w:tc>
          <w:tcPr>
            <w:tcW w:w="0pt" w:type="dxa"/>
            <w:hideMark/>
          </w:tcPr>
          <w:p w14:paraId="01F50A9A"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Multi-Factor Authentication (MFA)</w:t>
            </w:r>
          </w:p>
        </w:tc>
        <w:tc>
          <w:tcPr>
            <w:tcW w:w="0pt" w:type="dxa"/>
            <w:hideMark/>
          </w:tcPr>
          <w:p w14:paraId="30A467D9"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Strengthens user authentication</w:t>
            </w:r>
          </w:p>
        </w:tc>
        <w:tc>
          <w:tcPr>
            <w:tcW w:w="0pt" w:type="dxa"/>
            <w:hideMark/>
          </w:tcPr>
          <w:p w14:paraId="2E30C8A0" w14:textId="77777777" w:rsidR="005400E4" w:rsidRPr="005400E4" w:rsidRDefault="005400E4" w:rsidP="005400E4">
            <w:pPr>
              <w:spacing w:line="18pt" w:lineRule="auto"/>
              <w:jc w:val="start"/>
              <w:rPr>
                <w:rFonts w:ascii="Arial" w:hAnsi="Arial" w:cs="Arial"/>
                <w:sz w:val="24"/>
                <w:szCs w:val="24"/>
                <w:lang w:val="en-GB"/>
              </w:rPr>
            </w:pPr>
            <w:r w:rsidRPr="005400E4">
              <w:rPr>
                <w:rFonts w:ascii="Arial" w:hAnsi="Arial" w:cs="Arial"/>
                <w:sz w:val="24"/>
                <w:szCs w:val="24"/>
                <w:lang w:val="en-GB"/>
              </w:rPr>
              <w:t>Prevents unauthorised access</w:t>
            </w:r>
          </w:p>
        </w:tc>
      </w:tr>
    </w:tbl>
    <w:p w14:paraId="4F631B80" w14:textId="77777777" w:rsidR="004D18F1" w:rsidRDefault="004D18F1" w:rsidP="003A4B08">
      <w:pPr>
        <w:spacing w:line="18pt" w:lineRule="auto"/>
        <w:jc w:val="start"/>
        <w:rPr>
          <w:rFonts w:ascii="Arial" w:hAnsi="Arial" w:cs="Arial"/>
          <w:sz w:val="24"/>
          <w:szCs w:val="24"/>
          <w:lang w:val="en-GB"/>
        </w:rPr>
      </w:pPr>
    </w:p>
    <w:p w14:paraId="5BEB336E" w14:textId="77777777" w:rsidR="004D18F1" w:rsidRDefault="004D18F1" w:rsidP="003A4B08">
      <w:pPr>
        <w:spacing w:line="18pt" w:lineRule="auto"/>
        <w:jc w:val="start"/>
        <w:rPr>
          <w:rFonts w:ascii="Arial" w:hAnsi="Arial" w:cs="Arial"/>
          <w:sz w:val="24"/>
          <w:szCs w:val="24"/>
          <w:lang w:val="en-GB"/>
        </w:rPr>
      </w:pPr>
    </w:p>
    <w:p w14:paraId="305B4CC3" w14:textId="77777777" w:rsidR="004D18F1" w:rsidRPr="003A4B08" w:rsidRDefault="004D18F1" w:rsidP="003A4B08">
      <w:pPr>
        <w:spacing w:line="18pt" w:lineRule="auto"/>
        <w:jc w:val="start"/>
        <w:rPr>
          <w:rFonts w:ascii="Arial" w:hAnsi="Arial" w:cs="Arial"/>
          <w:sz w:val="24"/>
          <w:szCs w:val="24"/>
          <w:lang w:val="en-GB"/>
        </w:rPr>
      </w:pPr>
    </w:p>
    <w:p w14:paraId="344315D2" w14:textId="7A3A288E" w:rsidR="00E5204F" w:rsidRPr="00E5204F" w:rsidRDefault="00E5204F" w:rsidP="00E5204F">
      <w:pPr>
        <w:spacing w:line="18pt" w:lineRule="auto"/>
        <w:jc w:val="start"/>
        <w:rPr>
          <w:rFonts w:ascii="Arial" w:hAnsi="Arial" w:cs="Arial"/>
          <w:b/>
          <w:bCs/>
          <w:sz w:val="28"/>
          <w:szCs w:val="28"/>
          <w:lang w:val="en-GB"/>
        </w:rPr>
      </w:pPr>
      <w:r w:rsidRPr="00E5204F">
        <w:rPr>
          <w:rFonts w:ascii="Arial" w:hAnsi="Arial" w:cs="Arial"/>
          <w:b/>
          <w:bCs/>
          <w:sz w:val="28"/>
          <w:szCs w:val="28"/>
          <w:lang w:val="en-GB"/>
        </w:rPr>
        <w:t>5.4 Protection Controls</w:t>
      </w:r>
    </w:p>
    <w:p w14:paraId="0CA8DE74" w14:textId="0BDBC6AD" w:rsidR="00E5204F" w:rsidRDefault="00E5204F" w:rsidP="00E5204F">
      <w:pPr>
        <w:spacing w:line="18pt" w:lineRule="auto"/>
        <w:jc w:val="start"/>
        <w:rPr>
          <w:rFonts w:ascii="Arial" w:hAnsi="Arial" w:cs="Arial"/>
          <w:sz w:val="24"/>
          <w:szCs w:val="24"/>
          <w:lang w:val="en-GB"/>
        </w:rPr>
      </w:pPr>
      <w:r w:rsidRPr="00E5204F">
        <w:rPr>
          <w:rFonts w:ascii="Arial" w:hAnsi="Arial" w:cs="Arial"/>
          <w:sz w:val="24"/>
          <w:szCs w:val="24"/>
          <w:lang w:val="en-GB"/>
        </w:rPr>
        <w:t xml:space="preserve">The technical controls shown in </w:t>
      </w:r>
      <w:r w:rsidRPr="00E5204F">
        <w:rPr>
          <w:rFonts w:ascii="Arial" w:hAnsi="Arial" w:cs="Arial"/>
          <w:b/>
          <w:bCs/>
          <w:sz w:val="24"/>
          <w:szCs w:val="24"/>
          <w:lang w:val="en-GB"/>
        </w:rPr>
        <w:t>Table 2</w:t>
      </w:r>
      <w:r w:rsidRPr="00E5204F">
        <w:rPr>
          <w:rFonts w:ascii="Arial" w:hAnsi="Arial" w:cs="Arial"/>
          <w:sz w:val="24"/>
          <w:szCs w:val="24"/>
          <w:lang w:val="en-GB"/>
        </w:rPr>
        <w:t xml:space="preserve"> provide multiple layers of protection across the organisation. Continuous monitoring enables security teams to detect suspicious activity quickly, while automated vulnerability scanning helps identify weaknesses before they are exploited. Endpoint Detection and Response (EDR) </w:t>
      </w:r>
      <w:proofErr w:type="gramStart"/>
      <w:r w:rsidRPr="00E5204F">
        <w:rPr>
          <w:rFonts w:ascii="Arial" w:hAnsi="Arial" w:cs="Arial"/>
          <w:sz w:val="24"/>
          <w:szCs w:val="24"/>
          <w:lang w:val="en-GB"/>
        </w:rPr>
        <w:t>improves</w:t>
      </w:r>
      <w:proofErr w:type="gramEnd"/>
      <w:r w:rsidRPr="00E5204F">
        <w:rPr>
          <w:rFonts w:ascii="Arial" w:hAnsi="Arial" w:cs="Arial"/>
          <w:sz w:val="24"/>
          <w:szCs w:val="24"/>
          <w:lang w:val="en-GB"/>
        </w:rPr>
        <w:t xml:space="preserve"> threat detection by identifying malicious activity on individual devices and isolating compromised endpoints. Data encryption protects sensitive information even if unauthorised access occurs, while Multi-Factor Authentication (MFA) strengthens user authentication and reduces the risk of compromised accounts</w:t>
      </w:r>
      <w:r w:rsidR="00FC1232">
        <w:rPr>
          <w:rFonts w:ascii="Arial" w:hAnsi="Arial" w:cs="Arial"/>
          <w:sz w:val="24"/>
          <w:szCs w:val="24"/>
          <w:lang w:val="en-GB"/>
        </w:rPr>
        <w:t xml:space="preserve"> [8], [9]</w:t>
      </w:r>
      <w:r w:rsidR="00D839AB">
        <w:rPr>
          <w:rFonts w:ascii="Arial" w:hAnsi="Arial" w:cs="Arial"/>
          <w:sz w:val="24"/>
          <w:szCs w:val="24"/>
          <w:lang w:val="en-GB"/>
        </w:rPr>
        <w:t>, [10]</w:t>
      </w:r>
      <w:r w:rsidRPr="00E5204F">
        <w:rPr>
          <w:rFonts w:ascii="Arial" w:hAnsi="Arial" w:cs="Arial"/>
          <w:sz w:val="24"/>
          <w:szCs w:val="24"/>
          <w:lang w:val="en-GB"/>
        </w:rPr>
        <w:t>.</w:t>
      </w:r>
    </w:p>
    <w:p w14:paraId="21B2C1D8" w14:textId="77777777" w:rsidR="00E5204F" w:rsidRDefault="00E5204F" w:rsidP="00E5204F">
      <w:pPr>
        <w:spacing w:line="18pt" w:lineRule="auto"/>
        <w:jc w:val="start"/>
        <w:rPr>
          <w:rFonts w:ascii="Arial" w:hAnsi="Arial" w:cs="Arial"/>
          <w:sz w:val="24"/>
          <w:szCs w:val="24"/>
          <w:lang w:val="en-GB"/>
        </w:rPr>
      </w:pPr>
    </w:p>
    <w:p w14:paraId="5791DD1D" w14:textId="77777777" w:rsidR="00281AC9" w:rsidRDefault="00281AC9" w:rsidP="00A25049">
      <w:pPr>
        <w:spacing w:line="18pt" w:lineRule="auto"/>
        <w:jc w:val="start"/>
        <w:rPr>
          <w:rFonts w:ascii="Arial" w:hAnsi="Arial" w:cs="Arial"/>
          <w:b/>
          <w:bCs/>
          <w:sz w:val="28"/>
          <w:szCs w:val="28"/>
          <w:lang w:val="en-GB"/>
        </w:rPr>
      </w:pPr>
    </w:p>
    <w:p w14:paraId="532DDB45" w14:textId="77777777" w:rsidR="00281AC9" w:rsidRDefault="00281AC9" w:rsidP="00A25049">
      <w:pPr>
        <w:spacing w:line="18pt" w:lineRule="auto"/>
        <w:jc w:val="start"/>
        <w:rPr>
          <w:rFonts w:ascii="Arial" w:hAnsi="Arial" w:cs="Arial"/>
          <w:b/>
          <w:bCs/>
          <w:sz w:val="28"/>
          <w:szCs w:val="28"/>
          <w:lang w:val="en-GB"/>
        </w:rPr>
      </w:pPr>
    </w:p>
    <w:p w14:paraId="3DA20940" w14:textId="77777777" w:rsidR="00A514FA" w:rsidRDefault="00A514FA" w:rsidP="00A25049">
      <w:pPr>
        <w:spacing w:line="18pt" w:lineRule="auto"/>
        <w:jc w:val="start"/>
        <w:rPr>
          <w:rFonts w:ascii="Arial" w:hAnsi="Arial" w:cs="Arial"/>
          <w:b/>
          <w:bCs/>
          <w:sz w:val="28"/>
          <w:szCs w:val="28"/>
          <w:lang w:val="en-GB"/>
        </w:rPr>
      </w:pPr>
    </w:p>
    <w:p w14:paraId="7FDBE48E" w14:textId="77777777" w:rsidR="00A514FA" w:rsidRDefault="00A514FA" w:rsidP="00A25049">
      <w:pPr>
        <w:spacing w:line="18pt" w:lineRule="auto"/>
        <w:jc w:val="start"/>
        <w:rPr>
          <w:rFonts w:ascii="Arial" w:hAnsi="Arial" w:cs="Arial"/>
          <w:b/>
          <w:bCs/>
          <w:sz w:val="28"/>
          <w:szCs w:val="28"/>
          <w:lang w:val="en-GB"/>
        </w:rPr>
      </w:pPr>
    </w:p>
    <w:p w14:paraId="255191C1" w14:textId="0C49A216" w:rsidR="00A25049" w:rsidRPr="004D18F1" w:rsidRDefault="00A25049" w:rsidP="00A25049">
      <w:pPr>
        <w:spacing w:line="18pt" w:lineRule="auto"/>
        <w:jc w:val="start"/>
        <w:rPr>
          <w:rFonts w:ascii="Arial" w:hAnsi="Arial" w:cs="Arial"/>
          <w:b/>
          <w:bCs/>
          <w:sz w:val="28"/>
          <w:szCs w:val="28"/>
          <w:lang w:val="en-GB"/>
        </w:rPr>
      </w:pPr>
      <w:r w:rsidRPr="004D18F1">
        <w:rPr>
          <w:rFonts w:ascii="Arial" w:hAnsi="Arial" w:cs="Arial"/>
          <w:b/>
          <w:bCs/>
          <w:sz w:val="28"/>
          <w:szCs w:val="28"/>
          <w:lang w:val="en-GB"/>
        </w:rPr>
        <w:lastRenderedPageBreak/>
        <w:t>5.5 Justification</w:t>
      </w:r>
    </w:p>
    <w:p w14:paraId="470ABFC6" w14:textId="371351A3" w:rsidR="00A25049" w:rsidRDefault="00A25049" w:rsidP="00A25049">
      <w:pPr>
        <w:spacing w:line="18pt" w:lineRule="auto"/>
        <w:jc w:val="start"/>
        <w:rPr>
          <w:rFonts w:ascii="Arial" w:hAnsi="Arial" w:cs="Arial"/>
          <w:sz w:val="24"/>
          <w:szCs w:val="24"/>
          <w:lang w:val="en-GB"/>
        </w:rPr>
      </w:pPr>
      <w:r w:rsidRPr="00A25049">
        <w:rPr>
          <w:rFonts w:ascii="Arial" w:hAnsi="Arial" w:cs="Arial"/>
          <w:sz w:val="24"/>
          <w:szCs w:val="24"/>
          <w:lang w:val="en-GB"/>
        </w:rPr>
        <w:t>The combination of regulatory compliance, incident response planning, disaster recovery, and technical security controls creates a proactive approach to cybersecurity. Continuous monitoring and EDR reduce attacker dwell time by enabling earlier detection and faster response to threats. Automated vulnerability scanning and effective patch management reduce the likelihood of known vulnerabilities being exploited, while encryption and MFA minimise the impact of unauthorised access. Together, these measures strengthen business continuity, improve regulatory compliance, and increase organisational resilience against future cyberattacks</w:t>
      </w:r>
      <w:r w:rsidR="00873C4D">
        <w:rPr>
          <w:rFonts w:ascii="Arial" w:hAnsi="Arial" w:cs="Arial"/>
          <w:sz w:val="24"/>
          <w:szCs w:val="24"/>
          <w:lang w:val="en-GB"/>
        </w:rPr>
        <w:t xml:space="preserve"> </w:t>
      </w:r>
      <w:r w:rsidR="00D839AB">
        <w:rPr>
          <w:rFonts w:ascii="Arial" w:hAnsi="Arial" w:cs="Arial"/>
          <w:sz w:val="24"/>
          <w:szCs w:val="24"/>
          <w:lang w:val="en-GB"/>
        </w:rPr>
        <w:t>[1], [10</w:t>
      </w:r>
      <w:r w:rsidR="00873C4D">
        <w:rPr>
          <w:rFonts w:ascii="Arial" w:hAnsi="Arial" w:cs="Arial"/>
          <w:sz w:val="24"/>
          <w:szCs w:val="24"/>
          <w:lang w:val="en-GB"/>
        </w:rPr>
        <w:t>]</w:t>
      </w:r>
      <w:r w:rsidRPr="00A25049">
        <w:rPr>
          <w:rFonts w:ascii="Arial" w:hAnsi="Arial" w:cs="Arial"/>
          <w:sz w:val="24"/>
          <w:szCs w:val="24"/>
          <w:lang w:val="en-GB"/>
        </w:rPr>
        <w:t>.</w:t>
      </w:r>
    </w:p>
    <w:p w14:paraId="2DCAB639" w14:textId="77777777" w:rsidR="007F011E" w:rsidRDefault="007F011E" w:rsidP="00A25049">
      <w:pPr>
        <w:spacing w:line="18pt" w:lineRule="auto"/>
        <w:jc w:val="start"/>
        <w:rPr>
          <w:rFonts w:ascii="Arial" w:hAnsi="Arial" w:cs="Arial"/>
          <w:sz w:val="24"/>
          <w:szCs w:val="24"/>
          <w:lang w:val="en-GB"/>
        </w:rPr>
      </w:pPr>
    </w:p>
    <w:p w14:paraId="4BF78386" w14:textId="77777777" w:rsidR="003B5B5E" w:rsidRDefault="003B5B5E" w:rsidP="007F011E">
      <w:pPr>
        <w:spacing w:line="18pt" w:lineRule="auto"/>
        <w:jc w:val="start"/>
        <w:rPr>
          <w:rFonts w:ascii="Arial" w:hAnsi="Arial" w:cs="Arial"/>
          <w:b/>
          <w:bCs/>
          <w:sz w:val="32"/>
          <w:szCs w:val="32"/>
          <w:lang w:val="en-GB"/>
        </w:rPr>
      </w:pPr>
    </w:p>
    <w:p w14:paraId="30649ACC" w14:textId="7482760B" w:rsidR="007F011E" w:rsidRPr="007F011E" w:rsidRDefault="007F011E" w:rsidP="007F011E">
      <w:pPr>
        <w:spacing w:line="18pt" w:lineRule="auto"/>
        <w:jc w:val="start"/>
        <w:rPr>
          <w:rFonts w:ascii="Arial" w:hAnsi="Arial" w:cs="Arial"/>
          <w:b/>
          <w:bCs/>
          <w:sz w:val="32"/>
          <w:szCs w:val="32"/>
          <w:lang w:val="en-GB"/>
        </w:rPr>
      </w:pPr>
      <w:r w:rsidRPr="007F011E">
        <w:rPr>
          <w:rFonts w:ascii="Arial" w:hAnsi="Arial" w:cs="Arial"/>
          <w:b/>
          <w:bCs/>
          <w:sz w:val="32"/>
          <w:szCs w:val="32"/>
          <w:lang w:val="en-GB"/>
        </w:rPr>
        <w:t>Conclusion</w:t>
      </w:r>
    </w:p>
    <w:p w14:paraId="040836D2" w14:textId="2FAA4590" w:rsidR="007F011E" w:rsidRDefault="007F011E" w:rsidP="00324063">
      <w:pPr>
        <w:spacing w:line="18pt" w:lineRule="auto"/>
        <w:jc w:val="start"/>
        <w:rPr>
          <w:rFonts w:ascii="Arial" w:hAnsi="Arial" w:cs="Arial"/>
          <w:sz w:val="24"/>
          <w:szCs w:val="24"/>
          <w:lang w:val="en-GB"/>
        </w:rPr>
      </w:pPr>
      <w:r w:rsidRPr="007F011E">
        <w:rPr>
          <w:rFonts w:ascii="Arial" w:hAnsi="Arial" w:cs="Arial"/>
          <w:sz w:val="24"/>
          <w:szCs w:val="24"/>
          <w:lang w:val="en-GB"/>
        </w:rPr>
        <w:t>The Equifax data breach demonstrated that effective cybersecurity requires more than technical controls alone. A structured cybersecurity programme combining strong governance, clearly defined policies, risk-based decision-making, regulatory compliance, and effective technical safeguards can significantly reduce organisational risk. By aligning cybersecurity with recognised frameworks such as the NIST Cybersecurity Framework (CSF) 2.0 and implementing continuous monitoring, timely patch management, and incident response planning, organisations can improve resilience, protect sensitive information, and respond more effectively to evolving cyber threats. Adopting these measures will help strengthen security, maintain customer trust, and support long-term business continuity</w:t>
      </w:r>
      <w:r w:rsidR="00FF24BD">
        <w:rPr>
          <w:rFonts w:ascii="Arial" w:hAnsi="Arial" w:cs="Arial"/>
          <w:sz w:val="24"/>
          <w:szCs w:val="24"/>
          <w:lang w:val="en-GB"/>
        </w:rPr>
        <w:t xml:space="preserve"> [1],</w:t>
      </w:r>
      <w:r w:rsidR="00B458FA">
        <w:rPr>
          <w:rFonts w:ascii="Arial" w:hAnsi="Arial" w:cs="Arial"/>
          <w:sz w:val="24"/>
          <w:szCs w:val="24"/>
          <w:lang w:val="en-GB"/>
        </w:rPr>
        <w:t xml:space="preserve"> </w:t>
      </w:r>
      <w:r w:rsidR="00FF24BD">
        <w:rPr>
          <w:rFonts w:ascii="Arial" w:hAnsi="Arial" w:cs="Arial"/>
          <w:sz w:val="24"/>
          <w:szCs w:val="24"/>
          <w:lang w:val="en-GB"/>
        </w:rPr>
        <w:t>[10].</w:t>
      </w:r>
    </w:p>
    <w:p w14:paraId="19683A84" w14:textId="77777777" w:rsidR="00E5204F" w:rsidRDefault="00E5204F" w:rsidP="00E5204F">
      <w:pPr>
        <w:spacing w:line="18pt" w:lineRule="auto"/>
        <w:jc w:val="start"/>
        <w:rPr>
          <w:rFonts w:ascii="Arial" w:hAnsi="Arial" w:cs="Arial"/>
          <w:sz w:val="24"/>
          <w:szCs w:val="24"/>
          <w:lang w:val="en-GB"/>
        </w:rPr>
      </w:pPr>
    </w:p>
    <w:p w14:paraId="0D122DEF" w14:textId="77777777" w:rsidR="00AB1B23" w:rsidRDefault="00AB1B23" w:rsidP="00E5204F">
      <w:pPr>
        <w:spacing w:line="18pt" w:lineRule="auto"/>
        <w:jc w:val="start"/>
        <w:rPr>
          <w:rFonts w:ascii="Arial" w:hAnsi="Arial" w:cs="Arial"/>
          <w:b/>
          <w:bCs/>
          <w:sz w:val="32"/>
          <w:szCs w:val="32"/>
          <w:lang w:val="en-GB"/>
        </w:rPr>
      </w:pPr>
    </w:p>
    <w:p w14:paraId="623D1C0F" w14:textId="77777777" w:rsidR="00A514FA" w:rsidRDefault="00A514FA" w:rsidP="00E5204F">
      <w:pPr>
        <w:spacing w:line="18pt" w:lineRule="auto"/>
        <w:jc w:val="start"/>
        <w:rPr>
          <w:rFonts w:ascii="Arial" w:hAnsi="Arial" w:cs="Arial"/>
          <w:b/>
          <w:bCs/>
          <w:sz w:val="32"/>
          <w:szCs w:val="32"/>
          <w:lang w:val="en-GB"/>
        </w:rPr>
      </w:pPr>
    </w:p>
    <w:p w14:paraId="53D9780F" w14:textId="77777777" w:rsidR="00A514FA" w:rsidRDefault="00A514FA" w:rsidP="00E5204F">
      <w:pPr>
        <w:spacing w:line="18pt" w:lineRule="auto"/>
        <w:jc w:val="start"/>
        <w:rPr>
          <w:rFonts w:ascii="Arial" w:hAnsi="Arial" w:cs="Arial"/>
          <w:b/>
          <w:bCs/>
          <w:sz w:val="32"/>
          <w:szCs w:val="32"/>
          <w:lang w:val="en-GB"/>
        </w:rPr>
      </w:pPr>
    </w:p>
    <w:p w14:paraId="19958A91" w14:textId="77777777" w:rsidR="00A514FA" w:rsidRDefault="00A514FA" w:rsidP="00E5204F">
      <w:pPr>
        <w:spacing w:line="18pt" w:lineRule="auto"/>
        <w:jc w:val="start"/>
        <w:rPr>
          <w:rFonts w:ascii="Arial" w:hAnsi="Arial" w:cs="Arial"/>
          <w:b/>
          <w:bCs/>
          <w:sz w:val="32"/>
          <w:szCs w:val="32"/>
          <w:lang w:val="en-GB"/>
        </w:rPr>
      </w:pPr>
    </w:p>
    <w:p w14:paraId="05622349" w14:textId="77777777" w:rsidR="00A514FA" w:rsidRDefault="00A514FA" w:rsidP="00E5204F">
      <w:pPr>
        <w:spacing w:line="18pt" w:lineRule="auto"/>
        <w:jc w:val="start"/>
        <w:rPr>
          <w:rFonts w:ascii="Arial" w:hAnsi="Arial" w:cs="Arial"/>
          <w:b/>
          <w:bCs/>
          <w:sz w:val="32"/>
          <w:szCs w:val="32"/>
          <w:lang w:val="en-GB"/>
        </w:rPr>
      </w:pPr>
    </w:p>
    <w:p w14:paraId="3EE5A58F" w14:textId="77777777" w:rsidR="00A514FA" w:rsidRDefault="00A514FA" w:rsidP="00E5204F">
      <w:pPr>
        <w:spacing w:line="18pt" w:lineRule="auto"/>
        <w:jc w:val="start"/>
        <w:rPr>
          <w:rFonts w:ascii="Arial" w:hAnsi="Arial" w:cs="Arial"/>
          <w:b/>
          <w:bCs/>
          <w:sz w:val="32"/>
          <w:szCs w:val="32"/>
          <w:lang w:val="en-GB"/>
        </w:rPr>
      </w:pPr>
    </w:p>
    <w:p w14:paraId="1733F8F1" w14:textId="77777777" w:rsidR="00A514FA" w:rsidRDefault="00A514FA" w:rsidP="00E5204F">
      <w:pPr>
        <w:spacing w:line="18pt" w:lineRule="auto"/>
        <w:jc w:val="start"/>
        <w:rPr>
          <w:rFonts w:ascii="Arial" w:hAnsi="Arial" w:cs="Arial"/>
          <w:b/>
          <w:bCs/>
          <w:sz w:val="32"/>
          <w:szCs w:val="32"/>
          <w:lang w:val="en-GB"/>
        </w:rPr>
      </w:pPr>
    </w:p>
    <w:p w14:paraId="5C44BA38" w14:textId="77777777" w:rsidR="00A514FA" w:rsidRDefault="00A514FA" w:rsidP="00E5204F">
      <w:pPr>
        <w:spacing w:line="18pt" w:lineRule="auto"/>
        <w:jc w:val="start"/>
        <w:rPr>
          <w:rFonts w:ascii="Arial" w:hAnsi="Arial" w:cs="Arial"/>
          <w:b/>
          <w:bCs/>
          <w:sz w:val="32"/>
          <w:szCs w:val="32"/>
          <w:lang w:val="en-GB"/>
        </w:rPr>
      </w:pPr>
    </w:p>
    <w:p w14:paraId="0DE89104" w14:textId="77777777" w:rsidR="00A514FA" w:rsidRDefault="00A514FA" w:rsidP="00E5204F">
      <w:pPr>
        <w:spacing w:line="18pt" w:lineRule="auto"/>
        <w:jc w:val="start"/>
        <w:rPr>
          <w:rFonts w:ascii="Arial" w:hAnsi="Arial" w:cs="Arial"/>
          <w:b/>
          <w:bCs/>
          <w:sz w:val="32"/>
          <w:szCs w:val="32"/>
          <w:lang w:val="en-GB"/>
        </w:rPr>
      </w:pPr>
    </w:p>
    <w:p w14:paraId="3904ADD4" w14:textId="77777777" w:rsidR="00A514FA" w:rsidRDefault="00A514FA" w:rsidP="00E5204F">
      <w:pPr>
        <w:spacing w:line="18pt" w:lineRule="auto"/>
        <w:jc w:val="start"/>
        <w:rPr>
          <w:rFonts w:ascii="Arial" w:hAnsi="Arial" w:cs="Arial"/>
          <w:b/>
          <w:bCs/>
          <w:sz w:val="32"/>
          <w:szCs w:val="32"/>
          <w:lang w:val="en-GB"/>
        </w:rPr>
      </w:pPr>
    </w:p>
    <w:p w14:paraId="0613D189" w14:textId="2E100E63" w:rsidR="0039089A" w:rsidRDefault="00AB1B23" w:rsidP="00E5204F">
      <w:pPr>
        <w:spacing w:line="18pt" w:lineRule="auto"/>
        <w:jc w:val="start"/>
        <w:rPr>
          <w:rFonts w:ascii="Arial" w:hAnsi="Arial" w:cs="Arial"/>
          <w:b/>
          <w:bCs/>
          <w:sz w:val="32"/>
          <w:szCs w:val="32"/>
          <w:lang w:val="en-GB"/>
        </w:rPr>
      </w:pPr>
      <w:r w:rsidRPr="00AB1B23">
        <w:rPr>
          <w:rFonts w:ascii="Arial" w:hAnsi="Arial" w:cs="Arial"/>
          <w:b/>
          <w:bCs/>
          <w:sz w:val="32"/>
          <w:szCs w:val="32"/>
          <w:lang w:val="en-GB"/>
        </w:rPr>
        <w:t>References</w:t>
      </w:r>
    </w:p>
    <w:p w14:paraId="4639F3AF" w14:textId="30297D02" w:rsidR="004C70B6" w:rsidRDefault="004C70B6" w:rsidP="004C70B6">
      <w:pPr>
        <w:jc w:val="start"/>
        <w:rPr>
          <w:rFonts w:ascii="Arial" w:hAnsi="Arial" w:cs="Arial"/>
          <w:sz w:val="24"/>
          <w:szCs w:val="24"/>
        </w:rPr>
      </w:pPr>
      <w:r w:rsidRPr="00F94AB9">
        <w:rPr>
          <w:rFonts w:ascii="Arial" w:hAnsi="Arial" w:cs="Arial"/>
          <w:sz w:val="24"/>
          <w:szCs w:val="24"/>
        </w:rPr>
        <w:t xml:space="preserve">[1] National Institute of Standards and Technology, "Cybersecurity Framework (CSF) 2.0," Gaithersburg, MD, USA, 2024. [Online]. Available: </w:t>
      </w:r>
      <w:hyperlink r:id="rId16" w:history="1">
        <w:r w:rsidR="00296290" w:rsidRPr="00154CB8">
          <w:rPr>
            <w:rStyle w:val="Hyperlink"/>
            <w:rFonts w:ascii="Arial" w:hAnsi="Arial" w:cs="Arial"/>
            <w:sz w:val="24"/>
            <w:szCs w:val="24"/>
          </w:rPr>
          <w:t>https://www.nist.gov/cyberframework</w:t>
        </w:r>
      </w:hyperlink>
    </w:p>
    <w:p w14:paraId="7799EF0D" w14:textId="77777777" w:rsidR="00296290" w:rsidRPr="00F94AB9" w:rsidRDefault="00296290" w:rsidP="004C70B6">
      <w:pPr>
        <w:jc w:val="start"/>
        <w:rPr>
          <w:rFonts w:ascii="Arial" w:hAnsi="Arial" w:cs="Arial"/>
          <w:sz w:val="24"/>
          <w:szCs w:val="24"/>
        </w:rPr>
      </w:pPr>
    </w:p>
    <w:p w14:paraId="7DFBE6B2" w14:textId="77777777" w:rsidR="004C70B6" w:rsidRPr="00F94AB9" w:rsidRDefault="004C70B6" w:rsidP="004C70B6">
      <w:pPr>
        <w:jc w:val="start"/>
        <w:rPr>
          <w:rFonts w:ascii="Arial" w:hAnsi="Arial" w:cs="Arial"/>
          <w:sz w:val="24"/>
          <w:szCs w:val="24"/>
        </w:rPr>
      </w:pPr>
      <w:r w:rsidRPr="00F94AB9">
        <w:rPr>
          <w:rFonts w:ascii="Arial" w:hAnsi="Arial" w:cs="Arial"/>
          <w:sz w:val="24"/>
          <w:szCs w:val="24"/>
        </w:rPr>
        <w:t>[2] U.S. Government Accountability Office, Data Protection: Actions Taken by Equifax and Federal Agencies in Response to the 2017 Breach, GAO-18-559. Washington, DC, USA, 2018.</w:t>
      </w:r>
    </w:p>
    <w:p w14:paraId="43CE248A" w14:textId="77777777" w:rsidR="004C70B6" w:rsidRPr="00F94AB9" w:rsidRDefault="004C70B6" w:rsidP="004C70B6">
      <w:pPr>
        <w:jc w:val="start"/>
        <w:rPr>
          <w:rFonts w:ascii="Arial" w:hAnsi="Arial" w:cs="Arial"/>
          <w:sz w:val="24"/>
          <w:szCs w:val="24"/>
        </w:rPr>
      </w:pPr>
    </w:p>
    <w:p w14:paraId="565C8EEF" w14:textId="77777777" w:rsidR="004C70B6" w:rsidRPr="00F94AB9" w:rsidRDefault="004C70B6" w:rsidP="004C70B6">
      <w:pPr>
        <w:jc w:val="start"/>
        <w:rPr>
          <w:rFonts w:ascii="Arial" w:hAnsi="Arial" w:cs="Arial"/>
          <w:sz w:val="24"/>
          <w:szCs w:val="24"/>
        </w:rPr>
      </w:pPr>
      <w:r w:rsidRPr="00F94AB9">
        <w:rPr>
          <w:rFonts w:ascii="Arial" w:hAnsi="Arial" w:cs="Arial"/>
          <w:sz w:val="24"/>
          <w:szCs w:val="24"/>
        </w:rPr>
        <w:t>[3] U.S. House of Representatives, Committee on Oversight and Government Reform, The Equifax Data Breach, Staff Report. Washington, DC, USA, Dec. 2018.</w:t>
      </w:r>
    </w:p>
    <w:p w14:paraId="37E447A2" w14:textId="77777777" w:rsidR="004C70B6" w:rsidRPr="00F94AB9" w:rsidRDefault="004C70B6" w:rsidP="004C70B6">
      <w:pPr>
        <w:jc w:val="start"/>
        <w:rPr>
          <w:rFonts w:ascii="Arial" w:hAnsi="Arial" w:cs="Arial"/>
          <w:sz w:val="24"/>
          <w:szCs w:val="24"/>
        </w:rPr>
      </w:pPr>
    </w:p>
    <w:p w14:paraId="4B9CDF67" w14:textId="79181B88" w:rsidR="004C70B6" w:rsidRDefault="004C70B6" w:rsidP="004C70B6">
      <w:pPr>
        <w:jc w:val="start"/>
        <w:rPr>
          <w:rFonts w:ascii="Arial" w:hAnsi="Arial" w:cs="Arial"/>
          <w:sz w:val="24"/>
          <w:szCs w:val="24"/>
        </w:rPr>
      </w:pPr>
      <w:r w:rsidRPr="00F94AB9">
        <w:rPr>
          <w:rFonts w:ascii="Arial" w:hAnsi="Arial" w:cs="Arial"/>
          <w:sz w:val="24"/>
          <w:szCs w:val="24"/>
        </w:rPr>
        <w:t xml:space="preserve">[4] Apache Software Foundation, "Apache Struts Security Bulletins." [Online]. Available: </w:t>
      </w:r>
      <w:hyperlink r:id="rId17" w:history="1">
        <w:r w:rsidR="00296290" w:rsidRPr="00154CB8">
          <w:rPr>
            <w:rStyle w:val="Hyperlink"/>
            <w:rFonts w:ascii="Arial" w:hAnsi="Arial" w:cs="Arial"/>
            <w:sz w:val="24"/>
            <w:szCs w:val="24"/>
          </w:rPr>
          <w:t>https://struts.apache.org/security/</w:t>
        </w:r>
      </w:hyperlink>
    </w:p>
    <w:p w14:paraId="026EE0D7" w14:textId="77777777" w:rsidR="00296290" w:rsidRPr="00F94AB9" w:rsidRDefault="00296290" w:rsidP="004C70B6">
      <w:pPr>
        <w:jc w:val="start"/>
        <w:rPr>
          <w:rFonts w:ascii="Arial" w:hAnsi="Arial" w:cs="Arial"/>
          <w:sz w:val="24"/>
          <w:szCs w:val="24"/>
        </w:rPr>
      </w:pPr>
    </w:p>
    <w:p w14:paraId="36FE71C7" w14:textId="77777777" w:rsidR="004C70B6" w:rsidRPr="00F94AB9" w:rsidRDefault="004C70B6" w:rsidP="004C70B6">
      <w:pPr>
        <w:jc w:val="start"/>
        <w:rPr>
          <w:rFonts w:ascii="Arial" w:hAnsi="Arial" w:cs="Arial"/>
          <w:sz w:val="24"/>
          <w:szCs w:val="24"/>
        </w:rPr>
      </w:pPr>
      <w:r w:rsidRPr="00F94AB9">
        <w:rPr>
          <w:rFonts w:ascii="Arial" w:hAnsi="Arial" w:cs="Arial"/>
          <w:sz w:val="24"/>
          <w:szCs w:val="24"/>
        </w:rPr>
        <w:t>[5] European Parliament and Council, "Regulation (EU) 2016/679 (General Data Protection Regulation)," Official Journal of the European Union, 2016.</w:t>
      </w:r>
    </w:p>
    <w:p w14:paraId="5A5FBCCD" w14:textId="77777777" w:rsidR="004C70B6" w:rsidRPr="00F94AB9" w:rsidRDefault="004C70B6" w:rsidP="004C70B6">
      <w:pPr>
        <w:jc w:val="start"/>
        <w:rPr>
          <w:rFonts w:ascii="Arial" w:hAnsi="Arial" w:cs="Arial"/>
          <w:sz w:val="24"/>
          <w:szCs w:val="24"/>
        </w:rPr>
      </w:pPr>
    </w:p>
    <w:p w14:paraId="25DAF8B0" w14:textId="77777777" w:rsidR="004C70B6" w:rsidRPr="00F94AB9" w:rsidRDefault="004C70B6" w:rsidP="004C70B6">
      <w:pPr>
        <w:jc w:val="start"/>
        <w:rPr>
          <w:rFonts w:ascii="Arial" w:hAnsi="Arial" w:cs="Arial"/>
          <w:sz w:val="24"/>
          <w:szCs w:val="24"/>
        </w:rPr>
      </w:pPr>
      <w:r w:rsidRPr="00F94AB9">
        <w:rPr>
          <w:rFonts w:ascii="Arial" w:hAnsi="Arial" w:cs="Arial"/>
          <w:sz w:val="24"/>
          <w:szCs w:val="24"/>
        </w:rPr>
        <w:t>[6] European Parliament and Council, "Directive (EU) 2022/2555 on measures for a high common level of cybersecurity across the Union (NIS2 Directive)," Official Journal of the European Union, 2022.</w:t>
      </w:r>
    </w:p>
    <w:p w14:paraId="5C834736" w14:textId="77777777" w:rsidR="004C70B6" w:rsidRPr="00F94AB9" w:rsidRDefault="004C70B6" w:rsidP="004C70B6">
      <w:pPr>
        <w:jc w:val="start"/>
        <w:rPr>
          <w:rFonts w:ascii="Arial" w:hAnsi="Arial" w:cs="Arial"/>
          <w:sz w:val="24"/>
          <w:szCs w:val="24"/>
        </w:rPr>
      </w:pPr>
    </w:p>
    <w:p w14:paraId="75B59D66" w14:textId="44B7452B" w:rsidR="00C20DE0" w:rsidRDefault="00424F57" w:rsidP="00424F57">
      <w:pPr>
        <w:jc w:val="start"/>
        <w:rPr>
          <w:rFonts w:ascii="Arial" w:hAnsi="Arial" w:cs="Arial"/>
          <w:sz w:val="24"/>
          <w:szCs w:val="24"/>
        </w:rPr>
      </w:pPr>
      <w:r w:rsidRPr="00130782">
        <w:rPr>
          <w:rFonts w:ascii="Arial" w:hAnsi="Arial" w:cs="Arial"/>
          <w:sz w:val="24"/>
          <w:szCs w:val="24"/>
        </w:rPr>
        <w:t xml:space="preserve">[7] Cybersecurity and Infrastructure Security Agency (CISA), Federal Government Cybersecurity Incident and Vulnerability Response Playbooks, Version 3.0, Washington, DC, USA, Nov. 2024. [Online]. Available: </w:t>
      </w:r>
      <w:hyperlink r:id="rId18" w:history="1">
        <w:r w:rsidRPr="00154CB8">
          <w:rPr>
            <w:rStyle w:val="Hyperlink"/>
            <w:rFonts w:ascii="Arial" w:hAnsi="Arial" w:cs="Arial"/>
            <w:sz w:val="24"/>
            <w:szCs w:val="24"/>
          </w:rPr>
          <w:t>https://www.cisa.gov/resources-tools/resources/federal-government-cybersecurity-incident-and-vulnerability-response-playbooks</w:t>
        </w:r>
      </w:hyperlink>
    </w:p>
    <w:p w14:paraId="5B60B03A" w14:textId="77777777" w:rsidR="00424F57" w:rsidRPr="008D18B0" w:rsidRDefault="00424F57" w:rsidP="00424F57">
      <w:pPr>
        <w:jc w:val="start"/>
        <w:rPr>
          <w:rFonts w:ascii="Arial" w:hAnsi="Arial" w:cs="Arial"/>
          <w:sz w:val="24"/>
          <w:szCs w:val="24"/>
        </w:rPr>
      </w:pPr>
    </w:p>
    <w:p w14:paraId="1B3A8423" w14:textId="77777777" w:rsidR="004C70B6" w:rsidRPr="00F94AB9" w:rsidRDefault="004C70B6" w:rsidP="004C70B6">
      <w:pPr>
        <w:jc w:val="start"/>
        <w:rPr>
          <w:rFonts w:ascii="Arial" w:hAnsi="Arial" w:cs="Arial"/>
          <w:sz w:val="24"/>
          <w:szCs w:val="24"/>
        </w:rPr>
      </w:pPr>
      <w:r w:rsidRPr="00F94AB9">
        <w:rPr>
          <w:rFonts w:ascii="Arial" w:hAnsi="Arial" w:cs="Arial"/>
          <w:sz w:val="24"/>
          <w:szCs w:val="24"/>
        </w:rPr>
        <w:t>[8] IBM Security, Cost of a Data Breach Report 2024. Armonk, NY, USA, 2024.</w:t>
      </w:r>
    </w:p>
    <w:p w14:paraId="2EEBF46E" w14:textId="77777777" w:rsidR="004C70B6" w:rsidRPr="00F94AB9" w:rsidRDefault="004C70B6" w:rsidP="004C70B6">
      <w:pPr>
        <w:jc w:val="start"/>
        <w:rPr>
          <w:rFonts w:ascii="Arial" w:hAnsi="Arial" w:cs="Arial"/>
          <w:sz w:val="24"/>
          <w:szCs w:val="24"/>
        </w:rPr>
      </w:pPr>
    </w:p>
    <w:p w14:paraId="2D0CDEE7" w14:textId="6CAF6DA2" w:rsidR="004C70B6" w:rsidRDefault="004C70B6" w:rsidP="004C70B6">
      <w:pPr>
        <w:jc w:val="start"/>
        <w:rPr>
          <w:rFonts w:ascii="Arial" w:hAnsi="Arial" w:cs="Arial"/>
          <w:sz w:val="24"/>
          <w:szCs w:val="24"/>
        </w:rPr>
      </w:pPr>
      <w:r w:rsidRPr="00F94AB9">
        <w:rPr>
          <w:rFonts w:ascii="Arial" w:hAnsi="Arial" w:cs="Arial"/>
          <w:sz w:val="24"/>
          <w:szCs w:val="24"/>
        </w:rPr>
        <w:t xml:space="preserve">[9] Verizon, 2024 Data Breach Investigations Report. New York, NY, USA, 2024. [Online]. Available: </w:t>
      </w:r>
      <w:hyperlink r:id="rId19" w:history="1">
        <w:r w:rsidR="00296290" w:rsidRPr="00154CB8">
          <w:rPr>
            <w:rStyle w:val="Hyperlink"/>
            <w:rFonts w:ascii="Arial" w:hAnsi="Arial" w:cs="Arial"/>
            <w:sz w:val="24"/>
            <w:szCs w:val="24"/>
          </w:rPr>
          <w:t>https://www.verizon.com/business/resources/reports/dbir/</w:t>
        </w:r>
      </w:hyperlink>
    </w:p>
    <w:p w14:paraId="682F5D7D" w14:textId="77777777" w:rsidR="00296290" w:rsidRPr="00F94AB9" w:rsidRDefault="00296290" w:rsidP="004C70B6">
      <w:pPr>
        <w:jc w:val="start"/>
        <w:rPr>
          <w:rFonts w:ascii="Arial" w:hAnsi="Arial" w:cs="Arial"/>
          <w:sz w:val="24"/>
          <w:szCs w:val="24"/>
        </w:rPr>
      </w:pPr>
    </w:p>
    <w:p w14:paraId="05A58916" w14:textId="77777777" w:rsidR="004C70B6" w:rsidRDefault="004C70B6" w:rsidP="004C70B6">
      <w:pPr>
        <w:jc w:val="start"/>
        <w:rPr>
          <w:rFonts w:ascii="Arial" w:hAnsi="Arial" w:cs="Arial"/>
          <w:sz w:val="24"/>
          <w:szCs w:val="24"/>
        </w:rPr>
      </w:pPr>
      <w:r w:rsidRPr="00F94AB9">
        <w:rPr>
          <w:rFonts w:ascii="Arial" w:hAnsi="Arial" w:cs="Arial"/>
          <w:sz w:val="24"/>
          <w:szCs w:val="24"/>
        </w:rPr>
        <w:t>[10] National Institute of Standards and Technology, Security and Privacy Controls for Information Systems and Organizations, NIST Special Publication 800-53 Rev. 5. Gaithersburg, MD, USA, 2020.</w:t>
      </w:r>
    </w:p>
    <w:p w14:paraId="718C5C1B" w14:textId="77777777" w:rsidR="00AB1B23" w:rsidRPr="00AB1B23" w:rsidRDefault="00AB1B23" w:rsidP="00E5204F">
      <w:pPr>
        <w:spacing w:line="18pt" w:lineRule="auto"/>
        <w:jc w:val="start"/>
        <w:rPr>
          <w:rFonts w:ascii="Arial" w:hAnsi="Arial" w:cs="Arial"/>
          <w:b/>
          <w:bCs/>
          <w:sz w:val="32"/>
          <w:szCs w:val="32"/>
          <w:lang w:val="en-GB"/>
        </w:rPr>
      </w:pPr>
    </w:p>
    <w:p w14:paraId="362E2FC0" w14:textId="77777777" w:rsidR="003A4B08" w:rsidRPr="003A4B08" w:rsidRDefault="003A4B08" w:rsidP="003A4B08">
      <w:pPr>
        <w:spacing w:line="18pt" w:lineRule="auto"/>
        <w:jc w:val="start"/>
        <w:rPr>
          <w:rFonts w:ascii="Arial" w:hAnsi="Arial" w:cs="Arial"/>
          <w:sz w:val="24"/>
          <w:szCs w:val="24"/>
          <w:lang w:val="en-GB"/>
        </w:rPr>
      </w:pPr>
    </w:p>
    <w:p w14:paraId="626861D7" w14:textId="77777777" w:rsidR="00D211D0" w:rsidRDefault="00D211D0" w:rsidP="003A4B08">
      <w:pPr>
        <w:spacing w:line="18pt" w:lineRule="auto"/>
        <w:jc w:val="start"/>
        <w:rPr>
          <w:rFonts w:ascii="Arial" w:hAnsi="Arial" w:cs="Arial"/>
          <w:sz w:val="24"/>
          <w:szCs w:val="24"/>
        </w:rPr>
      </w:pPr>
    </w:p>
    <w:p w14:paraId="04B22065" w14:textId="77777777" w:rsidR="00D540D8" w:rsidRPr="003A4B08" w:rsidRDefault="00D540D8" w:rsidP="003A4B08">
      <w:pPr>
        <w:spacing w:line="18pt" w:lineRule="auto"/>
        <w:jc w:val="start"/>
        <w:rPr>
          <w:rFonts w:ascii="Arial" w:hAnsi="Arial" w:cs="Arial"/>
          <w:sz w:val="24"/>
          <w:szCs w:val="24"/>
        </w:rPr>
      </w:pPr>
    </w:p>
    <w:p w14:paraId="5DBE6A8D" w14:textId="77777777" w:rsidR="00D211D0" w:rsidRDefault="00D211D0" w:rsidP="001D6100">
      <w:pPr>
        <w:jc w:val="start"/>
        <w:rPr>
          <w:rFonts w:ascii="Arial" w:hAnsi="Arial" w:cs="Arial"/>
          <w:b/>
          <w:bCs/>
          <w:i/>
          <w:iCs/>
        </w:rPr>
      </w:pPr>
    </w:p>
    <w:p w14:paraId="472A57F3" w14:textId="77777777" w:rsidR="00D211D0" w:rsidRDefault="00D211D0" w:rsidP="001D6100">
      <w:pPr>
        <w:jc w:val="start"/>
        <w:rPr>
          <w:rFonts w:ascii="Arial" w:hAnsi="Arial" w:cs="Arial"/>
          <w:b/>
          <w:bCs/>
        </w:rPr>
      </w:pPr>
    </w:p>
    <w:p w14:paraId="4283140A" w14:textId="3E2B257D" w:rsidR="00D211D0" w:rsidRPr="00D211D0" w:rsidRDefault="00D211D0" w:rsidP="001D6100">
      <w:pPr>
        <w:jc w:val="start"/>
        <w:rPr>
          <w:rFonts w:ascii="Arial" w:hAnsi="Arial" w:cs="Arial"/>
          <w:b/>
          <w:bCs/>
        </w:rPr>
        <w:sectPr w:rsidR="00D211D0" w:rsidRPr="00D211D0" w:rsidSect="00D60F63">
          <w:pgSz w:w="595.30pt" w:h="841.90pt" w:code="9"/>
          <w:pgMar w:top="54pt" w:right="45.35pt" w:bottom="72pt" w:left="45.35pt" w:header="36pt" w:footer="36pt" w:gutter="0pt"/>
          <w:cols w:space="18pt"/>
          <w:docGrid w:linePitch="360"/>
        </w:sectPr>
      </w:pPr>
    </w:p>
    <w:p w14:paraId="0C1D3605" w14:textId="77777777" w:rsidR="004D3B68" w:rsidRDefault="004D3B68" w:rsidP="00B2592A">
      <w:pPr>
        <w:jc w:val="start"/>
      </w:pPr>
    </w:p>
    <w:p w14:paraId="4C83EB48" w14:textId="77777777" w:rsidR="00903125" w:rsidRPr="00903125" w:rsidRDefault="00903125" w:rsidP="00241BE7">
      <w:pPr>
        <w:jc w:val="start"/>
      </w:pPr>
    </w:p>
    <w:p w14:paraId="734ADAE8" w14:textId="77777777" w:rsidR="00FE3045" w:rsidRDefault="00FE3045" w:rsidP="00D61F8A">
      <w:pPr>
        <w:pStyle w:val="Heading2"/>
        <w:sectPr w:rsidR="00FE3045" w:rsidSect="00B951E3">
          <w:pgSz w:w="595.30pt" w:h="841.90pt" w:code="9"/>
          <w:pgMar w:top="54pt" w:right="45.35pt" w:bottom="72pt" w:left="45.35pt" w:header="36pt" w:footer="36pt" w:gutter="0pt"/>
          <w:cols w:space="18pt"/>
          <w:docGrid w:linePitch="360"/>
        </w:sectPr>
      </w:pPr>
    </w:p>
    <w:p w14:paraId="4224C146" w14:textId="77777777" w:rsidR="00903125" w:rsidRPr="00903125" w:rsidRDefault="00903125" w:rsidP="00903125">
      <w:pPr>
        <w:jc w:val="start"/>
      </w:pPr>
    </w:p>
    <w:p w14:paraId="4DFB9EB7" w14:textId="3AFF6F30" w:rsidR="00903125" w:rsidRPr="00903125" w:rsidRDefault="00903125" w:rsidP="00903125">
      <w:pPr>
        <w:sectPr w:rsidR="00903125" w:rsidRPr="00903125" w:rsidSect="00FE3045">
          <w:pgSz w:w="595.30pt" w:h="841.90pt" w:code="9"/>
          <w:pgMar w:top="54pt" w:right="45.35pt" w:bottom="72pt" w:left="45.35pt" w:header="36pt" w:footer="36pt" w:gutter="0pt"/>
          <w:cols w:space="18pt"/>
          <w:docGrid w:linePitch="360"/>
        </w:sectPr>
      </w:pPr>
    </w:p>
    <w:p w14:paraId="39A49E12" w14:textId="77777777" w:rsidR="00BF1661" w:rsidRDefault="00BF1661" w:rsidP="00B2592A">
      <w:pPr>
        <w:jc w:val="start"/>
        <w:sectPr w:rsidR="00BF1661" w:rsidSect="00FE3045">
          <w:pgSz w:w="595.30pt" w:h="841.90pt" w:code="9"/>
          <w:pgMar w:top="54pt" w:right="45.35pt" w:bottom="72pt" w:left="45.35pt" w:header="36pt" w:footer="36pt" w:gutter="0pt"/>
          <w:cols w:space="18pt"/>
          <w:docGrid w:linePitch="360"/>
        </w:sectPr>
      </w:pPr>
    </w:p>
    <w:p w14:paraId="20A3FD64" w14:textId="157B7E83" w:rsidR="00D65A88" w:rsidRDefault="000F2503" w:rsidP="00B2592A">
      <w:pPr>
        <w:jc w:val="start"/>
      </w:pPr>
      <w:r>
        <w:t xml:space="preserve"> </w:t>
      </w:r>
    </w:p>
    <w:p w14:paraId="11AD2411" w14:textId="77777777" w:rsidR="00147E74" w:rsidRDefault="00147E74" w:rsidP="00B2592A">
      <w:pPr>
        <w:jc w:val="start"/>
      </w:pPr>
    </w:p>
    <w:p w14:paraId="2BF51CA5" w14:textId="77777777" w:rsidR="004730D0" w:rsidRDefault="004730D0" w:rsidP="00B2592A">
      <w:pPr>
        <w:jc w:val="start"/>
        <w:sectPr w:rsidR="004730D0" w:rsidSect="00FE3045">
          <w:type w:val="continuous"/>
          <w:pgSz w:w="595.30pt" w:h="841.90pt" w:code="9"/>
          <w:pgMar w:top="54pt" w:right="45.35pt" w:bottom="72pt" w:left="45.35pt" w:header="36pt" w:footer="36pt" w:gutter="0pt"/>
          <w:cols w:space="18pt"/>
          <w:docGrid w:linePitch="360"/>
        </w:sectPr>
      </w:pPr>
    </w:p>
    <w:p w14:paraId="33A88BC7" w14:textId="038B17A4" w:rsidR="00A20C54" w:rsidRDefault="00A20C54" w:rsidP="00B2592A">
      <w:pPr>
        <w:jc w:val="start"/>
      </w:pPr>
      <w:r>
        <w:t xml:space="preserve">                                       </w:t>
      </w:r>
    </w:p>
    <w:p w14:paraId="3689A1E5" w14:textId="36E1B90E" w:rsidR="00AB56DC" w:rsidRDefault="00A20C54" w:rsidP="009D7E2E">
      <w:pPr>
        <w:jc w:val="start"/>
      </w:pPr>
      <w:r>
        <w:br w:type="page"/>
      </w:r>
      <w:r w:rsidR="00757130">
        <w:lastRenderedPageBreak/>
        <w:br w:type="column"/>
      </w:r>
      <w:r w:rsidR="001E0831">
        <w:lastRenderedPageBreak/>
        <w:br w:type="column"/>
      </w:r>
    </w:p>
    <w:p w14:paraId="0CD0694C" w14:textId="77777777" w:rsidR="00A20C54" w:rsidRPr="00AB56DC" w:rsidRDefault="00A20C54" w:rsidP="00B2592A">
      <w:pPr>
        <w:jc w:val="start"/>
      </w:pPr>
    </w:p>
    <w:p w14:paraId="36696985" w14:textId="77777777" w:rsidR="00B81A8E" w:rsidRPr="00FD2739" w:rsidRDefault="00B81A8E" w:rsidP="00B2592A">
      <w:pPr>
        <w:rPr>
          <w:b/>
          <w:bCs/>
          <w:sz w:val="24"/>
          <w:szCs w:val="24"/>
        </w:rPr>
      </w:pPr>
    </w:p>
    <w:p w14:paraId="6F5E2723" w14:textId="77777777" w:rsidR="001C20EE" w:rsidRPr="001C20EE" w:rsidRDefault="001C20EE" w:rsidP="00B2592A"/>
    <w:p w14:paraId="4BD1D907" w14:textId="77777777" w:rsidR="00664743" w:rsidRPr="00664743" w:rsidRDefault="00664743" w:rsidP="00B2592A"/>
    <w:p w14:paraId="67664B9A" w14:textId="77777777" w:rsidR="008147B5" w:rsidRDefault="008147B5" w:rsidP="00B2592A">
      <w:pPr>
        <w:pStyle w:val="references"/>
        <w:numPr>
          <w:ilvl w:val="0"/>
          <w:numId w:val="0"/>
        </w:numPr>
        <w:spacing w:line="12pt" w:lineRule="auto"/>
        <w:ind w:start="17.70pt"/>
      </w:pPr>
    </w:p>
    <w:p w14:paraId="481D7272" w14:textId="77777777" w:rsidR="009303D9" w:rsidRDefault="009303D9" w:rsidP="00B2592A">
      <w:pPr>
        <w:pStyle w:val="references"/>
        <w:numPr>
          <w:ilvl w:val="0"/>
          <w:numId w:val="0"/>
        </w:numPr>
        <w:spacing w:line="12pt" w:lineRule="auto"/>
        <w:ind w:start="18pt" w:hanging="18pt"/>
      </w:pPr>
    </w:p>
    <w:p w14:paraId="2CBC4D6A" w14:textId="53F5A29A" w:rsidR="00836367" w:rsidRPr="00F96569" w:rsidRDefault="00836367" w:rsidP="00B2592A">
      <w:pPr>
        <w:pStyle w:val="references"/>
        <w:numPr>
          <w:ilvl w:val="0"/>
          <w:numId w:val="0"/>
        </w:numPr>
        <w:spacing w:line="12pt" w:lineRule="auto"/>
        <w:ind w:start="18pt" w:hanging="18pt"/>
        <w:jc w:val="center"/>
        <w:rPr>
          <w:rFonts w:eastAsia="SimSun"/>
          <w:b/>
          <w:noProof w:val="0"/>
          <w:color w:val="FF0000"/>
          <w:spacing w:val="-1"/>
          <w:sz w:val="20"/>
          <w:szCs w:val="20"/>
          <w:lang w:val="x-none" w:eastAsia="x-none"/>
        </w:rPr>
        <w:sectPr w:rsidR="00836367" w:rsidRPr="00F96569" w:rsidSect="00FE3045">
          <w:type w:val="continuous"/>
          <w:pgSz w:w="595.30pt" w:h="841.90pt" w:code="9"/>
          <w:pgMar w:top="53.85pt" w:right="45.35pt" w:bottom="72pt" w:left="45.35pt" w:header="36pt" w:footer="36pt" w:gutter="0pt"/>
          <w:cols w:space="18pt"/>
          <w:docGrid w:linePitch="360"/>
        </w:sectPr>
      </w:pPr>
    </w:p>
    <w:p w14:paraId="4EF2B8B8" w14:textId="2594F3E1" w:rsidR="009303D9" w:rsidRDefault="009303D9" w:rsidP="008A1C5E">
      <w:pPr>
        <w:jc w:val="start"/>
      </w:pPr>
    </w:p>
    <w:sectPr w:rsidR="009303D9" w:rsidSect="00FE3045">
      <w:type w:val="continuous"/>
      <w:pgSz w:w="595.30pt" w:h="841.90pt" w:code="9"/>
      <w:pgMar w:top="53.85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323355B1" w14:textId="77777777" w:rsidR="00024801" w:rsidRDefault="00024801" w:rsidP="001A3B3D">
      <w:r>
        <w:separator/>
      </w:r>
    </w:p>
  </w:endnote>
  <w:endnote w:type="continuationSeparator" w:id="0">
    <w:p w14:paraId="07C680C2" w14:textId="77777777" w:rsidR="00024801" w:rsidRDefault="00024801"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panose1 w:val="02020609040205080304"/>
    <w:charset w:characterSet="shift_jis"/>
    <w:family w:val="modern"/>
    <w:pitch w:val="fixed"/>
    <w:sig w:usb0="E00002FF" w:usb1="6AC7FDFB" w:usb2="08000012" w:usb3="00000000" w:csb0="0002009F" w:csb1="00000000"/>
  </w:font>
  <w:font w:name="Calibri">
    <w:panose1 w:val="020F0502020204030204"/>
    <w:charset w:characterSet="iso-8859-1"/>
    <w:family w:val="swiss"/>
    <w:pitch w:val="variable"/>
    <w:sig w:usb0="E4002EFF" w:usb1="C200247B" w:usb2="00000009" w:usb3="00000000" w:csb0="000001FF" w:csb1="00000000"/>
  </w:font>
  <w:font w:name="Calibri Light">
    <w:panose1 w:val="020F0302020204030204"/>
    <w:charset w:characterSet="iso-8859-1"/>
    <w:family w:val="swiss"/>
    <w:pitch w:val="variable"/>
    <w:sig w:usb0="E4002EFF" w:usb1="C2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A5B0716" w14:textId="77777777" w:rsidR="009E11AA" w:rsidRDefault="009E11AA">
    <w:pPr>
      <w:pStyle w:val="Footer"/>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sdt>
    <w:sdtPr>
      <w:id w:val="-2080201043"/>
      <w:docPartObj>
        <w:docPartGallery w:val="Page Numbers (Bottom of Page)"/>
        <w:docPartUnique/>
      </w:docPartObj>
    </w:sdtPr>
    <w:sdtContent>
      <w:p w14:paraId="66EFB0DE" w14:textId="3FA898FB" w:rsidR="009E11AA" w:rsidRDefault="009E11AA">
        <w:pPr>
          <w:pStyle w:val="Footer"/>
        </w:pPr>
        <w:r>
          <w:fldChar w:fldCharType="begin"/>
        </w:r>
        <w:r>
          <w:instrText>PAGE   \* MERGEFORMAT</w:instrText>
        </w:r>
        <w:r>
          <w:fldChar w:fldCharType="separate"/>
        </w:r>
        <w:r>
          <w:rPr>
            <w:lang w:val="en-GB"/>
          </w:rPr>
          <w:t>2</w:t>
        </w:r>
        <w:r>
          <w:fldChar w:fldCharType="end"/>
        </w:r>
      </w:p>
    </w:sdtContent>
  </w:sdt>
  <w:p w14:paraId="6F49454E" w14:textId="77777777" w:rsidR="009E11AA" w:rsidRDefault="009E11AA">
    <w:pPr>
      <w:pStyle w:val="Footer"/>
    </w:pP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9E75918" w14:textId="77777777" w:rsidR="001A3B3D" w:rsidRPr="006F6D3D" w:rsidRDefault="001A3B3D" w:rsidP="0056610F">
    <w:pPr>
      <w:pStyle w:val="Footer"/>
      <w:jc w:val="start"/>
      <w:rPr>
        <w:sz w:val="16"/>
        <w:szCs w:val="16"/>
      </w:rPr>
    </w:pPr>
    <w:r w:rsidRPr="006F6D3D">
      <w:rPr>
        <w:sz w:val="16"/>
        <w:szCs w:val="16"/>
      </w:rPr>
      <w:t>XXX-X-XXXX-XXXX-X/XX/$XX.00 ©20XX IEEE</w:t>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0D8DA49D" w14:textId="77777777" w:rsidR="00024801" w:rsidRDefault="00024801" w:rsidP="001A3B3D">
      <w:r>
        <w:separator/>
      </w:r>
    </w:p>
  </w:footnote>
  <w:footnote w:type="continuationSeparator" w:id="0">
    <w:p w14:paraId="6AB6632E" w14:textId="77777777" w:rsidR="00024801" w:rsidRDefault="00024801" w:rsidP="001A3B3D">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0DD52C2" w14:textId="77777777" w:rsidR="009E11AA" w:rsidRDefault="009E11AA">
    <w:pPr>
      <w:pStyle w:val="Heade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FA8E144" w14:textId="77777777" w:rsidR="009E11AA" w:rsidRDefault="009E11AA">
    <w:pPr>
      <w:pStyle w:val="Heade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F10CFB6" w14:textId="77777777" w:rsidR="009E11AA" w:rsidRDefault="009E11AA">
    <w:pPr>
      <w:pStyle w:val="Header"/>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3F933742"/>
    <w:multiLevelType w:val="hybridMultilevel"/>
    <w:tmpl w:val="80E4320A"/>
    <w:lvl w:ilvl="0" w:tplc="0809000F">
      <w:start w:val="1"/>
      <w:numFmt w:val="decimal"/>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17" w15:restartNumberingAfterBreak="0">
    <w:nsid w:val="4189603E"/>
    <w:multiLevelType w:val="multilevel"/>
    <w:tmpl w:val="0AB06E12"/>
    <w:lvl w:ilvl="0">
      <w:start w:val="1"/>
      <w:numFmt w:val="upperRoman"/>
      <w:pStyle w:val="Heading1"/>
      <w:lvlText w:val="%1."/>
      <w:lvlJc w:val="center"/>
      <w:pPr>
        <w:tabs>
          <w:tab w:val="num" w:pos="25.1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8"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9"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0" w15:restartNumberingAfterBreak="0">
    <w:nsid w:val="5EB92B48"/>
    <w:multiLevelType w:val="hybridMultilevel"/>
    <w:tmpl w:val="15C6D484"/>
    <w:lvl w:ilvl="0" w:tplc="0809000F">
      <w:start w:val="1"/>
      <w:numFmt w:val="decimal"/>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21"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2"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369909383">
    <w:abstractNumId w:val="14"/>
  </w:num>
  <w:num w:numId="2" w16cid:durableId="568543031">
    <w:abstractNumId w:val="21"/>
  </w:num>
  <w:num w:numId="3" w16cid:durableId="1207790780">
    <w:abstractNumId w:val="13"/>
  </w:num>
  <w:num w:numId="4" w16cid:durableId="629168631">
    <w:abstractNumId w:val="17"/>
  </w:num>
  <w:num w:numId="5" w16cid:durableId="1032806882">
    <w:abstractNumId w:val="17"/>
  </w:num>
  <w:num w:numId="6" w16cid:durableId="1614826021">
    <w:abstractNumId w:val="17"/>
  </w:num>
  <w:num w:numId="7" w16cid:durableId="1871990542">
    <w:abstractNumId w:val="17"/>
  </w:num>
  <w:num w:numId="8" w16cid:durableId="2088458160">
    <w:abstractNumId w:val="19"/>
  </w:num>
  <w:num w:numId="9" w16cid:durableId="231694775">
    <w:abstractNumId w:val="22"/>
  </w:num>
  <w:num w:numId="10" w16cid:durableId="2126189682">
    <w:abstractNumId w:val="15"/>
  </w:num>
  <w:num w:numId="11" w16cid:durableId="771515552">
    <w:abstractNumId w:val="12"/>
  </w:num>
  <w:num w:numId="12" w16cid:durableId="1603688421">
    <w:abstractNumId w:val="11"/>
  </w:num>
  <w:num w:numId="13" w16cid:durableId="308025467">
    <w:abstractNumId w:val="0"/>
  </w:num>
  <w:num w:numId="14" w16cid:durableId="915015855">
    <w:abstractNumId w:val="10"/>
  </w:num>
  <w:num w:numId="15" w16cid:durableId="124853704">
    <w:abstractNumId w:val="8"/>
  </w:num>
  <w:num w:numId="16" w16cid:durableId="378433823">
    <w:abstractNumId w:val="7"/>
  </w:num>
  <w:num w:numId="17" w16cid:durableId="178550123">
    <w:abstractNumId w:val="6"/>
  </w:num>
  <w:num w:numId="18" w16cid:durableId="1882938436">
    <w:abstractNumId w:val="5"/>
  </w:num>
  <w:num w:numId="19" w16cid:durableId="1292051459">
    <w:abstractNumId w:val="9"/>
  </w:num>
  <w:num w:numId="20" w16cid:durableId="439644133">
    <w:abstractNumId w:val="4"/>
  </w:num>
  <w:num w:numId="21" w16cid:durableId="277882354">
    <w:abstractNumId w:val="3"/>
  </w:num>
  <w:num w:numId="22" w16cid:durableId="85808594">
    <w:abstractNumId w:val="2"/>
  </w:num>
  <w:num w:numId="23" w16cid:durableId="306714086">
    <w:abstractNumId w:val="1"/>
  </w:num>
  <w:num w:numId="24" w16cid:durableId="276639338">
    <w:abstractNumId w:val="18"/>
  </w:num>
  <w:num w:numId="25" w16cid:durableId="1180583080">
    <w:abstractNumId w:val="16"/>
  </w:num>
  <w:num w:numId="26" w16cid:durableId="1026953957">
    <w:abstractNumId w:val="2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20AA9"/>
    <w:rsid w:val="000229A0"/>
    <w:rsid w:val="00024801"/>
    <w:rsid w:val="00045947"/>
    <w:rsid w:val="00045CDE"/>
    <w:rsid w:val="0004781E"/>
    <w:rsid w:val="00056200"/>
    <w:rsid w:val="00057A3A"/>
    <w:rsid w:val="00061B49"/>
    <w:rsid w:val="00067147"/>
    <w:rsid w:val="00070763"/>
    <w:rsid w:val="000734FF"/>
    <w:rsid w:val="00076FCD"/>
    <w:rsid w:val="0008758A"/>
    <w:rsid w:val="00096495"/>
    <w:rsid w:val="000A06DA"/>
    <w:rsid w:val="000A354D"/>
    <w:rsid w:val="000B0DEA"/>
    <w:rsid w:val="000B3A57"/>
    <w:rsid w:val="000B4B25"/>
    <w:rsid w:val="000C0592"/>
    <w:rsid w:val="000C12F1"/>
    <w:rsid w:val="000C1E68"/>
    <w:rsid w:val="000C4761"/>
    <w:rsid w:val="000D72E8"/>
    <w:rsid w:val="000E4E2A"/>
    <w:rsid w:val="000E7368"/>
    <w:rsid w:val="000F00A8"/>
    <w:rsid w:val="000F034A"/>
    <w:rsid w:val="000F2503"/>
    <w:rsid w:val="000F318D"/>
    <w:rsid w:val="001005CA"/>
    <w:rsid w:val="00112821"/>
    <w:rsid w:val="001128B9"/>
    <w:rsid w:val="0012557E"/>
    <w:rsid w:val="00136D1A"/>
    <w:rsid w:val="00147E74"/>
    <w:rsid w:val="0016028A"/>
    <w:rsid w:val="00162739"/>
    <w:rsid w:val="00176551"/>
    <w:rsid w:val="00182A12"/>
    <w:rsid w:val="0018623F"/>
    <w:rsid w:val="00186A39"/>
    <w:rsid w:val="00186BD1"/>
    <w:rsid w:val="001A2EFD"/>
    <w:rsid w:val="001A3B3D"/>
    <w:rsid w:val="001A5F32"/>
    <w:rsid w:val="001B67DC"/>
    <w:rsid w:val="001C20EE"/>
    <w:rsid w:val="001C3040"/>
    <w:rsid w:val="001C3C9F"/>
    <w:rsid w:val="001D6100"/>
    <w:rsid w:val="001E00CC"/>
    <w:rsid w:val="001E0831"/>
    <w:rsid w:val="001E65BC"/>
    <w:rsid w:val="002011E8"/>
    <w:rsid w:val="002014F1"/>
    <w:rsid w:val="00216BA9"/>
    <w:rsid w:val="00217A9C"/>
    <w:rsid w:val="002254A9"/>
    <w:rsid w:val="00226718"/>
    <w:rsid w:val="00233D97"/>
    <w:rsid w:val="0023478D"/>
    <w:rsid w:val="002347A2"/>
    <w:rsid w:val="00241BE7"/>
    <w:rsid w:val="00241D8B"/>
    <w:rsid w:val="00256B2D"/>
    <w:rsid w:val="00271839"/>
    <w:rsid w:val="00280269"/>
    <w:rsid w:val="00281AC9"/>
    <w:rsid w:val="002850E3"/>
    <w:rsid w:val="00296290"/>
    <w:rsid w:val="002A136A"/>
    <w:rsid w:val="002A1CF5"/>
    <w:rsid w:val="002B0FC1"/>
    <w:rsid w:val="002B555F"/>
    <w:rsid w:val="002C6119"/>
    <w:rsid w:val="002D3AFC"/>
    <w:rsid w:val="002D4335"/>
    <w:rsid w:val="002E53B2"/>
    <w:rsid w:val="00304AAA"/>
    <w:rsid w:val="00323FF5"/>
    <w:rsid w:val="00324063"/>
    <w:rsid w:val="00324447"/>
    <w:rsid w:val="00331D01"/>
    <w:rsid w:val="00333B14"/>
    <w:rsid w:val="00354FCF"/>
    <w:rsid w:val="003646D2"/>
    <w:rsid w:val="00373D67"/>
    <w:rsid w:val="0037564B"/>
    <w:rsid w:val="00375A0F"/>
    <w:rsid w:val="00376A99"/>
    <w:rsid w:val="00377238"/>
    <w:rsid w:val="00383D6B"/>
    <w:rsid w:val="00385186"/>
    <w:rsid w:val="003900C6"/>
    <w:rsid w:val="0039089A"/>
    <w:rsid w:val="003A19E2"/>
    <w:rsid w:val="003A4B08"/>
    <w:rsid w:val="003B2B40"/>
    <w:rsid w:val="003B4E04"/>
    <w:rsid w:val="003B5B5E"/>
    <w:rsid w:val="003B7A04"/>
    <w:rsid w:val="003C2D7B"/>
    <w:rsid w:val="003C6B21"/>
    <w:rsid w:val="003F5A08"/>
    <w:rsid w:val="003F619F"/>
    <w:rsid w:val="00420716"/>
    <w:rsid w:val="00422110"/>
    <w:rsid w:val="00424F57"/>
    <w:rsid w:val="004255C2"/>
    <w:rsid w:val="004321F0"/>
    <w:rsid w:val="004325FB"/>
    <w:rsid w:val="004353B7"/>
    <w:rsid w:val="0044030E"/>
    <w:rsid w:val="004432BA"/>
    <w:rsid w:val="0044407E"/>
    <w:rsid w:val="00447BB9"/>
    <w:rsid w:val="0046031D"/>
    <w:rsid w:val="004646F0"/>
    <w:rsid w:val="00470925"/>
    <w:rsid w:val="004730D0"/>
    <w:rsid w:val="00473AC9"/>
    <w:rsid w:val="004759DD"/>
    <w:rsid w:val="00476395"/>
    <w:rsid w:val="00490E15"/>
    <w:rsid w:val="004923B3"/>
    <w:rsid w:val="004C03CB"/>
    <w:rsid w:val="004C4743"/>
    <w:rsid w:val="004C70B6"/>
    <w:rsid w:val="004C71C7"/>
    <w:rsid w:val="004D18F1"/>
    <w:rsid w:val="004D3B68"/>
    <w:rsid w:val="004D72B5"/>
    <w:rsid w:val="004F7EA7"/>
    <w:rsid w:val="005005BA"/>
    <w:rsid w:val="00502ADB"/>
    <w:rsid w:val="00503226"/>
    <w:rsid w:val="005121D0"/>
    <w:rsid w:val="00517B40"/>
    <w:rsid w:val="0052445B"/>
    <w:rsid w:val="0053079C"/>
    <w:rsid w:val="00535481"/>
    <w:rsid w:val="005400E4"/>
    <w:rsid w:val="00542484"/>
    <w:rsid w:val="005451E6"/>
    <w:rsid w:val="00551B7F"/>
    <w:rsid w:val="0055251E"/>
    <w:rsid w:val="0056610F"/>
    <w:rsid w:val="0057407E"/>
    <w:rsid w:val="0057414A"/>
    <w:rsid w:val="00575BCA"/>
    <w:rsid w:val="005A012F"/>
    <w:rsid w:val="005A26AC"/>
    <w:rsid w:val="005B0344"/>
    <w:rsid w:val="005B0F39"/>
    <w:rsid w:val="005B2F59"/>
    <w:rsid w:val="005B520E"/>
    <w:rsid w:val="005C12E7"/>
    <w:rsid w:val="005C2F7E"/>
    <w:rsid w:val="005C30B8"/>
    <w:rsid w:val="005C58F6"/>
    <w:rsid w:val="005D157B"/>
    <w:rsid w:val="005D2B31"/>
    <w:rsid w:val="005D6915"/>
    <w:rsid w:val="005E0F34"/>
    <w:rsid w:val="005E2800"/>
    <w:rsid w:val="005E6C04"/>
    <w:rsid w:val="005F2F73"/>
    <w:rsid w:val="00601C51"/>
    <w:rsid w:val="00603D2E"/>
    <w:rsid w:val="00605825"/>
    <w:rsid w:val="00617E00"/>
    <w:rsid w:val="00621553"/>
    <w:rsid w:val="00623020"/>
    <w:rsid w:val="006254ED"/>
    <w:rsid w:val="00637AB0"/>
    <w:rsid w:val="00645D22"/>
    <w:rsid w:val="00651A08"/>
    <w:rsid w:val="0065406F"/>
    <w:rsid w:val="00654204"/>
    <w:rsid w:val="006636AA"/>
    <w:rsid w:val="00664743"/>
    <w:rsid w:val="006679E8"/>
    <w:rsid w:val="00670339"/>
    <w:rsid w:val="00670434"/>
    <w:rsid w:val="0068549A"/>
    <w:rsid w:val="00686789"/>
    <w:rsid w:val="00696BF5"/>
    <w:rsid w:val="006A5410"/>
    <w:rsid w:val="006A5D82"/>
    <w:rsid w:val="006B37FE"/>
    <w:rsid w:val="006B6B66"/>
    <w:rsid w:val="006C4579"/>
    <w:rsid w:val="006C55E5"/>
    <w:rsid w:val="006D4EC2"/>
    <w:rsid w:val="006D6F51"/>
    <w:rsid w:val="006E3DE6"/>
    <w:rsid w:val="006F504C"/>
    <w:rsid w:val="006F6D3D"/>
    <w:rsid w:val="006F7900"/>
    <w:rsid w:val="00702BCB"/>
    <w:rsid w:val="007036F7"/>
    <w:rsid w:val="00704FBC"/>
    <w:rsid w:val="0071535A"/>
    <w:rsid w:val="00715BEA"/>
    <w:rsid w:val="00715E95"/>
    <w:rsid w:val="00717F06"/>
    <w:rsid w:val="00735B01"/>
    <w:rsid w:val="00740EEA"/>
    <w:rsid w:val="00754A18"/>
    <w:rsid w:val="00757130"/>
    <w:rsid w:val="007649F1"/>
    <w:rsid w:val="00767238"/>
    <w:rsid w:val="00785A26"/>
    <w:rsid w:val="00794804"/>
    <w:rsid w:val="007A38FF"/>
    <w:rsid w:val="007B2FF3"/>
    <w:rsid w:val="007B33F1"/>
    <w:rsid w:val="007B6C03"/>
    <w:rsid w:val="007B6DDA"/>
    <w:rsid w:val="007C00AD"/>
    <w:rsid w:val="007C0308"/>
    <w:rsid w:val="007C2FF2"/>
    <w:rsid w:val="007C466B"/>
    <w:rsid w:val="007C553B"/>
    <w:rsid w:val="007C632E"/>
    <w:rsid w:val="007D6232"/>
    <w:rsid w:val="007E14F5"/>
    <w:rsid w:val="007E3616"/>
    <w:rsid w:val="007E3C26"/>
    <w:rsid w:val="007F011E"/>
    <w:rsid w:val="007F1F99"/>
    <w:rsid w:val="007F395B"/>
    <w:rsid w:val="007F4C72"/>
    <w:rsid w:val="007F739F"/>
    <w:rsid w:val="007F768F"/>
    <w:rsid w:val="00802063"/>
    <w:rsid w:val="008058B1"/>
    <w:rsid w:val="0080791D"/>
    <w:rsid w:val="008147B5"/>
    <w:rsid w:val="008173D7"/>
    <w:rsid w:val="008219C1"/>
    <w:rsid w:val="008355FB"/>
    <w:rsid w:val="008362C0"/>
    <w:rsid w:val="00836367"/>
    <w:rsid w:val="00847961"/>
    <w:rsid w:val="00847CFC"/>
    <w:rsid w:val="00851471"/>
    <w:rsid w:val="008543E9"/>
    <w:rsid w:val="00873603"/>
    <w:rsid w:val="00873C4D"/>
    <w:rsid w:val="00896E36"/>
    <w:rsid w:val="008A0A58"/>
    <w:rsid w:val="008A1C5E"/>
    <w:rsid w:val="008A2C7D"/>
    <w:rsid w:val="008A7B9B"/>
    <w:rsid w:val="008B6524"/>
    <w:rsid w:val="008C4B23"/>
    <w:rsid w:val="008D16BC"/>
    <w:rsid w:val="008D659E"/>
    <w:rsid w:val="008E6C40"/>
    <w:rsid w:val="008F40B9"/>
    <w:rsid w:val="008F6E2C"/>
    <w:rsid w:val="00903125"/>
    <w:rsid w:val="00910B9D"/>
    <w:rsid w:val="009303D9"/>
    <w:rsid w:val="00933C64"/>
    <w:rsid w:val="0094075A"/>
    <w:rsid w:val="009421DA"/>
    <w:rsid w:val="00943481"/>
    <w:rsid w:val="009443FB"/>
    <w:rsid w:val="0095626E"/>
    <w:rsid w:val="00971749"/>
    <w:rsid w:val="00972203"/>
    <w:rsid w:val="00972F10"/>
    <w:rsid w:val="0097344E"/>
    <w:rsid w:val="0097388B"/>
    <w:rsid w:val="009779EC"/>
    <w:rsid w:val="009A34B1"/>
    <w:rsid w:val="009A582A"/>
    <w:rsid w:val="009A585B"/>
    <w:rsid w:val="009B5496"/>
    <w:rsid w:val="009B622C"/>
    <w:rsid w:val="009C6AB0"/>
    <w:rsid w:val="009D0AA0"/>
    <w:rsid w:val="009D7E2E"/>
    <w:rsid w:val="009E11AA"/>
    <w:rsid w:val="009E78F0"/>
    <w:rsid w:val="009F1D79"/>
    <w:rsid w:val="00A032B0"/>
    <w:rsid w:val="00A059B3"/>
    <w:rsid w:val="00A10125"/>
    <w:rsid w:val="00A1074B"/>
    <w:rsid w:val="00A20C54"/>
    <w:rsid w:val="00A2401F"/>
    <w:rsid w:val="00A25049"/>
    <w:rsid w:val="00A26184"/>
    <w:rsid w:val="00A306C9"/>
    <w:rsid w:val="00A40C3B"/>
    <w:rsid w:val="00A41AC0"/>
    <w:rsid w:val="00A503C7"/>
    <w:rsid w:val="00A514FA"/>
    <w:rsid w:val="00A552E4"/>
    <w:rsid w:val="00A6279C"/>
    <w:rsid w:val="00A62DF6"/>
    <w:rsid w:val="00A6658F"/>
    <w:rsid w:val="00A8287D"/>
    <w:rsid w:val="00A8359F"/>
    <w:rsid w:val="00A90663"/>
    <w:rsid w:val="00A97335"/>
    <w:rsid w:val="00A97841"/>
    <w:rsid w:val="00AA1690"/>
    <w:rsid w:val="00AB1B23"/>
    <w:rsid w:val="00AB3E63"/>
    <w:rsid w:val="00AB550E"/>
    <w:rsid w:val="00AB56DC"/>
    <w:rsid w:val="00AC2638"/>
    <w:rsid w:val="00AD2702"/>
    <w:rsid w:val="00AD7742"/>
    <w:rsid w:val="00AE22D0"/>
    <w:rsid w:val="00AE3409"/>
    <w:rsid w:val="00AE44FD"/>
    <w:rsid w:val="00AE5CA2"/>
    <w:rsid w:val="00AE6628"/>
    <w:rsid w:val="00AE6C8E"/>
    <w:rsid w:val="00AF4F91"/>
    <w:rsid w:val="00B06033"/>
    <w:rsid w:val="00B07CA7"/>
    <w:rsid w:val="00B11A60"/>
    <w:rsid w:val="00B220FB"/>
    <w:rsid w:val="00B22613"/>
    <w:rsid w:val="00B2592A"/>
    <w:rsid w:val="00B42DB6"/>
    <w:rsid w:val="00B44A76"/>
    <w:rsid w:val="00B458FA"/>
    <w:rsid w:val="00B545B3"/>
    <w:rsid w:val="00B660C7"/>
    <w:rsid w:val="00B720C4"/>
    <w:rsid w:val="00B743AE"/>
    <w:rsid w:val="00B768D1"/>
    <w:rsid w:val="00B81A8E"/>
    <w:rsid w:val="00B951E3"/>
    <w:rsid w:val="00B95AA0"/>
    <w:rsid w:val="00B9749F"/>
    <w:rsid w:val="00BA1025"/>
    <w:rsid w:val="00BA70E5"/>
    <w:rsid w:val="00BB425D"/>
    <w:rsid w:val="00BB4D2E"/>
    <w:rsid w:val="00BB5FC4"/>
    <w:rsid w:val="00BC3420"/>
    <w:rsid w:val="00BC6B43"/>
    <w:rsid w:val="00BC76EF"/>
    <w:rsid w:val="00BD670B"/>
    <w:rsid w:val="00BE2696"/>
    <w:rsid w:val="00BE628A"/>
    <w:rsid w:val="00BE71DE"/>
    <w:rsid w:val="00BE7D3C"/>
    <w:rsid w:val="00BF0AE9"/>
    <w:rsid w:val="00BF1661"/>
    <w:rsid w:val="00BF5FF6"/>
    <w:rsid w:val="00C0207F"/>
    <w:rsid w:val="00C047E8"/>
    <w:rsid w:val="00C16117"/>
    <w:rsid w:val="00C164C4"/>
    <w:rsid w:val="00C20DE0"/>
    <w:rsid w:val="00C3075A"/>
    <w:rsid w:val="00C36513"/>
    <w:rsid w:val="00C41375"/>
    <w:rsid w:val="00C45B95"/>
    <w:rsid w:val="00C53312"/>
    <w:rsid w:val="00C62BC2"/>
    <w:rsid w:val="00C72738"/>
    <w:rsid w:val="00C822CB"/>
    <w:rsid w:val="00C919A4"/>
    <w:rsid w:val="00C91A99"/>
    <w:rsid w:val="00C93D54"/>
    <w:rsid w:val="00C94790"/>
    <w:rsid w:val="00CA2BDE"/>
    <w:rsid w:val="00CA4392"/>
    <w:rsid w:val="00CB2DF2"/>
    <w:rsid w:val="00CB62EA"/>
    <w:rsid w:val="00CC393F"/>
    <w:rsid w:val="00CC42C2"/>
    <w:rsid w:val="00CC6044"/>
    <w:rsid w:val="00CD0685"/>
    <w:rsid w:val="00CE4F79"/>
    <w:rsid w:val="00CE78D8"/>
    <w:rsid w:val="00D14E42"/>
    <w:rsid w:val="00D211D0"/>
    <w:rsid w:val="00D2176E"/>
    <w:rsid w:val="00D22754"/>
    <w:rsid w:val="00D25A85"/>
    <w:rsid w:val="00D33C9A"/>
    <w:rsid w:val="00D444FB"/>
    <w:rsid w:val="00D50CE1"/>
    <w:rsid w:val="00D51FAC"/>
    <w:rsid w:val="00D540D8"/>
    <w:rsid w:val="00D54A24"/>
    <w:rsid w:val="00D602EF"/>
    <w:rsid w:val="00D60F63"/>
    <w:rsid w:val="00D61F8A"/>
    <w:rsid w:val="00D632BE"/>
    <w:rsid w:val="00D63AF0"/>
    <w:rsid w:val="00D65A88"/>
    <w:rsid w:val="00D72857"/>
    <w:rsid w:val="00D72D06"/>
    <w:rsid w:val="00D734A5"/>
    <w:rsid w:val="00D7522C"/>
    <w:rsid w:val="00D7536F"/>
    <w:rsid w:val="00D76668"/>
    <w:rsid w:val="00D828FC"/>
    <w:rsid w:val="00D839AB"/>
    <w:rsid w:val="00D93CAE"/>
    <w:rsid w:val="00D97BDE"/>
    <w:rsid w:val="00DB32EC"/>
    <w:rsid w:val="00DB7451"/>
    <w:rsid w:val="00DC505F"/>
    <w:rsid w:val="00DC62A3"/>
    <w:rsid w:val="00DD01E1"/>
    <w:rsid w:val="00DE034F"/>
    <w:rsid w:val="00DE653C"/>
    <w:rsid w:val="00DF74F9"/>
    <w:rsid w:val="00E01505"/>
    <w:rsid w:val="00E07383"/>
    <w:rsid w:val="00E11A5A"/>
    <w:rsid w:val="00E165BC"/>
    <w:rsid w:val="00E16A10"/>
    <w:rsid w:val="00E21CAF"/>
    <w:rsid w:val="00E224D4"/>
    <w:rsid w:val="00E30933"/>
    <w:rsid w:val="00E41C35"/>
    <w:rsid w:val="00E42AE1"/>
    <w:rsid w:val="00E42B2B"/>
    <w:rsid w:val="00E42EA4"/>
    <w:rsid w:val="00E42F36"/>
    <w:rsid w:val="00E477C2"/>
    <w:rsid w:val="00E5204F"/>
    <w:rsid w:val="00E57223"/>
    <w:rsid w:val="00E61E12"/>
    <w:rsid w:val="00E75411"/>
    <w:rsid w:val="00E7596C"/>
    <w:rsid w:val="00E878F2"/>
    <w:rsid w:val="00EA0331"/>
    <w:rsid w:val="00EA5945"/>
    <w:rsid w:val="00EC5B95"/>
    <w:rsid w:val="00ED0149"/>
    <w:rsid w:val="00ED4F29"/>
    <w:rsid w:val="00EE7A92"/>
    <w:rsid w:val="00EF4C33"/>
    <w:rsid w:val="00EF7DE3"/>
    <w:rsid w:val="00F03103"/>
    <w:rsid w:val="00F114F8"/>
    <w:rsid w:val="00F12813"/>
    <w:rsid w:val="00F16E56"/>
    <w:rsid w:val="00F20B13"/>
    <w:rsid w:val="00F23353"/>
    <w:rsid w:val="00F259C7"/>
    <w:rsid w:val="00F271DE"/>
    <w:rsid w:val="00F3194E"/>
    <w:rsid w:val="00F344B9"/>
    <w:rsid w:val="00F53C5D"/>
    <w:rsid w:val="00F57359"/>
    <w:rsid w:val="00F627DA"/>
    <w:rsid w:val="00F66B0B"/>
    <w:rsid w:val="00F70CCA"/>
    <w:rsid w:val="00F7288F"/>
    <w:rsid w:val="00F74D44"/>
    <w:rsid w:val="00F75563"/>
    <w:rsid w:val="00F847A6"/>
    <w:rsid w:val="00F85642"/>
    <w:rsid w:val="00F9441B"/>
    <w:rsid w:val="00FA3D8D"/>
    <w:rsid w:val="00FA4C32"/>
    <w:rsid w:val="00FB2847"/>
    <w:rsid w:val="00FB2EFE"/>
    <w:rsid w:val="00FB6D5C"/>
    <w:rsid w:val="00FC1232"/>
    <w:rsid w:val="00FC2473"/>
    <w:rsid w:val="00FC35B1"/>
    <w:rsid w:val="00FC3E1E"/>
    <w:rsid w:val="00FD2739"/>
    <w:rsid w:val="00FE3045"/>
    <w:rsid w:val="00FE5924"/>
    <w:rsid w:val="00FE6941"/>
    <w:rsid w:val="00FE7114"/>
    <w:rsid w:val="00FF24BD"/>
    <w:rsid w:val="00FF3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FC7D3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uiPriority w:val="99"/>
    <w:rsid w:val="001A3B3D"/>
    <w:pPr>
      <w:tabs>
        <w:tab w:val="center" w:pos="234pt"/>
        <w:tab w:val="end" w:pos="468pt"/>
      </w:tabs>
    </w:pPr>
  </w:style>
  <w:style w:type="character" w:customStyle="1" w:styleId="FooterChar">
    <w:name w:val="Footer Char"/>
    <w:basedOn w:val="DefaultParagraphFont"/>
    <w:link w:val="Footer"/>
    <w:uiPriority w:val="99"/>
    <w:rsid w:val="001A3B3D"/>
  </w:style>
  <w:style w:type="table" w:styleId="TableGrid">
    <w:name w:val="Table Grid"/>
    <w:basedOn w:val="TableNormal"/>
    <w:rsid w:val="00FC35B1"/>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5C58F6"/>
    <w:pPr>
      <w:spacing w:after="10pt"/>
    </w:pPr>
    <w:rPr>
      <w:i/>
      <w:iCs/>
      <w:color w:val="44546A" w:themeColor="text2"/>
      <w:sz w:val="18"/>
      <w:szCs w:val="18"/>
    </w:rPr>
  </w:style>
  <w:style w:type="paragraph" w:customStyle="1" w:styleId="pdq2pgselectionanchorcontainer">
    <w:name w:val="pdq2pg_selectionanchorcontainer"/>
    <w:basedOn w:val="Normal"/>
    <w:rsid w:val="005B2F59"/>
    <w:pPr>
      <w:spacing w:before="5pt" w:beforeAutospacing="1" w:after="5pt" w:afterAutospacing="1"/>
      <w:jc w:val="start"/>
    </w:pPr>
    <w:rPr>
      <w:rFonts w:eastAsia="Times New Roman"/>
      <w:sz w:val="24"/>
      <w:szCs w:val="24"/>
      <w:lang w:val="en-GB" w:eastAsia="en-GB"/>
    </w:rPr>
  </w:style>
  <w:style w:type="paragraph" w:styleId="NormalWeb">
    <w:name w:val="Normal (Web)"/>
    <w:basedOn w:val="Normal"/>
    <w:uiPriority w:val="99"/>
    <w:unhideWhenUsed/>
    <w:rsid w:val="005B2F59"/>
    <w:pPr>
      <w:spacing w:before="5pt" w:beforeAutospacing="1" w:after="5pt" w:afterAutospacing="1"/>
      <w:jc w:val="start"/>
    </w:pPr>
    <w:rPr>
      <w:rFonts w:eastAsia="Times New Roman"/>
      <w:sz w:val="24"/>
      <w:szCs w:val="24"/>
      <w:lang w:val="en-GB" w:eastAsia="en-GB"/>
    </w:rPr>
  </w:style>
  <w:style w:type="paragraph" w:styleId="NoSpacing">
    <w:name w:val="No Spacing"/>
    <w:link w:val="NoSpacingChar"/>
    <w:uiPriority w:val="1"/>
    <w:qFormat/>
    <w:rsid w:val="006D6F51"/>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6D6F51"/>
    <w:rPr>
      <w:rFonts w:asciiTheme="minorHAnsi" w:eastAsiaTheme="minorEastAsia" w:hAnsiTheme="minorHAnsi" w:cstheme="minorBidi"/>
      <w:sz w:val="22"/>
      <w:szCs w:val="22"/>
    </w:rPr>
  </w:style>
  <w:style w:type="paragraph" w:styleId="Title">
    <w:name w:val="Title"/>
    <w:basedOn w:val="Normal"/>
    <w:next w:val="Normal"/>
    <w:link w:val="TitleChar"/>
    <w:qFormat/>
    <w:rsid w:val="00B720C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720C4"/>
    <w:rPr>
      <w:rFonts w:asciiTheme="majorHAnsi" w:eastAsiaTheme="majorEastAsia" w:hAnsiTheme="majorHAnsi" w:cstheme="majorBidi"/>
      <w:spacing w:val="-10"/>
      <w:kern w:val="28"/>
      <w:sz w:val="56"/>
      <w:szCs w:val="56"/>
    </w:rPr>
  </w:style>
  <w:style w:type="table" w:styleId="GridTable4-Accent3">
    <w:name w:val="Grid Table 4 Accent 3"/>
    <w:basedOn w:val="TableNormal"/>
    <w:uiPriority w:val="49"/>
    <w:rsid w:val="00B220FB"/>
    <w:tblPr>
      <w:tblStyleRowBandSize w:val="1"/>
      <w:tblStyleColBandSize w:val="1"/>
      <w:tblBorders>
        <w:top w:val="single" w:sz="4" w:space="0" w:color="C9C9C9" w:themeColor="accent3" w:themeTint="99"/>
        <w:start w:val="single" w:sz="4" w:space="0" w:color="C9C9C9" w:themeColor="accent3" w:themeTint="99"/>
        <w:bottom w:val="single" w:sz="4" w:space="0" w:color="C9C9C9" w:themeColor="accent3" w:themeTint="99"/>
        <w:end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start w:val="single" w:sz="4" w:space="0" w:color="A5A5A5" w:themeColor="accent3"/>
          <w:bottom w:val="single" w:sz="4" w:space="0" w:color="A5A5A5" w:themeColor="accent3"/>
          <w:end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Accent3">
    <w:name w:val="List Table 3 Accent 3"/>
    <w:basedOn w:val="TableNormal"/>
    <w:uiPriority w:val="48"/>
    <w:rsid w:val="00CE4F79"/>
    <w:tblPr>
      <w:tblStyleRowBandSize w:val="1"/>
      <w:tblStyleColBandSize w:val="1"/>
      <w:tblBorders>
        <w:top w:val="single" w:sz="4" w:space="0" w:color="A5A5A5" w:themeColor="accent3"/>
        <w:start w:val="single" w:sz="4" w:space="0" w:color="A5A5A5" w:themeColor="accent3"/>
        <w:bottom w:val="single" w:sz="4" w:space="0" w:color="A5A5A5" w:themeColor="accent3"/>
        <w:end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end w:val="nil"/>
        </w:tcBorders>
        <w:shd w:val="clear" w:color="auto" w:fill="FFFFFF" w:themeFill="background1"/>
      </w:tcPr>
    </w:tblStylePr>
    <w:tblStylePr w:type="lastCol">
      <w:rPr>
        <w:b/>
        <w:bCs/>
      </w:rPr>
      <w:tblPr/>
      <w:tcPr>
        <w:tcBorders>
          <w:start w:val="nil"/>
        </w:tcBorders>
        <w:shd w:val="clear" w:color="auto" w:fill="FFFFFF" w:themeFill="background1"/>
      </w:tcPr>
    </w:tblStylePr>
    <w:tblStylePr w:type="band1Vert">
      <w:tblPr/>
      <w:tcPr>
        <w:tcBorders>
          <w:start w:val="single" w:sz="4" w:space="0" w:color="A5A5A5" w:themeColor="accent3"/>
          <w:end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start w:val="nil"/>
          <w:bottom w:val="nil"/>
        </w:tcBorders>
      </w:tcPr>
    </w:tblStylePr>
    <w:tblStylePr w:type="nwCell">
      <w:tblPr/>
      <w:tcPr>
        <w:tcBorders>
          <w:bottom w:val="nil"/>
          <w:end w:val="nil"/>
        </w:tcBorders>
      </w:tcPr>
    </w:tblStylePr>
    <w:tblStylePr w:type="seCell">
      <w:tblPr/>
      <w:tcPr>
        <w:tcBorders>
          <w:top w:val="double" w:sz="4" w:space="0" w:color="A5A5A5" w:themeColor="accent3"/>
          <w:start w:val="nil"/>
        </w:tcBorders>
      </w:tcPr>
    </w:tblStylePr>
    <w:tblStylePr w:type="swCell">
      <w:tblPr/>
      <w:tcPr>
        <w:tcBorders>
          <w:top w:val="double" w:sz="4" w:space="0" w:color="A5A5A5" w:themeColor="accent3"/>
          <w:end w:val="nil"/>
        </w:tcBorders>
      </w:tcPr>
    </w:tblStylePr>
  </w:style>
  <w:style w:type="character" w:styleId="Strong">
    <w:name w:val="Strong"/>
    <w:basedOn w:val="DefaultParagraphFont"/>
    <w:uiPriority w:val="22"/>
    <w:qFormat/>
    <w:rsid w:val="006679E8"/>
    <w:rPr>
      <w:b/>
      <w:bCs/>
    </w:rPr>
  </w:style>
  <w:style w:type="character" w:styleId="Hyperlink">
    <w:name w:val="Hyperlink"/>
    <w:basedOn w:val="DefaultParagraphFont"/>
    <w:rsid w:val="00296290"/>
    <w:rPr>
      <w:color w:val="0563C1" w:themeColor="hyperlink"/>
      <w:u w:val="single"/>
    </w:rPr>
  </w:style>
  <w:style w:type="character" w:styleId="UnresolvedMention">
    <w:name w:val="Unresolved Mention"/>
    <w:basedOn w:val="DefaultParagraphFont"/>
    <w:uiPriority w:val="99"/>
    <w:semiHidden/>
    <w:unhideWhenUsed/>
    <w:rsid w:val="00296290"/>
    <w:rPr>
      <w:color w:val="605E5C"/>
      <w:shd w:val="clear" w:color="auto" w:fill="E1DFDD"/>
    </w:rPr>
  </w:style>
  <w:style w:type="character" w:styleId="FollowedHyperlink">
    <w:name w:val="FollowedHyperlink"/>
    <w:basedOn w:val="DefaultParagraphFont"/>
    <w:rsid w:val="00057A3A"/>
    <w:rPr>
      <w:color w:val="954F72" w:themeColor="followedHyperlink"/>
      <w:u w:val="single"/>
    </w:rPr>
  </w:style>
  <w:style w:type="paragraph" w:styleId="ListParagraph">
    <w:name w:val="List Paragraph"/>
    <w:basedOn w:val="Normal"/>
    <w:uiPriority w:val="34"/>
    <w:qFormat/>
    <w:rsid w:val="00186A39"/>
    <w:pPr>
      <w:ind w:start="36pt"/>
      <w:contextualSpacing/>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purl.oclc.org/ooxml/officeDocument/relationships/image" Target="media/image1.png"/><Relationship Id="rId13" Type="http://purl.oclc.org/ooxml/officeDocument/relationships/header" Target="header3.xml"/><Relationship Id="rId18" Type="http://purl.oclc.org/ooxml/officeDocument/relationships/hyperlink" Target="https://www.cisa.gov/resources-tools/resources/federal-government-cybersecurity-incident-and-vulnerability-response-playbooks" TargetMode="External"/><Relationship Id="rId3" Type="http://purl.oclc.org/ooxml/officeDocument/relationships/styles" Target="styles.xml"/><Relationship Id="rId21" Type="http://purl.oclc.org/ooxml/officeDocument/relationships/theme" Target="theme/theme1.xml"/><Relationship Id="rId7" Type="http://purl.oclc.org/ooxml/officeDocument/relationships/endnotes" Target="endnotes.xml"/><Relationship Id="rId12" Type="http://purl.oclc.org/ooxml/officeDocument/relationships/footer" Target="footer2.xml"/><Relationship Id="rId17" Type="http://purl.oclc.org/ooxml/officeDocument/relationships/hyperlink" Target="https://struts.apache.org/security/" TargetMode="External"/><Relationship Id="rId2" Type="http://purl.oclc.org/ooxml/officeDocument/relationships/numbering" Target="numbering.xml"/><Relationship Id="rId16" Type="http://purl.oclc.org/ooxml/officeDocument/relationships/hyperlink" Target="https://www.nist.gov/cyberframework" TargetMode="External"/><Relationship Id="rId20" Type="http://purl.oclc.org/ooxml/officeDocument/relationships/fontTable" Target="fontTable.xm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1.xml"/><Relationship Id="rId5" Type="http://purl.oclc.org/ooxml/officeDocument/relationships/webSettings" Target="webSettings.xml"/><Relationship Id="rId15" Type="http://purl.oclc.org/ooxml/officeDocument/relationships/image" Target="media/image2.png"/><Relationship Id="rId10" Type="http://purl.oclc.org/ooxml/officeDocument/relationships/header" Target="header2.xml"/><Relationship Id="rId19" Type="http://purl.oclc.org/ooxml/officeDocument/relationships/hyperlink" Target="https://www.verizon.com/business/resources/reports/dbir/" TargetMode="External"/><Relationship Id="rId4" Type="http://purl.oclc.org/ooxml/officeDocument/relationships/settings" Target="settings.xml"/><Relationship Id="rId9" Type="http://purl.oclc.org/ooxml/officeDocument/relationships/header" Target="header1.xml"/><Relationship Id="rId14" Type="http://purl.oclc.org/ooxml/officeDocument/relationships/footer" Target="footer3.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9E966C7F-158E-4883-86A6-4454069232B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6025</TotalTime>
  <Pages>24</Pages>
  <Words>5948</Words>
  <Characters>39852</Characters>
  <Application>Microsoft Office Word</Application>
  <DocSecurity>0</DocSecurity>
  <Lines>996</Lines>
  <Paragraphs>257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45543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Sonya Vakarelova</dc:creator>
  <cp:keywords/>
  <cp:lastModifiedBy>Sonya Vakarelova</cp:lastModifiedBy>
  <cp:revision>378</cp:revision>
  <dcterms:created xsi:type="dcterms:W3CDTF">2024-07-16T11:42:00Z</dcterms:created>
  <dcterms:modified xsi:type="dcterms:W3CDTF">2026-07-21T14:11:00Z</dcterms:modified>
</cp:coreProperties>
</file>

<file path=docProps/custom.xml><?xml version="1.0" encoding="utf-8"?>
<Properties xmlns="http://purl.oclc.org/ooxml/officeDocument/customProperties" xmlns:vt="http://purl.oclc.org/ooxml/officeDocument/docPropsVTypes">
  <property fmtid="{D5CDD505-2E9C-101B-9397-08002B2CF9AE}" pid="2" name="GrammarlyDocumentId">
    <vt:lpwstr>4cb396b5-7a2b-4936-98a2-629e62fa17c7</vt:lpwstr>
  </property>
</Properties>
</file>