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81E6D6">
      <w:pPr>
        <w:pStyle w:val="2"/>
        <w:keepNext w:val="0"/>
        <w:keepLines w:val="0"/>
        <w:widowControl/>
        <w:suppressLineNumbers w:val="0"/>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Anika Ayub - 2504343 - LCMB7037 </w:t>
      </w:r>
    </w:p>
    <w:p w14:paraId="49BDB06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99" w:beforeAutospacing="0" w:after="399"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de-DE"/>
        </w:rPr>
        <w:t>Literature</w:t>
      </w: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 xml:space="preserve"> Review</w:t>
      </w:r>
    </w:p>
    <w:p w14:paraId="090CADA7">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Introduction</w:t>
      </w:r>
    </w:p>
    <w:p w14:paraId="786FA0EA">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A literature review examines existing academic knowledge to establish the theoretical foundation for a research project or business proposal. For SmartGrowth AI, the literature is particularly important because the proposed business operates at the intersection of SME competitiveness, digital marketing, artificial intelligence (AI) and competitive strategy. The proposal aims to evaluate the commercial feasibility of an AI-powered marketing agency serving UK service-based SMEs. Therefore, the literature review focuses on the theories and frameworks that can explain customer needs, business model design, digital marketing, AI adoption and competitive positioning. The main frameworks are the Business Model Canvas (BMC), Competitive Advantage Theory, digital marketing strategy, AI-enabled marketing and SME competitiveness. These frameworks are complementary and together provide a practical basis for evaluating SmartGrowth AI.</w:t>
      </w:r>
    </w:p>
    <w:p w14:paraId="4B4B28BE">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Business Model Canvas</w:t>
      </w:r>
    </w:p>
    <w:p w14:paraId="4CA6CBB7">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Business Model Canvas is a strategic framework that explains how an organisation creates, delivers and captures value through nine connected components: customer segments, value propositions, channels, customer relationships, revenue streams, key resources, key activities, key partnerships and cost structure (Osterwalder and Pigneur, 2010). It is particularly suitable for SmartGrowth AI because the proposal concerns a new business whose commercial feasibility needs to be assessed before implementation.</w:t>
      </w:r>
    </w:p>
    <w:p w14:paraId="22EAADB0">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BMC provides a simple visual structure for connecting SmartGrowth AI's target customers with its services and revenue model. For example, the proposal identifies UK service-based SMEs as the main customer segment and positions affordable AI-enhanced marketing as the value proposition. Monthly marketing retainers, consultancy and specialist services form the proposed revenue streams. This makes the framework useful for identifying whether the proposed resources, activities, costs and customer needs are logically connected.</w:t>
      </w:r>
    </w:p>
    <w:p w14:paraId="093CED3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However, the BMC has limitations. It can simplify complex relationships and does not by itself provide detailed analysis of competitors, technological change or external market conditions. Joyce and Paquin (2016) also argue that the traditional BMC can be extended to consider environmental and social value. Therefore, SmartGrowth AI should use the BMC as a starting point rather than as a complete feasibility assessment.</w:t>
      </w:r>
    </w:p>
    <w:p w14:paraId="144DAE27">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Competitive Advantage Theory</w:t>
      </w:r>
    </w:p>
    <w:p w14:paraId="6A93A91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Competitive advantage refers to a firm's ability to achieve superior performance by creating greater value or operating differently from competitors (Porter, 1985). Porter's approach is relevant because SmartGrowth AI will enter a competitive digital marketing industry containing established agencies and technology-based competitors.</w:t>
      </w:r>
    </w:p>
    <w:p w14:paraId="746EBE9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theory will help the proposal identify how SmartGrowth AI can differentiate itself. Its proposed advantages are affordable pricing, UK market knowledge, AI-enabled efficiency, human marketing expertise and personalised consultancy. Rather than competing only on price, the business aims to combine technology with human creativity and strategic judgement. This supports differentiation because clients receive both efficient technology and professional advice.</w:t>
      </w:r>
    </w:p>
    <w:p w14:paraId="52E1F738">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Nevertheless, Porter's competitive advantage approach can be relatively static when applied to rapidly changing technology markets. AI tools and digital marketing practices can develop quickly, meaning that an advantage may become less valuable over time. Therefore, the theory should be used alongside AI and digital marketing literature to ensure that SmartGrowth AI's competitive position remains responsive to technological change.</w:t>
      </w:r>
    </w:p>
    <w:p w14:paraId="44361861">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Digital Marketing Strategy</w:t>
      </w:r>
    </w:p>
    <w:p w14:paraId="0D599A7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Digital marketing refers to the use of digital channels and technologies to communicate with customers, build relationships and support marketing objectives (Chaffey and Ellis-Chadwick, 2022). This concept is central to SmartGrowth AI because its main services include SEO, social media management, content creation, paid advertising and online customer engagement.</w:t>
      </w:r>
    </w:p>
    <w:p w14:paraId="3262E336">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Research by Taiminen and Karjaluoto (2015) indicates that SMEs may not fully exploit digital marketing opportunities because of limitations in knowledge and resources. This supports the proposal's argument that smaller businesses can require external marketing expertise. SmartGrowth AI therefore aims to provide SMEs with professional digital marketing capabilities without the cost of developing a large internal marketing department.</w:t>
      </w:r>
    </w:p>
    <w:p w14:paraId="12CE3393">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limitation is that digital marketing is a broad concept rather than a single predictive framework. Having access to digital channels does not automatically produce business growth. Consequently, SmartGrowth AI must connect digital activities with measurable objectives such as lead generation, customer acquisition, engagement and return on marketing investment.</w:t>
      </w:r>
    </w:p>
    <w:p w14:paraId="677D8A9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AI-Enabled Marketing</w:t>
      </w:r>
    </w:p>
    <w:p w14:paraId="4344A44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AI-enabled marketing is another central concept. Davenport et al. (2020) explain that AI can transform marketing through automation, customer analysis, personalisation and improved decision-making. Huang and Rust (2021) similarly propose that AI can support marketing activities while recognising different roles for human and machine capabilities.</w:t>
      </w:r>
    </w:p>
    <w:p w14:paraId="46AF9774">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This literature strongly supports SmartGrowth AI's hybrid model. The agency will use AI to improve productivity, content development, analysis and campaign optimisation, while human professionals will provide creativity, strategic judgement and relationship management. More recent research also indicates that generative AI is likely to influence the future development and delivery of marketing activities (Grewal et al., 2025).</w:t>
      </w:r>
    </w:p>
    <w:p w14:paraId="06B6549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However, AI should not be treated as a complete replacement for marketers. Overdependence on automated content or decisions may create problems relating to quality, bias, privacy and trust. SmartGrowth AI's proposed human-oversight approach is therefore theoretically appropriate because it combines technological efficiency with human judgement.</w:t>
      </w:r>
    </w:p>
    <w:p w14:paraId="3BF9C781">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SME Competitiveness</w:t>
      </w:r>
      <w:r>
        <w:rPr>
          <w:rFonts w:hint="default" w:ascii="Arial Regular" w:hAnsi="Arial Regular" w:eastAsia="Arial" w:cs="Arial Regular"/>
          <w:b w:val="0"/>
          <w:bCs w:val="0"/>
          <w:i w:val="0"/>
          <w:iCs w:val="0"/>
          <w:caps w:val="0"/>
          <w:color w:val="auto"/>
          <w:spacing w:val="0"/>
          <w:sz w:val="24"/>
          <w:szCs w:val="24"/>
          <w:bdr w:val="none" w:color="606060" w:sz="0" w:space="0"/>
          <w:shd w:val="clear" w:fill="606060"/>
          <w:vertAlign w:val="baseline"/>
        </w:rPr>
        <w:t> </w:t>
      </w:r>
    </w:p>
    <w:p w14:paraId="4E3D53E7">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SME competitiveness is important because SmartGrowth AI's entire business model is designed around supporting smaller businesses. Burns (2020) explains that small businesses can face resource and capability constraints that influence their ability to compete and grow. This provides a useful theoretical basis for understanding why SMEs may outsource specialist marketing activities.</w:t>
      </w:r>
    </w:p>
    <w:p w14:paraId="0A6AF4B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concept is directly relevant to the proposal because UK SMEs represent more than 99% of private-sector businesses (Department for Business and Trade, 2024). SmartGrowth AI can potentially improve SME competitiveness by giving smaller organisations access to marketing expertise, digital tools and AI-supported capabilities that may otherwise be difficult to develop internally.</w:t>
      </w:r>
    </w:p>
    <w:p w14:paraId="45166DCB">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Integration of the Frameworks</w:t>
      </w:r>
    </w:p>
    <w:p w14:paraId="1A4E85D7">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These theories are most valuable when used together. The BMC explains how SmartGrowth AI will create and capture value; Competitive Advantage Theory helps identify how it can compete; digital marketing theory explains the importance of its core services; AI-enabled marketing literature supports its technology-based operating model; and SME competitiveness theory explains the needs of its target customers. Together, they provide a practical theoretical foundation for evaluating market demand, customer needs, competitive differentiation and commercial feasibility.</w:t>
      </w:r>
    </w:p>
    <w:p w14:paraId="7E720F1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frameworks are therefore not being used simply to describe the business. They will inform decisions about target customers, service design, pricing, technology use, competitive positioning and long-term business development. Their limitations also demonstrate why no single theory is sufficient. Combining the frameworks provides a more balanced basis for assessing whether SmartGrowth AI can develop a sustainable and commercially viable position in the UK SME market.</w:t>
      </w:r>
    </w:p>
    <w:p w14:paraId="075A002A">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99" w:beforeAutospacing="0" w:after="399"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Methodology</w:t>
      </w:r>
    </w:p>
    <w:p w14:paraId="3F84798C">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4.1 Research Approach</w:t>
      </w:r>
    </w:p>
    <w:p w14:paraId="3FFD5B81">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methodology provides a structured process for investigating and developing the commercial opportunity for SmartGrowth AI. Methodology refers to the overall approach used to select and apply research methods in a systematic way (Saunders, Lewis and Thornhill, 2023). The proposal adopts a pragmatic research philosophy, an inductive approach and a mixed-methods design. This combination is appropriate because the purpose is not only to generate academic knowledge but also to make practical business decisions about customer demand, competition, pricing and commercial feasibility.</w:t>
      </w:r>
    </w:p>
    <w:p w14:paraId="029ED72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Pragmatism focuses on selecting methods according to what best answers the research problem (Saunders, Lewis and Thornhill, 2023). This is suitable because SmartGrowth AI requires both numerical market evidence and practical customer insight. An inductive approach develops understanding from observations and evidence rather than testing one predetermined theory. The mixed-methods approach combines quantitative and qualitative evidence, allowing different types of information to be compared and integrated (Creswell and Creswell, 2023).</w:t>
      </w:r>
    </w:p>
    <w:p w14:paraId="6D2EEC49">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4.2 Opportunity Identification</w:t>
      </w:r>
    </w:p>
    <w:p w14:paraId="0048F613">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opportunity will first be defined by reviewing the problem identified in the proposal: many UK service-based SMEs need effective digital marketing but may face financial, knowledge and capability limitations. The investigation will focus on SMEs operating in sectors including education, healthcare, recruitment, hospitality, consultancy, fitness, real estate and travel, consistent with the defined scope of the proposal.</w:t>
      </w:r>
    </w:p>
    <w:p w14:paraId="088DB4CD">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process will begin with secondary research into UK SME numbers, digital adoption, AI adoption, marketing expenditure and industry trends. Government statistics, academic research and credible industry reports will be collected and recorded in a research evidence table showing the source, publication date, key finding and relevance to SmartGrowth AI. This creates an auditable process that can be repeated and reduces reliance on unsupported assumptions.</w:t>
      </w:r>
    </w:p>
    <w:p w14:paraId="2BF376FB">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4.3 Market Insight Collection</w:t>
      </w:r>
    </w:p>
    <w:p w14:paraId="2588ED80">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Primary market insight will be collected through semi-structured customer conversations with owners, managers or marketing decision-makers from UK service-based SMEs. Semi-structured interviews use prepared questions while allowing participants to explain issues in their own words (Saunders, Lewis and Thornhill, 2023). Questions will examine current marketing activities, problems with existing providers, use of AI, monthly marketing budgets, preferred services, purchasing decisions and expectations regarding outsourced marketing.</w:t>
      </w:r>
    </w:p>
    <w:p w14:paraId="4661B0DC">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A small purposive sample will be selected because participants must have relevant experience of SME marketing decisions. Potential participants will be contacted through professional networks, LinkedIn and local business communities. Each conversation will be conducted online or in person, depending on participant preference, and will normally last approximately 20–30 minutes. No participant will be pressured to participate.</w:t>
      </w:r>
    </w:p>
    <w:p w14:paraId="0A3E26E0">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Competitor benchmarking will also be undertaken by reviewing the websites, service packages, positioning, target customers and publicly available pricing information of selected UK agencies, including competitors identified in the proposal such as Jellyfish, Hallam and Croud. Public information will be recorded without misrepresenting the researcher or attempting to obtain confidential information.</w:t>
      </w:r>
    </w:p>
    <w:p w14:paraId="6F19A72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4.4 Market Data Gathering</w:t>
      </w:r>
    </w:p>
    <w:p w14:paraId="4DE8963A">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Quantitative evidence will be collected from credible secondary sources such as the Department for Business and Trade, Office for National Statistics where relevant, government publications, academic studies and established industry reports. The proposal already identifies the importance of UK SMEs, which account for more than 99% of private-sector businesses (Department for Business and Trade, 2024).</w:t>
      </w:r>
    </w:p>
    <w:p w14:paraId="04678556">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Pricing data will be gathered from publicly available competitor websites and service quotations where transparently provided. The data will include monthly retainers, individual service prices and package structures. Demand indicators will include SME digital adoption, AI adoption, online marketing activity and reported marketing challenges. Sources will be prioritised according to credibility, recency and relevance rather than simply selecting information that supports the business idea.</w:t>
      </w:r>
    </w:p>
    <w:p w14:paraId="503466B3">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4.5 Data Analysis</w:t>
      </w:r>
    </w:p>
    <w:p w14:paraId="33F109A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quantitative evidence will first be organised using descriptive analysis. Descriptive analysis summarises data through frequencies, percentages, averages and comparisons and is appropriate for identifying market patterns rather than proving causal relationships (Saunders, Lewis and Thornhill, 2023). For example, SME population figures, competitor prices and survey responses can be compared to identify potential market size and pricing opportunities.</w:t>
      </w:r>
    </w:p>
    <w:p w14:paraId="53000A0E">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qualitative interview data will be analysed using thematic analysis. Thematic analysis identifies recurring patterns or themes within qualitative information (Braun and Clarke, 2006). Interview responses will therefore be coded under themes such as affordability, marketing capability, AI adoption, service quality, trust, local market knowledge and outsourcing needs. Similar responses will be grouped together before comparing them with the secondary research.</w:t>
      </w:r>
    </w:p>
    <w:p w14:paraId="7C7427BB">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findings will then be triangulated. Triangulation means comparing information from different sources or methods to develop a stronger understanding of an issue (Saunders, Lewis and Thornhill, 2023). For example, if SME interviews identify affordability as a major problem and competitor benchmarking shows high agency prices, the two findings can be considered together when developing SmartGrowth AI's pricing strategy.</w:t>
      </w:r>
    </w:p>
    <w:p w14:paraId="307CF91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4.6 Application of Business Frameworks</w:t>
      </w:r>
    </w:p>
    <w:p w14:paraId="00F72D26">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frameworks identified in the Literature Review will be applied after the market evidence has been collected. The Business Model Canvas will organise findings into customer segments, value proposition, channels, customer relationships, revenue streams, resources, activities, partnerships and costs (Osterwalder and Pigneur, 2010). Customer research will therefore inform the customer segment and value proposition, while competitor and pricing research will inform revenue streams and cost assumptions.</w:t>
      </w:r>
    </w:p>
    <w:p w14:paraId="49D066B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Competitive Advantage Theory will be used to compare SmartGrowth AI with existing agencies and identify possible sources of differentiation, particularly affordable pricing, UK market knowledge, AI-enabled efficiency and human expertise (Porter, 1985). Digital marketing and AI literature will then be used to assess whether the proposed services reflect current technological and customer requirements (Chaffey and Ellis-Chadwick, 2022; Davenport et al., 2020; Huang and Rust, 2021).</w:t>
      </w:r>
    </w:p>
    <w:p w14:paraId="2127CAC8">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Finally, the evidence will be combined to assess the proposal's four research questions concerning market opportunity, SME needs, differentiation and commercial feasibility.</w:t>
      </w:r>
    </w:p>
    <w:p w14:paraId="5EBAEEA4">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4.7 Limitations</w:t>
      </w:r>
    </w:p>
    <w:p w14:paraId="3B0E322A">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Several limitations may affect the reliability of the investigation. First, access to SME owners and decision-makers may be limited, resulting in a relatively small primary sample. Findings may therefore not represent every UK service-based SME. Second, competitor pricing is not always publicly available, meaning that some comparisons may rely on advertised packages rather than actual negotiated prices.</w:t>
      </w:r>
    </w:p>
    <w:p w14:paraId="28F75F11">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The research will also rely partly on secondary data, which may contain different definitions, collection periods or assumptions. Industry reports may use commercial methodologies that cannot be fully examined. In addition, AI and digital marketing are rapidly changing, meaning that findings may become outdated. These limitations will be managed by comparing multiple credible sources, recording publication dates and avoiding unsupported generalisations.</w:t>
      </w:r>
    </w:p>
    <w:p w14:paraId="5E8FAE5E">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75" w:beforeAutospacing="0" w:after="375" w:afterAutospacing="0" w:line="360" w:lineRule="auto"/>
        <w:ind w:left="0" w:right="0" w:firstLine="0"/>
        <w:jc w:val="both"/>
        <w:textAlignment w:val="baseline"/>
        <w:rPr>
          <w:rFonts w:hint="default" w:ascii="Arial Regular" w:hAnsi="Arial Regular" w:cs="Arial Regular"/>
          <w:b w:val="0"/>
          <w:bCs w:val="0"/>
          <w:i w:val="0"/>
          <w:iCs w:val="0"/>
          <w:color w:val="0F4761"/>
          <w:sz w:val="24"/>
          <w:szCs w:val="24"/>
        </w:rPr>
      </w:pPr>
      <w:r>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t>4.8 Ethical Considerations</w:t>
      </w:r>
    </w:p>
    <w:p w14:paraId="1DDCAB35">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cs="Arial Regular"/>
          <w:b w:val="0"/>
          <w:bCs w:val="0"/>
          <w:i w:val="0"/>
          <w:iCs w:val="0"/>
          <w:color w:val="auto"/>
          <w:sz w:val="24"/>
          <w:szCs w:val="24"/>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Ethical principles will be followed throughout the research. Participants in customer conversations will receive clear information about the purpose of the research and will participate voluntarily. Informed consent will be obtained before collecting responses, and participants will be able to withdraw before their information is incorporated into the analysis. Personal information will be minimised and securely stored, and individuals or businesses will not be identified in the final proposal without permission.</w:t>
      </w:r>
    </w:p>
    <w:p w14:paraId="7063B8B1">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320" w:beforeAutospacing="0" w:after="320" w:afterAutospacing="0" w:line="360" w:lineRule="auto"/>
        <w:ind w:left="0" w:right="0" w:firstLine="0"/>
        <w:jc w:val="both"/>
        <w:textAlignment w:val="baseline"/>
        <w:rPr>
          <w:rFonts w:hint="default" w:ascii="Arial Regular" w:hAnsi="Arial Regular" w:eastAsia="Arial" w:cs="Arial Regular"/>
          <w:b/>
          <w:bCs/>
          <w:i w:val="0"/>
          <w:iCs w:val="0"/>
          <w:caps w:val="0"/>
          <w:color w:val="auto"/>
          <w:spacing w:val="0"/>
          <w:sz w:val="24"/>
          <w:szCs w:val="24"/>
          <w:bdr w:val="none" w:color="auto" w:sz="0" w:space="0"/>
          <w:shd w:val="clear" w:fill="FFFFFF"/>
          <w:vertAlign w:val="baseline"/>
          <w:lang w:val="en-US"/>
        </w:rPr>
      </w:pPr>
      <w:r>
        <w:rPr>
          <w:rFonts w:hint="default" w:ascii="Arial Regular" w:hAnsi="Arial Regular" w:eastAsia="Arial" w:cs="Arial Regular"/>
          <w:b w:val="0"/>
          <w:bCs w:val="0"/>
          <w:i w:val="0"/>
          <w:iCs w:val="0"/>
          <w:caps w:val="0"/>
          <w:color w:val="auto"/>
          <w:spacing w:val="0"/>
          <w:sz w:val="24"/>
          <w:szCs w:val="24"/>
          <w:bdr w:val="none" w:color="auto" w:sz="0" w:space="0"/>
          <w:shd w:val="clear" w:fill="FFFFFF"/>
          <w:vertAlign w:val="baseline"/>
          <w:lang w:val="en-US"/>
        </w:rPr>
        <w:t>Particular care will be taken with AI-related information. Customer data will not be entered into public AI systems without appropriate safeguards, and confidential commercial information will not be collected unnecessarily. This is important because responsible AI use requires attention to issues including privacy, bias and human oversight (Davenport et al., 2020). The researcher will also recognise personal and confirmation bias by recording evidence systematically and considering findings that challenge the proposed business idea.</w:t>
      </w:r>
    </w:p>
    <w:p w14:paraId="7DBA4468">
      <w:pPr>
        <w:pStyle w:val="8"/>
        <w:keepNext w:val="0"/>
        <w:keepLines w:val="0"/>
        <w:widowControl/>
        <w:suppressLineNumbers w:val="0"/>
        <w:spacing w:line="360" w:lineRule="auto"/>
        <w:jc w:val="both"/>
        <w:rPr>
          <w:rStyle w:val="9"/>
          <w:rFonts w:hint="default" w:ascii="Arial Regular" w:hAnsi="Arial Regular" w:cs="Arial Regular"/>
          <w:sz w:val="24"/>
          <w:szCs w:val="24"/>
        </w:rPr>
      </w:pPr>
    </w:p>
    <w:p w14:paraId="2D6CA733">
      <w:pPr>
        <w:pStyle w:val="8"/>
        <w:keepNext w:val="0"/>
        <w:keepLines w:val="0"/>
        <w:widowControl/>
        <w:suppressLineNumbers w:val="0"/>
        <w:spacing w:line="360" w:lineRule="auto"/>
        <w:jc w:val="both"/>
        <w:rPr>
          <w:rFonts w:hint="default" w:ascii="Arial Regular" w:hAnsi="Arial Regular" w:cs="Arial Regular"/>
          <w:sz w:val="24"/>
          <w:szCs w:val="24"/>
        </w:rPr>
      </w:pPr>
      <w:bookmarkStart w:id="0" w:name="_GoBack"/>
      <w:bookmarkEnd w:id="0"/>
      <w:r>
        <w:rPr>
          <w:rStyle w:val="9"/>
          <w:rFonts w:hint="default" w:ascii="Arial Regular" w:hAnsi="Arial Regular" w:cs="Arial Regular"/>
          <w:sz w:val="24"/>
          <w:szCs w:val="24"/>
        </w:rPr>
        <w:t>References</w:t>
      </w:r>
    </w:p>
    <w:p w14:paraId="1821A807">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Braun, V. and Clarke, V. (2006) ‘Using thematic analysis in psychology’, </w:t>
      </w:r>
      <w:r>
        <w:rPr>
          <w:rStyle w:val="7"/>
          <w:rFonts w:hint="default" w:ascii="Arial Regular" w:hAnsi="Arial Regular" w:cs="Arial Regular"/>
          <w:sz w:val="24"/>
          <w:szCs w:val="24"/>
        </w:rPr>
        <w:t>Qualitative Research in Psychology</w:t>
      </w:r>
      <w:r>
        <w:rPr>
          <w:rFonts w:hint="default" w:ascii="Arial Regular" w:hAnsi="Arial Regular" w:cs="Arial Regular"/>
          <w:sz w:val="24"/>
          <w:szCs w:val="24"/>
        </w:rPr>
        <w:t>, 3(2), pp. 77–101. doi: 10.1191/1478088706qp063oa.</w:t>
      </w:r>
    </w:p>
    <w:p w14:paraId="1C8C708D">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Burns, P. (2020) </w:t>
      </w:r>
      <w:r>
        <w:rPr>
          <w:rStyle w:val="7"/>
          <w:rFonts w:hint="default" w:ascii="Arial Regular" w:hAnsi="Arial Regular" w:cs="Arial Regular"/>
          <w:sz w:val="24"/>
          <w:szCs w:val="24"/>
        </w:rPr>
        <w:t>Entrepreneurship and Small Business</w:t>
      </w:r>
      <w:r>
        <w:rPr>
          <w:rFonts w:hint="default" w:ascii="Arial Regular" w:hAnsi="Arial Regular" w:cs="Arial Regular"/>
          <w:sz w:val="24"/>
          <w:szCs w:val="24"/>
        </w:rPr>
        <w:t>. 5th edn. London: Red Globe Press.</w:t>
      </w:r>
    </w:p>
    <w:p w14:paraId="1B49652E">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Chaffey, D. and Ellis-Chadwick, F. (2022) </w:t>
      </w:r>
      <w:r>
        <w:rPr>
          <w:rStyle w:val="7"/>
          <w:rFonts w:hint="default" w:ascii="Arial Regular" w:hAnsi="Arial Regular" w:cs="Arial Regular"/>
          <w:sz w:val="24"/>
          <w:szCs w:val="24"/>
        </w:rPr>
        <w:t>Digital Marketing</w:t>
      </w:r>
      <w:r>
        <w:rPr>
          <w:rFonts w:hint="default" w:ascii="Arial Regular" w:hAnsi="Arial Regular" w:cs="Arial Regular"/>
          <w:sz w:val="24"/>
          <w:szCs w:val="24"/>
        </w:rPr>
        <w:t>. 8th edn. Harlow: Pearson.</w:t>
      </w:r>
    </w:p>
    <w:p w14:paraId="521AEB6B">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Creswell, J.W. and Creswell, J.D. (2023) </w:t>
      </w:r>
      <w:r>
        <w:rPr>
          <w:rStyle w:val="7"/>
          <w:rFonts w:hint="default" w:ascii="Arial Regular" w:hAnsi="Arial Regular" w:cs="Arial Regular"/>
          <w:sz w:val="24"/>
          <w:szCs w:val="24"/>
        </w:rPr>
        <w:t>Research Design: Qualitative, Quantitative, and Mixed Methods Approaches</w:t>
      </w:r>
      <w:r>
        <w:rPr>
          <w:rFonts w:hint="default" w:ascii="Arial Regular" w:hAnsi="Arial Regular" w:cs="Arial Regular"/>
          <w:sz w:val="24"/>
          <w:szCs w:val="24"/>
        </w:rPr>
        <w:t>. 6th edn. Thousand Oaks, CA: SAGE Publications.</w:t>
      </w:r>
    </w:p>
    <w:p w14:paraId="3EE86D02">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Davenport, T.H., Guha, A., Grewal, D. and Bressgott, T. (2020) ‘How Artificial Intelligence Will Change the Future of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48(1), pp. 24–42. doi: 10.1007/s11747-019-00696-0.</w:t>
      </w:r>
    </w:p>
    <w:p w14:paraId="1319E56D">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Department for Business and Trade (2024) </w:t>
      </w:r>
      <w:r>
        <w:rPr>
          <w:rStyle w:val="7"/>
          <w:rFonts w:hint="default" w:ascii="Arial Regular" w:hAnsi="Arial Regular" w:cs="Arial Regular"/>
          <w:sz w:val="24"/>
          <w:szCs w:val="24"/>
        </w:rPr>
        <w:t>Business Population Estimates for the UK 2024</w:t>
      </w:r>
      <w:r>
        <w:rPr>
          <w:rFonts w:hint="default" w:ascii="Arial Regular" w:hAnsi="Arial Regular" w:cs="Arial Regular"/>
          <w:sz w:val="24"/>
          <w:szCs w:val="24"/>
        </w:rPr>
        <w:t>. London: Department for Business and Trade.</w:t>
      </w:r>
    </w:p>
    <w:p w14:paraId="37709600">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Grewal, D., Satornino, C.B., Davenport, T.H., Guha, A. </w:t>
      </w:r>
      <w:r>
        <w:rPr>
          <w:rStyle w:val="7"/>
          <w:rFonts w:hint="default" w:ascii="Arial Regular" w:hAnsi="Arial Regular" w:cs="Arial Regular"/>
          <w:sz w:val="24"/>
          <w:szCs w:val="24"/>
        </w:rPr>
        <w:t>et al.</w:t>
      </w:r>
      <w:r>
        <w:rPr>
          <w:rFonts w:hint="default" w:ascii="Arial Regular" w:hAnsi="Arial Regular" w:cs="Arial Regular"/>
          <w:sz w:val="24"/>
          <w:szCs w:val="24"/>
        </w:rPr>
        <w:t xml:space="preserve"> (2025) ‘How generative AI is shaping the future of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53, pp. 702–722. doi: 10.1007/s11747-024-01064-3.</w:t>
      </w:r>
    </w:p>
    <w:p w14:paraId="7E606FE2">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Huang, M.-H. and Rust, R.T. (2021) ‘A Strategic Framework for Artificial Intelligence in Marketing’, </w:t>
      </w:r>
      <w:r>
        <w:rPr>
          <w:rStyle w:val="7"/>
          <w:rFonts w:hint="default" w:ascii="Arial Regular" w:hAnsi="Arial Regular" w:cs="Arial Regular"/>
          <w:sz w:val="24"/>
          <w:szCs w:val="24"/>
        </w:rPr>
        <w:t>Journal of the Academy of Marketing Science</w:t>
      </w:r>
      <w:r>
        <w:rPr>
          <w:rFonts w:hint="default" w:ascii="Arial Regular" w:hAnsi="Arial Regular" w:cs="Arial Regular"/>
          <w:sz w:val="24"/>
          <w:szCs w:val="24"/>
        </w:rPr>
        <w:t>, 49(1), pp. 30–50. doi: 10.1007/s11747-020-00749-9.</w:t>
      </w:r>
    </w:p>
    <w:p w14:paraId="611E35E0">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Joyce, A. and Paquin, R.L. (2016) ‘The Triple Layered Business Model Canvas: A Tool to Design More Sustainable Business Models’, </w:t>
      </w:r>
      <w:r>
        <w:rPr>
          <w:rStyle w:val="7"/>
          <w:rFonts w:hint="default" w:ascii="Arial Regular" w:hAnsi="Arial Regular" w:cs="Arial Regular"/>
          <w:sz w:val="24"/>
          <w:szCs w:val="24"/>
        </w:rPr>
        <w:t>Journal of Cleaner Production</w:t>
      </w:r>
      <w:r>
        <w:rPr>
          <w:rFonts w:hint="default" w:ascii="Arial Regular" w:hAnsi="Arial Regular" w:cs="Arial Regular"/>
          <w:sz w:val="24"/>
          <w:szCs w:val="24"/>
        </w:rPr>
        <w:t>, 135, pp. 1474–1486. doi: 10.1016/j.jclepro.2016.06.067.</w:t>
      </w:r>
    </w:p>
    <w:p w14:paraId="1C622CDD">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Osterwalder, A. and Pigneur, Y. (2010) </w:t>
      </w:r>
      <w:r>
        <w:rPr>
          <w:rStyle w:val="7"/>
          <w:rFonts w:hint="default" w:ascii="Arial Regular" w:hAnsi="Arial Regular" w:cs="Arial Regular"/>
          <w:sz w:val="24"/>
          <w:szCs w:val="24"/>
        </w:rPr>
        <w:t>Business Model Generation</w:t>
      </w:r>
      <w:r>
        <w:rPr>
          <w:rFonts w:hint="default" w:ascii="Arial Regular" w:hAnsi="Arial Regular" w:cs="Arial Regular"/>
          <w:sz w:val="24"/>
          <w:szCs w:val="24"/>
        </w:rPr>
        <w:t>. Hoboken, NJ: John Wiley &amp; Sons.</w:t>
      </w:r>
    </w:p>
    <w:p w14:paraId="12970DD2">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Porter, M.E. (1985) </w:t>
      </w:r>
      <w:r>
        <w:rPr>
          <w:rStyle w:val="7"/>
          <w:rFonts w:hint="default" w:ascii="Arial Regular" w:hAnsi="Arial Regular" w:cs="Arial Regular"/>
          <w:sz w:val="24"/>
          <w:szCs w:val="24"/>
        </w:rPr>
        <w:t>Competitive Advantage: Creating and Sustaining Superior Performance</w:t>
      </w:r>
      <w:r>
        <w:rPr>
          <w:rFonts w:hint="default" w:ascii="Arial Regular" w:hAnsi="Arial Regular" w:cs="Arial Regular"/>
          <w:sz w:val="24"/>
          <w:szCs w:val="24"/>
        </w:rPr>
        <w:t>. New York: Free Press.</w:t>
      </w:r>
    </w:p>
    <w:p w14:paraId="623E4CCF">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Saunders, M.N.K., Lewis, P. and Thornhill, A. (2023) </w:t>
      </w:r>
      <w:r>
        <w:rPr>
          <w:rStyle w:val="7"/>
          <w:rFonts w:hint="default" w:ascii="Arial Regular" w:hAnsi="Arial Regular" w:cs="Arial Regular"/>
          <w:sz w:val="24"/>
          <w:szCs w:val="24"/>
        </w:rPr>
        <w:t>Research Methods for Business Students</w:t>
      </w:r>
      <w:r>
        <w:rPr>
          <w:rFonts w:hint="default" w:ascii="Arial Regular" w:hAnsi="Arial Regular" w:cs="Arial Regular"/>
          <w:sz w:val="24"/>
          <w:szCs w:val="24"/>
        </w:rPr>
        <w:t>. 9th edn. Harlow: Pearson.</w:t>
      </w:r>
    </w:p>
    <w:p w14:paraId="1FC2095A">
      <w:pPr>
        <w:pStyle w:val="8"/>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Taiminen, H.M. and Karjaluoto, H. (2015) ‘The Usage of Digital Marketing Channels in SMEs’, </w:t>
      </w:r>
      <w:r>
        <w:rPr>
          <w:rStyle w:val="7"/>
          <w:rFonts w:hint="default" w:ascii="Arial Regular" w:hAnsi="Arial Regular" w:cs="Arial Regular"/>
          <w:sz w:val="24"/>
          <w:szCs w:val="24"/>
        </w:rPr>
        <w:t>Journal of Small Business and Enterprise Development</w:t>
      </w:r>
      <w:r>
        <w:rPr>
          <w:rFonts w:hint="default" w:ascii="Arial Regular" w:hAnsi="Arial Regular" w:cs="Arial Regular"/>
          <w:sz w:val="24"/>
          <w:szCs w:val="24"/>
        </w:rPr>
        <w:t>, 22(4), pp. 633–651. doi: 10.1108/JSBED-05-2013-0073.</w:t>
      </w:r>
    </w:p>
    <w:p w14:paraId="42748B4E">
      <w:pPr>
        <w:spacing w:line="360" w:lineRule="auto"/>
        <w:jc w:val="both"/>
        <w:rPr>
          <w:rFonts w:hint="default" w:ascii="Arial Regular" w:hAnsi="Arial Regular" w:cs="Arial Regular"/>
          <w:sz w:val="24"/>
          <w:szCs w:val="24"/>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Regular">
    <w:panose1 w:val="020B0704020202020204"/>
    <w:charset w:val="00"/>
    <w:family w:val="auto"/>
    <w:pitch w:val="default"/>
    <w:sig w:usb0="E0002AFF" w:usb1="C0007843" w:usb2="00000009" w:usb3="00000000" w:csb0="400001FF" w:csb1="FFFF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6"/>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758E8D"/>
    <w:rsid w:val="4F36FDAB"/>
    <w:rsid w:val="FF758E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9">
    <w:name w:val="Strong"/>
    <w:basedOn w:val="5"/>
    <w:qFormat/>
    <w:uiPriority w:val="0"/>
    <w:rPr>
      <w:b/>
      <w:bCs/>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0</Words>
  <Characters>0</Characters>
  <Lines>0</Lines>
  <Paragraphs>0</Paragraphs>
  <TotalTime>7</TotalTime>
  <ScaleCrop>false</ScaleCrop>
  <LinksUpToDate>false</LinksUpToDate>
  <CharactersWithSpaces>0</CharactersWithSpaces>
  <Application>WPS Office_12.1.26035.26035_F1E327BC-269C-435d-A152-05C5408002CA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2026-08-13T22:36:00Z</dcterms:created>
  <dc:creator>Anika Ayub (183011205)</dc:creator>
  <cp:lastModifiedBy>Anika Ayub (183011205)</cp:lastModifiedBy>
  <dcterms:modified xsi:type="dcterms:W3CDTF">2026-08-23T15:05:37Z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1033-12.1.26035.26035</vt:lpwstr>
  </property>
  <property fmtid="{D5CDD505-2E9C-101B-9397-08002B2CF9AE}" pid="3" name="ICV">
    <vt:lpwstr>236C9D338B6C5517E92A7E6A64B4519C_41</vt:lpwstr>
  </property>
</Properties>
</file>