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3BE" w:rsidRDefault="007C03BE" w:rsidP="007C03BE">
      <w:pPr>
        <w:pStyle w:val="PreformattedText"/>
        <w:jc w:val="center"/>
        <w:rPr>
          <w:rFonts w:ascii="Times New Roman" w:hAnsi="Times New Roman" w:cs="Times New Roman"/>
          <w:b/>
          <w:bCs/>
          <w:i/>
          <w:iCs/>
          <w:sz w:val="96"/>
          <w:szCs w:val="96"/>
          <w:shd w:val="clear" w:color="auto" w:fill="FFFFFF"/>
        </w:rPr>
      </w:pPr>
      <w:r>
        <w:rPr>
          <w:rFonts w:ascii="Times New Roman" w:hAnsi="Times New Roman" w:cs="Times New Roman"/>
          <w:b/>
          <w:bCs/>
          <w:i/>
          <w:iCs/>
          <w:sz w:val="96"/>
          <w:szCs w:val="96"/>
          <w:shd w:val="clear" w:color="auto" w:fill="FFFFFF"/>
        </w:rPr>
        <w:t>Academic and Employability skills</w:t>
      </w:r>
    </w:p>
    <w:p w:rsidR="003269A6" w:rsidRDefault="003269A6"/>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7C03BE" w:rsidRDefault="007C03BE"/>
    <w:p w:rsidR="00A10A16" w:rsidRDefault="00A10A16"/>
    <w:p w:rsidR="00A10A16" w:rsidRDefault="00A10A16"/>
    <w:p w:rsidR="00A10A16" w:rsidRDefault="00A10A16"/>
    <w:p w:rsidR="00A10A16" w:rsidRDefault="00A10A16">
      <w:r>
        <w:t xml:space="preserve">Anic Virgil Bica ; 2123311 </w:t>
      </w:r>
    </w:p>
    <w:p w:rsidR="00A10A16" w:rsidRDefault="00A10A16"/>
    <w:p w:rsidR="007C03BE" w:rsidRDefault="007C03BE"/>
    <w:p w:rsidR="00A10A16" w:rsidRDefault="00A10A16"/>
    <w:p w:rsidR="00A10A16" w:rsidRDefault="00A10A16"/>
    <w:p w:rsidR="007C03BE" w:rsidRDefault="007C03BE"/>
    <w:p w:rsidR="007C03BE" w:rsidRDefault="00AB6B01" w:rsidP="007C03BE">
      <w:pPr>
        <w:pStyle w:val="TOC1"/>
        <w:tabs>
          <w:tab w:val="right" w:leader="dot" w:pos="9350"/>
        </w:tabs>
      </w:pPr>
      <w:hyperlink w:anchor="_Toc99835014" w:history="1">
        <w:r w:rsidR="007C03BE">
          <w:rPr>
            <w:rStyle w:val="Hyperlink"/>
          </w:rPr>
          <w:t>TASK 2 Reflection Report</w:t>
        </w:r>
        <w:r w:rsidR="007C03BE">
          <w:tab/>
        </w:r>
      </w:hyperlink>
    </w:p>
    <w:p w:rsidR="007C03BE" w:rsidRDefault="00AB6B01" w:rsidP="007C03BE">
      <w:pPr>
        <w:pStyle w:val="TOC1"/>
        <w:tabs>
          <w:tab w:val="right" w:leader="dot" w:pos="9350"/>
        </w:tabs>
      </w:pPr>
      <w:hyperlink w:anchor="_Toc99835015" w:history="1">
        <w:r w:rsidR="007C03BE">
          <w:rPr>
            <w:rStyle w:val="Hyperlink"/>
          </w:rPr>
          <w:t>CONCLUSION</w:t>
        </w:r>
        <w:r w:rsidR="007C03BE">
          <w:tab/>
        </w:r>
      </w:hyperlink>
    </w:p>
    <w:p w:rsidR="007C03BE" w:rsidRDefault="00AB6B01" w:rsidP="007C03BE">
      <w:pPr>
        <w:pStyle w:val="TOC1"/>
        <w:tabs>
          <w:tab w:val="right" w:leader="dot" w:pos="9350"/>
        </w:tabs>
      </w:pPr>
      <w:hyperlink w:anchor="_Toc99835016" w:history="1">
        <w:r w:rsidR="007C03BE">
          <w:rPr>
            <w:rStyle w:val="Hyperlink"/>
          </w:rPr>
          <w:t>References:</w:t>
        </w:r>
        <w:r w:rsidR="007C03BE">
          <w:tab/>
        </w:r>
      </w:hyperlink>
    </w:p>
    <w:p w:rsidR="007C03BE" w:rsidRDefault="00AB6B01" w:rsidP="007C03BE">
      <w:pPr>
        <w:pStyle w:val="TOC1"/>
        <w:tabs>
          <w:tab w:val="right" w:leader="dot" w:pos="9350"/>
        </w:tabs>
      </w:pPr>
      <w:hyperlink w:anchor="_Toc99835013" w:history="1">
        <w:r w:rsidR="007C03BE">
          <w:rPr>
            <w:rStyle w:val="Hyperlink"/>
          </w:rPr>
          <w:t>Conclusion</w:t>
        </w:r>
        <w:r w:rsidR="007C03BE">
          <w:tab/>
        </w:r>
      </w:hyperlink>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pStyle w:val="Heading1"/>
      </w:pPr>
      <w:bookmarkStart w:id="0" w:name="_Toc99835014"/>
      <w:r>
        <w:t>TASK 2 Reflection Report</w:t>
      </w:r>
      <w:bookmarkEnd w:id="0"/>
    </w:p>
    <w:p w:rsidR="007C03BE" w:rsidRDefault="007C03BE" w:rsidP="007C03BE">
      <w:pPr>
        <w:pStyle w:val="Standard"/>
      </w:pPr>
      <w:r>
        <w:tab/>
        <w:t>The academic and employability both skills are important for the person as academic skill enables students to hone their skills and pursues high learning whereas employability skill allow student to use their academics within work context and career development. These skills are recognised as essential qualification for several jobs position and becomes significant for an employment success in business (</w:t>
      </w:r>
      <w:r>
        <w:rPr>
          <w:color w:val="222222"/>
          <w:szCs w:val="24"/>
          <w:shd w:val="clear" w:color="auto" w:fill="FFFFFF"/>
        </w:rPr>
        <w:t>Pham, T., 2021</w:t>
      </w:r>
      <w:r>
        <w:t>). This section is based on reflection part which applies Gibbs model for assessing in what way academic writing, research methods and referencing techniques is learned by me throughout the course which helped me in development of academic &amp; employability skills. To write the reflection on my skill I will take use of Gibbs reflective learning cycle which has to follow six stages which are as mentioned below-</w:t>
      </w:r>
    </w:p>
    <w:p w:rsidR="007C03BE" w:rsidRDefault="007C03BE" w:rsidP="007C03BE">
      <w:pPr>
        <w:pStyle w:val="Standard"/>
        <w:numPr>
          <w:ilvl w:val="0"/>
          <w:numId w:val="1"/>
        </w:numPr>
      </w:pPr>
      <w:r>
        <w:rPr>
          <w:b/>
          <w:bCs/>
        </w:rPr>
        <w:t>Description</w:t>
      </w:r>
      <w:r>
        <w:t>- This involves the description of situation, event in detail without drawing and conclusion. The teacher taught me several conceptions about the academic &amp; employability skills. The lecture provided clarity that how relevant information is used for writing reports, essays and projects. In the academic writing it involves several aspects such as preparing notes, analysis of sources, discovering good and acceptable scholarly sources &amp; assess information from websites which are important (</w:t>
      </w:r>
      <w:r>
        <w:rPr>
          <w:color w:val="222222"/>
          <w:szCs w:val="24"/>
          <w:shd w:val="clear" w:color="auto" w:fill="FFFFFF"/>
        </w:rPr>
        <w:t>Santos, G.G., 2020</w:t>
      </w:r>
      <w:r>
        <w:t xml:space="preserve">). In the academic writing I also gained understanding about the grammar and languages which helped me in improving my vocabulary, developing sentence structure and body paragraphs.0 I also studied the role of referencing in academic writing by having learning of Harvard referencing techniques. I learned in what way and structure the report is written by knowing difference and similarities between essay &amp; report. To work in group with other people I learned how to work with others in effective way which helps in improving my skill in developing of teamwork. The group working leads to cooperation and collaboration. By working together, I was able to brainstorm and formulates themes together for knowing what other are writing and to reduce confusion. Apart from this, I also learned about how to write curriculum vitae for applying to a given job role by </w:t>
      </w:r>
      <w:r>
        <w:lastRenderedPageBreak/>
        <w:t xml:space="preserve">learning different ways and methods. Along with this to better decision making for future the most significant thing which I learned from this module was about developing and enhancing my critical and analytical skills. In this report I reflected, analysed and evaluated how this course topic helping me in enhancing my skills and in what way they can be developed more efficiently. </w:t>
      </w:r>
    </w:p>
    <w:p w:rsidR="007C03BE" w:rsidRDefault="007C03BE" w:rsidP="007C03BE">
      <w:pPr>
        <w:pStyle w:val="Standard"/>
        <w:ind w:left="720"/>
      </w:pPr>
    </w:p>
    <w:p w:rsidR="007C03BE" w:rsidRDefault="007C03BE" w:rsidP="007C03BE">
      <w:pPr>
        <w:pStyle w:val="Standard"/>
        <w:numPr>
          <w:ilvl w:val="0"/>
          <w:numId w:val="1"/>
        </w:numPr>
      </w:pPr>
      <w:r>
        <w:rPr>
          <w:b/>
          <w:bCs/>
        </w:rPr>
        <w:t>Feelings</w:t>
      </w:r>
      <w:r>
        <w:t>- I was having the feeling towards the learning of academic and employability skills. In academic writing I found learning to be both stressful and important. In writing of academic I feel that one requires to have understanding of grammar, vocabulary and style for developing well-defined academic work. I learned that academic writing in several aspect is different from other forms of writing as its demand is unique and defined in manner one develops grammar, sentences, body and paragraphs. In the academic and employability skill I was eager to know about the topic which is to be taught. I also feel that thinks which learned by me during academic and employability curses is very beneficial in order to have better job and enable me to have thinking in different way. By knowing the standard ad practice of academic writing, I was required to follow writing formats for several types of writing (</w:t>
      </w:r>
      <w:r>
        <w:rPr>
          <w:color w:val="222222"/>
          <w:szCs w:val="24"/>
          <w:shd w:val="clear" w:color="auto" w:fill="FFFFFF"/>
        </w:rPr>
        <w:t>Spronken-Smith, and et.al., 2018</w:t>
      </w:r>
      <w:r>
        <w:t xml:space="preserve">). I found the referencing to be very hard that plays an major role in validating academic writing, in the manner writer borrow and use the worker of other authors. The failure to cite work of other author properly leads to plagiarism which is learned by me along with I got to know that using work of other person without its consent can lead to termination. The use of reliable citation states that adequate research of academic and online source is conducted. The using of references by me allow to maintain track and identity the sources which are used in work. while working in group I feel frustrated as team members were not following the instructions and not putting of much efforts in assignments. </w:t>
      </w:r>
    </w:p>
    <w:p w:rsidR="007C03BE" w:rsidRDefault="007C03BE" w:rsidP="007C03BE">
      <w:pPr>
        <w:pStyle w:val="Standard"/>
        <w:ind w:left="720"/>
      </w:pPr>
    </w:p>
    <w:p w:rsidR="007C03BE" w:rsidRDefault="007C03BE" w:rsidP="007C03BE">
      <w:pPr>
        <w:pStyle w:val="Standard"/>
        <w:numPr>
          <w:ilvl w:val="0"/>
          <w:numId w:val="1"/>
        </w:numPr>
      </w:pPr>
      <w:r>
        <w:rPr>
          <w:b/>
          <w:bCs/>
        </w:rPr>
        <w:t>Assessing experience</w:t>
      </w:r>
      <w:r>
        <w:t xml:space="preserve">- In this model the total experience is being evaluated. From academic and employability skill I gained lot of knowledge regarding grammar, use of vocabulary and sentence structure. In past I face struggle regarding research on any topic. But with the help of research skill, I was capable in preparing research question and identified relevant sources that can be applied in my paper of academic writing. From my experience I have learned on how to write and develop paragraphs and sentences clauses, which is now appealing to be passionate about academic writing. </w:t>
      </w:r>
      <w:r>
        <w:lastRenderedPageBreak/>
        <w:t>With referencing I an experiencing difficulty as there is mainly focus on Harvard referencing style as there are many other referencing styles such as Chicago, APA etc. even I still got confused what writing format should I apply for particular paper. I also experience challenge in comprehending information provided by other scholars which present challenge of summarising or paraphrasing work properly (</w:t>
      </w:r>
      <w:r>
        <w:rPr>
          <w:color w:val="222222"/>
          <w:szCs w:val="24"/>
          <w:shd w:val="clear" w:color="auto" w:fill="FFFFFF"/>
        </w:rPr>
        <w:t>Tsalikova, and Pakhotina, 2019</w:t>
      </w:r>
      <w:r>
        <w:t>). Along with I got to learn about of several skills which can help me in my academic writing and can help me in getting better job position in competitive world. While working in group work, I experienced group discussion that benefits me in increase of my knowledge and skills are improved which helps enhances my team working and communication skills. In working group I face experience of conflicts as team members have different perspective and point of view.</w:t>
      </w:r>
    </w:p>
    <w:p w:rsidR="007C03BE" w:rsidRDefault="007C03BE" w:rsidP="007C03BE">
      <w:pPr>
        <w:pStyle w:val="Standard"/>
        <w:ind w:left="720"/>
      </w:pPr>
    </w:p>
    <w:p w:rsidR="007C03BE" w:rsidRDefault="007C03BE" w:rsidP="007C03BE">
      <w:pPr>
        <w:pStyle w:val="Standard"/>
        <w:numPr>
          <w:ilvl w:val="0"/>
          <w:numId w:val="1"/>
        </w:numPr>
      </w:pPr>
      <w:r>
        <w:rPr>
          <w:b/>
          <w:bCs/>
        </w:rPr>
        <w:t>Analysis</w:t>
      </w:r>
      <w:r>
        <w:t>- By the end of course, I realized that my employability and academic skills is improved. The writing may see as frustrating which requires writer to brainstorm, investigating the sources and relevant information, creates outlines etc. From this course have got better understanding of process and in effective way I can write project along with this I have developed efficient methods for examination &amp; determination of assignments &amp; researching the sources and relevant information with efficiency. The main purpose to make site that essay is related to selected sources which provides clear validation and cause for the conclusions. The skill of time management and communication has improved my writing skills and speed. The improvement in my grammar, vocabulary and styles is helping me to enhance my skills in order to adhere to standards structure while writing an academic paper (</w:t>
      </w:r>
      <w:r>
        <w:rPr>
          <w:color w:val="222222"/>
          <w:szCs w:val="24"/>
          <w:shd w:val="clear" w:color="auto" w:fill="FFFFFF"/>
        </w:rPr>
        <w:t>Tsirkas, and et.al., 2020</w:t>
      </w:r>
      <w:r>
        <w:t xml:space="preserve">). I also identified that several gaps need more improvement such as to improve my referencing styles such as APA, Chicago etc. while working in team work there is rise of conflicts between team members as there are some factors which leads to this such as lack of communication, lack of ground rules, group cohesiveness, personality clashes etc. which is assessed by me. All this in group due to not having clear group goals and lack of leadership skills in group. In order to address all these, I should be more assertive and provides to facilitate the group as I have ability to lead group successfully. </w:t>
      </w:r>
    </w:p>
    <w:p w:rsidR="007C03BE" w:rsidRDefault="007C03BE" w:rsidP="007C03BE">
      <w:pPr>
        <w:pStyle w:val="Standard"/>
        <w:ind w:left="720"/>
      </w:pPr>
    </w:p>
    <w:p w:rsidR="007C03BE" w:rsidRDefault="007C03BE" w:rsidP="007C03BE">
      <w:pPr>
        <w:pStyle w:val="Standard"/>
        <w:numPr>
          <w:ilvl w:val="0"/>
          <w:numId w:val="1"/>
        </w:numPr>
      </w:pPr>
      <w:r>
        <w:rPr>
          <w:b/>
          <w:bCs/>
        </w:rPr>
        <w:t>Conclusion</w:t>
      </w:r>
      <w:r>
        <w:t xml:space="preserve">- From above I concluded that academic and employability skills are most essential for getting a suitable job in desired field. I discovered the other factors from </w:t>
      </w:r>
      <w:r>
        <w:lastRenderedPageBreak/>
        <w:t>study that academic skills are very essential in attaining success and accomplishing desired career goals. In the context to both personal and professional development the improvement of academic and employability skills is very beneficial as I got to learn several things. By participating in the academic and employability skills I was capable to successfully develop as well as improved the abilities of my such as communication skill, writing skill, research skill referencing skill and many more (</w:t>
      </w:r>
      <w:r>
        <w:rPr>
          <w:color w:val="222222"/>
          <w:szCs w:val="24"/>
          <w:shd w:val="clear" w:color="auto" w:fill="FFFFFF"/>
        </w:rPr>
        <w:t>Turner and et.al., 2018</w:t>
      </w:r>
      <w:r>
        <w:t>). This reflective report helped in describing, evaluating and analyses of my experience during the academic sessions and states that how well I developed &amp; improved myself. From above discussion, the analyses are been made that module involves writing, research methods and referencing technique of academic. In time management I improved the skill in order to develop and can be applied in my development plan for executing my daily activities. The development of several skills not only helps me as being student but also in future workplace setting. Academically, I am now capable of not just writing but also evaluating and utilising papers, projects, and articles. Now, I am able to apply academic abilities to real-life circumstances, including those that I will face in the future. The critical, reflective, and analytical thinking abilities I've acquired will help me adapt to situations, solve problems, and communicate effectively and creatively utilising research-based information. I believe I have obtained acceptable skills in academic writing as a result of this course. I can produce a superb academic paper, research project, report, or CV with enhanced grammar, vocabulary, sentence structure, clause development, body paragraphs, and referencing. Indeed, this module has aided my academic and professional development.</w:t>
      </w:r>
    </w:p>
    <w:p w:rsidR="007C03BE" w:rsidRDefault="007C03BE" w:rsidP="007C03BE">
      <w:pPr>
        <w:pStyle w:val="Standard"/>
        <w:ind w:left="360"/>
      </w:pPr>
    </w:p>
    <w:p w:rsidR="007C03BE" w:rsidRDefault="007C03BE" w:rsidP="007C03BE">
      <w:pPr>
        <w:pStyle w:val="Standard"/>
        <w:numPr>
          <w:ilvl w:val="0"/>
          <w:numId w:val="1"/>
        </w:numPr>
      </w:pPr>
      <w:r>
        <w:rPr>
          <w:b/>
          <w:bCs/>
        </w:rPr>
        <w:t xml:space="preserve">Action plan- </w:t>
      </w:r>
      <w:r>
        <w:t xml:space="preserve">The writing od reflective report help me in knowing why it is necessary to reflect, evaluate and analyse on past events. By study of this module, I gained help in getting lot of knowledge and skills which I can use then in future workplace. Now, I an confident and capable to communicate more effectively with my team members and others. I learned to manage my time by prioritising the important and needed tasks first log with engaged more in group discussion which helps in assisting my knowledge. A specific skill set is required for both academic and professional life. In academic writing, how I manage my time has a significant impact not just on the quality of my work but also on my future outputs. My future productivity will be determined by how well I manage my time. My academic writing and time </w:t>
      </w:r>
      <w:r>
        <w:lastRenderedPageBreak/>
        <w:t>management skills have improved. I can write an essay based on original ideas and use suitable grammar and vocabulary (</w:t>
      </w:r>
      <w:r>
        <w:rPr>
          <w:color w:val="222222"/>
          <w:szCs w:val="24"/>
          <w:shd w:val="clear" w:color="auto" w:fill="FFFFFF"/>
        </w:rPr>
        <w:t>van der Meer, and et.al., 2019</w:t>
      </w:r>
      <w:r>
        <w:t>). However, my reference skills are lacking, necessitating a study of alternative citing styles such as APA, and Chicago. In order to achieve this, I will Learn more about APA, and Chicago citation styles and I'll practise on a variety of exercises with a variety of referencing strategies. Having a growth mindset has given me the advantage of seeing problems as opportunities to learn and discover new ways that will help me improve my talents.</w:t>
      </w:r>
    </w:p>
    <w:p w:rsidR="007C03BE" w:rsidRDefault="007C03BE" w:rsidP="007C03BE">
      <w:pPr>
        <w:pStyle w:val="Heading1"/>
        <w:rPr>
          <w:sz w:val="32"/>
          <w:szCs w:val="32"/>
        </w:rPr>
      </w:pPr>
      <w:bookmarkStart w:id="1" w:name="_Toc99835013"/>
      <w:r>
        <w:rPr>
          <w:sz w:val="32"/>
          <w:szCs w:val="32"/>
        </w:rPr>
        <w:t>Conclusion</w:t>
      </w:r>
      <w:bookmarkEnd w:id="1"/>
    </w:p>
    <w:p w:rsidR="007C03BE" w:rsidRDefault="007C03BE" w:rsidP="007C03BE">
      <w:pPr>
        <w:pStyle w:val="Standard"/>
      </w:pPr>
      <w:r>
        <w:rPr>
          <w:b/>
          <w:bCs/>
          <w:sz w:val="32"/>
          <w:szCs w:val="32"/>
        </w:rPr>
        <w:tab/>
      </w:r>
      <w:r>
        <w:rPr>
          <w:szCs w:val="24"/>
        </w:rPr>
        <w:t>It is being concluded from above that academic and employability skills are important aspects. In the report several ways such as reward and recognition, pay, woof working conditions and many more is discussed which helps in motivating employees leading to more profitability and productivity in workplace. Further, there is discussion on the challenges that is faced in motivation in order to motivate employees. The motivation is considered as key element that makes person successful and performance is enhanced.</w:t>
      </w:r>
    </w:p>
    <w:p w:rsidR="007C03BE" w:rsidRDefault="007C03BE" w:rsidP="007C03BE">
      <w:pPr>
        <w:pStyle w:val="Standard"/>
        <w:ind w:left="720"/>
      </w:pPr>
    </w:p>
    <w:p w:rsidR="007C03BE" w:rsidRDefault="007C03BE" w:rsidP="007C03BE">
      <w:pPr>
        <w:rPr>
          <w:lang w:eastAsia="zh-CN" w:bidi="hi-IN"/>
        </w:rPr>
      </w:pPr>
    </w:p>
    <w:p w:rsidR="007C03BE" w:rsidRDefault="007C03BE" w:rsidP="007C03BE">
      <w:pPr>
        <w:pStyle w:val="Heading1"/>
        <w:pageBreakBefore/>
      </w:pPr>
      <w:bookmarkStart w:id="2" w:name="_Toc99835016"/>
      <w:r>
        <w:lastRenderedPageBreak/>
        <w:t>References:</w:t>
      </w:r>
      <w:bookmarkEnd w:id="2"/>
    </w:p>
    <w:p w:rsidR="007C03BE" w:rsidRDefault="007C03BE" w:rsidP="007C03BE">
      <w:pPr>
        <w:pStyle w:val="Standard"/>
        <w:rPr>
          <w:u w:val="single"/>
        </w:rPr>
      </w:pPr>
      <w:r>
        <w:rPr>
          <w:u w:val="single"/>
        </w:rPr>
        <w:t>Books and Journals</w:t>
      </w:r>
    </w:p>
    <w:p w:rsidR="007C03BE" w:rsidRDefault="007C03BE" w:rsidP="007C03BE">
      <w:pPr>
        <w:pStyle w:val="Standard"/>
        <w:spacing w:line="240" w:lineRule="auto"/>
        <w:ind w:left="709" w:hanging="709"/>
      </w:pPr>
      <w:bookmarkStart w:id="3" w:name="_Hlk99837759"/>
      <w:r>
        <w:rPr>
          <w:color w:val="222222"/>
          <w:szCs w:val="24"/>
          <w:shd w:val="clear" w:color="auto" w:fill="FFFFFF"/>
        </w:rPr>
        <w:t>Kamaruddin, and et.al., 2020. Graduate employability post-COVID-19: the case of a Malaysian public university. </w:t>
      </w:r>
      <w:r>
        <w:rPr>
          <w:i/>
          <w:iCs/>
          <w:color w:val="222222"/>
          <w:szCs w:val="24"/>
          <w:shd w:val="clear" w:color="auto" w:fill="FFFFFF"/>
        </w:rPr>
        <w:t>Higher Education, Skills and Work-Based Learning</w:t>
      </w:r>
      <w:r>
        <w:rPr>
          <w:color w:val="222222"/>
          <w:szCs w:val="24"/>
          <w:shd w:val="clear" w:color="auto" w:fill="FFFFFF"/>
        </w:rPr>
        <w:t>.</w:t>
      </w:r>
    </w:p>
    <w:p w:rsidR="007C03BE" w:rsidRDefault="007C03BE" w:rsidP="007C03BE">
      <w:pPr>
        <w:pStyle w:val="Standard"/>
        <w:spacing w:line="240" w:lineRule="auto"/>
        <w:ind w:left="709" w:hanging="709"/>
      </w:pPr>
      <w:r>
        <w:rPr>
          <w:color w:val="222222"/>
          <w:szCs w:val="24"/>
          <w:shd w:val="clear" w:color="auto" w:fill="FFFFFF"/>
        </w:rPr>
        <w:t>Mehrotra and Mehrotra, 2018. Challenges beyond schooling: Innovative models for youth skills development in India. In </w:t>
      </w:r>
      <w:r>
        <w:rPr>
          <w:i/>
          <w:iCs/>
          <w:color w:val="222222"/>
          <w:szCs w:val="24"/>
          <w:shd w:val="clear" w:color="auto" w:fill="FFFFFF"/>
        </w:rPr>
        <w:t>Transitions to Post-School Life</w:t>
      </w:r>
      <w:r>
        <w:rPr>
          <w:color w:val="222222"/>
          <w:szCs w:val="24"/>
          <w:shd w:val="clear" w:color="auto" w:fill="FFFFFF"/>
        </w:rPr>
        <w:t> (pp. 13-34). Springer, Singapore.</w:t>
      </w:r>
    </w:p>
    <w:p w:rsidR="007C03BE" w:rsidRDefault="007C03BE" w:rsidP="007C03BE">
      <w:pPr>
        <w:pStyle w:val="Standard"/>
        <w:spacing w:line="240" w:lineRule="auto"/>
        <w:ind w:left="709" w:hanging="709"/>
      </w:pPr>
      <w:r>
        <w:rPr>
          <w:color w:val="222222"/>
          <w:szCs w:val="24"/>
          <w:shd w:val="clear" w:color="auto" w:fill="FFFFFF"/>
        </w:rPr>
        <w:t>Nghia, T.L.H., 2018. External stakeholders’ roles and factors influencing their participation in developing generic skills for students in Vietnamese universities. </w:t>
      </w:r>
      <w:r>
        <w:rPr>
          <w:i/>
          <w:iCs/>
          <w:color w:val="222222"/>
          <w:szCs w:val="24"/>
          <w:shd w:val="clear" w:color="auto" w:fill="FFFFFF"/>
        </w:rPr>
        <w:t>Journal of Education and Work</w:t>
      </w:r>
      <w:r>
        <w:rPr>
          <w:color w:val="222222"/>
          <w:szCs w:val="24"/>
          <w:shd w:val="clear" w:color="auto" w:fill="FFFFFF"/>
        </w:rPr>
        <w:t>, </w:t>
      </w:r>
      <w:r>
        <w:rPr>
          <w:i/>
          <w:iCs/>
          <w:color w:val="222222"/>
          <w:szCs w:val="24"/>
          <w:shd w:val="clear" w:color="auto" w:fill="FFFFFF"/>
        </w:rPr>
        <w:t>31</w:t>
      </w:r>
      <w:r>
        <w:rPr>
          <w:color w:val="222222"/>
          <w:szCs w:val="24"/>
          <w:shd w:val="clear" w:color="auto" w:fill="FFFFFF"/>
        </w:rPr>
        <w:t>(1), pp.72-86.</w:t>
      </w:r>
    </w:p>
    <w:p w:rsidR="007C03BE" w:rsidRDefault="007C03BE" w:rsidP="007C03BE">
      <w:pPr>
        <w:pStyle w:val="Standard"/>
        <w:spacing w:line="240" w:lineRule="auto"/>
        <w:ind w:left="709" w:hanging="709"/>
      </w:pPr>
      <w:r>
        <w:rPr>
          <w:color w:val="222222"/>
          <w:szCs w:val="24"/>
          <w:shd w:val="clear" w:color="auto" w:fill="FFFFFF"/>
        </w:rPr>
        <w:t>Pham, T., 2021. Reconceptualising employability of returnees: what really matters and strategic navigating approaches. </w:t>
      </w:r>
      <w:r>
        <w:rPr>
          <w:i/>
          <w:iCs/>
          <w:color w:val="222222"/>
          <w:szCs w:val="24"/>
          <w:shd w:val="clear" w:color="auto" w:fill="FFFFFF"/>
        </w:rPr>
        <w:t>Higher education</w:t>
      </w:r>
      <w:r>
        <w:rPr>
          <w:color w:val="222222"/>
          <w:szCs w:val="24"/>
          <w:shd w:val="clear" w:color="auto" w:fill="FFFFFF"/>
        </w:rPr>
        <w:t>, </w:t>
      </w:r>
      <w:r>
        <w:rPr>
          <w:i/>
          <w:iCs/>
          <w:color w:val="222222"/>
          <w:szCs w:val="24"/>
          <w:shd w:val="clear" w:color="auto" w:fill="FFFFFF"/>
        </w:rPr>
        <w:t>81</w:t>
      </w:r>
      <w:r>
        <w:rPr>
          <w:color w:val="222222"/>
          <w:szCs w:val="24"/>
          <w:shd w:val="clear" w:color="auto" w:fill="FFFFFF"/>
        </w:rPr>
        <w:t>(6), pp.1329-1345.</w:t>
      </w:r>
    </w:p>
    <w:p w:rsidR="007C03BE" w:rsidRDefault="007C03BE" w:rsidP="007C03BE">
      <w:pPr>
        <w:pStyle w:val="Standard"/>
        <w:spacing w:line="240" w:lineRule="auto"/>
        <w:ind w:left="709" w:hanging="709"/>
      </w:pPr>
      <w:r>
        <w:rPr>
          <w:color w:val="222222"/>
          <w:szCs w:val="24"/>
          <w:shd w:val="clear" w:color="auto" w:fill="FFFFFF"/>
        </w:rPr>
        <w:t>Santos, G.G., 2020. Career boundaries and employability perceptions: an exploratory study with graduates. </w:t>
      </w:r>
      <w:r>
        <w:rPr>
          <w:i/>
          <w:iCs/>
          <w:color w:val="222222"/>
          <w:szCs w:val="24"/>
          <w:shd w:val="clear" w:color="auto" w:fill="FFFFFF"/>
        </w:rPr>
        <w:t>Studies in Higher Education</w:t>
      </w:r>
      <w:r>
        <w:rPr>
          <w:color w:val="222222"/>
          <w:szCs w:val="24"/>
          <w:shd w:val="clear" w:color="auto" w:fill="FFFFFF"/>
        </w:rPr>
        <w:t>, </w:t>
      </w:r>
      <w:r>
        <w:rPr>
          <w:i/>
          <w:iCs/>
          <w:color w:val="222222"/>
          <w:szCs w:val="24"/>
          <w:shd w:val="clear" w:color="auto" w:fill="FFFFFF"/>
        </w:rPr>
        <w:t>45</w:t>
      </w:r>
      <w:r>
        <w:rPr>
          <w:color w:val="222222"/>
          <w:szCs w:val="24"/>
          <w:shd w:val="clear" w:color="auto" w:fill="FFFFFF"/>
        </w:rPr>
        <w:t>(3), pp.538-556.</w:t>
      </w:r>
    </w:p>
    <w:p w:rsidR="007C03BE" w:rsidRDefault="007C03BE" w:rsidP="007C03BE">
      <w:pPr>
        <w:pStyle w:val="Standard"/>
        <w:spacing w:line="240" w:lineRule="auto"/>
        <w:ind w:left="709" w:hanging="709"/>
      </w:pPr>
      <w:r>
        <w:rPr>
          <w:color w:val="222222"/>
          <w:szCs w:val="24"/>
          <w:shd w:val="clear" w:color="auto" w:fill="FFFFFF"/>
        </w:rPr>
        <w:t>Spronken-Smith, and et.al., 2018. Employability and graduate attributes of doctoral graduates. </w:t>
      </w:r>
      <w:r>
        <w:rPr>
          <w:i/>
          <w:iCs/>
          <w:color w:val="222222"/>
          <w:szCs w:val="24"/>
          <w:shd w:val="clear" w:color="auto" w:fill="FFFFFF"/>
        </w:rPr>
        <w:t>Spaces, journeys and new horizons for postgraduate supervisión</w:t>
      </w:r>
      <w:r>
        <w:rPr>
          <w:color w:val="222222"/>
          <w:szCs w:val="24"/>
          <w:shd w:val="clear" w:color="auto" w:fill="FFFFFF"/>
        </w:rPr>
        <w:t>, pp.235-256.</w:t>
      </w:r>
    </w:p>
    <w:p w:rsidR="007C03BE" w:rsidRDefault="007C03BE" w:rsidP="007C03BE">
      <w:pPr>
        <w:pStyle w:val="Standard"/>
        <w:spacing w:line="240" w:lineRule="auto"/>
        <w:ind w:left="709" w:hanging="709"/>
      </w:pPr>
      <w:r>
        <w:rPr>
          <w:color w:val="222222"/>
          <w:szCs w:val="24"/>
          <w:shd w:val="clear" w:color="auto" w:fill="FFFFFF"/>
        </w:rPr>
        <w:t>Tsalikova, and Pakhotina, 2019. Scientific research on the issue of soft skills development (review of the data in international databases of scopus, web of science). </w:t>
      </w:r>
      <w:r>
        <w:rPr>
          <w:i/>
          <w:iCs/>
          <w:color w:val="222222"/>
          <w:szCs w:val="24"/>
          <w:shd w:val="clear" w:color="auto" w:fill="FFFFFF"/>
        </w:rPr>
        <w:t>The Education and science journal</w:t>
      </w:r>
      <w:r>
        <w:rPr>
          <w:color w:val="222222"/>
          <w:szCs w:val="24"/>
          <w:shd w:val="clear" w:color="auto" w:fill="FFFFFF"/>
        </w:rPr>
        <w:t>, </w:t>
      </w:r>
      <w:r>
        <w:rPr>
          <w:i/>
          <w:iCs/>
          <w:color w:val="222222"/>
          <w:szCs w:val="24"/>
          <w:shd w:val="clear" w:color="auto" w:fill="FFFFFF"/>
        </w:rPr>
        <w:t>21</w:t>
      </w:r>
      <w:r>
        <w:rPr>
          <w:color w:val="222222"/>
          <w:szCs w:val="24"/>
          <w:shd w:val="clear" w:color="auto" w:fill="FFFFFF"/>
        </w:rPr>
        <w:t>(8), pp.187-207.</w:t>
      </w:r>
    </w:p>
    <w:p w:rsidR="007C03BE" w:rsidRDefault="007C03BE" w:rsidP="007C03BE">
      <w:pPr>
        <w:pStyle w:val="Standard"/>
        <w:spacing w:line="240" w:lineRule="auto"/>
        <w:ind w:left="709" w:hanging="709"/>
      </w:pPr>
      <w:r>
        <w:rPr>
          <w:color w:val="222222"/>
          <w:szCs w:val="24"/>
          <w:shd w:val="clear" w:color="auto" w:fill="FFFFFF"/>
        </w:rPr>
        <w:t>Tsirkas, and et.al., 2020. The gap in soft skills perceptions: a dyadic analysis. </w:t>
      </w:r>
      <w:r>
        <w:rPr>
          <w:i/>
          <w:iCs/>
          <w:color w:val="222222"/>
          <w:szCs w:val="24"/>
          <w:shd w:val="clear" w:color="auto" w:fill="FFFFFF"/>
        </w:rPr>
        <w:t>Education+ Training</w:t>
      </w:r>
      <w:r>
        <w:rPr>
          <w:color w:val="222222"/>
          <w:szCs w:val="24"/>
          <w:shd w:val="clear" w:color="auto" w:fill="FFFFFF"/>
        </w:rPr>
        <w:t>.</w:t>
      </w:r>
    </w:p>
    <w:p w:rsidR="007C03BE" w:rsidRDefault="007C03BE" w:rsidP="007C03BE">
      <w:pPr>
        <w:pStyle w:val="Standard"/>
        <w:spacing w:line="240" w:lineRule="auto"/>
        <w:ind w:left="709" w:hanging="709"/>
      </w:pPr>
      <w:r>
        <w:rPr>
          <w:color w:val="222222"/>
          <w:szCs w:val="24"/>
          <w:shd w:val="clear" w:color="auto" w:fill="FFFFFF"/>
        </w:rPr>
        <w:t>Turner and et.al., 2018. Reasons why law students should have access to learning law through a skills-based approach. </w:t>
      </w:r>
      <w:r>
        <w:rPr>
          <w:i/>
          <w:iCs/>
          <w:color w:val="222222"/>
          <w:szCs w:val="24"/>
          <w:shd w:val="clear" w:color="auto" w:fill="FFFFFF"/>
        </w:rPr>
        <w:t>The Law Teacher</w:t>
      </w:r>
      <w:r>
        <w:rPr>
          <w:color w:val="222222"/>
          <w:szCs w:val="24"/>
          <w:shd w:val="clear" w:color="auto" w:fill="FFFFFF"/>
        </w:rPr>
        <w:t>, </w:t>
      </w:r>
      <w:r>
        <w:rPr>
          <w:i/>
          <w:iCs/>
          <w:color w:val="222222"/>
          <w:szCs w:val="24"/>
          <w:shd w:val="clear" w:color="auto" w:fill="FFFFFF"/>
        </w:rPr>
        <w:t>52</w:t>
      </w:r>
      <w:r>
        <w:rPr>
          <w:color w:val="222222"/>
          <w:szCs w:val="24"/>
          <w:shd w:val="clear" w:color="auto" w:fill="FFFFFF"/>
        </w:rPr>
        <w:t>(1), pp.1-16.</w:t>
      </w:r>
    </w:p>
    <w:p w:rsidR="007C03BE" w:rsidRDefault="007C03BE" w:rsidP="007C03BE">
      <w:pPr>
        <w:pStyle w:val="Standard"/>
        <w:spacing w:line="240" w:lineRule="auto"/>
        <w:ind w:left="709" w:hanging="709"/>
      </w:pPr>
      <w:r>
        <w:rPr>
          <w:color w:val="222222"/>
          <w:szCs w:val="24"/>
          <w:shd w:val="clear" w:color="auto" w:fill="FFFFFF"/>
        </w:rPr>
        <w:t>van der Meer, and et.al., 2019. " I didn't just want a degree": Students' perceptions about benefits from participation in student leadership programmes. </w:t>
      </w:r>
      <w:r>
        <w:rPr>
          <w:i/>
          <w:iCs/>
          <w:color w:val="222222"/>
          <w:szCs w:val="24"/>
          <w:shd w:val="clear" w:color="auto" w:fill="FFFFFF"/>
        </w:rPr>
        <w:t>Journal of Leadership Education</w:t>
      </w:r>
      <w:r>
        <w:rPr>
          <w:color w:val="222222"/>
          <w:szCs w:val="24"/>
          <w:shd w:val="clear" w:color="auto" w:fill="FFFFFF"/>
        </w:rPr>
        <w:t>, </w:t>
      </w:r>
      <w:r>
        <w:rPr>
          <w:i/>
          <w:iCs/>
          <w:color w:val="222222"/>
          <w:szCs w:val="24"/>
          <w:shd w:val="clear" w:color="auto" w:fill="FFFFFF"/>
        </w:rPr>
        <w:t>18</w:t>
      </w:r>
      <w:r>
        <w:rPr>
          <w:color w:val="222222"/>
          <w:szCs w:val="24"/>
          <w:shd w:val="clear" w:color="auto" w:fill="FFFFFF"/>
        </w:rPr>
        <w:t>(1).</w:t>
      </w:r>
      <w:bookmarkEnd w:id="3"/>
    </w:p>
    <w:p w:rsidR="007C03BE" w:rsidRPr="007C03BE" w:rsidRDefault="007C03BE" w:rsidP="007C03BE">
      <w:pPr>
        <w:rPr>
          <w:lang w:eastAsia="zh-CN" w:bidi="hi-IN"/>
        </w:rPr>
      </w:pPr>
    </w:p>
    <w:p w:rsidR="007C03BE" w:rsidRP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Default="007C03BE" w:rsidP="007C03BE">
      <w:pPr>
        <w:rPr>
          <w:lang w:eastAsia="zh-CN" w:bidi="hi-IN"/>
        </w:rPr>
      </w:pPr>
    </w:p>
    <w:p w:rsidR="007C03BE" w:rsidRPr="007C03BE" w:rsidRDefault="007C03BE" w:rsidP="007C03BE">
      <w:pPr>
        <w:rPr>
          <w:lang w:eastAsia="zh-CN" w:bidi="hi-IN"/>
        </w:rPr>
      </w:pPr>
    </w:p>
    <w:p w:rsidR="007C03BE" w:rsidRDefault="007C03BE"/>
    <w:sectPr w:rsidR="007C03BE" w:rsidSect="00AB6B0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OpenSymbol, 'Arial Unicode MS'">
    <w:altName w:val="Calibri"/>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jaVu Sans Mono">
    <w:altName w:val="Times New Roman"/>
    <w:charset w:val="00"/>
    <w:family w:val="auto"/>
    <w:pitch w:val="variable"/>
    <w:sig w:usb0="00000000" w:usb1="00000000" w:usb2="00000000" w:usb3="00000000" w:csb0="00000000" w:csb1="00000000"/>
  </w:font>
  <w:font w:name="Tinos">
    <w:altName w:val="Cambria"/>
    <w:charset w:val="00"/>
    <w:family w:val="roman"/>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537E9"/>
    <w:multiLevelType w:val="multilevel"/>
    <w:tmpl w:val="4946721A"/>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A6358"/>
    <w:rsid w:val="002A6358"/>
    <w:rsid w:val="003269A6"/>
    <w:rsid w:val="007C03BE"/>
    <w:rsid w:val="00A10A16"/>
    <w:rsid w:val="00AB6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B01"/>
  </w:style>
  <w:style w:type="paragraph" w:styleId="Heading1">
    <w:name w:val="heading 1"/>
    <w:basedOn w:val="Standard"/>
    <w:next w:val="Standard"/>
    <w:link w:val="Heading1Char"/>
    <w:uiPriority w:val="9"/>
    <w:qFormat/>
    <w:rsid w:val="007C03BE"/>
    <w:pPr>
      <w:keepNext/>
      <w:keepLines/>
      <w:spacing w:before="113"/>
      <w:outlineLvl w:val="0"/>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eformattedText">
    <w:name w:val="Preformatted Text"/>
    <w:basedOn w:val="Normal"/>
    <w:rsid w:val="007C03BE"/>
    <w:pPr>
      <w:suppressAutoHyphens/>
      <w:autoSpaceDN w:val="0"/>
      <w:spacing w:after="0" w:line="360" w:lineRule="auto"/>
      <w:jc w:val="both"/>
      <w:textAlignment w:val="baseline"/>
    </w:pPr>
    <w:rPr>
      <w:rFonts w:ascii="DejaVu Sans Mono" w:eastAsia="DejaVu Sans Mono" w:hAnsi="DejaVu Sans Mono" w:cs="DejaVu Sans Mono"/>
      <w:color w:val="000000"/>
      <w:kern w:val="3"/>
      <w:sz w:val="20"/>
      <w:szCs w:val="20"/>
      <w:lang w:eastAsia="zh-CN"/>
    </w:rPr>
  </w:style>
  <w:style w:type="paragraph" w:styleId="TOC1">
    <w:name w:val="toc 1"/>
    <w:basedOn w:val="Normal"/>
    <w:next w:val="Normal"/>
    <w:autoRedefine/>
    <w:rsid w:val="007C03BE"/>
    <w:pPr>
      <w:widowControl w:val="0"/>
      <w:suppressAutoHyphens/>
      <w:autoSpaceDN w:val="0"/>
      <w:spacing w:after="100" w:line="240" w:lineRule="auto"/>
      <w:textAlignment w:val="baseline"/>
    </w:pPr>
    <w:rPr>
      <w:rFonts w:ascii="Tinos" w:eastAsia="DejaVu Sans Mono" w:hAnsi="Tinos" w:cs="Mangal"/>
      <w:kern w:val="3"/>
      <w:sz w:val="24"/>
      <w:szCs w:val="21"/>
      <w:lang w:eastAsia="zh-CN" w:bidi="hi-IN"/>
    </w:rPr>
  </w:style>
  <w:style w:type="character" w:styleId="Hyperlink">
    <w:name w:val="Hyperlink"/>
    <w:basedOn w:val="DefaultParagraphFont"/>
    <w:rsid w:val="007C03BE"/>
    <w:rPr>
      <w:color w:val="0563C1"/>
      <w:u w:val="single"/>
    </w:rPr>
  </w:style>
  <w:style w:type="character" w:customStyle="1" w:styleId="Heading1Char">
    <w:name w:val="Heading 1 Char"/>
    <w:basedOn w:val="DefaultParagraphFont"/>
    <w:link w:val="Heading1"/>
    <w:uiPriority w:val="9"/>
    <w:rsid w:val="007C03BE"/>
    <w:rPr>
      <w:rFonts w:ascii="Times New Roman" w:eastAsia="Times New Roman" w:hAnsi="Times New Roman" w:cs="Times New Roman"/>
      <w:b/>
      <w:bCs/>
      <w:color w:val="000000"/>
      <w:kern w:val="3"/>
      <w:sz w:val="28"/>
      <w:szCs w:val="28"/>
      <w:lang w:eastAsia="zh-CN"/>
    </w:rPr>
  </w:style>
  <w:style w:type="paragraph" w:customStyle="1" w:styleId="Standard">
    <w:name w:val="Standard"/>
    <w:rsid w:val="007C03BE"/>
    <w:pPr>
      <w:suppressAutoHyphens/>
      <w:autoSpaceDN w:val="0"/>
      <w:spacing w:after="0" w:line="360" w:lineRule="auto"/>
      <w:jc w:val="both"/>
      <w:textAlignment w:val="baseline"/>
    </w:pPr>
    <w:rPr>
      <w:rFonts w:ascii="Times New Roman" w:eastAsia="Calibri" w:hAnsi="Times New Roman" w:cs="Times New Roman"/>
      <w:color w:val="000000"/>
      <w:kern w:val="3"/>
      <w:sz w:val="24"/>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1993</Words>
  <Characters>11365</Characters>
  <Application>Microsoft Office Word</Application>
  <DocSecurity>0</DocSecurity>
  <Lines>94</Lines>
  <Paragraphs>26</Paragraphs>
  <ScaleCrop>false</ScaleCrop>
  <Company/>
  <LinksUpToDate>false</LinksUpToDate>
  <CharactersWithSpaces>13332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Ulesan (2026789)</dc:creator>
  <cp:lastModifiedBy>Windows User</cp:lastModifiedBy>
  <cp:revision>2</cp:revision>
  <dcterms:created xsi:type="dcterms:W3CDTF">2022-04-06T13:28:00Z</dcterms:created>
  <dcterms:modified xsi:type="dcterms:W3CDTF">2022-04-06T13:28:00Z</dcterms:modified>
</cp:coreProperties>
</file>