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02102209"/>
        <w:docPartObj>
          <w:docPartGallery w:val="Cover Pages"/>
          <w:docPartUnique/>
        </w:docPartObj>
      </w:sdtPr>
      <w:sdtEndPr>
        <w:rPr>
          <w:rFonts w:cstheme="minorHAnsi"/>
        </w:rPr>
      </w:sdtEndPr>
      <w:sdtContent>
        <w:p w14:paraId="04F5F095" w14:textId="41ED52C2" w:rsidR="00F5175E" w:rsidRPr="00D330D3" w:rsidRDefault="00D330D3" w:rsidP="00D330D3">
          <w:pPr>
            <w:jc w:val="center"/>
            <w:rPr>
              <w:sz w:val="36"/>
              <w:szCs w:val="36"/>
            </w:rPr>
          </w:pPr>
          <w:r w:rsidRPr="00D330D3">
            <w:rPr>
              <w:sz w:val="36"/>
              <w:szCs w:val="36"/>
            </w:rPr>
            <w:t>International Financial Management</w:t>
          </w:r>
        </w:p>
        <w:p w14:paraId="149767B5" w14:textId="77777777" w:rsidR="00D330D3" w:rsidRPr="00A847B8" w:rsidRDefault="00D330D3" w:rsidP="00D330D3">
          <w:pPr>
            <w:jc w:val="center"/>
            <w:rPr>
              <w:rFonts w:cs="Times New Roman"/>
              <w:b/>
              <w:bCs/>
              <w:sz w:val="32"/>
              <w:szCs w:val="28"/>
            </w:rPr>
          </w:pPr>
        </w:p>
        <w:p w14:paraId="0F72341E" w14:textId="77777777" w:rsidR="00D330D3" w:rsidRDefault="00D330D3" w:rsidP="00D330D3">
          <w:pPr>
            <w:jc w:val="center"/>
            <w:rPr>
              <w:rFonts w:cs="Times New Roman"/>
            </w:rPr>
          </w:pPr>
          <w:r w:rsidRPr="00650B6D">
            <w:rPr>
              <w:rFonts w:cs="Times New Roman"/>
              <w:noProof/>
            </w:rPr>
            <w:drawing>
              <wp:inline distT="0" distB="0" distL="0" distR="0" wp14:anchorId="6333313F" wp14:editId="3DF539BE">
                <wp:extent cx="4183380" cy="1196340"/>
                <wp:effectExtent l="0" t="0" r="762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stretch>
                          <a:fillRect/>
                        </a:stretch>
                      </pic:blipFill>
                      <pic:spPr>
                        <a:xfrm>
                          <a:off x="0" y="0"/>
                          <a:ext cx="4183380" cy="1196340"/>
                        </a:xfrm>
                        <a:prstGeom prst="rect">
                          <a:avLst/>
                        </a:prstGeom>
                      </pic:spPr>
                    </pic:pic>
                  </a:graphicData>
                </a:graphic>
              </wp:inline>
            </w:drawing>
          </w:r>
        </w:p>
        <w:p w14:paraId="2B462091" w14:textId="77777777" w:rsidR="00D330D3" w:rsidRDefault="00D330D3" w:rsidP="00D330D3">
          <w:pPr>
            <w:rPr>
              <w:rFonts w:cs="Times New Roman"/>
            </w:rPr>
          </w:pPr>
        </w:p>
        <w:p w14:paraId="3C5C20F6" w14:textId="77777777" w:rsidR="00D330D3" w:rsidRDefault="00D330D3" w:rsidP="00D330D3">
          <w:pPr>
            <w:rPr>
              <w:rFonts w:cs="Times New Roman"/>
            </w:rPr>
          </w:pPr>
        </w:p>
        <w:p w14:paraId="35693F61" w14:textId="77777777" w:rsidR="00D330D3" w:rsidRPr="00060F5C" w:rsidRDefault="00D330D3" w:rsidP="00D330D3">
          <w:pPr>
            <w:jc w:val="center"/>
            <w:rPr>
              <w:rFonts w:cs="Times New Roman"/>
              <w:sz w:val="36"/>
              <w:szCs w:val="36"/>
            </w:rPr>
          </w:pPr>
          <w:r w:rsidRPr="00060F5C">
            <w:rPr>
              <w:rFonts w:cs="Times New Roman"/>
              <w:sz w:val="36"/>
              <w:szCs w:val="36"/>
            </w:rPr>
            <w:t>Course: BA Business Management</w:t>
          </w:r>
        </w:p>
        <w:p w14:paraId="21B1470E" w14:textId="5B25B6F4" w:rsidR="00D330D3" w:rsidRPr="00060F5C" w:rsidRDefault="00D330D3" w:rsidP="00D330D3">
          <w:pPr>
            <w:jc w:val="center"/>
            <w:rPr>
              <w:rFonts w:cs="Times New Roman"/>
              <w:sz w:val="36"/>
              <w:szCs w:val="36"/>
            </w:rPr>
          </w:pPr>
          <w:r w:rsidRPr="00060F5C">
            <w:rPr>
              <w:rFonts w:cs="Times New Roman"/>
              <w:sz w:val="36"/>
              <w:szCs w:val="36"/>
            </w:rPr>
            <w:t xml:space="preserve">Module name: </w:t>
          </w:r>
          <w:r w:rsidRPr="00D330D3">
            <w:rPr>
              <w:rFonts w:cs="Times New Roman"/>
              <w:sz w:val="36"/>
              <w:szCs w:val="36"/>
            </w:rPr>
            <w:t>International Financial Management</w:t>
          </w:r>
        </w:p>
        <w:p w14:paraId="28FF9D42" w14:textId="3FC5BD89" w:rsidR="00D330D3" w:rsidRPr="00060F5C" w:rsidRDefault="00D330D3" w:rsidP="00D330D3">
          <w:pPr>
            <w:jc w:val="center"/>
            <w:rPr>
              <w:rFonts w:cs="Times New Roman"/>
              <w:sz w:val="36"/>
              <w:szCs w:val="36"/>
            </w:rPr>
          </w:pPr>
          <w:r w:rsidRPr="00060F5C">
            <w:rPr>
              <w:rFonts w:cs="Times New Roman"/>
              <w:sz w:val="36"/>
              <w:szCs w:val="36"/>
            </w:rPr>
            <w:t>Module code: LCBB</w:t>
          </w:r>
          <w:r>
            <w:rPr>
              <w:rFonts w:cs="Times New Roman"/>
              <w:sz w:val="36"/>
              <w:szCs w:val="36"/>
            </w:rPr>
            <w:t>6002</w:t>
          </w:r>
        </w:p>
        <w:p w14:paraId="7140B727" w14:textId="2CBCB0FA" w:rsidR="00D330D3" w:rsidRPr="00060F5C" w:rsidRDefault="00D330D3" w:rsidP="00D330D3">
          <w:pPr>
            <w:jc w:val="center"/>
            <w:rPr>
              <w:rFonts w:cs="Times New Roman"/>
              <w:sz w:val="36"/>
              <w:szCs w:val="36"/>
            </w:rPr>
          </w:pPr>
          <w:r w:rsidRPr="00060F5C">
            <w:rPr>
              <w:rFonts w:cs="Times New Roman"/>
              <w:sz w:val="36"/>
              <w:szCs w:val="36"/>
            </w:rPr>
            <w:t xml:space="preserve">Lecture name: </w:t>
          </w:r>
          <w:r w:rsidRPr="00D330D3">
            <w:rPr>
              <w:rFonts w:cs="Times New Roman"/>
              <w:sz w:val="36"/>
              <w:szCs w:val="36"/>
            </w:rPr>
            <w:t>Zainab Atta</w:t>
          </w:r>
        </w:p>
        <w:p w14:paraId="5ABF4CA0" w14:textId="45A4918C" w:rsidR="00D330D3" w:rsidRPr="00060F5C" w:rsidRDefault="00D330D3" w:rsidP="00D330D3">
          <w:pPr>
            <w:jc w:val="center"/>
            <w:rPr>
              <w:rFonts w:cs="Times New Roman"/>
              <w:sz w:val="36"/>
              <w:szCs w:val="36"/>
            </w:rPr>
          </w:pPr>
          <w:r w:rsidRPr="00060F5C">
            <w:rPr>
              <w:rFonts w:cs="Times New Roman"/>
              <w:sz w:val="36"/>
              <w:szCs w:val="36"/>
            </w:rPr>
            <w:t xml:space="preserve">Title of report: Assignment 1 </w:t>
          </w:r>
        </w:p>
        <w:p w14:paraId="77EB80E5" w14:textId="77777777" w:rsidR="00D330D3" w:rsidRPr="00060F5C" w:rsidRDefault="00D330D3" w:rsidP="00D330D3">
          <w:pPr>
            <w:jc w:val="center"/>
            <w:rPr>
              <w:rFonts w:cs="Times New Roman"/>
              <w:b/>
              <w:bCs/>
              <w:sz w:val="36"/>
              <w:szCs w:val="36"/>
            </w:rPr>
          </w:pPr>
          <w:r w:rsidRPr="00060F5C">
            <w:rPr>
              <w:rFonts w:cs="Times New Roman"/>
              <w:b/>
              <w:bCs/>
              <w:sz w:val="36"/>
              <w:szCs w:val="36"/>
            </w:rPr>
            <w:t>Student Name: Sali Refat</w:t>
          </w:r>
        </w:p>
        <w:p w14:paraId="20BCCB2D" w14:textId="77777777" w:rsidR="00D330D3" w:rsidRPr="007C3651" w:rsidRDefault="00D330D3" w:rsidP="00D330D3">
          <w:pPr>
            <w:jc w:val="center"/>
            <w:rPr>
              <w:rFonts w:cs="Times New Roman"/>
              <w:b/>
              <w:bCs/>
              <w:sz w:val="40"/>
              <w:szCs w:val="40"/>
            </w:rPr>
          </w:pPr>
          <w:r w:rsidRPr="00060F5C">
            <w:rPr>
              <w:rFonts w:cs="Times New Roman"/>
              <w:b/>
              <w:bCs/>
              <w:sz w:val="36"/>
              <w:szCs w:val="36"/>
            </w:rPr>
            <w:t>Student ID: 2122704</w:t>
          </w:r>
        </w:p>
        <w:p w14:paraId="3CBBBC1F" w14:textId="77777777" w:rsidR="00D330D3" w:rsidRDefault="00D330D3">
          <w:pPr>
            <w:rPr>
              <w:rFonts w:eastAsia="Times New Roman" w:cstheme="minorHAnsi"/>
              <w:kern w:val="0"/>
              <w:lang w:eastAsia="en-GB"/>
              <w14:ligatures w14:val="none"/>
            </w:rPr>
          </w:pPr>
        </w:p>
        <w:p w14:paraId="165BB76A" w14:textId="77777777" w:rsidR="00D330D3" w:rsidRDefault="00D330D3">
          <w:pPr>
            <w:rPr>
              <w:rFonts w:eastAsia="Times New Roman" w:cstheme="minorHAnsi"/>
              <w:kern w:val="0"/>
              <w:lang w:eastAsia="en-GB"/>
              <w14:ligatures w14:val="none"/>
            </w:rPr>
          </w:pPr>
        </w:p>
        <w:p w14:paraId="002C6116" w14:textId="77777777" w:rsidR="00D330D3" w:rsidRDefault="00D330D3">
          <w:pPr>
            <w:rPr>
              <w:rFonts w:eastAsia="Times New Roman" w:cstheme="minorHAnsi"/>
              <w:kern w:val="0"/>
              <w:lang w:eastAsia="en-GB"/>
              <w14:ligatures w14:val="none"/>
            </w:rPr>
          </w:pPr>
        </w:p>
        <w:p w14:paraId="12A87704" w14:textId="77777777" w:rsidR="00D330D3" w:rsidRDefault="00D330D3">
          <w:pPr>
            <w:rPr>
              <w:rFonts w:eastAsia="Times New Roman" w:cstheme="minorHAnsi"/>
              <w:kern w:val="0"/>
              <w:lang w:eastAsia="en-GB"/>
              <w14:ligatures w14:val="none"/>
            </w:rPr>
          </w:pPr>
        </w:p>
        <w:p w14:paraId="37D5027A" w14:textId="77777777" w:rsidR="00D330D3" w:rsidRDefault="00D330D3">
          <w:pPr>
            <w:rPr>
              <w:rFonts w:eastAsia="Times New Roman" w:cstheme="minorHAnsi"/>
              <w:kern w:val="0"/>
              <w:lang w:eastAsia="en-GB"/>
              <w14:ligatures w14:val="none"/>
            </w:rPr>
          </w:pPr>
        </w:p>
        <w:p w14:paraId="2BD91A8D" w14:textId="77777777" w:rsidR="00D330D3" w:rsidRDefault="00D330D3">
          <w:pPr>
            <w:rPr>
              <w:rFonts w:eastAsia="Times New Roman" w:cstheme="minorHAnsi"/>
              <w:kern w:val="0"/>
              <w:lang w:eastAsia="en-GB"/>
              <w14:ligatures w14:val="none"/>
            </w:rPr>
          </w:pPr>
        </w:p>
        <w:p w14:paraId="197413FA" w14:textId="77777777" w:rsidR="00D330D3" w:rsidRDefault="00D330D3">
          <w:pPr>
            <w:rPr>
              <w:rFonts w:eastAsia="Times New Roman" w:cstheme="minorHAnsi"/>
              <w:kern w:val="0"/>
              <w:lang w:eastAsia="en-GB"/>
              <w14:ligatures w14:val="none"/>
            </w:rPr>
          </w:pPr>
        </w:p>
        <w:p w14:paraId="4DC51398" w14:textId="77777777" w:rsidR="00D330D3" w:rsidRDefault="00D330D3">
          <w:pPr>
            <w:rPr>
              <w:rFonts w:eastAsia="Times New Roman" w:cstheme="minorHAnsi"/>
              <w:kern w:val="0"/>
              <w:lang w:eastAsia="en-GB"/>
              <w14:ligatures w14:val="none"/>
            </w:rPr>
          </w:pPr>
        </w:p>
        <w:p w14:paraId="7DDD0B48" w14:textId="77777777" w:rsidR="00D330D3" w:rsidRDefault="00D330D3">
          <w:pPr>
            <w:rPr>
              <w:rFonts w:eastAsia="Times New Roman" w:cstheme="minorHAnsi"/>
              <w:kern w:val="0"/>
              <w:lang w:eastAsia="en-GB"/>
              <w14:ligatures w14:val="none"/>
            </w:rPr>
          </w:pPr>
        </w:p>
        <w:p w14:paraId="307F2197" w14:textId="77777777" w:rsidR="00D330D3" w:rsidRDefault="00D330D3">
          <w:pPr>
            <w:rPr>
              <w:rFonts w:eastAsia="Times New Roman" w:cstheme="minorHAnsi"/>
              <w:kern w:val="0"/>
              <w:lang w:eastAsia="en-GB"/>
              <w14:ligatures w14:val="none"/>
            </w:rPr>
          </w:pPr>
        </w:p>
        <w:p w14:paraId="483DE5E1" w14:textId="77777777" w:rsidR="00D330D3" w:rsidRDefault="00D330D3">
          <w:pPr>
            <w:rPr>
              <w:rFonts w:eastAsia="Times New Roman" w:cstheme="minorHAnsi"/>
              <w:kern w:val="0"/>
              <w:lang w:eastAsia="en-GB"/>
              <w14:ligatures w14:val="none"/>
            </w:rPr>
          </w:pPr>
        </w:p>
        <w:p w14:paraId="6D189EB2" w14:textId="1838706E" w:rsidR="00F5175E" w:rsidRDefault="00000000">
          <w:pPr>
            <w:rPr>
              <w:rFonts w:eastAsia="Times New Roman" w:cstheme="minorHAnsi"/>
              <w:kern w:val="0"/>
              <w:lang w:eastAsia="en-GB"/>
              <w14:ligatures w14:val="none"/>
            </w:rPr>
          </w:pPr>
        </w:p>
      </w:sdtContent>
    </w:sdt>
    <w:sdt>
      <w:sdtPr>
        <w:rPr>
          <w:rFonts w:asciiTheme="minorHAnsi" w:eastAsiaTheme="minorHAnsi" w:hAnsiTheme="minorHAnsi" w:cstheme="minorBidi"/>
          <w:color w:val="auto"/>
          <w:kern w:val="2"/>
          <w:sz w:val="22"/>
          <w:szCs w:val="22"/>
          <w:lang w:val="en-GB"/>
        </w:rPr>
        <w:id w:val="-2082900009"/>
        <w:docPartObj>
          <w:docPartGallery w:val="Table of Contents"/>
          <w:docPartUnique/>
        </w:docPartObj>
      </w:sdtPr>
      <w:sdtEndPr>
        <w:rPr>
          <w:b/>
          <w:bCs/>
          <w:noProof/>
        </w:rPr>
      </w:sdtEndPr>
      <w:sdtContent>
        <w:p w14:paraId="7F6151EA" w14:textId="1E65C96C" w:rsidR="00B52119" w:rsidRDefault="00B52119">
          <w:pPr>
            <w:pStyle w:val="TOCHeading"/>
          </w:pPr>
          <w:r>
            <w:t>Table of Contents</w:t>
          </w:r>
        </w:p>
        <w:p w14:paraId="0BE82B08" w14:textId="696BBA1D" w:rsidR="00B52119" w:rsidRDefault="00B521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2803211" w:history="1">
            <w:r w:rsidRPr="00B70CFB">
              <w:rPr>
                <w:rStyle w:val="Hyperlink"/>
                <w:rFonts w:cstheme="minorHAnsi"/>
                <w:noProof/>
              </w:rPr>
              <w:t>1) Introduction</w:t>
            </w:r>
            <w:r>
              <w:rPr>
                <w:noProof/>
                <w:webHidden/>
              </w:rPr>
              <w:tab/>
            </w:r>
            <w:r>
              <w:rPr>
                <w:noProof/>
                <w:webHidden/>
              </w:rPr>
              <w:fldChar w:fldCharType="begin"/>
            </w:r>
            <w:r>
              <w:rPr>
                <w:noProof/>
                <w:webHidden/>
              </w:rPr>
              <w:instrText xml:space="preserve"> PAGEREF _Toc162803211 \h </w:instrText>
            </w:r>
            <w:r>
              <w:rPr>
                <w:noProof/>
                <w:webHidden/>
              </w:rPr>
            </w:r>
            <w:r>
              <w:rPr>
                <w:noProof/>
                <w:webHidden/>
              </w:rPr>
              <w:fldChar w:fldCharType="separate"/>
            </w:r>
            <w:r>
              <w:rPr>
                <w:noProof/>
                <w:webHidden/>
              </w:rPr>
              <w:t>2</w:t>
            </w:r>
            <w:r>
              <w:rPr>
                <w:noProof/>
                <w:webHidden/>
              </w:rPr>
              <w:fldChar w:fldCharType="end"/>
            </w:r>
          </w:hyperlink>
        </w:p>
        <w:p w14:paraId="64C77F29" w14:textId="478498A1" w:rsidR="00B52119" w:rsidRDefault="00000000">
          <w:pPr>
            <w:pStyle w:val="TOC1"/>
            <w:tabs>
              <w:tab w:val="right" w:leader="dot" w:pos="9016"/>
            </w:tabs>
            <w:rPr>
              <w:rFonts w:eastAsiaTheme="minorEastAsia"/>
              <w:noProof/>
              <w:lang w:eastAsia="en-GB"/>
            </w:rPr>
          </w:pPr>
          <w:hyperlink w:anchor="_Toc162803212" w:history="1">
            <w:r w:rsidR="00B52119" w:rsidRPr="00B70CFB">
              <w:rPr>
                <w:rStyle w:val="Hyperlink"/>
                <w:rFonts w:cstheme="minorHAnsi"/>
                <w:noProof/>
              </w:rPr>
              <w:t>2) Strategies for managing exposure to foreign exchange risks</w:t>
            </w:r>
            <w:r w:rsidR="00B52119">
              <w:rPr>
                <w:noProof/>
                <w:webHidden/>
              </w:rPr>
              <w:tab/>
            </w:r>
            <w:r w:rsidR="00B52119">
              <w:rPr>
                <w:noProof/>
                <w:webHidden/>
              </w:rPr>
              <w:fldChar w:fldCharType="begin"/>
            </w:r>
            <w:r w:rsidR="00B52119">
              <w:rPr>
                <w:noProof/>
                <w:webHidden/>
              </w:rPr>
              <w:instrText xml:space="preserve"> PAGEREF _Toc162803212 \h </w:instrText>
            </w:r>
            <w:r w:rsidR="00B52119">
              <w:rPr>
                <w:noProof/>
                <w:webHidden/>
              </w:rPr>
            </w:r>
            <w:r w:rsidR="00B52119">
              <w:rPr>
                <w:noProof/>
                <w:webHidden/>
              </w:rPr>
              <w:fldChar w:fldCharType="separate"/>
            </w:r>
            <w:r w:rsidR="00B52119">
              <w:rPr>
                <w:noProof/>
                <w:webHidden/>
              </w:rPr>
              <w:t>3</w:t>
            </w:r>
            <w:r w:rsidR="00B52119">
              <w:rPr>
                <w:noProof/>
                <w:webHidden/>
              </w:rPr>
              <w:fldChar w:fldCharType="end"/>
            </w:r>
          </w:hyperlink>
        </w:p>
        <w:p w14:paraId="54663D02" w14:textId="29AEFD93" w:rsidR="00B52119" w:rsidRDefault="00000000">
          <w:pPr>
            <w:pStyle w:val="TOC2"/>
            <w:tabs>
              <w:tab w:val="right" w:leader="dot" w:pos="9016"/>
            </w:tabs>
            <w:rPr>
              <w:rFonts w:eastAsiaTheme="minorEastAsia"/>
              <w:noProof/>
              <w:lang w:eastAsia="en-GB"/>
            </w:rPr>
          </w:pPr>
          <w:hyperlink w:anchor="_Toc162803213" w:history="1">
            <w:r w:rsidR="00B52119" w:rsidRPr="00B70CFB">
              <w:rPr>
                <w:rStyle w:val="Hyperlink"/>
                <w:rFonts w:cstheme="minorHAnsi"/>
                <w:noProof/>
              </w:rPr>
              <w:t>2.1) Hedging</w:t>
            </w:r>
            <w:r w:rsidR="00B52119">
              <w:rPr>
                <w:noProof/>
                <w:webHidden/>
              </w:rPr>
              <w:tab/>
            </w:r>
            <w:r w:rsidR="00B52119">
              <w:rPr>
                <w:noProof/>
                <w:webHidden/>
              </w:rPr>
              <w:fldChar w:fldCharType="begin"/>
            </w:r>
            <w:r w:rsidR="00B52119">
              <w:rPr>
                <w:noProof/>
                <w:webHidden/>
              </w:rPr>
              <w:instrText xml:space="preserve"> PAGEREF _Toc162803213 \h </w:instrText>
            </w:r>
            <w:r w:rsidR="00B52119">
              <w:rPr>
                <w:noProof/>
                <w:webHidden/>
              </w:rPr>
            </w:r>
            <w:r w:rsidR="00B52119">
              <w:rPr>
                <w:noProof/>
                <w:webHidden/>
              </w:rPr>
              <w:fldChar w:fldCharType="separate"/>
            </w:r>
            <w:r w:rsidR="00B52119">
              <w:rPr>
                <w:noProof/>
                <w:webHidden/>
              </w:rPr>
              <w:t>3</w:t>
            </w:r>
            <w:r w:rsidR="00B52119">
              <w:rPr>
                <w:noProof/>
                <w:webHidden/>
              </w:rPr>
              <w:fldChar w:fldCharType="end"/>
            </w:r>
          </w:hyperlink>
        </w:p>
        <w:p w14:paraId="713F4BE4" w14:textId="2F035442" w:rsidR="00B52119" w:rsidRDefault="00000000">
          <w:pPr>
            <w:pStyle w:val="TOC3"/>
            <w:tabs>
              <w:tab w:val="right" w:leader="dot" w:pos="9016"/>
            </w:tabs>
            <w:rPr>
              <w:rFonts w:eastAsiaTheme="minorEastAsia"/>
              <w:noProof/>
              <w:lang w:eastAsia="en-GB"/>
            </w:rPr>
          </w:pPr>
          <w:hyperlink w:anchor="_Toc162803214" w:history="1">
            <w:r w:rsidR="00B52119" w:rsidRPr="00B70CFB">
              <w:rPr>
                <w:rStyle w:val="Hyperlink"/>
                <w:rFonts w:cstheme="minorHAnsi"/>
                <w:noProof/>
              </w:rPr>
              <w:t>A) Forward Contract:</w:t>
            </w:r>
            <w:r w:rsidR="00B52119">
              <w:rPr>
                <w:noProof/>
                <w:webHidden/>
              </w:rPr>
              <w:tab/>
            </w:r>
            <w:r w:rsidR="00B52119">
              <w:rPr>
                <w:noProof/>
                <w:webHidden/>
              </w:rPr>
              <w:fldChar w:fldCharType="begin"/>
            </w:r>
            <w:r w:rsidR="00B52119">
              <w:rPr>
                <w:noProof/>
                <w:webHidden/>
              </w:rPr>
              <w:instrText xml:space="preserve"> PAGEREF _Toc162803214 \h </w:instrText>
            </w:r>
            <w:r w:rsidR="00B52119">
              <w:rPr>
                <w:noProof/>
                <w:webHidden/>
              </w:rPr>
            </w:r>
            <w:r w:rsidR="00B52119">
              <w:rPr>
                <w:noProof/>
                <w:webHidden/>
              </w:rPr>
              <w:fldChar w:fldCharType="separate"/>
            </w:r>
            <w:r w:rsidR="00B52119">
              <w:rPr>
                <w:noProof/>
                <w:webHidden/>
              </w:rPr>
              <w:t>3</w:t>
            </w:r>
            <w:r w:rsidR="00B52119">
              <w:rPr>
                <w:noProof/>
                <w:webHidden/>
              </w:rPr>
              <w:fldChar w:fldCharType="end"/>
            </w:r>
          </w:hyperlink>
        </w:p>
        <w:p w14:paraId="244F65B0" w14:textId="77AD7B6C" w:rsidR="00B52119" w:rsidRDefault="00000000">
          <w:pPr>
            <w:pStyle w:val="TOC3"/>
            <w:tabs>
              <w:tab w:val="right" w:leader="dot" w:pos="9016"/>
            </w:tabs>
            <w:rPr>
              <w:rFonts w:eastAsiaTheme="minorEastAsia"/>
              <w:noProof/>
              <w:lang w:eastAsia="en-GB"/>
            </w:rPr>
          </w:pPr>
          <w:hyperlink w:anchor="_Toc162803215" w:history="1">
            <w:r w:rsidR="00B52119" w:rsidRPr="00B70CFB">
              <w:rPr>
                <w:rStyle w:val="Hyperlink"/>
                <w:rFonts w:eastAsia="Times New Roman" w:cstheme="minorHAnsi"/>
                <w:noProof/>
                <w:lang w:eastAsia="en-GB"/>
              </w:rPr>
              <w:t>B) Options</w:t>
            </w:r>
            <w:r w:rsidR="00B52119">
              <w:rPr>
                <w:noProof/>
                <w:webHidden/>
              </w:rPr>
              <w:tab/>
            </w:r>
            <w:r w:rsidR="00B52119">
              <w:rPr>
                <w:noProof/>
                <w:webHidden/>
              </w:rPr>
              <w:fldChar w:fldCharType="begin"/>
            </w:r>
            <w:r w:rsidR="00B52119">
              <w:rPr>
                <w:noProof/>
                <w:webHidden/>
              </w:rPr>
              <w:instrText xml:space="preserve"> PAGEREF _Toc162803215 \h </w:instrText>
            </w:r>
            <w:r w:rsidR="00B52119">
              <w:rPr>
                <w:noProof/>
                <w:webHidden/>
              </w:rPr>
            </w:r>
            <w:r w:rsidR="00B52119">
              <w:rPr>
                <w:noProof/>
                <w:webHidden/>
              </w:rPr>
              <w:fldChar w:fldCharType="separate"/>
            </w:r>
            <w:r w:rsidR="00B52119">
              <w:rPr>
                <w:noProof/>
                <w:webHidden/>
              </w:rPr>
              <w:t>3</w:t>
            </w:r>
            <w:r w:rsidR="00B52119">
              <w:rPr>
                <w:noProof/>
                <w:webHidden/>
              </w:rPr>
              <w:fldChar w:fldCharType="end"/>
            </w:r>
          </w:hyperlink>
        </w:p>
        <w:p w14:paraId="14FCCE28" w14:textId="05A96BDB" w:rsidR="00B52119" w:rsidRDefault="00000000">
          <w:pPr>
            <w:pStyle w:val="TOC3"/>
            <w:tabs>
              <w:tab w:val="right" w:leader="dot" w:pos="9016"/>
            </w:tabs>
            <w:rPr>
              <w:rFonts w:eastAsiaTheme="minorEastAsia"/>
              <w:noProof/>
              <w:lang w:eastAsia="en-GB"/>
            </w:rPr>
          </w:pPr>
          <w:hyperlink w:anchor="_Toc162803216" w:history="1">
            <w:r w:rsidR="00B52119" w:rsidRPr="00B70CFB">
              <w:rPr>
                <w:rStyle w:val="Hyperlink"/>
                <w:rFonts w:eastAsia="Times New Roman" w:cstheme="minorHAnsi"/>
                <w:noProof/>
                <w:lang w:eastAsia="en-GB"/>
              </w:rPr>
              <w:t>C) Currency Swaps</w:t>
            </w:r>
            <w:r w:rsidR="00B52119">
              <w:rPr>
                <w:noProof/>
                <w:webHidden/>
              </w:rPr>
              <w:tab/>
            </w:r>
            <w:r w:rsidR="00B52119">
              <w:rPr>
                <w:noProof/>
                <w:webHidden/>
              </w:rPr>
              <w:fldChar w:fldCharType="begin"/>
            </w:r>
            <w:r w:rsidR="00B52119">
              <w:rPr>
                <w:noProof/>
                <w:webHidden/>
              </w:rPr>
              <w:instrText xml:space="preserve"> PAGEREF _Toc162803216 \h </w:instrText>
            </w:r>
            <w:r w:rsidR="00B52119">
              <w:rPr>
                <w:noProof/>
                <w:webHidden/>
              </w:rPr>
            </w:r>
            <w:r w:rsidR="00B52119">
              <w:rPr>
                <w:noProof/>
                <w:webHidden/>
              </w:rPr>
              <w:fldChar w:fldCharType="separate"/>
            </w:r>
            <w:r w:rsidR="00B52119">
              <w:rPr>
                <w:noProof/>
                <w:webHidden/>
              </w:rPr>
              <w:t>4</w:t>
            </w:r>
            <w:r w:rsidR="00B52119">
              <w:rPr>
                <w:noProof/>
                <w:webHidden/>
              </w:rPr>
              <w:fldChar w:fldCharType="end"/>
            </w:r>
          </w:hyperlink>
        </w:p>
        <w:p w14:paraId="417D975E" w14:textId="55A70E68" w:rsidR="00B52119" w:rsidRDefault="00000000">
          <w:pPr>
            <w:pStyle w:val="TOC2"/>
            <w:tabs>
              <w:tab w:val="right" w:leader="dot" w:pos="9016"/>
            </w:tabs>
            <w:rPr>
              <w:rFonts w:eastAsiaTheme="minorEastAsia"/>
              <w:noProof/>
              <w:lang w:eastAsia="en-GB"/>
            </w:rPr>
          </w:pPr>
          <w:hyperlink w:anchor="_Toc162803217" w:history="1">
            <w:r w:rsidR="00B52119" w:rsidRPr="00B70CFB">
              <w:rPr>
                <w:rStyle w:val="Hyperlink"/>
                <w:rFonts w:cstheme="minorHAnsi"/>
                <w:noProof/>
              </w:rPr>
              <w:t>2.2) Operational Strategies</w:t>
            </w:r>
            <w:r w:rsidR="00B52119">
              <w:rPr>
                <w:noProof/>
                <w:webHidden/>
              </w:rPr>
              <w:tab/>
            </w:r>
            <w:r w:rsidR="00B52119">
              <w:rPr>
                <w:noProof/>
                <w:webHidden/>
              </w:rPr>
              <w:fldChar w:fldCharType="begin"/>
            </w:r>
            <w:r w:rsidR="00B52119">
              <w:rPr>
                <w:noProof/>
                <w:webHidden/>
              </w:rPr>
              <w:instrText xml:space="preserve"> PAGEREF _Toc162803217 \h </w:instrText>
            </w:r>
            <w:r w:rsidR="00B52119">
              <w:rPr>
                <w:noProof/>
                <w:webHidden/>
              </w:rPr>
            </w:r>
            <w:r w:rsidR="00B52119">
              <w:rPr>
                <w:noProof/>
                <w:webHidden/>
              </w:rPr>
              <w:fldChar w:fldCharType="separate"/>
            </w:r>
            <w:r w:rsidR="00B52119">
              <w:rPr>
                <w:noProof/>
                <w:webHidden/>
              </w:rPr>
              <w:t>4</w:t>
            </w:r>
            <w:r w:rsidR="00B52119">
              <w:rPr>
                <w:noProof/>
                <w:webHidden/>
              </w:rPr>
              <w:fldChar w:fldCharType="end"/>
            </w:r>
          </w:hyperlink>
        </w:p>
        <w:p w14:paraId="0A24CBE4" w14:textId="50D31C04" w:rsidR="00B52119" w:rsidRDefault="00000000">
          <w:pPr>
            <w:pStyle w:val="TOC1"/>
            <w:tabs>
              <w:tab w:val="right" w:leader="dot" w:pos="9016"/>
            </w:tabs>
            <w:rPr>
              <w:rFonts w:eastAsiaTheme="minorEastAsia"/>
              <w:noProof/>
              <w:lang w:eastAsia="en-GB"/>
            </w:rPr>
          </w:pPr>
          <w:hyperlink w:anchor="_Toc162803218" w:history="1">
            <w:r w:rsidR="00B52119" w:rsidRPr="00B70CFB">
              <w:rPr>
                <w:rStyle w:val="Hyperlink"/>
                <w:rFonts w:cstheme="minorHAnsi"/>
                <w:noProof/>
              </w:rPr>
              <w:t>3) Conclusion</w:t>
            </w:r>
            <w:r w:rsidR="00B52119">
              <w:rPr>
                <w:noProof/>
                <w:webHidden/>
              </w:rPr>
              <w:tab/>
            </w:r>
            <w:r w:rsidR="00B52119">
              <w:rPr>
                <w:noProof/>
                <w:webHidden/>
              </w:rPr>
              <w:fldChar w:fldCharType="begin"/>
            </w:r>
            <w:r w:rsidR="00B52119">
              <w:rPr>
                <w:noProof/>
                <w:webHidden/>
              </w:rPr>
              <w:instrText xml:space="preserve"> PAGEREF _Toc162803218 \h </w:instrText>
            </w:r>
            <w:r w:rsidR="00B52119">
              <w:rPr>
                <w:noProof/>
                <w:webHidden/>
              </w:rPr>
            </w:r>
            <w:r w:rsidR="00B52119">
              <w:rPr>
                <w:noProof/>
                <w:webHidden/>
              </w:rPr>
              <w:fldChar w:fldCharType="separate"/>
            </w:r>
            <w:r w:rsidR="00B52119">
              <w:rPr>
                <w:noProof/>
                <w:webHidden/>
              </w:rPr>
              <w:t>5</w:t>
            </w:r>
            <w:r w:rsidR="00B52119">
              <w:rPr>
                <w:noProof/>
                <w:webHidden/>
              </w:rPr>
              <w:fldChar w:fldCharType="end"/>
            </w:r>
          </w:hyperlink>
        </w:p>
        <w:p w14:paraId="40AE9C08" w14:textId="37286432" w:rsidR="00B52119" w:rsidRDefault="00000000">
          <w:pPr>
            <w:pStyle w:val="TOC1"/>
            <w:tabs>
              <w:tab w:val="right" w:leader="dot" w:pos="9016"/>
            </w:tabs>
            <w:rPr>
              <w:rFonts w:eastAsiaTheme="minorEastAsia"/>
              <w:noProof/>
              <w:lang w:eastAsia="en-GB"/>
            </w:rPr>
          </w:pPr>
          <w:hyperlink w:anchor="_Toc162803219" w:history="1">
            <w:r w:rsidR="00B52119" w:rsidRPr="00B70CFB">
              <w:rPr>
                <w:rStyle w:val="Hyperlink"/>
                <w:noProof/>
              </w:rPr>
              <w:t>4). References</w:t>
            </w:r>
            <w:r w:rsidR="00B52119">
              <w:rPr>
                <w:noProof/>
                <w:webHidden/>
              </w:rPr>
              <w:tab/>
            </w:r>
            <w:r w:rsidR="00B52119">
              <w:rPr>
                <w:noProof/>
                <w:webHidden/>
              </w:rPr>
              <w:fldChar w:fldCharType="begin"/>
            </w:r>
            <w:r w:rsidR="00B52119">
              <w:rPr>
                <w:noProof/>
                <w:webHidden/>
              </w:rPr>
              <w:instrText xml:space="preserve"> PAGEREF _Toc162803219 \h </w:instrText>
            </w:r>
            <w:r w:rsidR="00B52119">
              <w:rPr>
                <w:noProof/>
                <w:webHidden/>
              </w:rPr>
            </w:r>
            <w:r w:rsidR="00B52119">
              <w:rPr>
                <w:noProof/>
                <w:webHidden/>
              </w:rPr>
              <w:fldChar w:fldCharType="separate"/>
            </w:r>
            <w:r w:rsidR="00B52119">
              <w:rPr>
                <w:noProof/>
                <w:webHidden/>
              </w:rPr>
              <w:t>5</w:t>
            </w:r>
            <w:r w:rsidR="00B52119">
              <w:rPr>
                <w:noProof/>
                <w:webHidden/>
              </w:rPr>
              <w:fldChar w:fldCharType="end"/>
            </w:r>
          </w:hyperlink>
        </w:p>
        <w:p w14:paraId="53906FAC" w14:textId="05A4AD36" w:rsidR="00B52119" w:rsidRDefault="00B52119">
          <w:r>
            <w:rPr>
              <w:b/>
              <w:bCs/>
              <w:noProof/>
            </w:rPr>
            <w:fldChar w:fldCharType="end"/>
          </w:r>
        </w:p>
      </w:sdtContent>
    </w:sdt>
    <w:p w14:paraId="599B6107" w14:textId="77777777" w:rsidR="00B52119" w:rsidRDefault="00B52119" w:rsidP="00B52119">
      <w:pPr>
        <w:pStyle w:val="Heading1"/>
        <w:spacing w:line="360" w:lineRule="auto"/>
        <w:rPr>
          <w:rFonts w:asciiTheme="minorHAnsi" w:hAnsiTheme="minorHAnsi" w:cstheme="minorHAnsi"/>
          <w:sz w:val="28"/>
          <w:szCs w:val="28"/>
        </w:rPr>
      </w:pPr>
    </w:p>
    <w:p w14:paraId="70CE2DED" w14:textId="77777777" w:rsidR="00B52119" w:rsidRDefault="00B52119">
      <w:pPr>
        <w:rPr>
          <w:rFonts w:eastAsiaTheme="majorEastAsia" w:cstheme="minorHAnsi"/>
          <w:color w:val="2F5496" w:themeColor="accent1" w:themeShade="BF"/>
          <w:sz w:val="28"/>
          <w:szCs w:val="28"/>
        </w:rPr>
      </w:pPr>
      <w:r>
        <w:rPr>
          <w:rFonts w:cstheme="minorHAnsi"/>
          <w:sz w:val="28"/>
          <w:szCs w:val="28"/>
        </w:rPr>
        <w:br w:type="page"/>
      </w:r>
    </w:p>
    <w:p w14:paraId="1A4C5AD2" w14:textId="38E62961" w:rsidR="00F25901" w:rsidRPr="00B52119" w:rsidRDefault="00F25901" w:rsidP="00B52119">
      <w:pPr>
        <w:pStyle w:val="Heading1"/>
        <w:spacing w:line="360" w:lineRule="auto"/>
        <w:rPr>
          <w:rFonts w:asciiTheme="minorHAnsi" w:hAnsiTheme="minorHAnsi" w:cstheme="minorHAnsi"/>
          <w:sz w:val="28"/>
          <w:szCs w:val="28"/>
        </w:rPr>
      </w:pPr>
      <w:bookmarkStart w:id="0" w:name="_Toc162803211"/>
      <w:r w:rsidRPr="00B52119">
        <w:rPr>
          <w:rFonts w:asciiTheme="minorHAnsi" w:hAnsiTheme="minorHAnsi" w:cstheme="minorHAnsi"/>
          <w:sz w:val="28"/>
          <w:szCs w:val="28"/>
        </w:rPr>
        <w:lastRenderedPageBreak/>
        <w:t>1) Introduction</w:t>
      </w:r>
      <w:bookmarkEnd w:id="0"/>
    </w:p>
    <w:p w14:paraId="3D905FED" w14:textId="10AC81A0" w:rsidR="00B52119" w:rsidRPr="00B52119" w:rsidRDefault="00F25901" w:rsidP="00B52119">
      <w:pPr>
        <w:spacing w:line="360" w:lineRule="auto"/>
        <w:rPr>
          <w:rFonts w:cstheme="minorHAnsi"/>
        </w:rPr>
      </w:pPr>
      <w:r w:rsidRPr="00B52119">
        <w:rPr>
          <w:rFonts w:cstheme="minorHAnsi"/>
        </w:rPr>
        <w:t>In the realm of International Financial Management (IFM), multinational companies (MNCs) are faced with an inherent risk associated with their exposure and operations across multiple countries and regions</w:t>
      </w:r>
      <w:r w:rsidR="00E74E9A" w:rsidRPr="00B52119">
        <w:rPr>
          <w:rFonts w:cstheme="minorHAnsi"/>
        </w:rPr>
        <w:t xml:space="preserve"> </w:t>
      </w:r>
      <w:r w:rsidR="00E74E9A" w:rsidRPr="00B52119">
        <w:rPr>
          <w:rFonts w:eastAsia="Times New Roman" w:cstheme="minorHAnsi"/>
          <w:kern w:val="0"/>
          <w:lang w:eastAsia="en-GB"/>
          <w14:ligatures w14:val="none"/>
        </w:rPr>
        <w:t>(Bekaert and Hodrick, 2013)</w:t>
      </w:r>
      <w:r w:rsidRPr="00B52119">
        <w:rPr>
          <w:rFonts w:cstheme="minorHAnsi"/>
        </w:rPr>
        <w:t xml:space="preserve">. These risks stem from fluctuations in exchange rates that can result in a significant impact to a company’s financial performance in the global market. </w:t>
      </w:r>
      <w:r w:rsidR="00DD3FCE" w:rsidRPr="00B52119">
        <w:rPr>
          <w:rFonts w:cstheme="minorHAnsi"/>
        </w:rPr>
        <w:t xml:space="preserve">The types of risks can vary and be transactional risks, translational risks, or long-term economic risks. </w:t>
      </w:r>
    </w:p>
    <w:p w14:paraId="4CFA0A13" w14:textId="1B0650C6" w:rsidR="00BC7F8D" w:rsidRPr="00B52119" w:rsidRDefault="00430DE4" w:rsidP="00B52119">
      <w:pPr>
        <w:pStyle w:val="ListParagraph"/>
        <w:numPr>
          <w:ilvl w:val="0"/>
          <w:numId w:val="7"/>
        </w:numPr>
        <w:spacing w:line="360" w:lineRule="auto"/>
        <w:rPr>
          <w:rFonts w:cstheme="minorHAnsi"/>
        </w:rPr>
      </w:pPr>
      <w:r w:rsidRPr="00B52119">
        <w:rPr>
          <w:rFonts w:cstheme="minorHAnsi"/>
        </w:rPr>
        <w:t xml:space="preserve">Transactional risks </w:t>
      </w:r>
      <w:r w:rsidR="00564A09" w:rsidRPr="00B52119">
        <w:rPr>
          <w:rFonts w:cstheme="minorHAnsi"/>
        </w:rPr>
        <w:t>–</w:t>
      </w:r>
      <w:r w:rsidRPr="00B52119">
        <w:rPr>
          <w:rFonts w:cstheme="minorHAnsi"/>
        </w:rPr>
        <w:t xml:space="preserve"> </w:t>
      </w:r>
      <w:r w:rsidR="00564A09" w:rsidRPr="00B52119">
        <w:rPr>
          <w:rFonts w:cstheme="minorHAnsi"/>
        </w:rPr>
        <w:t xml:space="preserve">This is the simplest form of risk, which is </w:t>
      </w:r>
      <w:r w:rsidR="00BC7F8D" w:rsidRPr="00B52119">
        <w:rPr>
          <w:rFonts w:cstheme="minorHAnsi"/>
        </w:rPr>
        <w:t>transactional,</w:t>
      </w:r>
      <w:r w:rsidR="00564A09" w:rsidRPr="00B52119">
        <w:rPr>
          <w:rFonts w:cstheme="minorHAnsi"/>
        </w:rPr>
        <w:t xml:space="preserve"> and </w:t>
      </w:r>
      <w:r w:rsidR="00BC7F8D" w:rsidRPr="00B52119">
        <w:rPr>
          <w:rFonts w:cstheme="minorHAnsi"/>
        </w:rPr>
        <w:t>it emerges when the value of a company’s foreign currency transactions changes throughout the period of the initiation of the transaction and the completion of it</w:t>
      </w:r>
      <w:r w:rsidR="00C10AE1" w:rsidRPr="00B52119">
        <w:rPr>
          <w:rFonts w:cstheme="minorHAnsi"/>
        </w:rPr>
        <w:t xml:space="preserve"> (Ganti, 2022)</w:t>
      </w:r>
      <w:r w:rsidR="00BC7F8D" w:rsidRPr="00B52119">
        <w:rPr>
          <w:rFonts w:cstheme="minorHAnsi"/>
        </w:rPr>
        <w:t xml:space="preserve"> E.g., if an Italian company enters a contract to buy machinery from a US manufacturer with payments due in US dollars within 3 months. If the US dollar appreciates against the Euro during these 3 months, then the machinery’s cost in EUR will increase, which results in a transaction risk. </w:t>
      </w:r>
    </w:p>
    <w:p w14:paraId="513313B7" w14:textId="68D80EF6" w:rsidR="00BC7F8D" w:rsidRPr="00B52119" w:rsidRDefault="00430DE4" w:rsidP="00B52119">
      <w:pPr>
        <w:pStyle w:val="ListParagraph"/>
        <w:numPr>
          <w:ilvl w:val="0"/>
          <w:numId w:val="7"/>
        </w:numPr>
        <w:spacing w:line="360" w:lineRule="auto"/>
        <w:rPr>
          <w:rFonts w:cstheme="minorHAnsi"/>
        </w:rPr>
      </w:pPr>
      <w:r w:rsidRPr="00B52119">
        <w:rPr>
          <w:rFonts w:cstheme="minorHAnsi"/>
          <w:b/>
          <w:bCs/>
        </w:rPr>
        <w:t>Economic risks</w:t>
      </w:r>
      <w:r w:rsidRPr="00B52119">
        <w:rPr>
          <w:rFonts w:cstheme="minorHAnsi"/>
        </w:rPr>
        <w:t xml:space="preserve"> – this type of risk refers to vulnerability of a company’s cash flows and market value when there are significant fluctuations in exchange rates</w:t>
      </w:r>
      <w:r w:rsidR="00B52119" w:rsidRPr="00B52119">
        <w:rPr>
          <w:rFonts w:cstheme="minorHAnsi"/>
        </w:rPr>
        <w:t xml:space="preserve"> (ACCA, 2012)</w:t>
      </w:r>
      <w:r w:rsidRPr="00B52119">
        <w:rPr>
          <w:rFonts w:cstheme="minorHAnsi"/>
        </w:rPr>
        <w:t xml:space="preserve">. In a scenario where a UK company plans to expand product in the US economy, it may anticipate and forecast profits based on the current exchange rate between GBP and USD. However, if the US dollar </w:t>
      </w:r>
      <w:r w:rsidR="00564A09" w:rsidRPr="00B52119">
        <w:rPr>
          <w:rFonts w:cstheme="minorHAnsi"/>
        </w:rPr>
        <w:t xml:space="preserve">appreciates and gains strength against GBP, the company’s forecasted profits would diminish when converted back to GBP. </w:t>
      </w:r>
    </w:p>
    <w:p w14:paraId="1D548362" w14:textId="5B00AA59" w:rsidR="00430DE4" w:rsidRPr="00B52119" w:rsidRDefault="00430DE4" w:rsidP="00B52119">
      <w:pPr>
        <w:pStyle w:val="ListParagraph"/>
        <w:numPr>
          <w:ilvl w:val="0"/>
          <w:numId w:val="7"/>
        </w:numPr>
        <w:spacing w:line="360" w:lineRule="auto"/>
        <w:rPr>
          <w:rFonts w:cstheme="minorHAnsi"/>
        </w:rPr>
      </w:pPr>
      <w:r w:rsidRPr="00B52119">
        <w:rPr>
          <w:rFonts w:cstheme="minorHAnsi"/>
          <w:b/>
          <w:bCs/>
        </w:rPr>
        <w:t>Translational risks</w:t>
      </w:r>
      <w:r w:rsidRPr="00B52119">
        <w:rPr>
          <w:rFonts w:cstheme="minorHAnsi"/>
        </w:rPr>
        <w:t xml:space="preserve"> – this type of risks is related to the accounting of a company during the activity of converting financial statements of its foreign subsidiaries into the parent’s company currency. E.g. If a Japanese company with a subsidiary in France has to convert euro-denominated assets and liabilities into Japanese yen for reporting purposes and during that time the yen appreciates against the euro, there is a translated value of the subsidiary’s assets and profits will decline. </w:t>
      </w:r>
    </w:p>
    <w:p w14:paraId="45FA9F88" w14:textId="06FC6FAA" w:rsidR="00F25901" w:rsidRPr="00B52119" w:rsidRDefault="00F25901" w:rsidP="00B52119">
      <w:pPr>
        <w:spacing w:line="360" w:lineRule="auto"/>
        <w:rPr>
          <w:rFonts w:cstheme="minorHAnsi"/>
        </w:rPr>
      </w:pPr>
      <w:r w:rsidRPr="00B52119">
        <w:rPr>
          <w:rFonts w:cstheme="minorHAnsi"/>
        </w:rPr>
        <w:t xml:space="preserve">The purpose of this essay is to outline different strategies deployed by multinational companies (MNCs) in order to manage and their exposure to foreign exchange risks and ensure mitigation and minimization of such risks. The essay will further evaluate the various strategies and approaches adopted by MNCs to managing their exposure to foreign exchange fluctuations and risks, drawing upon IFM theories to analyse their effectiveness, practicality, and applicability. </w:t>
      </w:r>
    </w:p>
    <w:p w14:paraId="2777F589" w14:textId="30DAB6E2" w:rsidR="002E4665" w:rsidRPr="00B52119" w:rsidRDefault="00394AA5" w:rsidP="00B52119">
      <w:pPr>
        <w:pStyle w:val="Heading1"/>
        <w:spacing w:line="360" w:lineRule="auto"/>
        <w:rPr>
          <w:rFonts w:asciiTheme="minorHAnsi" w:hAnsiTheme="minorHAnsi" w:cstheme="minorHAnsi"/>
          <w:sz w:val="28"/>
          <w:szCs w:val="28"/>
        </w:rPr>
      </w:pPr>
      <w:bookmarkStart w:id="1" w:name="_Toc162803212"/>
      <w:r w:rsidRPr="00B52119">
        <w:rPr>
          <w:rFonts w:asciiTheme="minorHAnsi" w:hAnsiTheme="minorHAnsi" w:cstheme="minorHAnsi"/>
          <w:sz w:val="28"/>
          <w:szCs w:val="28"/>
        </w:rPr>
        <w:lastRenderedPageBreak/>
        <w:t>2) Strategies for managing exposure to foreign exchange risks</w:t>
      </w:r>
      <w:bookmarkEnd w:id="1"/>
      <w:r w:rsidRPr="00B52119">
        <w:rPr>
          <w:rFonts w:asciiTheme="minorHAnsi" w:hAnsiTheme="minorHAnsi" w:cstheme="minorHAnsi"/>
          <w:sz w:val="28"/>
          <w:szCs w:val="28"/>
        </w:rPr>
        <w:t xml:space="preserve"> </w:t>
      </w:r>
    </w:p>
    <w:p w14:paraId="4ADF2917" w14:textId="002729AD" w:rsidR="00E90954" w:rsidRPr="00B52119" w:rsidRDefault="00E90954" w:rsidP="00B52119">
      <w:pPr>
        <w:pStyle w:val="Heading2"/>
        <w:spacing w:line="360" w:lineRule="auto"/>
        <w:rPr>
          <w:rFonts w:asciiTheme="minorHAnsi" w:hAnsiTheme="minorHAnsi" w:cstheme="minorHAnsi"/>
          <w:sz w:val="24"/>
          <w:szCs w:val="24"/>
        </w:rPr>
      </w:pPr>
      <w:bookmarkStart w:id="2" w:name="_Toc162803213"/>
      <w:r w:rsidRPr="00B52119">
        <w:rPr>
          <w:rFonts w:asciiTheme="minorHAnsi" w:hAnsiTheme="minorHAnsi" w:cstheme="minorHAnsi"/>
          <w:sz w:val="24"/>
          <w:szCs w:val="24"/>
        </w:rPr>
        <w:t>2.1) Hedging</w:t>
      </w:r>
      <w:bookmarkEnd w:id="2"/>
      <w:r w:rsidRPr="00B52119">
        <w:rPr>
          <w:rFonts w:asciiTheme="minorHAnsi" w:hAnsiTheme="minorHAnsi" w:cstheme="minorHAnsi"/>
          <w:sz w:val="24"/>
          <w:szCs w:val="24"/>
        </w:rPr>
        <w:t xml:space="preserve"> </w:t>
      </w:r>
    </w:p>
    <w:p w14:paraId="62856383" w14:textId="6FB76363" w:rsidR="000D4BA4" w:rsidRPr="00B52119" w:rsidRDefault="000D4BA4" w:rsidP="00B52119">
      <w:pPr>
        <w:spacing w:line="360" w:lineRule="auto"/>
        <w:rPr>
          <w:rFonts w:eastAsia="Times New Roman" w:cstheme="minorHAnsi"/>
          <w:kern w:val="0"/>
          <w:lang w:eastAsia="en-GB"/>
          <w14:ligatures w14:val="none"/>
        </w:rPr>
      </w:pPr>
      <w:r w:rsidRPr="00B52119">
        <w:rPr>
          <w:rFonts w:cstheme="minorHAnsi"/>
        </w:rPr>
        <w:t>Hedging entails the use of financial instruments to offset any potential losses that can result from adverse exchange rate movements</w:t>
      </w:r>
      <w:r w:rsidR="00345CE2" w:rsidRPr="00B52119">
        <w:rPr>
          <w:rFonts w:cstheme="minorHAnsi"/>
        </w:rPr>
        <w:t xml:space="preserve"> </w:t>
      </w:r>
      <w:r w:rsidR="00345CE2" w:rsidRPr="00B52119">
        <w:rPr>
          <w:rFonts w:eastAsia="Times New Roman" w:cstheme="minorHAnsi"/>
          <w:kern w:val="0"/>
          <w:lang w:eastAsia="en-GB"/>
          <w14:ligatures w14:val="none"/>
        </w:rPr>
        <w:t>(Fidelity, 2023)</w:t>
      </w:r>
      <w:r w:rsidRPr="00B52119">
        <w:rPr>
          <w:rFonts w:cstheme="minorHAnsi"/>
        </w:rPr>
        <w:t>.</w:t>
      </w:r>
      <w:r w:rsidR="00A70970" w:rsidRPr="00B52119">
        <w:rPr>
          <w:rFonts w:cstheme="minorHAnsi"/>
        </w:rPr>
        <w:t xml:space="preserve"> Hedging is a risk management strategy employed by companies to mitigate the uncertainty associated with foreign exchange exposure and ensure more predictability in terms of cash flows. </w:t>
      </w:r>
      <w:r w:rsidRPr="00B52119">
        <w:rPr>
          <w:rFonts w:cstheme="minorHAnsi"/>
        </w:rPr>
        <w:t xml:space="preserve">Multinational </w:t>
      </w:r>
      <w:r w:rsidR="00A70970" w:rsidRPr="00B52119">
        <w:rPr>
          <w:rFonts w:cstheme="minorHAnsi"/>
        </w:rPr>
        <w:t xml:space="preserve">companies </w:t>
      </w:r>
      <w:r w:rsidRPr="00B52119">
        <w:rPr>
          <w:rFonts w:cstheme="minorHAnsi"/>
        </w:rPr>
        <w:t xml:space="preserve">can deploy several hedging techniques such as: </w:t>
      </w:r>
    </w:p>
    <w:p w14:paraId="389F4497" w14:textId="2EC5CA4E" w:rsidR="000D4BA4" w:rsidRPr="00B52119" w:rsidRDefault="005E7006" w:rsidP="00B52119">
      <w:pPr>
        <w:pStyle w:val="Heading3"/>
        <w:spacing w:line="360" w:lineRule="auto"/>
        <w:rPr>
          <w:rFonts w:asciiTheme="minorHAnsi" w:hAnsiTheme="minorHAnsi" w:cstheme="minorHAnsi"/>
          <w:sz w:val="22"/>
          <w:szCs w:val="22"/>
        </w:rPr>
      </w:pPr>
      <w:bookmarkStart w:id="3" w:name="_Toc162803214"/>
      <w:r w:rsidRPr="00B52119">
        <w:rPr>
          <w:rFonts w:asciiTheme="minorHAnsi" w:hAnsiTheme="minorHAnsi" w:cstheme="minorHAnsi"/>
          <w:sz w:val="22"/>
          <w:szCs w:val="22"/>
        </w:rPr>
        <w:t>A</w:t>
      </w:r>
      <w:r w:rsidR="000D4BA4" w:rsidRPr="00B52119">
        <w:rPr>
          <w:rFonts w:asciiTheme="minorHAnsi" w:hAnsiTheme="minorHAnsi" w:cstheme="minorHAnsi"/>
          <w:sz w:val="22"/>
          <w:szCs w:val="22"/>
        </w:rPr>
        <w:t>) Forward Contract:</w:t>
      </w:r>
      <w:bookmarkEnd w:id="3"/>
    </w:p>
    <w:p w14:paraId="171B299F" w14:textId="1965804B" w:rsidR="00362E52" w:rsidRPr="00B52119" w:rsidRDefault="000D4BA4" w:rsidP="00B52119">
      <w:pPr>
        <w:spacing w:line="360" w:lineRule="auto"/>
        <w:rPr>
          <w:rFonts w:eastAsia="Times New Roman" w:cstheme="minorHAnsi"/>
          <w:kern w:val="0"/>
          <w:lang w:eastAsia="en-GB"/>
          <w14:ligatures w14:val="none"/>
        </w:rPr>
      </w:pPr>
      <w:r w:rsidRPr="00B52119">
        <w:rPr>
          <w:rFonts w:cstheme="minorHAnsi"/>
        </w:rPr>
        <w:t>A forward contract is a contractual agreement to either buy or sell an asset at a pre-specified price on a specific date in the future irrespective of volatility in valuation or pricing</w:t>
      </w:r>
      <w:r w:rsidR="00345CE2" w:rsidRPr="00B52119">
        <w:rPr>
          <w:rFonts w:cstheme="minorHAnsi"/>
        </w:rPr>
        <w:t xml:space="preserve"> </w:t>
      </w:r>
      <w:r w:rsidR="00345CE2" w:rsidRPr="00B52119">
        <w:rPr>
          <w:rFonts w:eastAsia="Times New Roman" w:cstheme="minorHAnsi"/>
          <w:kern w:val="0"/>
          <w:lang w:eastAsia="en-GB"/>
          <w14:ligatures w14:val="none"/>
        </w:rPr>
        <w:t>(Ko, 2014)</w:t>
      </w:r>
      <w:r w:rsidRPr="00B52119">
        <w:rPr>
          <w:rFonts w:cstheme="minorHAnsi"/>
        </w:rPr>
        <w:t>. This enables companies to lock in a price in the future and therefore hedge against potential losses</w:t>
      </w:r>
      <w:r w:rsidR="00345CE2" w:rsidRPr="00B52119">
        <w:rPr>
          <w:rFonts w:cstheme="minorHAnsi"/>
        </w:rPr>
        <w:t xml:space="preserve">, which is particularly important, especially in industries that commonly experience significant volatility </w:t>
      </w:r>
      <w:r w:rsidR="00345CE2" w:rsidRPr="00B52119">
        <w:rPr>
          <w:rFonts w:eastAsia="Times New Roman" w:cstheme="minorHAnsi"/>
          <w:kern w:val="0"/>
          <w:lang w:eastAsia="en-GB"/>
          <w14:ligatures w14:val="none"/>
        </w:rPr>
        <w:t>(CFI Team, 2022).</w:t>
      </w:r>
      <w:r w:rsidR="00A70970" w:rsidRPr="00B52119">
        <w:rPr>
          <w:rFonts w:eastAsia="Times New Roman" w:cstheme="minorHAnsi"/>
          <w:kern w:val="0"/>
          <w:lang w:eastAsia="en-GB"/>
          <w14:ligatures w14:val="none"/>
        </w:rPr>
        <w:t xml:space="preserve"> A tangible example would be Toyota which is often impacted by either appreciations or depreciations of the Japanese yen against the US dollar or the </w:t>
      </w:r>
      <w:r w:rsidR="005E7006" w:rsidRPr="00B52119">
        <w:rPr>
          <w:rFonts w:eastAsia="Times New Roman" w:cstheme="minorHAnsi"/>
          <w:kern w:val="0"/>
          <w:lang w:eastAsia="en-GB"/>
          <w14:ligatures w14:val="none"/>
        </w:rPr>
        <w:t>euro,</w:t>
      </w:r>
      <w:r w:rsidR="00A70970" w:rsidRPr="00B52119">
        <w:rPr>
          <w:rFonts w:eastAsia="Times New Roman" w:cstheme="minorHAnsi"/>
          <w:kern w:val="0"/>
          <w:lang w:eastAsia="en-GB"/>
          <w14:ligatures w14:val="none"/>
        </w:rPr>
        <w:t xml:space="preserve"> which impacts its profitability due to US-denominated exports</w:t>
      </w:r>
      <w:r w:rsidR="005E7006" w:rsidRPr="00B52119">
        <w:rPr>
          <w:rFonts w:eastAsia="Times New Roman" w:cstheme="minorHAnsi"/>
          <w:kern w:val="0"/>
          <w:lang w:eastAsia="en-GB"/>
          <w14:ligatures w14:val="none"/>
        </w:rPr>
        <w:t xml:space="preserve"> (Li and Ma, 2007)</w:t>
      </w:r>
      <w:r w:rsidR="00A70970" w:rsidRPr="00B52119">
        <w:rPr>
          <w:rFonts w:eastAsia="Times New Roman" w:cstheme="minorHAnsi"/>
          <w:kern w:val="0"/>
          <w:lang w:eastAsia="en-GB"/>
          <w14:ligatures w14:val="none"/>
        </w:rPr>
        <w:t>. Toyota often uses forward contracts to hedge against the Yen and lock-in favourable exchange rates for future transactions (Stewart and Raman, 2007)</w:t>
      </w:r>
      <w:r w:rsidR="00DD3FCE" w:rsidRPr="00B52119">
        <w:rPr>
          <w:rFonts w:eastAsia="Times New Roman" w:cstheme="minorHAnsi"/>
          <w:kern w:val="0"/>
          <w:lang w:eastAsia="en-GB"/>
          <w14:ligatures w14:val="none"/>
        </w:rPr>
        <w:t>.</w:t>
      </w:r>
    </w:p>
    <w:p w14:paraId="31127CCE" w14:textId="77777777" w:rsidR="00362E52" w:rsidRPr="00B52119" w:rsidRDefault="00BC7F8D" w:rsidP="00B52119">
      <w:pPr>
        <w:spacing w:line="360" w:lineRule="auto"/>
        <w:rPr>
          <w:rFonts w:eastAsia="Times New Roman" w:cstheme="minorHAnsi"/>
          <w:kern w:val="0"/>
          <w:lang w:eastAsia="en-GB"/>
          <w14:ligatures w14:val="none"/>
        </w:rPr>
      </w:pPr>
      <w:r w:rsidRPr="00B52119">
        <w:rPr>
          <w:rFonts w:eastAsia="Times New Roman" w:cstheme="minorHAnsi"/>
          <w:kern w:val="0"/>
          <w:lang w:eastAsia="en-GB"/>
          <w14:ligatures w14:val="none"/>
        </w:rPr>
        <w:t xml:space="preserve">This can be highly beneficial in terms of ensuring certainty within exchange rates for future transactions, a customized and tailored offering that meets the specific needs of the company, as well as the simplicity of the approach, since forward contracts are easily accessible to a wide range of companies and simple to execute. However, the risks involved with this approach are the lack of flexibility once the company enters into such contract, which Is legally </w:t>
      </w:r>
      <w:r w:rsidR="00966F4F" w:rsidRPr="00B52119">
        <w:rPr>
          <w:rFonts w:eastAsia="Times New Roman" w:cstheme="minorHAnsi"/>
          <w:kern w:val="0"/>
          <w:lang w:eastAsia="en-GB"/>
          <w14:ligatures w14:val="none"/>
        </w:rPr>
        <w:t>binding,</w:t>
      </w:r>
      <w:r w:rsidRPr="00B52119">
        <w:rPr>
          <w:rFonts w:eastAsia="Times New Roman" w:cstheme="minorHAnsi"/>
          <w:kern w:val="0"/>
          <w:lang w:eastAsia="en-GB"/>
          <w14:ligatures w14:val="none"/>
        </w:rPr>
        <w:t xml:space="preserve"> and the parties involved are obligated </w:t>
      </w:r>
      <w:r w:rsidR="00966F4F" w:rsidRPr="00B52119">
        <w:rPr>
          <w:rFonts w:eastAsia="Times New Roman" w:cstheme="minorHAnsi"/>
          <w:kern w:val="0"/>
          <w:lang w:eastAsia="en-GB"/>
          <w14:ligatures w14:val="none"/>
        </w:rPr>
        <w:t>to execute the transaction at the predetermined exchange rate</w:t>
      </w:r>
      <w:r w:rsidR="00362E52" w:rsidRPr="00B52119">
        <w:rPr>
          <w:rFonts w:eastAsia="Times New Roman" w:cstheme="minorHAnsi"/>
          <w:kern w:val="0"/>
          <w:lang w:eastAsia="en-GB"/>
          <w14:ligatures w14:val="none"/>
        </w:rPr>
        <w:t>, regardless of subsequent market movements. Furthermore, there is an opportunity cost risk associated with this option. By locking in exchange rate through forward contracts, companies forego the opportunity to benefit from favourable exchange rate movements (Islam and Chakraborti, 2015)</w:t>
      </w:r>
    </w:p>
    <w:p w14:paraId="6772AFE1" w14:textId="194DCE8B" w:rsidR="00006F97" w:rsidRPr="00B52119" w:rsidRDefault="00362E52" w:rsidP="00B52119">
      <w:pPr>
        <w:spacing w:line="360" w:lineRule="auto"/>
        <w:rPr>
          <w:rFonts w:eastAsia="Times New Roman" w:cstheme="minorHAnsi"/>
          <w:kern w:val="0"/>
          <w:lang w:eastAsia="en-GB"/>
          <w14:ligatures w14:val="none"/>
        </w:rPr>
      </w:pPr>
      <w:r w:rsidRPr="00B52119">
        <w:rPr>
          <w:rFonts w:eastAsia="Times New Roman" w:cstheme="minorHAnsi"/>
          <w:kern w:val="0"/>
          <w:lang w:eastAsia="en-GB"/>
          <w14:ligatures w14:val="none"/>
        </w:rPr>
        <w:t xml:space="preserve">. If exchange rates move in their </w:t>
      </w:r>
      <w:r w:rsidR="00295312" w:rsidRPr="00B52119">
        <w:rPr>
          <w:rFonts w:eastAsia="Times New Roman" w:cstheme="minorHAnsi"/>
          <w:kern w:val="0"/>
          <w:lang w:eastAsia="en-GB"/>
          <w14:ligatures w14:val="none"/>
        </w:rPr>
        <w:t>favour</w:t>
      </w:r>
      <w:r w:rsidRPr="00B52119">
        <w:rPr>
          <w:rFonts w:eastAsia="Times New Roman" w:cstheme="minorHAnsi"/>
          <w:kern w:val="0"/>
          <w:lang w:eastAsia="en-GB"/>
          <w14:ligatures w14:val="none"/>
        </w:rPr>
        <w:t>, companies may incur opportunity cost by being locked into a less favourable and less advantageous position in terms of rates (Das, 2023)</w:t>
      </w:r>
    </w:p>
    <w:p w14:paraId="76598F3E" w14:textId="4F2A1EF9" w:rsidR="005E7006" w:rsidRPr="00B52119" w:rsidRDefault="005E7006" w:rsidP="00B52119">
      <w:pPr>
        <w:pStyle w:val="Heading3"/>
        <w:spacing w:line="360" w:lineRule="auto"/>
        <w:rPr>
          <w:rFonts w:asciiTheme="minorHAnsi" w:eastAsia="Times New Roman" w:hAnsiTheme="minorHAnsi" w:cstheme="minorHAnsi"/>
          <w:sz w:val="22"/>
          <w:szCs w:val="22"/>
          <w:lang w:eastAsia="en-GB"/>
        </w:rPr>
      </w:pPr>
      <w:bookmarkStart w:id="4" w:name="_Toc162803215"/>
      <w:r w:rsidRPr="00B52119">
        <w:rPr>
          <w:rFonts w:asciiTheme="minorHAnsi" w:eastAsia="Times New Roman" w:hAnsiTheme="minorHAnsi" w:cstheme="minorHAnsi"/>
          <w:sz w:val="22"/>
          <w:szCs w:val="22"/>
          <w:lang w:eastAsia="en-GB"/>
        </w:rPr>
        <w:t>B) Options</w:t>
      </w:r>
      <w:bookmarkEnd w:id="4"/>
      <w:r w:rsidRPr="00B52119">
        <w:rPr>
          <w:rFonts w:asciiTheme="minorHAnsi" w:eastAsia="Times New Roman" w:hAnsiTheme="minorHAnsi" w:cstheme="minorHAnsi"/>
          <w:sz w:val="22"/>
          <w:szCs w:val="22"/>
          <w:lang w:eastAsia="en-GB"/>
        </w:rPr>
        <w:t xml:space="preserve"> </w:t>
      </w:r>
    </w:p>
    <w:p w14:paraId="2A1A4409" w14:textId="5E63DAC2" w:rsidR="00006F97" w:rsidRPr="00B52119" w:rsidRDefault="005E7006" w:rsidP="00B52119">
      <w:pPr>
        <w:spacing w:line="360" w:lineRule="auto"/>
        <w:rPr>
          <w:rFonts w:eastAsia="Times New Roman" w:cstheme="minorHAnsi"/>
          <w:kern w:val="0"/>
          <w:lang w:eastAsia="en-GB"/>
          <w14:ligatures w14:val="none"/>
        </w:rPr>
      </w:pPr>
      <w:r w:rsidRPr="00B52119">
        <w:rPr>
          <w:rFonts w:eastAsia="Times New Roman" w:cstheme="minorHAnsi"/>
          <w:kern w:val="0"/>
          <w:lang w:eastAsia="en-GB"/>
          <w14:ligatures w14:val="none"/>
        </w:rPr>
        <w:t xml:space="preserve">Multinational companies can purchase currency options, which provides them the right, but not the obligation, to buy or sell currencies at predetermined rates. This provides flexibility in managing exchange rate risks. In this situation if a company expects to receive payments in different currency </w:t>
      </w:r>
      <w:r w:rsidRPr="00B52119">
        <w:rPr>
          <w:rFonts w:eastAsia="Times New Roman" w:cstheme="minorHAnsi"/>
          <w:kern w:val="0"/>
          <w:lang w:eastAsia="en-GB"/>
          <w14:ligatures w14:val="none"/>
        </w:rPr>
        <w:lastRenderedPageBreak/>
        <w:t>in few months’ time, they can purchase a currency call option allowing them to buy another currency at a specified exchange rate</w:t>
      </w:r>
      <w:r w:rsidR="00006F97" w:rsidRPr="00B52119">
        <w:rPr>
          <w:rFonts w:eastAsia="Times New Roman" w:cstheme="minorHAnsi"/>
          <w:kern w:val="0"/>
          <w:lang w:eastAsia="en-GB"/>
          <w14:ligatures w14:val="none"/>
        </w:rPr>
        <w:t xml:space="preserve"> (Yates, 2020)</w:t>
      </w:r>
      <w:r w:rsidRPr="00B52119">
        <w:rPr>
          <w:rFonts w:eastAsia="Times New Roman" w:cstheme="minorHAnsi"/>
          <w:kern w:val="0"/>
          <w:lang w:eastAsia="en-GB"/>
          <w14:ligatures w14:val="none"/>
        </w:rPr>
        <w:t>. This minimizes losses in scenario where their local currency as they would be able to exercise the option to buy the other currency at the agreed-upon rate</w:t>
      </w:r>
      <w:r w:rsidR="00006F97" w:rsidRPr="00B52119">
        <w:rPr>
          <w:rFonts w:eastAsia="Times New Roman" w:cstheme="minorHAnsi"/>
          <w:kern w:val="0"/>
          <w:lang w:eastAsia="en-GB"/>
          <w14:ligatures w14:val="none"/>
        </w:rPr>
        <w:t xml:space="preserve"> (</w:t>
      </w:r>
      <w:proofErr w:type="spellStart"/>
      <w:r w:rsidR="00006F97" w:rsidRPr="00B52119">
        <w:rPr>
          <w:rFonts w:eastAsia="Times New Roman" w:cstheme="minorHAnsi"/>
          <w:kern w:val="0"/>
          <w:lang w:eastAsia="en-GB"/>
          <w14:ligatures w14:val="none"/>
        </w:rPr>
        <w:t>TheGlobalTreasurer</w:t>
      </w:r>
      <w:proofErr w:type="spellEnd"/>
      <w:r w:rsidR="00006F97" w:rsidRPr="00B52119">
        <w:rPr>
          <w:rFonts w:eastAsia="Times New Roman" w:cstheme="minorHAnsi"/>
          <w:kern w:val="0"/>
          <w:lang w:eastAsia="en-GB"/>
          <w14:ligatures w14:val="none"/>
        </w:rPr>
        <w:t>, 2007)</w:t>
      </w:r>
    </w:p>
    <w:p w14:paraId="0FB4E052" w14:textId="22220D2C" w:rsidR="005E7006" w:rsidRPr="00B52119" w:rsidRDefault="00006F97" w:rsidP="00B52119">
      <w:pPr>
        <w:spacing w:line="360" w:lineRule="auto"/>
        <w:rPr>
          <w:rFonts w:eastAsia="Times New Roman" w:cstheme="minorHAnsi"/>
          <w:kern w:val="0"/>
          <w:lang w:eastAsia="en-GB"/>
          <w14:ligatures w14:val="none"/>
        </w:rPr>
      </w:pPr>
      <w:r w:rsidRPr="00B52119">
        <w:rPr>
          <w:rFonts w:eastAsia="Times New Roman" w:cstheme="minorHAnsi"/>
          <w:kern w:val="0"/>
          <w:lang w:eastAsia="en-GB"/>
          <w14:ligatures w14:val="none"/>
        </w:rPr>
        <w:t xml:space="preserve">The benefits </w:t>
      </w:r>
      <w:r w:rsidR="00175D59" w:rsidRPr="00B52119">
        <w:rPr>
          <w:rFonts w:eastAsia="Times New Roman" w:cstheme="minorHAnsi"/>
          <w:kern w:val="0"/>
          <w:lang w:eastAsia="en-GB"/>
          <w14:ligatures w14:val="none"/>
        </w:rPr>
        <w:t xml:space="preserve">of leveraging options is that they provide greater flexibility compared to forward contracts in terms of providing the holder with the choice on whether to exercise the option or let it expire. They also involve less risk, because they provide downside protection by limiting the risk to the premium paid for the option (Smistad and </w:t>
      </w:r>
      <w:proofErr w:type="spellStart"/>
      <w:r w:rsidR="00175D59" w:rsidRPr="00B52119">
        <w:rPr>
          <w:rFonts w:eastAsia="Times New Roman" w:cstheme="minorHAnsi"/>
          <w:kern w:val="0"/>
          <w:lang w:eastAsia="en-GB"/>
          <w14:ligatures w14:val="none"/>
        </w:rPr>
        <w:t>Pustylnick</w:t>
      </w:r>
      <w:proofErr w:type="spellEnd"/>
      <w:r w:rsidR="00175D59" w:rsidRPr="00B52119">
        <w:rPr>
          <w:rFonts w:eastAsia="Times New Roman" w:cstheme="minorHAnsi"/>
          <w:kern w:val="0"/>
          <w:lang w:eastAsia="en-GB"/>
          <w14:ligatures w14:val="none"/>
        </w:rPr>
        <w:t>, 2012). However, the risks involved include a limited time horizon where companies need to carefully manage their position to ensure that they align with the hedging objectives and the time horizon. Failure to do so can result in the expiration of the option without the realization of its full potential (Triantis, 2005)</w:t>
      </w:r>
    </w:p>
    <w:p w14:paraId="7827C136" w14:textId="462533D7" w:rsidR="00345CE2" w:rsidRPr="00B52119" w:rsidRDefault="005E7006" w:rsidP="00B52119">
      <w:pPr>
        <w:pStyle w:val="Heading3"/>
        <w:spacing w:line="360" w:lineRule="auto"/>
        <w:rPr>
          <w:rFonts w:asciiTheme="minorHAnsi" w:eastAsia="Times New Roman" w:hAnsiTheme="minorHAnsi" w:cstheme="minorHAnsi"/>
          <w:sz w:val="22"/>
          <w:szCs w:val="22"/>
          <w:lang w:eastAsia="en-GB"/>
        </w:rPr>
      </w:pPr>
      <w:bookmarkStart w:id="5" w:name="_Toc162803216"/>
      <w:r w:rsidRPr="00B52119">
        <w:rPr>
          <w:rFonts w:asciiTheme="minorHAnsi" w:eastAsia="Times New Roman" w:hAnsiTheme="minorHAnsi" w:cstheme="minorHAnsi"/>
          <w:sz w:val="22"/>
          <w:szCs w:val="22"/>
          <w:lang w:eastAsia="en-GB"/>
        </w:rPr>
        <w:t>C) Currency Swaps</w:t>
      </w:r>
      <w:bookmarkEnd w:id="5"/>
    </w:p>
    <w:p w14:paraId="5870F460" w14:textId="1D90199E" w:rsidR="00F5175E" w:rsidRPr="00B52119" w:rsidRDefault="007A47E5" w:rsidP="00B52119">
      <w:pPr>
        <w:spacing w:line="360" w:lineRule="auto"/>
        <w:rPr>
          <w:rFonts w:eastAsia="Times New Roman" w:cstheme="minorHAnsi"/>
          <w:kern w:val="0"/>
          <w:lang w:eastAsia="en-GB"/>
          <w14:ligatures w14:val="none"/>
        </w:rPr>
      </w:pPr>
      <w:r w:rsidRPr="00B52119">
        <w:rPr>
          <w:rFonts w:eastAsia="Times New Roman" w:cstheme="minorHAnsi"/>
          <w:kern w:val="0"/>
          <w:lang w:eastAsia="en-GB"/>
          <w14:ligatures w14:val="none"/>
        </w:rPr>
        <w:t xml:space="preserve">Currency swaps are another method for multinational companies to manage currency fluctuations and volatility by entering an agreement to exchange cash flows denominated in different currencies at a mutually pre-determined. In this situation the 2 companies doing business abroad </w:t>
      </w:r>
      <w:r w:rsidR="00502416" w:rsidRPr="00B52119">
        <w:rPr>
          <w:rFonts w:eastAsia="Times New Roman" w:cstheme="minorHAnsi"/>
          <w:kern w:val="0"/>
          <w:lang w:eastAsia="en-GB"/>
          <w14:ligatures w14:val="none"/>
        </w:rPr>
        <w:t xml:space="preserve">can engage in currency swaps, which can be </w:t>
      </w:r>
      <w:r w:rsidRPr="00B52119">
        <w:rPr>
          <w:rFonts w:eastAsia="Times New Roman" w:cstheme="minorHAnsi"/>
          <w:kern w:val="0"/>
          <w:lang w:eastAsia="en-GB"/>
          <w14:ligatures w14:val="none"/>
        </w:rPr>
        <w:t>particularly useful in hedging exchange rate and interest rate risks at more favourable terms and conditions than</w:t>
      </w:r>
      <w:r w:rsidR="00502416" w:rsidRPr="00B52119">
        <w:rPr>
          <w:rFonts w:eastAsia="Times New Roman" w:cstheme="minorHAnsi"/>
          <w:kern w:val="0"/>
          <w:lang w:eastAsia="en-GB"/>
          <w14:ligatures w14:val="none"/>
        </w:rPr>
        <w:t xml:space="preserve"> borrowing money from a local bank from the respective country</w:t>
      </w:r>
      <w:r w:rsidR="00F5175E" w:rsidRPr="00B52119">
        <w:rPr>
          <w:rFonts w:eastAsia="Times New Roman" w:cstheme="minorHAnsi"/>
          <w:kern w:val="0"/>
          <w:lang w:eastAsia="en-GB"/>
          <w14:ligatures w14:val="none"/>
        </w:rPr>
        <w:t xml:space="preserve"> (Rauen, 2023).</w:t>
      </w:r>
    </w:p>
    <w:p w14:paraId="4A2E9642" w14:textId="6C15C36D" w:rsidR="000D4BA4" w:rsidRPr="00B52119" w:rsidRDefault="00F5175E" w:rsidP="00B52119">
      <w:pPr>
        <w:spacing w:line="360" w:lineRule="auto"/>
        <w:rPr>
          <w:rFonts w:eastAsia="Times New Roman" w:cstheme="minorHAnsi"/>
          <w:kern w:val="0"/>
          <w:lang w:eastAsia="en-GB"/>
          <w14:ligatures w14:val="none"/>
        </w:rPr>
      </w:pPr>
      <w:r w:rsidRPr="00B52119">
        <w:rPr>
          <w:rFonts w:eastAsia="Times New Roman" w:cstheme="minorHAnsi"/>
          <w:kern w:val="0"/>
          <w:lang w:eastAsia="en-GB"/>
          <w14:ligatures w14:val="none"/>
        </w:rPr>
        <w:t xml:space="preserve">This strategy benefits companies by providing access to foreign currencies without the need for direct borrowing or lending in foreign markets. Swaps offer flexibility in terms of the swap agreement to meet the specific requirements of the companies doing the agreement. And they are also a cost efficient option compared to other methods. Swapping cash flows with a counterparty may result in a lower transaction costs and financing expenses compared to alternative methods. However, there are also risks associated with currency swaps such as the risk of the counterparty defaults on its obligations under the swap agreement. </w:t>
      </w:r>
    </w:p>
    <w:p w14:paraId="6074D458" w14:textId="67D271F1" w:rsidR="00E90954" w:rsidRPr="00B52119" w:rsidRDefault="00E90954" w:rsidP="00B52119">
      <w:pPr>
        <w:pStyle w:val="Heading2"/>
        <w:spacing w:line="360" w:lineRule="auto"/>
        <w:rPr>
          <w:rFonts w:asciiTheme="minorHAnsi" w:hAnsiTheme="minorHAnsi" w:cstheme="minorHAnsi"/>
          <w:sz w:val="24"/>
          <w:szCs w:val="24"/>
        </w:rPr>
      </w:pPr>
      <w:bookmarkStart w:id="6" w:name="_Toc162803217"/>
      <w:r w:rsidRPr="00B52119">
        <w:rPr>
          <w:rFonts w:asciiTheme="minorHAnsi" w:hAnsiTheme="minorHAnsi" w:cstheme="minorHAnsi"/>
          <w:sz w:val="24"/>
          <w:szCs w:val="24"/>
        </w:rPr>
        <w:t>2.2) Operational Strategies</w:t>
      </w:r>
      <w:bookmarkEnd w:id="6"/>
    </w:p>
    <w:p w14:paraId="4239722A" w14:textId="662364EE" w:rsidR="002E4665" w:rsidRPr="00B52119" w:rsidRDefault="001C47DC" w:rsidP="00B52119">
      <w:pPr>
        <w:spacing w:line="360" w:lineRule="auto"/>
        <w:rPr>
          <w:rFonts w:cstheme="minorHAnsi"/>
        </w:rPr>
      </w:pPr>
      <w:r w:rsidRPr="00B52119">
        <w:rPr>
          <w:rFonts w:cstheme="minorHAnsi"/>
        </w:rPr>
        <w:t xml:space="preserve">Another strategy that multinational companies can leverage to reduce cost associated with foreign currency fluctuations is to establish foreign subsidiaries as part of their global expansion strategy. This not only provides competitive advantage in terms of gaining a foothold in new markets, accessing local resources, expanding of customer base, but it also serves as a strategic move to mitigate foreign exchange risks and optimize cost </w:t>
      </w:r>
      <w:r w:rsidR="00B808EE" w:rsidRPr="00B52119">
        <w:rPr>
          <w:rFonts w:cstheme="minorHAnsi"/>
        </w:rPr>
        <w:t>structures.</w:t>
      </w:r>
      <w:r w:rsidRPr="00B52119">
        <w:rPr>
          <w:rFonts w:cstheme="minorHAnsi"/>
        </w:rPr>
        <w:t xml:space="preserve"> </w:t>
      </w:r>
      <w:r w:rsidR="00B808EE" w:rsidRPr="00B52119">
        <w:rPr>
          <w:rFonts w:cstheme="minorHAnsi"/>
        </w:rPr>
        <w:t xml:space="preserve">Another benefit of operations across multiple countries is that it spreads the exposure to exchange rate fluctuations. By conducting business in multiple countries with different currency denominations, multinational companies are </w:t>
      </w:r>
      <w:r w:rsidR="00B808EE" w:rsidRPr="00B52119">
        <w:rPr>
          <w:rFonts w:cstheme="minorHAnsi"/>
        </w:rPr>
        <w:lastRenderedPageBreak/>
        <w:t xml:space="preserve">better able to mitigate </w:t>
      </w:r>
      <w:r w:rsidR="00CF5CAE" w:rsidRPr="00B52119">
        <w:rPr>
          <w:rFonts w:cstheme="minorHAnsi"/>
        </w:rPr>
        <w:t>the impact of adverse movements in any single currency.</w:t>
      </w:r>
      <w:r w:rsidR="00DC17C5" w:rsidRPr="00B52119">
        <w:rPr>
          <w:rFonts w:cstheme="minorHAnsi"/>
        </w:rPr>
        <w:t xml:space="preserve"> For example, if a multinational retailer operates stores in US, Europe and Asia, it is able to generate revenues in US dollars, euros and yen. This allows the company to be diversified and it reduces reliance on any single currency, which enhances their strength and resilience to currency volatility. </w:t>
      </w:r>
    </w:p>
    <w:p w14:paraId="3DC1EF86" w14:textId="26D5E6F5" w:rsidR="002E4665" w:rsidRPr="00B52119" w:rsidRDefault="00394AA5" w:rsidP="00B52119">
      <w:pPr>
        <w:pStyle w:val="Heading1"/>
        <w:spacing w:line="360" w:lineRule="auto"/>
        <w:rPr>
          <w:rFonts w:asciiTheme="minorHAnsi" w:hAnsiTheme="minorHAnsi" w:cstheme="minorHAnsi"/>
          <w:sz w:val="28"/>
          <w:szCs w:val="28"/>
        </w:rPr>
      </w:pPr>
      <w:bookmarkStart w:id="7" w:name="_Toc162803218"/>
      <w:r w:rsidRPr="00B52119">
        <w:rPr>
          <w:rFonts w:asciiTheme="minorHAnsi" w:hAnsiTheme="minorHAnsi" w:cstheme="minorHAnsi"/>
          <w:sz w:val="28"/>
          <w:szCs w:val="28"/>
        </w:rPr>
        <w:t xml:space="preserve">3) </w:t>
      </w:r>
      <w:r w:rsidR="002E4665" w:rsidRPr="00B52119">
        <w:rPr>
          <w:rFonts w:asciiTheme="minorHAnsi" w:hAnsiTheme="minorHAnsi" w:cstheme="minorHAnsi"/>
          <w:sz w:val="28"/>
          <w:szCs w:val="28"/>
        </w:rPr>
        <w:t>Conclusion</w:t>
      </w:r>
      <w:bookmarkEnd w:id="7"/>
      <w:r w:rsidR="002E4665" w:rsidRPr="00B52119">
        <w:rPr>
          <w:rFonts w:asciiTheme="minorHAnsi" w:hAnsiTheme="minorHAnsi" w:cstheme="minorHAnsi"/>
          <w:sz w:val="28"/>
          <w:szCs w:val="28"/>
        </w:rPr>
        <w:t xml:space="preserve"> </w:t>
      </w:r>
    </w:p>
    <w:p w14:paraId="5C5C71A8" w14:textId="69722285" w:rsidR="002E4665" w:rsidRDefault="002E4665" w:rsidP="00B52119">
      <w:pPr>
        <w:spacing w:line="360" w:lineRule="auto"/>
        <w:rPr>
          <w:rFonts w:cstheme="minorHAnsi"/>
        </w:rPr>
      </w:pPr>
      <w:r w:rsidRPr="00B52119">
        <w:rPr>
          <w:rFonts w:cstheme="minorHAnsi"/>
        </w:rPr>
        <w:t xml:space="preserve">In conclusion, multinational companies face complex risks related to foreign exchanges, which necessitates the adoption of diverse set of strategies and methods to manage their exposure effectively and minimize risks. By deploying methods such as hedging, operational, </w:t>
      </w:r>
      <w:r w:rsidR="00394AA5" w:rsidRPr="00B52119">
        <w:rPr>
          <w:rFonts w:cstheme="minorHAnsi"/>
        </w:rPr>
        <w:t>financial,</w:t>
      </w:r>
      <w:r w:rsidRPr="00B52119">
        <w:rPr>
          <w:rFonts w:cstheme="minorHAnsi"/>
        </w:rPr>
        <w:t xml:space="preserve"> and strategic </w:t>
      </w:r>
      <w:r w:rsidR="00394AA5" w:rsidRPr="00B52119">
        <w:rPr>
          <w:rFonts w:cstheme="minorHAnsi"/>
        </w:rPr>
        <w:t xml:space="preserve">planning approaches, multinational companies can mitigate the risks, </w:t>
      </w:r>
      <w:r w:rsidR="00B52119" w:rsidRPr="00B52119">
        <w:rPr>
          <w:rFonts w:cstheme="minorHAnsi"/>
        </w:rPr>
        <w:t>challenges,</w:t>
      </w:r>
      <w:r w:rsidR="00394AA5" w:rsidRPr="00B52119">
        <w:rPr>
          <w:rFonts w:cstheme="minorHAnsi"/>
        </w:rPr>
        <w:t xml:space="preserve"> and potential adverse effects of fluctuations in exchange rates and enhance their resilience in the global market and even capitalize on related opportunities. The effectiveness of these strategies does vary and depends on various factors and criteria such as a business’ risk tolerance, the dynamics of the market, and other rules and regulations, which highlights the importance of continuous evaluating and assessing which strategy may be best dependent on the circumstances. </w:t>
      </w:r>
    </w:p>
    <w:p w14:paraId="4441B213" w14:textId="77777777" w:rsidR="00B52119" w:rsidRDefault="00B52119" w:rsidP="00B52119">
      <w:pPr>
        <w:spacing w:line="360" w:lineRule="auto"/>
        <w:rPr>
          <w:rFonts w:cstheme="minorHAnsi"/>
        </w:rPr>
      </w:pPr>
    </w:p>
    <w:p w14:paraId="660F17ED" w14:textId="19F70EC2" w:rsidR="00B52119" w:rsidRDefault="00B52119" w:rsidP="00B52119">
      <w:pPr>
        <w:pStyle w:val="Heading1"/>
      </w:pPr>
      <w:bookmarkStart w:id="8" w:name="_Toc162803219"/>
      <w:r>
        <w:t>4). References</w:t>
      </w:r>
      <w:bookmarkEnd w:id="8"/>
    </w:p>
    <w:p w14:paraId="16FC65BB" w14:textId="7CB5D090" w:rsidR="00B52119" w:rsidRDefault="00B52119" w:rsidP="00B52119">
      <w:pPr>
        <w:pStyle w:val="NormalWeb"/>
        <w:spacing w:before="0" w:beforeAutospacing="0" w:after="240" w:afterAutospacing="0" w:line="360" w:lineRule="auto"/>
      </w:pPr>
      <w:r>
        <w:t xml:space="preserve">ACCA (2010). </w:t>
      </w:r>
      <w:r>
        <w:rPr>
          <w:i/>
          <w:iCs/>
        </w:rPr>
        <w:t>Foreign currency risk and its management | ACCA Qualification | Students | ACCA Global</w:t>
      </w:r>
      <w:r>
        <w:t>. [online] Accaglobal.com. Available at: https://www.accaglobal.com/gb/en/student/exam-support-resources/fundamentals-exams-study-resources/f9/technical-articles/forex.html.</w:t>
      </w:r>
    </w:p>
    <w:p w14:paraId="6BD76E9A" w14:textId="77777777" w:rsidR="00B52119" w:rsidRDefault="00B52119" w:rsidP="00B52119">
      <w:pPr>
        <w:pStyle w:val="NormalWeb"/>
        <w:spacing w:before="0" w:beforeAutospacing="0" w:after="240" w:afterAutospacing="0" w:line="360" w:lineRule="auto"/>
      </w:pPr>
      <w:r>
        <w:t xml:space="preserve">Bekaert, G.J. and Hodrick, R.J. (2013). </w:t>
      </w:r>
      <w:r>
        <w:rPr>
          <w:i/>
          <w:iCs/>
        </w:rPr>
        <w:t>International Financial Management</w:t>
      </w:r>
      <w:r>
        <w:t>. Harlow: Pearson Education UK.</w:t>
      </w:r>
    </w:p>
    <w:p w14:paraId="42BB0893" w14:textId="77777777" w:rsidR="00B52119" w:rsidRDefault="00B52119" w:rsidP="00B52119">
      <w:pPr>
        <w:pStyle w:val="NormalWeb"/>
        <w:spacing w:before="0" w:beforeAutospacing="0" w:after="240" w:afterAutospacing="0" w:line="360" w:lineRule="auto"/>
      </w:pPr>
      <w:r>
        <w:t xml:space="preserve">CFI Team (2022). </w:t>
      </w:r>
      <w:r>
        <w:rPr>
          <w:i/>
          <w:iCs/>
        </w:rPr>
        <w:t>Forward Contract</w:t>
      </w:r>
      <w:r>
        <w:t>. [online] Corporate Finance Institute. Available at: https://corporatefinanceinstitute.com/resources/derivatives/forward-contract/.</w:t>
      </w:r>
    </w:p>
    <w:p w14:paraId="1C44C858" w14:textId="77777777" w:rsidR="00B52119" w:rsidRDefault="00B52119" w:rsidP="00B52119">
      <w:pPr>
        <w:pStyle w:val="NormalWeb"/>
        <w:spacing w:before="0" w:beforeAutospacing="0" w:after="240" w:afterAutospacing="0" w:line="360" w:lineRule="auto"/>
      </w:pPr>
      <w:r>
        <w:t xml:space="preserve">Das, D. (2023). </w:t>
      </w:r>
      <w:r>
        <w:rPr>
          <w:i/>
          <w:iCs/>
        </w:rPr>
        <w:t>Understanding Forward Contracts: Benefits, Risks, and How They Work</w:t>
      </w:r>
      <w:r>
        <w:t>. [online] Medium. Available at: https://medium.com/@debasishkumardas5/understanding-forward-contracts-benefits-risks-and-how-they-work-28936e93e01b.</w:t>
      </w:r>
    </w:p>
    <w:p w14:paraId="15C6A2C0" w14:textId="77777777" w:rsidR="00B52119" w:rsidRDefault="00B52119" w:rsidP="00B52119">
      <w:pPr>
        <w:pStyle w:val="NormalWeb"/>
        <w:spacing w:before="0" w:beforeAutospacing="0" w:after="240" w:afterAutospacing="0" w:line="360" w:lineRule="auto"/>
      </w:pPr>
      <w:r>
        <w:t xml:space="preserve">Fidelity (2023). </w:t>
      </w:r>
      <w:r>
        <w:rPr>
          <w:i/>
          <w:iCs/>
        </w:rPr>
        <w:t>What is hedging? | Advanced trading strategies &amp; risk management | Fidelity</w:t>
      </w:r>
      <w:r>
        <w:t>. [online] www.fidelity.com. Available at: https://www.fidelity.com/learning-center/trading-investing/hedging#:~:text=Hedging%20is%20an%20advanced%20risk.</w:t>
      </w:r>
    </w:p>
    <w:p w14:paraId="005E5DDF" w14:textId="77777777" w:rsidR="00B52119" w:rsidRDefault="00B52119" w:rsidP="00B52119">
      <w:pPr>
        <w:pStyle w:val="NormalWeb"/>
        <w:spacing w:before="0" w:beforeAutospacing="0" w:after="240" w:afterAutospacing="0" w:line="360" w:lineRule="auto"/>
      </w:pPr>
      <w:r>
        <w:lastRenderedPageBreak/>
        <w:t xml:space="preserve">Ganti, A. (2022). </w:t>
      </w:r>
      <w:r>
        <w:rPr>
          <w:i/>
          <w:iCs/>
        </w:rPr>
        <w:t>Transaction risk: meaning, overview and FAQs</w:t>
      </w:r>
      <w:r>
        <w:t>. [online] Investopedia. Available at: https://www.investopedia.com/terms/t/transactionrisk.asp.</w:t>
      </w:r>
    </w:p>
    <w:p w14:paraId="3F43D761" w14:textId="77777777" w:rsidR="00B52119" w:rsidRDefault="00B52119" w:rsidP="00B52119">
      <w:pPr>
        <w:pStyle w:val="NormalWeb"/>
        <w:spacing w:before="0" w:beforeAutospacing="0" w:after="240" w:afterAutospacing="0" w:line="360" w:lineRule="auto"/>
      </w:pPr>
      <w:r>
        <w:t xml:space="preserve">Islam, M. and Chakraborti, J. (2015). FUTURES AND FORWARD CONTRACT AS A ROUTE OF HEDGING THE RISK. </w:t>
      </w:r>
      <w:r>
        <w:rPr>
          <w:i/>
          <w:iCs/>
        </w:rPr>
        <w:t>Risk Governance and Control: Financial Markets &amp; Institutions</w:t>
      </w:r>
      <w:r>
        <w:t xml:space="preserve">, [online] 5(4). </w:t>
      </w:r>
      <w:proofErr w:type="spellStart"/>
      <w:r>
        <w:t>doi:https</w:t>
      </w:r>
      <w:proofErr w:type="spellEnd"/>
      <w:r>
        <w:t>://doi.org/10.22495/rgcv5i4art6.</w:t>
      </w:r>
    </w:p>
    <w:p w14:paraId="28AA73E4" w14:textId="77777777" w:rsidR="00B52119" w:rsidRDefault="00B52119" w:rsidP="00B52119">
      <w:pPr>
        <w:pStyle w:val="NormalWeb"/>
        <w:spacing w:before="0" w:beforeAutospacing="0" w:after="240" w:afterAutospacing="0" w:line="360" w:lineRule="auto"/>
      </w:pPr>
      <w:r>
        <w:t xml:space="preserve">Ko, H. (2014). Contracts, Forward. </w:t>
      </w:r>
      <w:r>
        <w:rPr>
          <w:i/>
          <w:iCs/>
        </w:rPr>
        <w:t>Springer eBooks</w:t>
      </w:r>
      <w:r>
        <w:t xml:space="preserve">, pp.1–2. </w:t>
      </w:r>
      <w:proofErr w:type="spellStart"/>
      <w:r>
        <w:t>doi:https</w:t>
      </w:r>
      <w:proofErr w:type="spellEnd"/>
      <w:r>
        <w:t>://doi.org/10.1007/978-1-4614-7883-6_548-1.</w:t>
      </w:r>
    </w:p>
    <w:p w14:paraId="2E2CB6EA" w14:textId="77777777" w:rsidR="00B52119" w:rsidRDefault="00B52119" w:rsidP="00B52119">
      <w:pPr>
        <w:pStyle w:val="NormalWeb"/>
        <w:spacing w:before="0" w:beforeAutospacing="0" w:after="240" w:afterAutospacing="0" w:line="360" w:lineRule="auto"/>
      </w:pPr>
      <w:r>
        <w:t>Li, L. and Ma, N. (2007). Foreign exchange risk management in multinationals : an empirical investigation on China, Japan and US.</w:t>
      </w:r>
    </w:p>
    <w:p w14:paraId="0471F49F" w14:textId="77777777" w:rsidR="00B52119" w:rsidRDefault="00B52119" w:rsidP="00B52119">
      <w:pPr>
        <w:pStyle w:val="NormalWeb"/>
        <w:spacing w:before="0" w:beforeAutospacing="0" w:after="240" w:afterAutospacing="0" w:line="360" w:lineRule="auto"/>
      </w:pPr>
      <w:r>
        <w:t xml:space="preserve">Rauen, C. (2023). </w:t>
      </w:r>
      <w:r>
        <w:rPr>
          <w:i/>
          <w:iCs/>
        </w:rPr>
        <w:t>Understanding Foreign Exchange Risk and How to Minimize It</w:t>
      </w:r>
      <w:r>
        <w:t>. [online] tipalti.com. Available at: https://tipalti.com/currency-management-hub/foreign-exchange-risk/.</w:t>
      </w:r>
    </w:p>
    <w:p w14:paraId="22C2216D" w14:textId="77777777" w:rsidR="00B52119" w:rsidRDefault="00B52119" w:rsidP="00B52119">
      <w:pPr>
        <w:pStyle w:val="NormalWeb"/>
        <w:spacing w:before="0" w:beforeAutospacing="0" w:after="240" w:afterAutospacing="0" w:line="360" w:lineRule="auto"/>
      </w:pPr>
      <w:r>
        <w:t xml:space="preserve">Smistad, R.E. and </w:t>
      </w:r>
      <w:proofErr w:type="spellStart"/>
      <w:r>
        <w:t>Pustylnick</w:t>
      </w:r>
      <w:proofErr w:type="spellEnd"/>
      <w:r>
        <w:t xml:space="preserve">, I. (2012). </w:t>
      </w:r>
      <w:r>
        <w:rPr>
          <w:i/>
          <w:iCs/>
        </w:rPr>
        <w:t>Hedging, Hedge Accounting and Speculation: Evidence from Canadian Oil and Gas Companies</w:t>
      </w:r>
      <w:r>
        <w:t>. [online] papers.ssrn.com. Available at: https://papers.ssrn.com/sol3/papers.cfm?abstract_id=1957263.</w:t>
      </w:r>
    </w:p>
    <w:p w14:paraId="0C8905C7" w14:textId="77777777" w:rsidR="00B52119" w:rsidRDefault="00B52119" w:rsidP="00B52119">
      <w:pPr>
        <w:pStyle w:val="NormalWeb"/>
        <w:spacing w:before="0" w:beforeAutospacing="0" w:after="240" w:afterAutospacing="0" w:line="360" w:lineRule="auto"/>
      </w:pPr>
      <w:r>
        <w:t xml:space="preserve">Stewart, T. and Raman, A. (2007). </w:t>
      </w:r>
      <w:r>
        <w:rPr>
          <w:i/>
          <w:iCs/>
        </w:rPr>
        <w:t>Lessons from Toyota’s Long Drive</w:t>
      </w:r>
      <w:r>
        <w:t>. [online] Harvard Business Review. Available at: https://hbr.org/2007/07/lessons-from-toyotas-long-drive.</w:t>
      </w:r>
    </w:p>
    <w:p w14:paraId="7FAF5917" w14:textId="77777777" w:rsidR="00B52119" w:rsidRDefault="00B52119" w:rsidP="00B52119">
      <w:pPr>
        <w:pStyle w:val="NormalWeb"/>
        <w:spacing w:before="0" w:beforeAutospacing="0" w:after="240" w:afterAutospacing="0" w:line="360" w:lineRule="auto"/>
      </w:pPr>
      <w:proofErr w:type="spellStart"/>
      <w:r>
        <w:t>TheGlobalTreasurer</w:t>
      </w:r>
      <w:proofErr w:type="spellEnd"/>
      <w:r>
        <w:t xml:space="preserve"> (2007). </w:t>
      </w:r>
      <w:r>
        <w:rPr>
          <w:i/>
          <w:iCs/>
        </w:rPr>
        <w:t>Hedging and Risk Management Using Options</w:t>
      </w:r>
      <w:r>
        <w:t>. [online] The Global Treasurer. Available at: https://www.theglobaltreasurer.com/2007/09/24/hedging-and-risk-management-using-options/.</w:t>
      </w:r>
    </w:p>
    <w:p w14:paraId="04F9B13C" w14:textId="77777777" w:rsidR="00B52119" w:rsidRDefault="00B52119" w:rsidP="00B52119">
      <w:pPr>
        <w:pStyle w:val="NormalWeb"/>
        <w:spacing w:before="0" w:beforeAutospacing="0" w:after="240" w:afterAutospacing="0" w:line="360" w:lineRule="auto"/>
      </w:pPr>
      <w:r>
        <w:t xml:space="preserve">Triantis, A.J. (2005). Corporate Risk Management: Real Options and Financial Hedging. </w:t>
      </w:r>
      <w:r>
        <w:rPr>
          <w:i/>
          <w:iCs/>
        </w:rPr>
        <w:t>Springer eBooks</w:t>
      </w:r>
      <w:r>
        <w:t xml:space="preserve">, pp.591–608. </w:t>
      </w:r>
      <w:proofErr w:type="spellStart"/>
      <w:r>
        <w:t>doi:https</w:t>
      </w:r>
      <w:proofErr w:type="spellEnd"/>
      <w:r>
        <w:t>://doi.org/10.1007/3-540-26993-2_30.</w:t>
      </w:r>
    </w:p>
    <w:p w14:paraId="7A10F13B" w14:textId="77777777" w:rsidR="00B52119" w:rsidRDefault="00B52119" w:rsidP="00B52119">
      <w:pPr>
        <w:pStyle w:val="NormalWeb"/>
        <w:spacing w:before="0" w:beforeAutospacing="0" w:after="240" w:afterAutospacing="0" w:line="360" w:lineRule="auto"/>
      </w:pPr>
      <w:r>
        <w:t xml:space="preserve">Yates, T. (2020). </w:t>
      </w:r>
      <w:r>
        <w:rPr>
          <w:i/>
          <w:iCs/>
        </w:rPr>
        <w:t>What Are the Best Hedging Strategies?</w:t>
      </w:r>
      <w:r>
        <w:t xml:space="preserve"> [online] Investopedia. Available at: https://www.investopedia.com/articles/optioninvestor/07/affordable-hedging.asp.</w:t>
      </w:r>
    </w:p>
    <w:p w14:paraId="21EDFCF0" w14:textId="77777777" w:rsidR="00B52119" w:rsidRPr="00B52119" w:rsidRDefault="00B52119" w:rsidP="00B52119"/>
    <w:sectPr w:rsidR="00B52119" w:rsidRPr="00B52119" w:rsidSect="002C7C29">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57788C" w14:textId="77777777" w:rsidR="002C7C29" w:rsidRDefault="002C7C29" w:rsidP="000F4BA8">
      <w:pPr>
        <w:spacing w:after="0" w:line="240" w:lineRule="auto"/>
      </w:pPr>
      <w:r>
        <w:separator/>
      </w:r>
    </w:p>
  </w:endnote>
  <w:endnote w:type="continuationSeparator" w:id="0">
    <w:p w14:paraId="555AD84F" w14:textId="77777777" w:rsidR="002C7C29" w:rsidRDefault="002C7C29" w:rsidP="000F4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B6821B" w14:textId="1F40EB20" w:rsidR="000F4BA8" w:rsidRDefault="000F4BA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679530" w14:textId="77777777" w:rsidR="002C7C29" w:rsidRDefault="002C7C29" w:rsidP="000F4BA8">
      <w:pPr>
        <w:spacing w:after="0" w:line="240" w:lineRule="auto"/>
      </w:pPr>
      <w:r>
        <w:separator/>
      </w:r>
    </w:p>
  </w:footnote>
  <w:footnote w:type="continuationSeparator" w:id="0">
    <w:p w14:paraId="57AAFE49" w14:textId="77777777" w:rsidR="002C7C29" w:rsidRDefault="002C7C29" w:rsidP="000F4B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1E02C1" w14:textId="06FB3E73" w:rsidR="000F4BA8" w:rsidRDefault="000F4BA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B13BDF"/>
    <w:multiLevelType w:val="hybridMultilevel"/>
    <w:tmpl w:val="50760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A7A32"/>
    <w:multiLevelType w:val="hybridMultilevel"/>
    <w:tmpl w:val="540008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218CE"/>
    <w:multiLevelType w:val="hybridMultilevel"/>
    <w:tmpl w:val="4F061A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D117B4"/>
    <w:multiLevelType w:val="hybridMultilevel"/>
    <w:tmpl w:val="A94675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D33C92"/>
    <w:multiLevelType w:val="hybridMultilevel"/>
    <w:tmpl w:val="9FCAA9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A62807"/>
    <w:multiLevelType w:val="hybridMultilevel"/>
    <w:tmpl w:val="2AA41D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7D3721"/>
    <w:multiLevelType w:val="hybridMultilevel"/>
    <w:tmpl w:val="7BF25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064371">
    <w:abstractNumId w:val="2"/>
  </w:num>
  <w:num w:numId="2" w16cid:durableId="1295283766">
    <w:abstractNumId w:val="4"/>
  </w:num>
  <w:num w:numId="3" w16cid:durableId="1626348308">
    <w:abstractNumId w:val="5"/>
  </w:num>
  <w:num w:numId="4" w16cid:durableId="178786319">
    <w:abstractNumId w:val="3"/>
  </w:num>
  <w:num w:numId="5" w16cid:durableId="713582663">
    <w:abstractNumId w:val="1"/>
  </w:num>
  <w:num w:numId="6" w16cid:durableId="2142916123">
    <w:abstractNumId w:val="0"/>
  </w:num>
  <w:num w:numId="7" w16cid:durableId="1160730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41B9"/>
    <w:rsid w:val="00006F97"/>
    <w:rsid w:val="000A51E0"/>
    <w:rsid w:val="000D4BA4"/>
    <w:rsid w:val="000F4BA8"/>
    <w:rsid w:val="00175D59"/>
    <w:rsid w:val="001C47DC"/>
    <w:rsid w:val="001F6204"/>
    <w:rsid w:val="00295312"/>
    <w:rsid w:val="002C7C29"/>
    <w:rsid w:val="002E4665"/>
    <w:rsid w:val="00345CE2"/>
    <w:rsid w:val="00362E52"/>
    <w:rsid w:val="00394AA5"/>
    <w:rsid w:val="00430DE4"/>
    <w:rsid w:val="004D79F2"/>
    <w:rsid w:val="00502416"/>
    <w:rsid w:val="00564A09"/>
    <w:rsid w:val="005A41B9"/>
    <w:rsid w:val="005E7006"/>
    <w:rsid w:val="006D23AF"/>
    <w:rsid w:val="007A47E5"/>
    <w:rsid w:val="0080359E"/>
    <w:rsid w:val="00966F4F"/>
    <w:rsid w:val="00987851"/>
    <w:rsid w:val="009A1E20"/>
    <w:rsid w:val="00A70970"/>
    <w:rsid w:val="00B52119"/>
    <w:rsid w:val="00B808EE"/>
    <w:rsid w:val="00B85A0B"/>
    <w:rsid w:val="00BC7F8D"/>
    <w:rsid w:val="00C10AE1"/>
    <w:rsid w:val="00CB37A6"/>
    <w:rsid w:val="00CF5CAE"/>
    <w:rsid w:val="00D330D3"/>
    <w:rsid w:val="00DC17C5"/>
    <w:rsid w:val="00DD3FCE"/>
    <w:rsid w:val="00E74E9A"/>
    <w:rsid w:val="00E83A10"/>
    <w:rsid w:val="00E90954"/>
    <w:rsid w:val="00F25901"/>
    <w:rsid w:val="00F5175E"/>
    <w:rsid w:val="00FE1F21"/>
    <w:rsid w:val="00FE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CCD02"/>
  <w15:docId w15:val="{D8882B43-E7F2-4DFE-BB31-17067BBA1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9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5C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5C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1E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F25901"/>
    <w:pPr>
      <w:ind w:left="720"/>
      <w:contextualSpacing/>
    </w:pPr>
  </w:style>
  <w:style w:type="character" w:customStyle="1" w:styleId="Heading1Char">
    <w:name w:val="Heading 1 Char"/>
    <w:basedOn w:val="DefaultParagraphFont"/>
    <w:link w:val="Heading1"/>
    <w:uiPriority w:val="9"/>
    <w:rsid w:val="00F2590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5C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5CE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5175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5175E"/>
    <w:rPr>
      <w:rFonts w:eastAsiaTheme="minorEastAsia"/>
      <w:kern w:val="0"/>
      <w:lang w:val="en-US"/>
    </w:rPr>
  </w:style>
  <w:style w:type="paragraph" w:styleId="TOCHeading">
    <w:name w:val="TOC Heading"/>
    <w:basedOn w:val="Heading1"/>
    <w:next w:val="Normal"/>
    <w:uiPriority w:val="39"/>
    <w:unhideWhenUsed/>
    <w:qFormat/>
    <w:rsid w:val="00B52119"/>
    <w:pPr>
      <w:outlineLvl w:val="9"/>
    </w:pPr>
    <w:rPr>
      <w:kern w:val="0"/>
      <w:lang w:val="en-US"/>
    </w:rPr>
  </w:style>
  <w:style w:type="paragraph" w:styleId="TOC1">
    <w:name w:val="toc 1"/>
    <w:basedOn w:val="Normal"/>
    <w:next w:val="Normal"/>
    <w:autoRedefine/>
    <w:uiPriority w:val="39"/>
    <w:unhideWhenUsed/>
    <w:rsid w:val="00B52119"/>
    <w:pPr>
      <w:spacing w:after="100"/>
    </w:pPr>
  </w:style>
  <w:style w:type="paragraph" w:styleId="TOC2">
    <w:name w:val="toc 2"/>
    <w:basedOn w:val="Normal"/>
    <w:next w:val="Normal"/>
    <w:autoRedefine/>
    <w:uiPriority w:val="39"/>
    <w:unhideWhenUsed/>
    <w:rsid w:val="00B52119"/>
    <w:pPr>
      <w:spacing w:after="100"/>
      <w:ind w:left="220"/>
    </w:pPr>
  </w:style>
  <w:style w:type="paragraph" w:styleId="TOC3">
    <w:name w:val="toc 3"/>
    <w:basedOn w:val="Normal"/>
    <w:next w:val="Normal"/>
    <w:autoRedefine/>
    <w:uiPriority w:val="39"/>
    <w:unhideWhenUsed/>
    <w:rsid w:val="00B52119"/>
    <w:pPr>
      <w:spacing w:after="100"/>
      <w:ind w:left="440"/>
    </w:pPr>
  </w:style>
  <w:style w:type="character" w:styleId="Hyperlink">
    <w:name w:val="Hyperlink"/>
    <w:basedOn w:val="DefaultParagraphFont"/>
    <w:uiPriority w:val="99"/>
    <w:unhideWhenUsed/>
    <w:rsid w:val="00B521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84964">
      <w:bodyDiv w:val="1"/>
      <w:marLeft w:val="0"/>
      <w:marRight w:val="0"/>
      <w:marTop w:val="0"/>
      <w:marBottom w:val="0"/>
      <w:divBdr>
        <w:top w:val="none" w:sz="0" w:space="0" w:color="auto"/>
        <w:left w:val="none" w:sz="0" w:space="0" w:color="auto"/>
        <w:bottom w:val="none" w:sz="0" w:space="0" w:color="auto"/>
        <w:right w:val="none" w:sz="0" w:space="0" w:color="auto"/>
      </w:divBdr>
    </w:div>
    <w:div w:id="325401943">
      <w:bodyDiv w:val="1"/>
      <w:marLeft w:val="0"/>
      <w:marRight w:val="0"/>
      <w:marTop w:val="0"/>
      <w:marBottom w:val="0"/>
      <w:divBdr>
        <w:top w:val="none" w:sz="0" w:space="0" w:color="auto"/>
        <w:left w:val="none" w:sz="0" w:space="0" w:color="auto"/>
        <w:bottom w:val="none" w:sz="0" w:space="0" w:color="auto"/>
        <w:right w:val="none" w:sz="0" w:space="0" w:color="auto"/>
      </w:divBdr>
    </w:div>
    <w:div w:id="379477979">
      <w:bodyDiv w:val="1"/>
      <w:marLeft w:val="0"/>
      <w:marRight w:val="0"/>
      <w:marTop w:val="0"/>
      <w:marBottom w:val="0"/>
      <w:divBdr>
        <w:top w:val="none" w:sz="0" w:space="0" w:color="auto"/>
        <w:left w:val="none" w:sz="0" w:space="0" w:color="auto"/>
        <w:bottom w:val="none" w:sz="0" w:space="0" w:color="auto"/>
        <w:right w:val="none" w:sz="0" w:space="0" w:color="auto"/>
      </w:divBdr>
    </w:div>
    <w:div w:id="749035923">
      <w:bodyDiv w:val="1"/>
      <w:marLeft w:val="0"/>
      <w:marRight w:val="0"/>
      <w:marTop w:val="0"/>
      <w:marBottom w:val="0"/>
      <w:divBdr>
        <w:top w:val="none" w:sz="0" w:space="0" w:color="auto"/>
        <w:left w:val="none" w:sz="0" w:space="0" w:color="auto"/>
        <w:bottom w:val="none" w:sz="0" w:space="0" w:color="auto"/>
        <w:right w:val="none" w:sz="0" w:space="0" w:color="auto"/>
      </w:divBdr>
      <w:divsChild>
        <w:div w:id="598609965">
          <w:marLeft w:val="0"/>
          <w:marRight w:val="0"/>
          <w:marTop w:val="0"/>
          <w:marBottom w:val="0"/>
          <w:divBdr>
            <w:top w:val="none" w:sz="0" w:space="0" w:color="auto"/>
            <w:left w:val="none" w:sz="0" w:space="0" w:color="auto"/>
            <w:bottom w:val="none" w:sz="0" w:space="0" w:color="auto"/>
            <w:right w:val="none" w:sz="0" w:space="0" w:color="auto"/>
          </w:divBdr>
        </w:div>
      </w:divsChild>
    </w:div>
    <w:div w:id="1081559912">
      <w:bodyDiv w:val="1"/>
      <w:marLeft w:val="0"/>
      <w:marRight w:val="0"/>
      <w:marTop w:val="0"/>
      <w:marBottom w:val="0"/>
      <w:divBdr>
        <w:top w:val="none" w:sz="0" w:space="0" w:color="auto"/>
        <w:left w:val="none" w:sz="0" w:space="0" w:color="auto"/>
        <w:bottom w:val="none" w:sz="0" w:space="0" w:color="auto"/>
        <w:right w:val="none" w:sz="0" w:space="0" w:color="auto"/>
      </w:divBdr>
    </w:div>
    <w:div w:id="1094787498">
      <w:bodyDiv w:val="1"/>
      <w:marLeft w:val="0"/>
      <w:marRight w:val="0"/>
      <w:marTop w:val="0"/>
      <w:marBottom w:val="0"/>
      <w:divBdr>
        <w:top w:val="none" w:sz="0" w:space="0" w:color="auto"/>
        <w:left w:val="none" w:sz="0" w:space="0" w:color="auto"/>
        <w:bottom w:val="none" w:sz="0" w:space="0" w:color="auto"/>
        <w:right w:val="none" w:sz="0" w:space="0" w:color="auto"/>
      </w:divBdr>
    </w:div>
    <w:div w:id="1242829475">
      <w:bodyDiv w:val="1"/>
      <w:marLeft w:val="0"/>
      <w:marRight w:val="0"/>
      <w:marTop w:val="0"/>
      <w:marBottom w:val="0"/>
      <w:divBdr>
        <w:top w:val="none" w:sz="0" w:space="0" w:color="auto"/>
        <w:left w:val="none" w:sz="0" w:space="0" w:color="auto"/>
        <w:bottom w:val="none" w:sz="0" w:space="0" w:color="auto"/>
        <w:right w:val="none" w:sz="0" w:space="0" w:color="auto"/>
      </w:divBdr>
    </w:div>
    <w:div w:id="1263684940">
      <w:bodyDiv w:val="1"/>
      <w:marLeft w:val="0"/>
      <w:marRight w:val="0"/>
      <w:marTop w:val="0"/>
      <w:marBottom w:val="0"/>
      <w:divBdr>
        <w:top w:val="none" w:sz="0" w:space="0" w:color="auto"/>
        <w:left w:val="none" w:sz="0" w:space="0" w:color="auto"/>
        <w:bottom w:val="none" w:sz="0" w:space="0" w:color="auto"/>
        <w:right w:val="none" w:sz="0" w:space="0" w:color="auto"/>
      </w:divBdr>
    </w:div>
    <w:div w:id="1296989706">
      <w:bodyDiv w:val="1"/>
      <w:marLeft w:val="0"/>
      <w:marRight w:val="0"/>
      <w:marTop w:val="0"/>
      <w:marBottom w:val="0"/>
      <w:divBdr>
        <w:top w:val="none" w:sz="0" w:space="0" w:color="auto"/>
        <w:left w:val="none" w:sz="0" w:space="0" w:color="auto"/>
        <w:bottom w:val="none" w:sz="0" w:space="0" w:color="auto"/>
        <w:right w:val="none" w:sz="0" w:space="0" w:color="auto"/>
      </w:divBdr>
    </w:div>
    <w:div w:id="1371227758">
      <w:bodyDiv w:val="1"/>
      <w:marLeft w:val="0"/>
      <w:marRight w:val="0"/>
      <w:marTop w:val="0"/>
      <w:marBottom w:val="0"/>
      <w:divBdr>
        <w:top w:val="none" w:sz="0" w:space="0" w:color="auto"/>
        <w:left w:val="none" w:sz="0" w:space="0" w:color="auto"/>
        <w:bottom w:val="none" w:sz="0" w:space="0" w:color="auto"/>
        <w:right w:val="none" w:sz="0" w:space="0" w:color="auto"/>
      </w:divBdr>
    </w:div>
    <w:div w:id="1455366260">
      <w:bodyDiv w:val="1"/>
      <w:marLeft w:val="0"/>
      <w:marRight w:val="0"/>
      <w:marTop w:val="0"/>
      <w:marBottom w:val="0"/>
      <w:divBdr>
        <w:top w:val="none" w:sz="0" w:space="0" w:color="auto"/>
        <w:left w:val="none" w:sz="0" w:space="0" w:color="auto"/>
        <w:bottom w:val="none" w:sz="0" w:space="0" w:color="auto"/>
        <w:right w:val="none" w:sz="0" w:space="0" w:color="auto"/>
      </w:divBdr>
    </w:div>
    <w:div w:id="1635670201">
      <w:bodyDiv w:val="1"/>
      <w:marLeft w:val="0"/>
      <w:marRight w:val="0"/>
      <w:marTop w:val="0"/>
      <w:marBottom w:val="0"/>
      <w:divBdr>
        <w:top w:val="none" w:sz="0" w:space="0" w:color="auto"/>
        <w:left w:val="none" w:sz="0" w:space="0" w:color="auto"/>
        <w:bottom w:val="none" w:sz="0" w:space="0" w:color="auto"/>
        <w:right w:val="none" w:sz="0" w:space="0" w:color="auto"/>
      </w:divBdr>
    </w:div>
    <w:div w:id="1667509757">
      <w:bodyDiv w:val="1"/>
      <w:marLeft w:val="0"/>
      <w:marRight w:val="0"/>
      <w:marTop w:val="0"/>
      <w:marBottom w:val="0"/>
      <w:divBdr>
        <w:top w:val="none" w:sz="0" w:space="0" w:color="auto"/>
        <w:left w:val="none" w:sz="0" w:space="0" w:color="auto"/>
        <w:bottom w:val="none" w:sz="0" w:space="0" w:color="auto"/>
        <w:right w:val="none" w:sz="0" w:space="0" w:color="auto"/>
      </w:divBdr>
    </w:div>
    <w:div w:id="1846507444">
      <w:bodyDiv w:val="1"/>
      <w:marLeft w:val="0"/>
      <w:marRight w:val="0"/>
      <w:marTop w:val="0"/>
      <w:marBottom w:val="0"/>
      <w:divBdr>
        <w:top w:val="none" w:sz="0" w:space="0" w:color="auto"/>
        <w:left w:val="none" w:sz="0" w:space="0" w:color="auto"/>
        <w:bottom w:val="none" w:sz="0" w:space="0" w:color="auto"/>
        <w:right w:val="none" w:sz="0" w:space="0" w:color="auto"/>
      </w:divBdr>
    </w:div>
    <w:div w:id="1952391233">
      <w:bodyDiv w:val="1"/>
      <w:marLeft w:val="0"/>
      <w:marRight w:val="0"/>
      <w:marTop w:val="0"/>
      <w:marBottom w:val="0"/>
      <w:divBdr>
        <w:top w:val="none" w:sz="0" w:space="0" w:color="auto"/>
        <w:left w:val="none" w:sz="0" w:space="0" w:color="auto"/>
        <w:bottom w:val="none" w:sz="0" w:space="0" w:color="auto"/>
        <w:right w:val="none" w:sz="0" w:space="0" w:color="auto"/>
      </w:divBdr>
    </w:div>
    <w:div w:id="2016029138">
      <w:bodyDiv w:val="1"/>
      <w:marLeft w:val="0"/>
      <w:marRight w:val="0"/>
      <w:marTop w:val="0"/>
      <w:marBottom w:val="0"/>
      <w:divBdr>
        <w:top w:val="none" w:sz="0" w:space="0" w:color="auto"/>
        <w:left w:val="none" w:sz="0" w:space="0" w:color="auto"/>
        <w:bottom w:val="none" w:sz="0" w:space="0" w:color="auto"/>
        <w:right w:val="none" w:sz="0" w:space="0" w:color="auto"/>
      </w:divBdr>
    </w:div>
    <w:div w:id="2023437631">
      <w:bodyDiv w:val="1"/>
      <w:marLeft w:val="0"/>
      <w:marRight w:val="0"/>
      <w:marTop w:val="0"/>
      <w:marBottom w:val="0"/>
      <w:divBdr>
        <w:top w:val="none" w:sz="0" w:space="0" w:color="auto"/>
        <w:left w:val="none" w:sz="0" w:space="0" w:color="auto"/>
        <w:bottom w:val="none" w:sz="0" w:space="0" w:color="auto"/>
        <w:right w:val="none" w:sz="0" w:space="0" w:color="auto"/>
      </w:divBdr>
    </w:div>
    <w:div w:id="2033410005">
      <w:bodyDiv w:val="1"/>
      <w:marLeft w:val="0"/>
      <w:marRight w:val="0"/>
      <w:marTop w:val="0"/>
      <w:marBottom w:val="0"/>
      <w:divBdr>
        <w:top w:val="none" w:sz="0" w:space="0" w:color="auto"/>
        <w:left w:val="none" w:sz="0" w:space="0" w:color="auto"/>
        <w:bottom w:val="none" w:sz="0" w:space="0" w:color="auto"/>
        <w:right w:val="none" w:sz="0" w:space="0" w:color="auto"/>
      </w:divBdr>
    </w:div>
    <w:div w:id="21009789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Word Count: 1500 words.</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4857A5-64DA-4DE7-ABE4-601954BBE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1968</Words>
  <Characters>11221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International fINANCIAL MANAGEMENT</vt:lpstr>
    </vt:vector>
  </TitlesOfParts>
  <Company>SAP</Company>
  <LinksUpToDate>false</LinksUpToDate>
  <CharactersWithSpaces>13163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Module Code: LCBB6002</dc:subject>
  <dc:creator>Student Name: XYZ</dc:creator>
  <cp:keywords/>
  <dc:description/>
  <cp:lastModifiedBy>sali refat</cp:lastModifiedBy>
  <cp:revision>9</cp:revision>
  <dcterms:created xsi:type="dcterms:W3CDTF">2024-03-25T11:15:00Z</dcterms:created>
  <dcterms:modified xsi:type="dcterms:W3CDTF">2024-04-01T20:35:00Z</dcterms:modified>
</cp:coreProperties>
</file>