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3B34" w:rsidRPr="00654CA4" w:rsidRDefault="00173B34" w:rsidP="00173B34">
      <w:pPr>
        <w:rPr>
          <w:rFonts w:ascii="Arial" w:hAnsi="Arial" w:cs="Arial"/>
          <w:b/>
          <w:bCs/>
        </w:rPr>
      </w:pPr>
      <w:r w:rsidRPr="00654CA4">
        <w:rPr>
          <w:rFonts w:ascii="Arial" w:hAnsi="Arial" w:cs="Arial"/>
          <w:b/>
          <w:bCs/>
        </w:rPr>
        <w:t>The changes made to the Personal Injury Small Claims procedure on 31 May 2021, will result in more cases being brought by litigants in person (without a legal representative). Discuss.</w:t>
      </w:r>
    </w:p>
    <w:p w:rsidR="00173B34" w:rsidRPr="00654CA4" w:rsidRDefault="00173B34" w:rsidP="00173B34">
      <w:pPr>
        <w:rPr>
          <w:rFonts w:ascii="Arial" w:eastAsia="Times New Roman" w:hAnsi="Arial" w:cs="Arial"/>
          <w:color w:val="000000" w:themeColor="text1"/>
          <w:lang w:eastAsia="en-GB"/>
        </w:rPr>
      </w:pPr>
    </w:p>
    <w:p w:rsidR="00173B34" w:rsidRPr="00654CA4" w:rsidRDefault="00173B34" w:rsidP="00173B34">
      <w:pPr>
        <w:rPr>
          <w:rFonts w:ascii="Calibri" w:eastAsia="Times New Roman" w:hAnsi="Calibri" w:cs="Calibri"/>
          <w:color w:val="000000" w:themeColor="text1"/>
          <w:sz w:val="22"/>
          <w:szCs w:val="22"/>
          <w:lang w:eastAsia="en-GB"/>
        </w:rPr>
      </w:pPr>
      <w:bookmarkStart w:id="0" w:name="_GoBack"/>
      <w:bookmarkEnd w:id="0"/>
    </w:p>
    <w:p w:rsidR="00173B34" w:rsidRPr="00654CA4" w:rsidRDefault="00173B34" w:rsidP="00173B34">
      <w:pPr>
        <w:jc w:val="both"/>
        <w:rPr>
          <w:rFonts w:ascii="Arial" w:hAnsi="Arial" w:cs="Arial"/>
        </w:rPr>
      </w:pPr>
      <w:r w:rsidRPr="00654CA4">
        <w:rPr>
          <w:rFonts w:ascii="Arial" w:hAnsi="Arial" w:cs="Arial"/>
        </w:rPr>
        <w:t>To introduce the relevant legislative framework in this essay, Part 26 of the CPR (the system of procedural governance concerning civil law) generally deals with case management and therefore the relevant small claims track, whilst CPR Rule 26.6A outlines the current law regarding road traffic accident related personal injury claims. Importantly in this essay, the UK government amended the Small Claims procedure (CPR Rule 26.6) on May 31</w:t>
      </w:r>
      <w:proofErr w:type="gramStart"/>
      <w:r w:rsidRPr="00654CA4">
        <w:rPr>
          <w:rFonts w:ascii="Arial" w:hAnsi="Arial" w:cs="Arial"/>
          <w:vertAlign w:val="superscript"/>
        </w:rPr>
        <w:t>st</w:t>
      </w:r>
      <w:r w:rsidRPr="00654CA4">
        <w:rPr>
          <w:rFonts w:ascii="Arial" w:hAnsi="Arial" w:cs="Arial"/>
        </w:rPr>
        <w:t xml:space="preserve">  2021</w:t>
      </w:r>
      <w:proofErr w:type="gramEnd"/>
      <w:r w:rsidRPr="00654CA4">
        <w:rPr>
          <w:rFonts w:ascii="Arial" w:hAnsi="Arial" w:cs="Arial"/>
        </w:rPr>
        <w:t xml:space="preserve">. This procedure namely concerned low-value road traffic accidents related personal injury claims, thus largely consisting of 'whiplash claims.' The revisions apply to road traffic accidents claims amounting to less than £5,000. The limit for small claim road traffic accidents prior to 2021 was £1000. This has now increased to £5000. All other categories of personal injury claims will have their small claims limit raised from £1,000 to £1,500. Legal fees are no longer recoverable against the other party if the harm is less than £5,000, save in restricted circumstances. In light of these developments, it is argued that Claimants will be able to resolve such small claims online themselves rather than invoking the Court process and therefore hiring legal representation. It is predicted that many whiplash cases will fail to meet the new increased limit, therefore requiring the claimant to file their own claim online through The Official Injury Claim online website </w:t>
      </w:r>
      <w:proofErr w:type="gramStart"/>
      <w:r w:rsidRPr="00654CA4">
        <w:rPr>
          <w:rFonts w:ascii="Arial" w:hAnsi="Arial" w:cs="Arial"/>
        </w:rPr>
        <w:t>as  litigant</w:t>
      </w:r>
      <w:proofErr w:type="gramEnd"/>
      <w:r w:rsidRPr="00654CA4">
        <w:rPr>
          <w:rFonts w:ascii="Arial" w:hAnsi="Arial" w:cs="Arial"/>
        </w:rPr>
        <w:t xml:space="preserve"> in person, who represents oneself, relying on their own knowledge of the law, without a lawyer present. (Ministry of Justice, 2022). The Official Injury Claim (2021) statistics outlined that out of the 45,718 claims processed in 2021, 4,331 of these were brought by litigants in person. </w:t>
      </w: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r w:rsidRPr="00654CA4">
        <w:rPr>
          <w:rFonts w:ascii="Arial" w:hAnsi="Arial" w:cs="Arial"/>
        </w:rPr>
        <w:t xml:space="preserve">The introduction of The Whiplash Regulations 2021 reforms </w:t>
      </w:r>
      <w:proofErr w:type="gramStart"/>
      <w:r w:rsidRPr="00654CA4">
        <w:rPr>
          <w:rFonts w:ascii="Arial" w:hAnsi="Arial" w:cs="Arial"/>
        </w:rPr>
        <w:t>were</w:t>
      </w:r>
      <w:proofErr w:type="gramEnd"/>
      <w:r w:rsidRPr="00654CA4">
        <w:rPr>
          <w:rFonts w:ascii="Arial" w:hAnsi="Arial" w:cs="Arial"/>
        </w:rPr>
        <w:t xml:space="preserve"> largely justified on the basis of the escalating number of fraudulent whiplash claims. This can be contrasted to the 15 million ‘frivolous’ lawsuits that are initiated in the United States every year. Tort reform is a controversial and polarizing matter in the United States, though as Hilton (2003) states ‘It is not as bad yet [in the UK] as in the United States, for which we should be grateful.’ Lowe et al., (2002: 21), define such compensation culture as ‘the desire of individuals to sue somebody, having suffered as a result of something which could have been avoided if the sued body had done their job properly,’ whilst the former Lord Chancellor Lord </w:t>
      </w:r>
      <w:proofErr w:type="spellStart"/>
      <w:r w:rsidRPr="00654CA4">
        <w:rPr>
          <w:rFonts w:ascii="Arial" w:hAnsi="Arial" w:cs="Arial"/>
        </w:rPr>
        <w:t>Falcolner</w:t>
      </w:r>
      <w:proofErr w:type="spellEnd"/>
      <w:r w:rsidRPr="00654CA4">
        <w:rPr>
          <w:rFonts w:ascii="Arial" w:hAnsi="Arial" w:cs="Arial"/>
        </w:rPr>
        <w:t xml:space="preserve"> (2005) defined compensation culture as ‘a catch-all expression. . . It’s the idea that for every accident someone is at fault. For every injury, someone to blame. And, perhaps most damaging, for every accident, there is someone to pay.’</w:t>
      </w: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r w:rsidRPr="00654CA4">
        <w:rPr>
          <w:rFonts w:ascii="Arial" w:hAnsi="Arial" w:cs="Arial"/>
        </w:rPr>
        <w:t xml:space="preserve">Interestingly, tort reform advocates recommend limiting the capacity to bring claims by implementing procedural restrictions and restricting damage awards (Dobbs et al., 2017). the English </w:t>
      </w:r>
      <w:r w:rsidRPr="00654CA4">
        <w:rPr>
          <w:rFonts w:ascii="Arial" w:eastAsia="Times New Roman" w:hAnsi="Arial" w:cs="Arial"/>
          <w:color w:val="000000" w:themeColor="text1"/>
          <w:lang w:eastAsia="en-GB"/>
        </w:rPr>
        <w:t xml:space="preserve">Limitation Act of 1980 (Section 11) filters personal injury claims by prescribing a </w:t>
      </w:r>
      <w:r w:rsidR="00854203" w:rsidRPr="00654CA4">
        <w:rPr>
          <w:rFonts w:ascii="Arial" w:eastAsia="Times New Roman" w:hAnsi="Arial" w:cs="Arial"/>
          <w:color w:val="000000" w:themeColor="text1"/>
          <w:lang w:eastAsia="en-GB"/>
        </w:rPr>
        <w:t>three</w:t>
      </w:r>
      <w:r w:rsidR="00854203">
        <w:rPr>
          <w:rFonts w:ascii="Arial" w:eastAsia="Times New Roman" w:hAnsi="Arial" w:cs="Arial"/>
          <w:color w:val="000000" w:themeColor="text1"/>
          <w:lang w:eastAsia="en-GB"/>
        </w:rPr>
        <w:t>-year</w:t>
      </w:r>
      <w:r w:rsidRPr="00654CA4">
        <w:rPr>
          <w:rFonts w:ascii="Arial" w:eastAsia="Times New Roman" w:hAnsi="Arial" w:cs="Arial"/>
          <w:color w:val="000000" w:themeColor="text1"/>
          <w:lang w:eastAsia="en-GB"/>
        </w:rPr>
        <w:t xml:space="preserve"> time limit to bring a claim from the date of injury or act of negligence (i.e. the date of the road traffic accident). However, if a claimant later learns of their injury (which was caused by negligence), under Section 14 of the Limitation Act 1980, the claimant has three years from when they ‘discovered’ their injury, harm or medical condition.</w:t>
      </w: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r w:rsidRPr="00654CA4">
        <w:rPr>
          <w:rFonts w:ascii="Arial" w:hAnsi="Arial" w:cs="Arial"/>
        </w:rPr>
        <w:t xml:space="preserve">The aim of the Whiplash Regulations 2021 </w:t>
      </w:r>
      <w:proofErr w:type="gramStart"/>
      <w:r w:rsidRPr="00654CA4">
        <w:rPr>
          <w:rFonts w:ascii="Arial" w:hAnsi="Arial" w:cs="Arial"/>
        </w:rPr>
        <w:t>are</w:t>
      </w:r>
      <w:proofErr w:type="gramEnd"/>
      <w:r w:rsidRPr="00654CA4">
        <w:rPr>
          <w:rFonts w:ascii="Arial" w:hAnsi="Arial" w:cs="Arial"/>
        </w:rPr>
        <w:t xml:space="preserve"> to limit the frequency of whiplash-related claims and ensure that legitimately harmed claimants receive appropriate compensation The amendments likewise seek to decrease the general court cost of whiplash claims, with the expectation that doing so would culminate in cheaper insurance premiums for road users. However, there is legitimate worry that the aforementioned whiplash legislation would limit access to the courts for individuals who have suffered injuries due to no fault negligence of their own by discouraging and perhaps deterring legitimately harmed individuals from obtaining the compensation or damages that they are entitled to. This coupled with the effects of The Legal Aid, Sentencing and Punishment of Offenders Act 2012 will no doubt, lead to an increase of litigants in person. The Legal Aid, Sentencing and Punishment of Offenders Act 2012 made public funding in civil cases only available in very exceptional cases</w:t>
      </w:r>
      <w:r>
        <w:rPr>
          <w:rFonts w:ascii="Arial" w:hAnsi="Arial" w:cs="Arial"/>
        </w:rPr>
        <w:t xml:space="preserve"> and it made the </w:t>
      </w:r>
      <w:r w:rsidRPr="00654CA4">
        <w:rPr>
          <w:rFonts w:ascii="Arial" w:hAnsi="Arial" w:cs="Arial"/>
        </w:rPr>
        <w:t>recovery of success fees from a negligent third party is no longer possible</w:t>
      </w:r>
      <w:r>
        <w:rPr>
          <w:rFonts w:ascii="Arial" w:hAnsi="Arial" w:cs="Arial"/>
        </w:rPr>
        <w:t xml:space="preserve"> by replacing such solicitor fees with Damages Based Agreements, thus, this piece of legislation is often seen as a denial in the access of justice by affecting the poorest members of society. Though the </w:t>
      </w:r>
      <w:r w:rsidRPr="00654CA4">
        <w:rPr>
          <w:rFonts w:ascii="Arial" w:hAnsi="Arial" w:cs="Arial"/>
        </w:rPr>
        <w:t>Legal Aid, Sentencing and Punishment of Offenders Act 2012</w:t>
      </w:r>
      <w:r>
        <w:rPr>
          <w:rFonts w:ascii="Arial" w:hAnsi="Arial" w:cs="Arial"/>
        </w:rPr>
        <w:t xml:space="preserve"> in its inception, sought to reduce growing litigation and court costs, the ban on lawyer referral fees meant that in practice, an individual that suffers a road traffic accident and the accident is valued at less than £5000, lawyers would be unable to represent such an individual—forcing them to become a litigant in person. Furthermore, the </w:t>
      </w:r>
      <w:r w:rsidRPr="00654CA4">
        <w:rPr>
          <w:rFonts w:ascii="Arial" w:hAnsi="Arial" w:cs="Arial"/>
        </w:rPr>
        <w:t>Legal Aid, Sentencing and Punishment of Offenders Act 2012</w:t>
      </w:r>
      <w:r>
        <w:rPr>
          <w:rFonts w:ascii="Arial" w:hAnsi="Arial" w:cs="Arial"/>
        </w:rPr>
        <w:t xml:space="preserve"> </w:t>
      </w:r>
      <w:proofErr w:type="gramStart"/>
      <w:r>
        <w:rPr>
          <w:rFonts w:ascii="Arial" w:hAnsi="Arial" w:cs="Arial"/>
        </w:rPr>
        <w:t>caused  ‘</w:t>
      </w:r>
      <w:proofErr w:type="gramEnd"/>
      <w:r w:rsidRPr="0024010C">
        <w:rPr>
          <w:rFonts w:ascii="Arial" w:hAnsi="Arial" w:cs="Arial"/>
        </w:rPr>
        <w:t>a significant shift in funds and power away from injury victims to the benefit of the already very wealthy insurance industry</w:t>
      </w:r>
      <w:r>
        <w:rPr>
          <w:rFonts w:ascii="Arial" w:hAnsi="Arial" w:cs="Arial"/>
        </w:rPr>
        <w:t>’ (</w:t>
      </w:r>
      <w:proofErr w:type="spellStart"/>
      <w:r>
        <w:rPr>
          <w:rFonts w:ascii="Arial" w:hAnsi="Arial" w:cs="Arial"/>
        </w:rPr>
        <w:t>Stilliard</w:t>
      </w:r>
      <w:proofErr w:type="spellEnd"/>
      <w:r>
        <w:rPr>
          <w:rFonts w:ascii="Arial" w:hAnsi="Arial" w:cs="Arial"/>
        </w:rPr>
        <w:t xml:space="preserve">, 2019). </w:t>
      </w: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r w:rsidRPr="00654CA4">
        <w:rPr>
          <w:rFonts w:ascii="Arial" w:hAnsi="Arial" w:cs="Arial"/>
        </w:rPr>
        <w:t xml:space="preserve">It should be noted that the Human Rights Act protects an individual’s right to fair trial and this could be relevant in this current whiplash reform. Article 6 of the European Convention on Human Rights protects the right to fair trial by guaranteeing access to justice through the Courts. However, Article 6 does not provide individuals with an automatic right to free legal representation in civil matters. Though, if the matter is too difficult for an individual to adequately defend themselves, or make their point known, there may be a potential violation of Article 6 if the State does not </w:t>
      </w:r>
      <w:proofErr w:type="gramStart"/>
      <w:r w:rsidRPr="00654CA4">
        <w:rPr>
          <w:rFonts w:ascii="Arial" w:hAnsi="Arial" w:cs="Arial"/>
        </w:rPr>
        <w:t>provide assistance</w:t>
      </w:r>
      <w:proofErr w:type="gramEnd"/>
      <w:r w:rsidRPr="00654CA4">
        <w:rPr>
          <w:rFonts w:ascii="Arial" w:hAnsi="Arial" w:cs="Arial"/>
        </w:rPr>
        <w:t xml:space="preserve"> with legal fees (Equality and Human Rights Commission, 2022).</w:t>
      </w: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r w:rsidRPr="00654CA4">
        <w:rPr>
          <w:rFonts w:ascii="Arial" w:hAnsi="Arial" w:cs="Arial"/>
        </w:rPr>
        <w:t xml:space="preserve">The Law Society (2022) point out that ‘more personal injury cases will be treated as small claims. Many claimants may decide not to be represented by a solicitor, as they will not be able to recover their costs.’ In certain cases, such litigation may be uncomplicated; nonetheless, should difficulties of establishing liability arise, a Litigant in Person must then negotiate and attempt to settle such concerns by themselves. The Litigant in Person may then have to argue their case in court itself and undertake all the subsequent legal matters related to this, for example, obtaining a medical report (Layton, 2021). The Civil Justice Council (2022) argue that there are two problems with the potentially high increase of litigants in person. The first being that litigants in person possess a ‘justice deficit’ (Zuckerman, 2014) in that they simply will not and do not understand the relevant and applicable substantive law. Given this lack of substantive knowledge, this then poses a second problem in that this ‘place[s] e greater than normal burdens on the litigants themselves, the courts administration and </w:t>
      </w:r>
      <w:r w:rsidRPr="00654CA4">
        <w:rPr>
          <w:rFonts w:ascii="Arial" w:hAnsi="Arial" w:cs="Arial"/>
        </w:rPr>
        <w:lastRenderedPageBreak/>
        <w:t xml:space="preserve">the judiciary to secure an effective process (Civil Justice Council, 2022: 26). Furthermore, ‘litigants are less inclined to seek assistance from sources of free/pro-bono assistance’ (Civil Justice Council, 2022: 26). </w:t>
      </w:r>
      <w:proofErr w:type="spellStart"/>
      <w:r w:rsidRPr="00654CA4">
        <w:rPr>
          <w:rFonts w:ascii="Arial" w:hAnsi="Arial" w:cs="Arial"/>
        </w:rPr>
        <w:t>Harrisson</w:t>
      </w:r>
      <w:proofErr w:type="spellEnd"/>
      <w:r w:rsidRPr="00654CA4">
        <w:rPr>
          <w:rFonts w:ascii="Arial" w:hAnsi="Arial" w:cs="Arial"/>
        </w:rPr>
        <w:t xml:space="preserve"> (2022) contends that there is a lack of clarity around how people with little or no legal knowledge are expected to accurately evaluate the value of their claim, and thus whether or not it should be submitted through OIC platform, whilst The Judiciary’s Equal Treatment Bench Book (2013: 3) states that litigant sin person often ‘lack objectivity and emotional distance from their case.’</w:t>
      </w: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r w:rsidRPr="00654CA4">
        <w:rPr>
          <w:rFonts w:ascii="Arial" w:hAnsi="Arial" w:cs="Arial"/>
        </w:rPr>
        <w:t>Lord Woolf in the Access to Justice Report (1995) stated that ‘all too often the litigant in person is regarded as a problem for judges and for the court system rather than a person for whom the system of civil justice exists,’ whilst Professor Baldwin (1997) stated that ‘it is curious that lay litigants have been regarded … as problems, almost as nuisances for the court system. This has meant that the focus has generally been upon the difficulties that litigants in person pose for the courts rather than the other way around.’ Both make a clear point: The judge's objective ought to be to guarantee that the litigants in person depart with the perception that they were given a fair hearing, irrespective of where liability eventually is found. In order to remedy the aforementioned issues, the Civil Justice Council (2022) argues that the use of pre-action protocols could be particularly utilised in such cases and that a specific pre-action protocol concerning small claims under £500 should exist and that claimants should tick and confirm that they have read and understood the protocol. The protocol would ideally outline in clear terms the appropriate procedure and any relevant undertaking of alternative dispute resolution before the issue of the claim. Furthermore, the Civil Procedure (Amendment No 1) Rules 2021 amendment to the Civil Procedure Rules 1998 (SI1998/3132</w:t>
      </w:r>
      <w:proofErr w:type="gramStart"/>
      <w:r w:rsidRPr="00654CA4">
        <w:rPr>
          <w:rFonts w:ascii="Arial" w:hAnsi="Arial" w:cs="Arial"/>
        </w:rPr>
        <w:t>)  revised</w:t>
      </w:r>
      <w:proofErr w:type="gramEnd"/>
      <w:r w:rsidRPr="00654CA4">
        <w:rPr>
          <w:rFonts w:ascii="Arial" w:hAnsi="Arial" w:cs="Arial"/>
        </w:rPr>
        <w:t xml:space="preserve"> Part 1, the Overriding Objective (enabling the court to deal with cases justly and at proportionate cost) made particular provision for parties being able to fully participate in the Court process. CPR 1.1(2) goes on to state:</w:t>
      </w: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p>
    <w:p w:rsidR="00173B34" w:rsidRPr="00654CA4" w:rsidRDefault="00173B34" w:rsidP="00173B34">
      <w:pPr>
        <w:jc w:val="both"/>
        <w:rPr>
          <w:rFonts w:ascii="Arial" w:hAnsi="Arial" w:cs="Arial"/>
        </w:rPr>
      </w:pPr>
      <w:r w:rsidRPr="00654CA4">
        <w:rPr>
          <w:rFonts w:ascii="Arial" w:hAnsi="Arial" w:cs="Arial"/>
        </w:rPr>
        <w:t>(2) Dealing with a case justly and at proportionate cost includes, so far as is practicable–</w:t>
      </w:r>
    </w:p>
    <w:p w:rsidR="00173B34" w:rsidRPr="00654CA4" w:rsidRDefault="00173B34" w:rsidP="00173B34">
      <w:pPr>
        <w:jc w:val="both"/>
        <w:rPr>
          <w:rFonts w:ascii="Arial" w:hAnsi="Arial" w:cs="Arial"/>
        </w:rPr>
      </w:pPr>
      <w:r w:rsidRPr="00654CA4">
        <w:rPr>
          <w:rFonts w:ascii="Arial" w:hAnsi="Arial" w:cs="Arial"/>
        </w:rPr>
        <w:t>ensuring that the parties are on an equal footing and can participate fully in proceedings, and that parties and witnesses can give their best evidence.</w:t>
      </w:r>
    </w:p>
    <w:p w:rsidR="00173B34" w:rsidRPr="00654CA4" w:rsidRDefault="00173B34" w:rsidP="00173B34">
      <w:pPr>
        <w:rPr>
          <w:rFonts w:ascii="Arial" w:hAnsi="Arial" w:cs="Arial"/>
        </w:rPr>
      </w:pPr>
    </w:p>
    <w:p w:rsidR="00173B34" w:rsidRPr="00654CA4" w:rsidRDefault="00173B34" w:rsidP="00173B34">
      <w:pPr>
        <w:rPr>
          <w:rFonts w:ascii="Arial" w:hAnsi="Arial" w:cs="Arial"/>
        </w:rPr>
      </w:pPr>
    </w:p>
    <w:p w:rsidR="00173B34" w:rsidRDefault="00173B34" w:rsidP="00173B34">
      <w:pPr>
        <w:rPr>
          <w:rFonts w:ascii="Arial" w:hAnsi="Arial" w:cs="Arial"/>
          <w:sz w:val="22"/>
          <w:szCs w:val="22"/>
        </w:rPr>
      </w:pPr>
      <w:r w:rsidRPr="00654CA4">
        <w:rPr>
          <w:rFonts w:ascii="Arial" w:eastAsia="Times New Roman" w:hAnsi="Arial" w:cs="Arial"/>
          <w:color w:val="000000" w:themeColor="text1"/>
          <w:lang w:eastAsia="en-GB"/>
        </w:rPr>
        <w:t xml:space="preserve">Therefore, given the general trend in eliminating spiralling costly litigious compensation culture, thus saving court waiting times and costs for those with genuine claims. However, that is not to say that there are not limitations associated with such an approach. The moving of the claim value threshold will no doubt result in an increase of claims brought without legal representation, though this is not necessarily a disadvantage in itself, associated human rights issues and disproportionate power balance between claimants and the insurance sector is. Indeed, the UK government did aim to implement further whiplash reforms, but these have since been scrapped and have ‘shelved plans for further whiplash reform’ (The Law Society, 2022), whilst </w:t>
      </w:r>
      <w:r w:rsidRPr="00654CA4">
        <w:rPr>
          <w:rFonts w:ascii="Arial" w:hAnsi="Arial" w:cs="Arial"/>
        </w:rPr>
        <w:t xml:space="preserve">the former Lord Chancellor, Chris Grayling (2013) himself stated the need for reform: ‘[the government] is turning the tide on the compensation </w:t>
      </w:r>
      <w:r w:rsidRPr="00654CA4">
        <w:rPr>
          <w:rFonts w:ascii="Arial" w:hAnsi="Arial" w:cs="Arial"/>
        </w:rPr>
        <w:lastRenderedPageBreak/>
        <w:t>culture. It’s pushing up the cost of insurance, and making it more expensive to drive a car or organise an event. It’s time the whole system was rebalanced</w:t>
      </w: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173B34" w:rsidRDefault="00173B34" w:rsidP="00173B34">
      <w:pPr>
        <w:rPr>
          <w:rFonts w:ascii="Arial" w:hAnsi="Arial" w:cs="Arial"/>
          <w:sz w:val="22"/>
          <w:szCs w:val="22"/>
        </w:rPr>
      </w:pPr>
    </w:p>
    <w:p w:rsidR="00CC3026" w:rsidRDefault="00CC3026" w:rsidP="00173B34">
      <w:pPr>
        <w:rPr>
          <w:rFonts w:ascii="Arial" w:hAnsi="Arial" w:cs="Arial"/>
          <w:sz w:val="22"/>
          <w:szCs w:val="22"/>
        </w:rPr>
      </w:pPr>
    </w:p>
    <w:p w:rsidR="00CC3026" w:rsidRDefault="00CC3026" w:rsidP="00173B34">
      <w:pPr>
        <w:rPr>
          <w:rFonts w:ascii="Arial" w:hAnsi="Arial" w:cs="Arial"/>
          <w:sz w:val="22"/>
          <w:szCs w:val="22"/>
        </w:rPr>
      </w:pPr>
    </w:p>
    <w:p w:rsidR="00CC3026" w:rsidRDefault="00CC3026" w:rsidP="00173B34">
      <w:pPr>
        <w:rPr>
          <w:rFonts w:ascii="Arial" w:hAnsi="Arial" w:cs="Arial"/>
          <w:sz w:val="22"/>
          <w:szCs w:val="22"/>
        </w:rPr>
      </w:pPr>
    </w:p>
    <w:p w:rsidR="00CC3026" w:rsidRDefault="00CC3026" w:rsidP="00173B34">
      <w:pPr>
        <w:rPr>
          <w:rFonts w:ascii="Arial" w:hAnsi="Arial" w:cs="Arial"/>
          <w:sz w:val="22"/>
          <w:szCs w:val="22"/>
        </w:rPr>
      </w:pPr>
    </w:p>
    <w:p w:rsidR="00CC3026" w:rsidRDefault="00CC3026" w:rsidP="00173B34">
      <w:pPr>
        <w:rPr>
          <w:rFonts w:ascii="Arial" w:hAnsi="Arial" w:cs="Arial"/>
          <w:sz w:val="22"/>
          <w:szCs w:val="22"/>
        </w:rPr>
      </w:pPr>
    </w:p>
    <w:p w:rsidR="00CC3026" w:rsidRDefault="00CC3026" w:rsidP="00173B34">
      <w:pPr>
        <w:rPr>
          <w:rFonts w:ascii="Arial" w:hAnsi="Arial" w:cs="Arial"/>
          <w:sz w:val="22"/>
          <w:szCs w:val="22"/>
        </w:rPr>
      </w:pPr>
    </w:p>
    <w:p w:rsidR="00CC3026" w:rsidRDefault="00CC3026" w:rsidP="00173B34">
      <w:pPr>
        <w:rPr>
          <w:rFonts w:ascii="Arial" w:hAnsi="Arial" w:cs="Arial"/>
          <w:sz w:val="22"/>
          <w:szCs w:val="22"/>
        </w:rPr>
      </w:pPr>
    </w:p>
    <w:p w:rsidR="00173B34" w:rsidRDefault="00173B34" w:rsidP="00173B34">
      <w:pPr>
        <w:rPr>
          <w:rFonts w:ascii="Arial" w:hAnsi="Arial" w:cs="Arial"/>
          <w:sz w:val="22"/>
          <w:szCs w:val="22"/>
        </w:rPr>
      </w:pPr>
    </w:p>
    <w:p w:rsidR="00CC3026" w:rsidRPr="00CA6B9B" w:rsidRDefault="00CC3026" w:rsidP="00CC3026">
      <w:pPr>
        <w:rPr>
          <w:rFonts w:ascii="Arial" w:hAnsi="Arial" w:cs="Arial"/>
        </w:rPr>
      </w:pPr>
    </w:p>
    <w:p w:rsidR="00CC3026" w:rsidRPr="00CA6B9B" w:rsidRDefault="00CC3026" w:rsidP="00CC3026">
      <w:pPr>
        <w:autoSpaceDE w:val="0"/>
        <w:autoSpaceDN w:val="0"/>
        <w:adjustRightInd w:val="0"/>
        <w:rPr>
          <w:rFonts w:ascii="Arial" w:hAnsi="Arial" w:cs="Arial"/>
        </w:rPr>
      </w:pPr>
      <w:r w:rsidRPr="00CA6B9B">
        <w:rPr>
          <w:rFonts w:ascii="Arial" w:hAnsi="Arial" w:cs="Arial"/>
        </w:rPr>
        <w:t> </w:t>
      </w:r>
    </w:p>
    <w:p w:rsidR="00CC3026" w:rsidRPr="00CA6B9B" w:rsidRDefault="00CC3026" w:rsidP="00CC3026">
      <w:pPr>
        <w:autoSpaceDE w:val="0"/>
        <w:autoSpaceDN w:val="0"/>
        <w:adjustRightInd w:val="0"/>
        <w:rPr>
          <w:rFonts w:ascii="Arial" w:hAnsi="Arial" w:cs="Arial"/>
        </w:rPr>
      </w:pPr>
      <w:r w:rsidRPr="00CA6B9B">
        <w:rPr>
          <w:rFonts w:ascii="Arial" w:hAnsi="Arial" w:cs="Arial"/>
        </w:rPr>
        <w:t> </w:t>
      </w:r>
    </w:p>
    <w:p w:rsidR="00CC3026" w:rsidRDefault="00CC3026" w:rsidP="00CC3026">
      <w:pPr>
        <w:rPr>
          <w:rFonts w:ascii="Arial" w:hAnsi="Arial" w:cs="Arial"/>
        </w:rPr>
      </w:pPr>
    </w:p>
    <w:p w:rsidR="00CC3026" w:rsidRDefault="00CC3026" w:rsidP="00CC3026">
      <w:pPr>
        <w:rPr>
          <w:rFonts w:ascii="Arial" w:hAnsi="Arial" w:cs="Arial"/>
        </w:rPr>
      </w:pPr>
    </w:p>
    <w:p w:rsidR="00CC3026" w:rsidRDefault="00CC3026" w:rsidP="00CC3026">
      <w:pPr>
        <w:rPr>
          <w:rFonts w:ascii="Arial" w:hAnsi="Arial" w:cs="Arial"/>
        </w:rPr>
      </w:pPr>
    </w:p>
    <w:p w:rsidR="00CC3026" w:rsidRDefault="00CC3026" w:rsidP="00CC3026">
      <w:pPr>
        <w:rPr>
          <w:rFonts w:ascii="Arial" w:hAnsi="Arial" w:cs="Arial"/>
        </w:rPr>
      </w:pPr>
    </w:p>
    <w:p w:rsidR="00CC3026" w:rsidRDefault="00CC3026" w:rsidP="00CC3026">
      <w:pPr>
        <w:rPr>
          <w:rFonts w:ascii="Arial" w:hAnsi="Arial" w:cs="Arial"/>
        </w:rPr>
      </w:pPr>
    </w:p>
    <w:p w:rsidR="00CC3026" w:rsidRDefault="00CC3026" w:rsidP="00CC3026">
      <w:pPr>
        <w:rPr>
          <w:rFonts w:ascii="Arial" w:hAnsi="Arial" w:cs="Arial"/>
        </w:rPr>
      </w:pPr>
    </w:p>
    <w:p w:rsidR="00CC3026" w:rsidRDefault="00CC3026" w:rsidP="00CC3026">
      <w:pPr>
        <w:rPr>
          <w:rFonts w:ascii="Arial" w:hAnsi="Arial" w:cs="Arial"/>
        </w:rPr>
      </w:pPr>
    </w:p>
    <w:p w:rsidR="00CC3026" w:rsidRDefault="00CC3026" w:rsidP="00CC3026">
      <w:pPr>
        <w:rPr>
          <w:rFonts w:ascii="Arial" w:hAnsi="Arial" w:cs="Arial"/>
        </w:rPr>
      </w:pPr>
    </w:p>
    <w:p w:rsidR="00CC3026" w:rsidRDefault="00CC3026" w:rsidP="00CC3026">
      <w:pPr>
        <w:rPr>
          <w:rFonts w:ascii="Arial" w:hAnsi="Arial" w:cs="Arial"/>
        </w:rPr>
      </w:pPr>
    </w:p>
    <w:p w:rsidR="00CC3026" w:rsidRPr="00CA6B9B" w:rsidRDefault="00CC3026" w:rsidP="00CC3026">
      <w:pPr>
        <w:rPr>
          <w:rFonts w:ascii="Arial" w:hAnsi="Arial" w:cs="Arial"/>
        </w:rPr>
      </w:pPr>
    </w:p>
    <w:p w:rsidR="00CC3026" w:rsidRDefault="00CC3026" w:rsidP="00173B34">
      <w:pPr>
        <w:rPr>
          <w:rFonts w:ascii="Arial" w:hAnsi="Arial" w:cs="Arial"/>
          <w:b/>
        </w:rPr>
      </w:pPr>
      <w:r w:rsidRPr="00CC3026">
        <w:rPr>
          <w:rFonts w:ascii="Arial" w:hAnsi="Arial" w:cs="Arial"/>
          <w:b/>
        </w:rPr>
        <w:t xml:space="preserve">References list </w:t>
      </w:r>
    </w:p>
    <w:p w:rsidR="00CC3026" w:rsidRPr="00CC3026" w:rsidRDefault="00CC3026" w:rsidP="00173B34">
      <w:pPr>
        <w:rPr>
          <w:rFonts w:ascii="Arial" w:hAnsi="Arial" w:cs="Arial"/>
          <w:b/>
        </w:rPr>
      </w:pPr>
    </w:p>
    <w:p w:rsidR="00CC3026" w:rsidRPr="007A7460" w:rsidRDefault="00CC3026" w:rsidP="00173B34">
      <w:pPr>
        <w:pStyle w:val="NormalWeb"/>
        <w:ind w:left="567" w:hanging="567"/>
        <w:rPr>
          <w:rFonts w:ascii="Arial" w:hAnsi="Arial" w:cs="Arial"/>
          <w:sz w:val="22"/>
          <w:szCs w:val="22"/>
        </w:rPr>
      </w:pPr>
      <w:r w:rsidRPr="007A7460">
        <w:rPr>
          <w:rFonts w:ascii="Arial" w:hAnsi="Arial" w:cs="Arial"/>
          <w:i/>
          <w:iCs/>
          <w:sz w:val="22"/>
          <w:szCs w:val="22"/>
        </w:rPr>
        <w:t>Article 6: Right to a fair trial</w:t>
      </w:r>
      <w:r w:rsidRPr="007A7460">
        <w:rPr>
          <w:rFonts w:ascii="Arial" w:hAnsi="Arial" w:cs="Arial"/>
          <w:sz w:val="22"/>
          <w:szCs w:val="22"/>
        </w:rPr>
        <w:t xml:space="preserve"> (no date) </w:t>
      </w:r>
      <w:r w:rsidRPr="007A7460">
        <w:rPr>
          <w:rFonts w:ascii="Arial" w:hAnsi="Arial" w:cs="Arial"/>
          <w:i/>
          <w:iCs/>
          <w:sz w:val="22"/>
          <w:szCs w:val="22"/>
        </w:rPr>
        <w:t>Article 6: Right to a fair trial | Equality and Human Rights Commission</w:t>
      </w:r>
      <w:r w:rsidRPr="007A7460">
        <w:rPr>
          <w:rFonts w:ascii="Arial" w:hAnsi="Arial" w:cs="Arial"/>
          <w:sz w:val="22"/>
          <w:szCs w:val="22"/>
        </w:rPr>
        <w:t xml:space="preserve">. Available at: https://www.equalityhumanrights.com/en/human-rights-act/article-6-right-fair-trial (Accessed: November 3, 2022).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sz w:val="22"/>
          <w:szCs w:val="22"/>
        </w:rPr>
        <w:lastRenderedPageBreak/>
        <w:t xml:space="preserve">Baldwin, J. (2003) “Is there a limit to the expansion of small claims?” </w:t>
      </w:r>
      <w:r w:rsidRPr="007A7460">
        <w:rPr>
          <w:rFonts w:ascii="Arial" w:hAnsi="Arial" w:cs="Arial"/>
          <w:i/>
          <w:iCs/>
          <w:sz w:val="22"/>
          <w:szCs w:val="22"/>
        </w:rPr>
        <w:t>Current Legal Problems</w:t>
      </w:r>
      <w:r w:rsidRPr="007A7460">
        <w:rPr>
          <w:rFonts w:ascii="Arial" w:hAnsi="Arial" w:cs="Arial"/>
          <w:sz w:val="22"/>
          <w:szCs w:val="22"/>
        </w:rPr>
        <w:t xml:space="preserve">, 56(1), pp. 313–343. Available at: https://doi.org/10.1093/clp/56.1.313.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sz w:val="22"/>
          <w:szCs w:val="22"/>
        </w:rPr>
        <w:t xml:space="preserve">Dobbs, D.B. (1993) </w:t>
      </w:r>
      <w:r w:rsidRPr="007A7460">
        <w:rPr>
          <w:rFonts w:ascii="Arial" w:hAnsi="Arial" w:cs="Arial"/>
          <w:i/>
          <w:iCs/>
          <w:sz w:val="22"/>
          <w:szCs w:val="22"/>
        </w:rPr>
        <w:t>Torts and Compensation</w:t>
      </w:r>
      <w:r w:rsidRPr="007A7460">
        <w:rPr>
          <w:rFonts w:ascii="Arial" w:hAnsi="Arial" w:cs="Arial"/>
          <w:sz w:val="22"/>
          <w:szCs w:val="22"/>
        </w:rPr>
        <w:t xml:space="preserve">. St. Paul, MN: West Publ. </w:t>
      </w:r>
    </w:p>
    <w:p w:rsidR="00CC3026" w:rsidRPr="00CA6B9B" w:rsidRDefault="00CC3026" w:rsidP="00CC3026">
      <w:pPr>
        <w:autoSpaceDE w:val="0"/>
        <w:autoSpaceDN w:val="0"/>
        <w:adjustRightInd w:val="0"/>
        <w:rPr>
          <w:rFonts w:ascii="Arial" w:hAnsi="Arial" w:cs="Arial"/>
        </w:rPr>
      </w:pPr>
      <w:r w:rsidRPr="00CA6B9B">
        <w:rPr>
          <w:rFonts w:ascii="Arial" w:hAnsi="Arial" w:cs="Arial"/>
          <w:i/>
          <w:iCs/>
        </w:rPr>
        <w:t>First Quarter Data Publication</w:t>
      </w:r>
      <w:r w:rsidRPr="00CA6B9B">
        <w:rPr>
          <w:rFonts w:ascii="Arial" w:hAnsi="Arial" w:cs="Arial"/>
        </w:rPr>
        <w:t xml:space="preserve"> (2021) </w:t>
      </w:r>
      <w:r w:rsidRPr="00CA6B9B">
        <w:rPr>
          <w:rFonts w:ascii="Arial" w:hAnsi="Arial" w:cs="Arial"/>
          <w:i/>
          <w:iCs/>
        </w:rPr>
        <w:t>Official Injury Claim Homepage</w:t>
      </w:r>
      <w:r w:rsidRPr="00CA6B9B">
        <w:rPr>
          <w:rFonts w:ascii="Arial" w:hAnsi="Arial" w:cs="Arial"/>
        </w:rPr>
        <w:t xml:space="preserve">. Available at: https://www.officialinjuryclaim.org.uk/news/first-quarter-data-2021 (Accessed: November 2, 2022).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sz w:val="22"/>
          <w:szCs w:val="22"/>
        </w:rPr>
        <w:t xml:space="preserve">Justice, </w:t>
      </w:r>
      <w:proofErr w:type="spellStart"/>
      <w:proofErr w:type="gramStart"/>
      <w:r w:rsidRPr="007A7460">
        <w:rPr>
          <w:rFonts w:ascii="Arial" w:hAnsi="Arial" w:cs="Arial"/>
          <w:sz w:val="22"/>
          <w:szCs w:val="22"/>
        </w:rPr>
        <w:t>M.of</w:t>
      </w:r>
      <w:proofErr w:type="spellEnd"/>
      <w:proofErr w:type="gramEnd"/>
      <w:r w:rsidRPr="007A7460">
        <w:rPr>
          <w:rFonts w:ascii="Arial" w:hAnsi="Arial" w:cs="Arial"/>
          <w:sz w:val="22"/>
          <w:szCs w:val="22"/>
        </w:rPr>
        <w:t xml:space="preserve"> (2013) </w:t>
      </w:r>
      <w:r w:rsidRPr="007A7460">
        <w:rPr>
          <w:rFonts w:ascii="Arial" w:hAnsi="Arial" w:cs="Arial"/>
          <w:i/>
          <w:iCs/>
          <w:sz w:val="22"/>
          <w:szCs w:val="22"/>
        </w:rPr>
        <w:t>Turning the tide on compensation culture</w:t>
      </w:r>
      <w:r w:rsidRPr="007A7460">
        <w:rPr>
          <w:rFonts w:ascii="Arial" w:hAnsi="Arial" w:cs="Arial"/>
          <w:sz w:val="22"/>
          <w:szCs w:val="22"/>
        </w:rPr>
        <w:t xml:space="preserve">, </w:t>
      </w:r>
      <w:r w:rsidRPr="007A7460">
        <w:rPr>
          <w:rFonts w:ascii="Arial" w:hAnsi="Arial" w:cs="Arial"/>
          <w:i/>
          <w:iCs/>
          <w:sz w:val="22"/>
          <w:szCs w:val="22"/>
        </w:rPr>
        <w:t>GOV.UK</w:t>
      </w:r>
      <w:r w:rsidRPr="007A7460">
        <w:rPr>
          <w:rFonts w:ascii="Arial" w:hAnsi="Arial" w:cs="Arial"/>
          <w:sz w:val="22"/>
          <w:szCs w:val="22"/>
        </w:rPr>
        <w:t xml:space="preserve">. GOV.UK. Available at: https://www.gov.uk/government/news/turning-the-tide-on-compensation-culture (Accessed: November 1, 2022).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i/>
          <w:iCs/>
          <w:sz w:val="22"/>
          <w:szCs w:val="22"/>
        </w:rPr>
        <w:t xml:space="preserve">LASPO - an end of access to </w:t>
      </w:r>
      <w:proofErr w:type="gramStart"/>
      <w:r w:rsidRPr="007A7460">
        <w:rPr>
          <w:rFonts w:ascii="Arial" w:hAnsi="Arial" w:cs="Arial"/>
          <w:i/>
          <w:iCs/>
          <w:sz w:val="22"/>
          <w:szCs w:val="22"/>
        </w:rPr>
        <w:t>justice?:</w:t>
      </w:r>
      <w:proofErr w:type="gramEnd"/>
      <w:r w:rsidRPr="007A7460">
        <w:rPr>
          <w:rFonts w:ascii="Arial" w:hAnsi="Arial" w:cs="Arial"/>
          <w:i/>
          <w:iCs/>
          <w:sz w:val="22"/>
          <w:szCs w:val="22"/>
        </w:rPr>
        <w:t xml:space="preserve"> </w:t>
      </w:r>
      <w:proofErr w:type="spellStart"/>
      <w:r w:rsidRPr="007A7460">
        <w:rPr>
          <w:rFonts w:ascii="Arial" w:hAnsi="Arial" w:cs="Arial"/>
          <w:i/>
          <w:iCs/>
          <w:sz w:val="22"/>
          <w:szCs w:val="22"/>
        </w:rPr>
        <w:t>Bott</w:t>
      </w:r>
      <w:proofErr w:type="spellEnd"/>
      <w:r w:rsidRPr="007A7460">
        <w:rPr>
          <w:rFonts w:ascii="Arial" w:hAnsi="Arial" w:cs="Arial"/>
          <w:i/>
          <w:iCs/>
          <w:sz w:val="22"/>
          <w:szCs w:val="22"/>
        </w:rPr>
        <w:t xml:space="preserve"> and co</w:t>
      </w:r>
      <w:r w:rsidRPr="007A7460">
        <w:rPr>
          <w:rFonts w:ascii="Arial" w:hAnsi="Arial" w:cs="Arial"/>
          <w:sz w:val="22"/>
          <w:szCs w:val="22"/>
        </w:rPr>
        <w:t xml:space="preserve"> (2021) </w:t>
      </w:r>
      <w:proofErr w:type="spellStart"/>
      <w:r w:rsidRPr="007A7460">
        <w:rPr>
          <w:rFonts w:ascii="Arial" w:hAnsi="Arial" w:cs="Arial"/>
          <w:i/>
          <w:iCs/>
          <w:sz w:val="22"/>
          <w:szCs w:val="22"/>
        </w:rPr>
        <w:t>Bott</w:t>
      </w:r>
      <w:proofErr w:type="spellEnd"/>
      <w:r w:rsidRPr="007A7460">
        <w:rPr>
          <w:rFonts w:ascii="Arial" w:hAnsi="Arial" w:cs="Arial"/>
          <w:i/>
          <w:iCs/>
          <w:sz w:val="22"/>
          <w:szCs w:val="22"/>
        </w:rPr>
        <w:t xml:space="preserve"> and Co.</w:t>
      </w:r>
      <w:r w:rsidRPr="007A7460">
        <w:rPr>
          <w:rFonts w:ascii="Arial" w:hAnsi="Arial" w:cs="Arial"/>
          <w:sz w:val="22"/>
          <w:szCs w:val="22"/>
        </w:rPr>
        <w:t xml:space="preserve"> Available at: https://www.bottonline.co.uk/blog/laspo-end-to-access-to-justice (Accessed: November 2, 2022).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i/>
          <w:iCs/>
          <w:sz w:val="22"/>
          <w:szCs w:val="22"/>
        </w:rPr>
        <w:t>Litigants in person - judiciary</w:t>
      </w:r>
      <w:r w:rsidRPr="007A7460">
        <w:rPr>
          <w:rFonts w:ascii="Arial" w:hAnsi="Arial" w:cs="Arial"/>
          <w:sz w:val="22"/>
          <w:szCs w:val="22"/>
        </w:rPr>
        <w:t xml:space="preserve"> (no date). Available at: https://www.judiciary.uk/wp-content/uploads/JCO/Documents/judicial-college/ETBB_LiP+_finalised_.pdf (Accessed: November 4, 2022).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i/>
          <w:iCs/>
          <w:sz w:val="22"/>
          <w:szCs w:val="22"/>
        </w:rPr>
        <w:t>New rules for whiplash and other minor road accident injury claims - Doncaster, Rotherham</w:t>
      </w:r>
      <w:r w:rsidRPr="007A7460">
        <w:rPr>
          <w:rFonts w:ascii="Arial" w:hAnsi="Arial" w:cs="Arial"/>
          <w:sz w:val="22"/>
          <w:szCs w:val="22"/>
        </w:rPr>
        <w:t xml:space="preserve"> (2021) </w:t>
      </w:r>
      <w:r w:rsidRPr="007A7460">
        <w:rPr>
          <w:rFonts w:ascii="Arial" w:hAnsi="Arial" w:cs="Arial"/>
          <w:i/>
          <w:iCs/>
          <w:sz w:val="22"/>
          <w:szCs w:val="22"/>
        </w:rPr>
        <w:t>Malcolm C. Foy &amp; Co Solicitors</w:t>
      </w:r>
      <w:r w:rsidRPr="007A7460">
        <w:rPr>
          <w:rFonts w:ascii="Arial" w:hAnsi="Arial" w:cs="Arial"/>
          <w:sz w:val="22"/>
          <w:szCs w:val="22"/>
        </w:rPr>
        <w:t xml:space="preserve">. Available at: https://www.malcolmcfoy.co.uk/site/legal-updates/dispute-resolution/new-rules-for-whiplash-and-other-minor-road-accidents (Accessed: November 2, 2022).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i/>
          <w:iCs/>
          <w:sz w:val="22"/>
          <w:szCs w:val="22"/>
        </w:rPr>
        <w:t>Part 26 - case management – preliminary stage</w:t>
      </w:r>
      <w:r w:rsidRPr="007A7460">
        <w:rPr>
          <w:rFonts w:ascii="Arial" w:hAnsi="Arial" w:cs="Arial"/>
          <w:sz w:val="22"/>
          <w:szCs w:val="22"/>
        </w:rPr>
        <w:t xml:space="preserve"> (2022) </w:t>
      </w:r>
      <w:r w:rsidRPr="007A7460">
        <w:rPr>
          <w:rFonts w:ascii="Arial" w:hAnsi="Arial" w:cs="Arial"/>
          <w:i/>
          <w:iCs/>
          <w:sz w:val="22"/>
          <w:szCs w:val="22"/>
        </w:rPr>
        <w:t>Civil Procedure Rules</w:t>
      </w:r>
      <w:r w:rsidRPr="007A7460">
        <w:rPr>
          <w:rFonts w:ascii="Arial" w:hAnsi="Arial" w:cs="Arial"/>
          <w:sz w:val="22"/>
          <w:szCs w:val="22"/>
        </w:rPr>
        <w:t xml:space="preserve">. Available at: https://www.justice.gov.uk/courts/procedure-rules/civil/rules/part26 (Accessed: November 5, 2022).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i/>
          <w:iCs/>
          <w:sz w:val="22"/>
          <w:szCs w:val="22"/>
        </w:rPr>
        <w:t>Personal injury</w:t>
      </w:r>
      <w:r w:rsidRPr="007A7460">
        <w:rPr>
          <w:rFonts w:ascii="Arial" w:hAnsi="Arial" w:cs="Arial"/>
          <w:sz w:val="22"/>
          <w:szCs w:val="22"/>
        </w:rPr>
        <w:t xml:space="preserve"> (no date) </w:t>
      </w:r>
      <w:r w:rsidRPr="007A7460">
        <w:rPr>
          <w:rFonts w:ascii="Arial" w:hAnsi="Arial" w:cs="Arial"/>
          <w:i/>
          <w:iCs/>
          <w:sz w:val="22"/>
          <w:szCs w:val="22"/>
        </w:rPr>
        <w:t>The Law Society</w:t>
      </w:r>
      <w:r w:rsidRPr="007A7460">
        <w:rPr>
          <w:rFonts w:ascii="Arial" w:hAnsi="Arial" w:cs="Arial"/>
          <w:sz w:val="22"/>
          <w:szCs w:val="22"/>
        </w:rPr>
        <w:t xml:space="preserve">. Available at: https://www.lawsociety.org.uk/topics/civil-litigation/personal-injury-whats-changing (Accessed: November 3, 2022).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i/>
          <w:iCs/>
          <w:sz w:val="22"/>
          <w:szCs w:val="22"/>
        </w:rPr>
        <w:t>PRE-ACTION PROTOCOL FOR PERSONAL INJURY CLAIMS BELOW THE SMALL CLAIMS LIMIT IN ROAD TRAFFIC ACCIDENTS</w:t>
      </w:r>
      <w:r w:rsidRPr="007A7460">
        <w:rPr>
          <w:rFonts w:ascii="Arial" w:hAnsi="Arial" w:cs="Arial"/>
          <w:sz w:val="22"/>
          <w:szCs w:val="22"/>
        </w:rPr>
        <w:t xml:space="preserve"> (no date). Available at: https://assets.publishing.service.gov.uk/government/uploads/system/uploads/attachment_data/file/965270/cpr-pap-update-feb-2021.pdf. </w:t>
      </w:r>
    </w:p>
    <w:p w:rsidR="00CC3026" w:rsidRPr="00CA6B9B" w:rsidRDefault="00CC3026" w:rsidP="00CC3026">
      <w:pPr>
        <w:autoSpaceDE w:val="0"/>
        <w:autoSpaceDN w:val="0"/>
        <w:adjustRightInd w:val="0"/>
        <w:rPr>
          <w:rFonts w:ascii="Arial" w:hAnsi="Arial" w:cs="Arial"/>
        </w:rPr>
      </w:pPr>
      <w:r w:rsidRPr="00CA6B9B">
        <w:rPr>
          <w:rFonts w:ascii="Arial" w:hAnsi="Arial" w:cs="Arial"/>
          <w:i/>
          <w:iCs/>
        </w:rPr>
        <w:t>Statutory instruments - UK parliament</w:t>
      </w:r>
      <w:r w:rsidRPr="00CA6B9B">
        <w:rPr>
          <w:rFonts w:ascii="Arial" w:hAnsi="Arial" w:cs="Arial"/>
        </w:rPr>
        <w:t xml:space="preserve"> (2021) </w:t>
      </w:r>
      <w:r w:rsidRPr="00CA6B9B">
        <w:rPr>
          <w:rFonts w:ascii="Arial" w:hAnsi="Arial" w:cs="Arial"/>
          <w:i/>
          <w:iCs/>
        </w:rPr>
        <w:t>UK Parliament</w:t>
      </w:r>
      <w:r w:rsidRPr="00CA6B9B">
        <w:rPr>
          <w:rFonts w:ascii="Arial" w:hAnsi="Arial" w:cs="Arial"/>
        </w:rPr>
        <w:t xml:space="preserve">. Available at: https://statutoryinstruments.parliament.uk/ (Accessed: November 1, 2022).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i/>
          <w:iCs/>
          <w:sz w:val="22"/>
          <w:szCs w:val="22"/>
        </w:rPr>
        <w:t>The cost of Compensation Culture - Institute and Faculty of Actuaries</w:t>
      </w:r>
      <w:r w:rsidRPr="007A7460">
        <w:rPr>
          <w:rFonts w:ascii="Arial" w:hAnsi="Arial" w:cs="Arial"/>
          <w:sz w:val="22"/>
          <w:szCs w:val="22"/>
        </w:rPr>
        <w:t xml:space="preserve"> (no date). Available at: https://www.actuaries.org.uk/documents/cost-compensation-culture-working-party-report (Accessed: November 6, 2022). </w:t>
      </w:r>
    </w:p>
    <w:p w:rsidR="00CC3026" w:rsidRPr="007A7460" w:rsidRDefault="00CC3026" w:rsidP="00173B34">
      <w:pPr>
        <w:autoSpaceDE w:val="0"/>
        <w:autoSpaceDN w:val="0"/>
        <w:adjustRightInd w:val="0"/>
        <w:rPr>
          <w:rFonts w:ascii="Arial" w:hAnsi="Arial" w:cs="Arial"/>
          <w:sz w:val="22"/>
          <w:szCs w:val="22"/>
        </w:rPr>
      </w:pPr>
      <w:r w:rsidRPr="007A7460">
        <w:rPr>
          <w:rFonts w:ascii="Arial" w:hAnsi="Arial" w:cs="Arial"/>
          <w:sz w:val="22"/>
          <w:szCs w:val="22"/>
        </w:rPr>
        <w:t xml:space="preserve">The New York Civil Practice Law and Rules </w:t>
      </w:r>
    </w:p>
    <w:p w:rsidR="00CC3026" w:rsidRPr="007A7460" w:rsidRDefault="00CC3026" w:rsidP="00173B34">
      <w:pPr>
        <w:pStyle w:val="NormalWeb"/>
        <w:ind w:left="567" w:hanging="567"/>
        <w:rPr>
          <w:rFonts w:ascii="Arial" w:hAnsi="Arial" w:cs="Arial"/>
          <w:sz w:val="22"/>
          <w:szCs w:val="22"/>
        </w:rPr>
      </w:pPr>
      <w:r w:rsidRPr="007A7460">
        <w:rPr>
          <w:rFonts w:ascii="Arial" w:hAnsi="Arial" w:cs="Arial"/>
          <w:i/>
          <w:iCs/>
          <w:sz w:val="22"/>
          <w:szCs w:val="22"/>
        </w:rPr>
        <w:t>The resolution of small claims - judiciary</w:t>
      </w:r>
      <w:r w:rsidRPr="007A7460">
        <w:rPr>
          <w:rFonts w:ascii="Arial" w:hAnsi="Arial" w:cs="Arial"/>
          <w:sz w:val="22"/>
          <w:szCs w:val="22"/>
        </w:rPr>
        <w:t xml:space="preserve"> (no date). Available at: https://www.judiciary.uk/wp-content/uploads/2022/01/20220125-CJC-Small-Claims-Report-FINAL-2.pdf (Accessed: November 5, 2022). </w:t>
      </w:r>
    </w:p>
    <w:p w:rsidR="00CC3026" w:rsidRPr="00CA6B9B" w:rsidRDefault="00CC3026" w:rsidP="00CC3026">
      <w:pPr>
        <w:pStyle w:val="NormalWeb"/>
        <w:ind w:left="567" w:hanging="567"/>
        <w:rPr>
          <w:rFonts w:ascii="Arial" w:hAnsi="Arial" w:cs="Arial"/>
        </w:rPr>
      </w:pPr>
      <w:r w:rsidRPr="00CA6B9B">
        <w:rPr>
          <w:rFonts w:ascii="Arial" w:hAnsi="Arial" w:cs="Arial"/>
        </w:rPr>
        <w:lastRenderedPageBreak/>
        <w:t xml:space="preserve">Thompsons Solicitors (no date) </w:t>
      </w:r>
      <w:r w:rsidRPr="00CA6B9B">
        <w:rPr>
          <w:rFonts w:ascii="Arial" w:hAnsi="Arial" w:cs="Arial"/>
          <w:i/>
          <w:iCs/>
        </w:rPr>
        <w:t xml:space="preserve">Thompsons solicitors responds to Government's </w:t>
      </w:r>
      <w:proofErr w:type="spellStart"/>
      <w:r w:rsidRPr="00CA6B9B">
        <w:rPr>
          <w:rFonts w:ascii="Arial" w:hAnsi="Arial" w:cs="Arial"/>
          <w:i/>
          <w:iCs/>
        </w:rPr>
        <w:t>laspo</w:t>
      </w:r>
      <w:proofErr w:type="spellEnd"/>
      <w:r w:rsidRPr="00CA6B9B">
        <w:rPr>
          <w:rFonts w:ascii="Arial" w:hAnsi="Arial" w:cs="Arial"/>
          <w:i/>
          <w:iCs/>
        </w:rPr>
        <w:t xml:space="preserve"> part 2 review</w:t>
      </w:r>
      <w:r w:rsidRPr="00CA6B9B">
        <w:rPr>
          <w:rFonts w:ascii="Arial" w:hAnsi="Arial" w:cs="Arial"/>
        </w:rPr>
        <w:t xml:space="preserve">, </w:t>
      </w:r>
      <w:r w:rsidRPr="00CA6B9B">
        <w:rPr>
          <w:rFonts w:ascii="Arial" w:hAnsi="Arial" w:cs="Arial"/>
          <w:i/>
          <w:iCs/>
        </w:rPr>
        <w:t>Thompsons Solicitors</w:t>
      </w:r>
      <w:r w:rsidRPr="00CA6B9B">
        <w:rPr>
          <w:rFonts w:ascii="Arial" w:hAnsi="Arial" w:cs="Arial"/>
        </w:rPr>
        <w:t xml:space="preserve">. Available at: https://www.thompsonstradeunion.law/news/commentary/personal-injury/thompsons-solicitors-responds-to-governments-laspo-part-2-review (Accessed: November 1, 2022). </w:t>
      </w:r>
    </w:p>
    <w:p w:rsidR="00CC3026" w:rsidRPr="00CA6B9B" w:rsidRDefault="00CC3026" w:rsidP="00CC3026">
      <w:pPr>
        <w:autoSpaceDE w:val="0"/>
        <w:autoSpaceDN w:val="0"/>
        <w:adjustRightInd w:val="0"/>
        <w:rPr>
          <w:rFonts w:ascii="Arial" w:hAnsi="Arial" w:cs="Arial"/>
        </w:rPr>
      </w:pPr>
      <w:r w:rsidRPr="00CA6B9B">
        <w:rPr>
          <w:rFonts w:ascii="Arial" w:hAnsi="Arial" w:cs="Arial"/>
          <w:i/>
          <w:iCs/>
        </w:rPr>
        <w:t>Whiplash reform programme: Information and FAQ</w:t>
      </w:r>
      <w:r w:rsidRPr="00CA6B9B">
        <w:rPr>
          <w:rFonts w:ascii="Arial" w:hAnsi="Arial" w:cs="Arial"/>
        </w:rPr>
        <w:t xml:space="preserve"> (2022) </w:t>
      </w:r>
      <w:r w:rsidRPr="00CA6B9B">
        <w:rPr>
          <w:rFonts w:ascii="Arial" w:hAnsi="Arial" w:cs="Arial"/>
          <w:i/>
          <w:iCs/>
        </w:rPr>
        <w:t>GOV.UK</w:t>
      </w:r>
      <w:r w:rsidRPr="00CA6B9B">
        <w:rPr>
          <w:rFonts w:ascii="Arial" w:hAnsi="Arial" w:cs="Arial"/>
        </w:rPr>
        <w:t xml:space="preserve">. Ministry of Justice. Available at: https://www.gov.uk/government/publications/whiplash-reform-programme-information-and-faq (Accessed: November 1, 2022). </w:t>
      </w:r>
    </w:p>
    <w:p w:rsidR="00173B34" w:rsidRPr="007A7460" w:rsidRDefault="00173B34" w:rsidP="00173B34">
      <w:pPr>
        <w:pStyle w:val="NormalWeb"/>
        <w:ind w:left="567" w:hanging="567"/>
        <w:rPr>
          <w:rFonts w:ascii="Arial" w:hAnsi="Arial" w:cs="Arial"/>
          <w:sz w:val="22"/>
          <w:szCs w:val="22"/>
        </w:rPr>
      </w:pPr>
      <w:r w:rsidRPr="007A7460">
        <w:rPr>
          <w:rFonts w:ascii="Arial" w:hAnsi="Arial" w:cs="Arial"/>
          <w:i/>
          <w:iCs/>
          <w:sz w:val="22"/>
          <w:szCs w:val="22"/>
        </w:rPr>
        <w:t>Whiplash injury regulations 2021</w:t>
      </w:r>
      <w:r w:rsidRPr="007A7460">
        <w:rPr>
          <w:rFonts w:ascii="Arial" w:hAnsi="Arial" w:cs="Arial"/>
          <w:sz w:val="22"/>
          <w:szCs w:val="22"/>
        </w:rPr>
        <w:t xml:space="preserve"> (2021) </w:t>
      </w:r>
      <w:r w:rsidRPr="007A7460">
        <w:rPr>
          <w:rFonts w:ascii="Arial" w:hAnsi="Arial" w:cs="Arial"/>
          <w:i/>
          <w:iCs/>
          <w:sz w:val="22"/>
          <w:szCs w:val="22"/>
        </w:rPr>
        <w:t>Timms Solicitors</w:t>
      </w:r>
      <w:r w:rsidRPr="007A7460">
        <w:rPr>
          <w:rFonts w:ascii="Arial" w:hAnsi="Arial" w:cs="Arial"/>
          <w:sz w:val="22"/>
          <w:szCs w:val="22"/>
        </w:rPr>
        <w:t xml:space="preserve">. Available at: https://www.timms-law.com/personal-injury-blog-whiplash-injury-regulations-2021/ (Accessed: November 3, 2022). </w:t>
      </w:r>
    </w:p>
    <w:p w:rsidR="00352870" w:rsidRDefault="00352870"/>
    <w:sectPr w:rsidR="003528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B34"/>
    <w:rsid w:val="00173B34"/>
    <w:rsid w:val="00352870"/>
    <w:rsid w:val="00854203"/>
    <w:rsid w:val="009D7EC6"/>
    <w:rsid w:val="00CC3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0834"/>
  <w15:chartTrackingRefBased/>
  <w15:docId w15:val="{3B10FB2C-3339-4794-8C90-E57874032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3B34"/>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3B3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2130</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3</cp:revision>
  <dcterms:created xsi:type="dcterms:W3CDTF">2022-11-09T13:24:00Z</dcterms:created>
  <dcterms:modified xsi:type="dcterms:W3CDTF">2022-11-11T00:31:00Z</dcterms:modified>
</cp:coreProperties>
</file>